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Caldwell Jeremy 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01/06/2015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EVP, Chief Scientific Officer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01/06/2015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01/06/2025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Twenty-five percent (25%) of the shares subject to the option vest and become exercisable on the first anniversary measured from January 6, 2015, and the remaining shares subject to the option vest and become exercisable in 36 successive, equal monthly installments thereafter, subject to the Reporting Person's continued employment or service relationship with the Issuer on each such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Jeremy</w:t>
      </w:r>
      <w:r>
        <w:rPr>
          <w:sz w:val="20"/>
          <w:szCs w:val="20"/>
          <w:color w:val="auto"/>
        </w:rPr>
        <w:tab/>
      </w:r>
      <w:r>
        <w:rPr>
          <w:rFonts w:ascii="Arial" w:cs="Arial" w:eastAsia="Arial" w:hAnsi="Arial"/>
          <w:sz w:val="15"/>
          <w:szCs w:val="15"/>
          <w:color w:val="0000FF"/>
        </w:rPr>
        <w:t>01/08/2015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Caldwell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99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941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685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2019-12-08T21:33:37Z</dcterms:created>
  <dcterms:modified xsi:type="dcterms:W3CDTF">2019-12-08T21:33:37Z</dcterms:modified>
</cp:coreProperties>
</file>