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591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131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3"/>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00" w:type="dxa"/>
            <w:vAlign w:val="bottom"/>
            <w:vMerge w:val="restart"/>
          </w:tcPr>
          <w:p>
            <w:pPr>
              <w:ind w:left="20"/>
              <w:spacing w:after="0"/>
              <w:rPr>
                <w:rFonts w:ascii="Arial" w:cs="Arial" w:eastAsia="Arial" w:hAnsi="Arial"/>
                <w:sz w:val="20"/>
                <w:szCs w:val="20"/>
                <w:u w:val="single" w:color="auto"/>
                <w:color w:val="0000EE"/>
                <w:w w:val="93"/>
              </w:rPr>
            </w:pPr>
            <w:hyperlink r:id="rId13">
              <w:r>
                <w:rPr>
                  <w:rFonts w:ascii="Arial" w:cs="Arial" w:eastAsia="Arial" w:hAnsi="Arial"/>
                  <w:sz w:val="20"/>
                  <w:szCs w:val="20"/>
                  <w:u w:val="single" w:color="auto"/>
                  <w:color w:val="0000EE"/>
                  <w:w w:val="93"/>
                </w:rPr>
                <w:t>Renz Justin A</w:t>
              </w:r>
            </w:hyperlink>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ARDELYX,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ARDX</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920" w:type="dxa"/>
            <w:vAlign w:val="bottom"/>
            <w:gridSpan w:val="3"/>
            <w:vMerge w:val="restart"/>
          </w:tcPr>
          <w:p>
            <w:pPr>
              <w:ind w:left="140"/>
              <w:spacing w:after="0" w:line="167" w:lineRule="exact"/>
              <w:rPr>
                <w:sz w:val="20"/>
                <w:szCs w:val="20"/>
                <w:color w:val="auto"/>
              </w:rPr>
            </w:pPr>
            <w:r>
              <w:rPr>
                <w:rFonts w:ascii="Arial" w:cs="Arial" w:eastAsia="Arial" w:hAnsi="Arial"/>
                <w:sz w:val="17"/>
                <w:szCs w:val="17"/>
                <w:color w:val="0000FF"/>
              </w:rPr>
              <w:t>06/08/2020</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C/O ARDELYX, INC. 34175 ARDENWOOD BLVD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Financial Officer</w:t>
      </w:r>
    </w:p>
    <w:p>
      <w:pPr>
        <w:spacing w:after="0" w:line="299"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94555</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147955</wp:posOffset>
            </wp:positionV>
            <wp:extent cx="6969760" cy="1074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4420"/>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06/08/2020</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0"/>
              </w:rPr>
              <w:t>10,000</w:t>
            </w:r>
            <w:r>
              <w:rPr>
                <w:rFonts w:ascii="Arial" w:cs="Arial" w:eastAsia="Arial" w:hAnsi="Arial"/>
                <w:sz w:val="21"/>
                <w:szCs w:val="21"/>
                <w:color w:val="008000"/>
                <w:w w:val="8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13,000</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7.35</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06/08/2020</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195,017</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06/08/2030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195,017</w:t>
            </w:r>
          </w:p>
        </w:tc>
        <w:tc>
          <w:tcPr>
            <w:tcW w:w="4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195,017</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-1687830</wp:posOffset>
            </wp:positionV>
            <wp:extent cx="7034530" cy="182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249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 of Common Stock for each one (1) RSU upon the vesting thereof.</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10,000 RSUs.</w:t>
      </w:r>
    </w:p>
    <w:p>
      <w:pPr>
        <w:spacing w:after="0" w:line="41" w:lineRule="exact"/>
        <w:rPr>
          <w:rFonts w:ascii="Arial" w:cs="Arial" w:eastAsia="Arial" w:hAnsi="Arial"/>
          <w:sz w:val="13"/>
          <w:szCs w:val="13"/>
          <w:color w:val="008000"/>
        </w:rPr>
      </w:pPr>
    </w:p>
    <w:p>
      <w:pPr>
        <w:ind w:left="40" w:right="50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according to the following schedule: Twenty-five percent (25%) of the shares subject to the option vest on the first anniversary measured from June 8, 2020, and the remaining shares subject to the option vest in 36 successive, equal monthly installments thereafter, subject to the Reporting Person's continued employment or service relationship with the Issuer on each such vesting date.</w:t>
      </w:r>
    </w:p>
    <w:p>
      <w:pPr>
        <w:spacing w:after="0" w:line="55"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4"/>
          <w:szCs w:val="14"/>
          <w:color w:val="0000FF"/>
        </w:rPr>
        <w:t>06/09/2020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15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4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2020-06-09T19:17:30Z</dcterms:created>
  <dcterms:modified xsi:type="dcterms:W3CDTF">2020-06-09T19:17:30Z</dcterms:modified>
</cp:coreProperties>
</file>