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u w:val="single" w:color="auto"/>
          <w:color w:val="EE2724"/>
        </w:rPr>
        <w:t>Filed Pursuant to Rule 424(b)(5)</w:t>
      </w:r>
    </w:p>
    <w:p>
      <w:pPr>
        <w:spacing w:after="0" w:line="16" w:lineRule="exact"/>
        <w:rPr>
          <w:sz w:val="24"/>
          <w:szCs w:val="24"/>
          <w:color w:val="auto"/>
        </w:rPr>
      </w:pPr>
    </w:p>
    <w:p>
      <w:pPr>
        <w:jc w:val="right"/>
        <w:spacing w:after="0"/>
        <w:rPr>
          <w:sz w:val="20"/>
          <w:szCs w:val="20"/>
          <w:color w:val="auto"/>
        </w:rPr>
      </w:pPr>
      <w:r>
        <w:rPr>
          <w:rFonts w:ascii="Arial" w:cs="Arial" w:eastAsia="Arial" w:hAnsi="Arial"/>
          <w:sz w:val="18"/>
          <w:szCs w:val="18"/>
          <w:b w:val="1"/>
          <w:bCs w:val="1"/>
          <w:u w:val="single" w:color="auto"/>
          <w:color w:val="EE2724"/>
        </w:rPr>
        <w:t>Registration Statement No. 333-239764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1513840</wp:posOffset>
            </wp:positionH>
            <wp:positionV relativeFrom="paragraph">
              <wp:posOffset>154305</wp:posOffset>
            </wp:positionV>
            <wp:extent cx="4123055" cy="9429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23055" cy="9429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$150,000,000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4"/>
          <w:szCs w:val="24"/>
          <w:color w:val="auto"/>
        </w:rPr>
      </w:pPr>
    </w:p>
    <w:p>
      <w:pPr>
        <w:ind w:right="120"/>
        <w:spacing w:after="0" w:line="311" w:lineRule="auto"/>
        <w:rPr>
          <w:sz w:val="20"/>
          <w:szCs w:val="20"/>
          <w:color w:val="auto"/>
        </w:rPr>
      </w:pPr>
      <w:r>
        <w:rPr>
          <w:rFonts w:ascii="Arial" w:cs="Arial" w:eastAsia="Arial" w:hAnsi="Arial"/>
          <w:sz w:val="16"/>
          <w:szCs w:val="16"/>
          <w:color w:val="auto"/>
        </w:rPr>
        <w:t>We have entered into a sales agreement with Jefferies LLC, or Jefferies, relating to shares of our common stock offered by this prospectus supplement and the accompanying prospectus. In accordance with the terms of the sales agreement, under this prospectus supplement we may offer and sell shares of our common stock, $0.0001 par value per share, having an aggregate offering price of up to $150,000,000 from time to time through Jefferies, acting as agent.</w:t>
      </w:r>
    </w:p>
    <w:p>
      <w:pPr>
        <w:spacing w:after="0" w:line="149"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“ARDX.” On August 12, 2021, the last reported sale price of our common stock on the Nasdaq Global Market was $1.52 per share.</w:t>
      </w:r>
    </w:p>
    <w:p>
      <w:pPr>
        <w:spacing w:after="0" w:line="170" w:lineRule="exact"/>
        <w:rPr>
          <w:sz w:val="24"/>
          <w:szCs w:val="24"/>
          <w:color w:val="auto"/>
        </w:rPr>
      </w:pPr>
    </w:p>
    <w:p>
      <w:pPr>
        <w:ind w:right="180"/>
        <w:spacing w:after="0" w:line="273" w:lineRule="auto"/>
        <w:rPr>
          <w:sz w:val="20"/>
          <w:szCs w:val="20"/>
          <w:color w:val="auto"/>
        </w:rPr>
      </w:pPr>
      <w:r>
        <w:rPr>
          <w:rFonts w:ascii="Arial" w:cs="Arial" w:eastAsia="Arial" w:hAnsi="Arial"/>
          <w:sz w:val="17"/>
          <w:szCs w:val="17"/>
          <w:color w:val="auto"/>
        </w:rPr>
        <w:t>Sales of our common stock, if any, under this prospectus supplement and the accompanying prospectus will be made in sales deemed to be “at the market offerings” as defined in Rule 415 promulgated under the Securities Act of 1933, as amended, or the Securities Act, including sales made directly on or through the Nasdaq Global Market or any other existing trading market for our common stock. Jefferies is not required to sell any specific amount of securities, but will act as our sales agent on a best efforts basis and use commercially reasonable efforts to sell on our behalf all of the shares of common stock requested to be sold by us, consistent with its normal trading and sales practices, on mutually agreed terms between Jefferies and us. There is no arrangement for funds to be received in any escrow, trust or similar arrangement.</w:t>
      </w:r>
    </w:p>
    <w:p>
      <w:pPr>
        <w:spacing w:after="0" w:line="178" w:lineRule="exact"/>
        <w:rPr>
          <w:sz w:val="24"/>
          <w:szCs w:val="24"/>
          <w:color w:val="auto"/>
        </w:rPr>
      </w:pPr>
    </w:p>
    <w:p>
      <w:pPr>
        <w:ind w:right="160"/>
        <w:spacing w:after="0" w:line="311" w:lineRule="auto"/>
        <w:rPr>
          <w:sz w:val="20"/>
          <w:szCs w:val="20"/>
          <w:color w:val="auto"/>
        </w:rPr>
      </w:pPr>
      <w:r>
        <w:rPr>
          <w:rFonts w:ascii="Arial" w:cs="Arial" w:eastAsia="Arial" w:hAnsi="Arial"/>
          <w:sz w:val="16"/>
          <w:szCs w:val="16"/>
          <w:color w:val="auto"/>
        </w:rPr>
        <w:t>The compensation to Jefferies for sales of common stock pursuant to the sales agreement will be an amount of up to 3.0% of the gross proceeds of any shares of common stock sold under the sales agreement. In connection with the sale of our common stock on our behalf, Jefferies will be deemed to be an “underwriter” within the meaning of the Securities Act and the compensation of Jefferies will be deemed to be underwriting commissions or discounts.</w:t>
      </w:r>
    </w:p>
    <w:p>
      <w:pPr>
        <w:spacing w:after="0" w:line="145" w:lineRule="exact"/>
        <w:rPr>
          <w:sz w:val="24"/>
          <w:szCs w:val="24"/>
          <w:color w:val="auto"/>
        </w:rPr>
      </w:pPr>
    </w:p>
    <w:p>
      <w:pPr>
        <w:ind w:right="600"/>
        <w:spacing w:after="0" w:line="266" w:lineRule="auto"/>
        <w:rPr>
          <w:sz w:val="20"/>
          <w:szCs w:val="20"/>
          <w:color w:val="auto"/>
        </w:rPr>
      </w:pPr>
      <w:r>
        <w:rPr>
          <w:rFonts w:ascii="Arial" w:cs="Arial" w:eastAsia="Arial" w:hAnsi="Arial"/>
          <w:sz w:val="18"/>
          <w:szCs w:val="18"/>
          <w:b w:val="1"/>
          <w:bCs w:val="1"/>
          <w:color w:val="auto"/>
        </w:rPr>
        <w:t>Investing in our common stock involves a high degree of risk. Before making an investment decision, please read the information under the heading “Risk Factors” beginning on page [S-5] of this prospectus supplement and in the documents incorporated by reference into this prospectus supplement.</w:t>
      </w:r>
    </w:p>
    <w:p>
      <w:pPr>
        <w:spacing w:after="0" w:line="176" w:lineRule="exact"/>
        <w:rPr>
          <w:sz w:val="24"/>
          <w:szCs w:val="24"/>
          <w:color w:val="auto"/>
        </w:rPr>
      </w:pPr>
    </w:p>
    <w:p>
      <w:pPr>
        <w:ind w:right="2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accuracy or adequacy of this prospectus supplement. Any representation to the contrary is a criminal offense.</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Jefferies</w:t>
      </w:r>
    </w:p>
    <w:p>
      <w:pPr>
        <w:spacing w:after="0" w:line="229" w:lineRule="exact"/>
        <w:rPr>
          <w:sz w:val="24"/>
          <w:szCs w:val="24"/>
          <w:color w:val="auto"/>
        </w:rPr>
      </w:pPr>
    </w:p>
    <w:p>
      <w:pPr>
        <w:ind w:left="5740"/>
        <w:spacing w:after="0"/>
        <w:rPr>
          <w:sz w:val="20"/>
          <w:szCs w:val="20"/>
          <w:color w:val="auto"/>
        </w:rPr>
      </w:pPr>
      <w:r>
        <w:rPr>
          <w:rFonts w:ascii="Arial" w:cs="Arial" w:eastAsia="Arial" w:hAnsi="Arial"/>
          <w:sz w:val="18"/>
          <w:szCs w:val="18"/>
          <w:color w:val="auto"/>
        </w:rPr>
        <w:t>, 2021.</w:t>
      </w:r>
    </w:p>
    <w:p>
      <w:pPr>
        <w:sectPr>
          <w:pgSz w:w="11900" w:h="16838" w:orient="portrait"/>
          <w:cols w:equalWidth="0" w:num="1">
            <w:col w:w="11240"/>
          </w:cols>
          <w:pgMar w:left="320" w:top="21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60" w:type="dxa"/>
            <w:vAlign w:val="bottom"/>
            <w:gridSpan w:val="3"/>
          </w:tcPr>
          <w:p>
            <w:pPr>
              <w:ind w:left="620"/>
              <w:spacing w:after="0"/>
              <w:rPr>
                <w:sz w:val="20"/>
                <w:szCs w:val="20"/>
                <w:color w:val="auto"/>
              </w:rPr>
            </w:pPr>
            <w:r>
              <w:rPr>
                <w:rFonts w:ascii="Arial" w:cs="Arial" w:eastAsia="Arial" w:hAnsi="Arial"/>
                <w:sz w:val="18"/>
                <w:szCs w:val="18"/>
                <w:b w:val="1"/>
                <w:bCs w:val="1"/>
                <w:color w:val="auto"/>
              </w:rPr>
              <w:t>TABLE OF CONTENTS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0280" w:type="dxa"/>
            <w:vAlign w:val="bottom"/>
            <w:gridSpan w:val="18"/>
          </w:tcPr>
          <w:p>
            <w:pPr>
              <w:spacing w:after="0"/>
              <w:rPr>
                <w:sz w:val="20"/>
                <w:szCs w:val="20"/>
                <w:color w:val="auto"/>
              </w:rPr>
            </w:pPr>
            <w:r>
              <w:rPr>
                <w:rFonts w:ascii="Arial" w:cs="Arial" w:eastAsia="Arial" w:hAnsi="Arial"/>
                <w:sz w:val="18"/>
                <w:szCs w:val="18"/>
                <w:b w:val="1"/>
                <w:bCs w:val="1"/>
                <w:color w:val="auto"/>
              </w:rPr>
              <w:t>Prospectus Supplement</w:t>
            </w:r>
          </w:p>
        </w:tc>
        <w:tc>
          <w:tcPr>
            <w:tcW w:w="94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3820" w:type="dxa"/>
            <w:vAlign w:val="bottom"/>
            <w:gridSpan w:val="14"/>
            <w:vMerge w:val="restart"/>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ABOUT THIS PROSPECTUS SUPPLEMENT</w:t>
              </w:r>
            </w:hyperlink>
          </w:p>
        </w:tc>
        <w:tc>
          <w:tcPr>
            <w:tcW w:w="6460" w:type="dxa"/>
            <w:vAlign w:val="bottom"/>
            <w:gridSpan w:val="4"/>
            <w:vMerge w:val="restart"/>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820" w:type="dxa"/>
            <w:vAlign w:val="bottom"/>
            <w:gridSpan w:val="14"/>
            <w:vMerge w:val="continue"/>
          </w:tcPr>
          <w:p>
            <w:pPr>
              <w:spacing w:after="0"/>
              <w:rPr>
                <w:sz w:val="15"/>
                <w:szCs w:val="15"/>
                <w:color w:val="auto"/>
              </w:rPr>
            </w:pPr>
          </w:p>
        </w:tc>
        <w:tc>
          <w:tcPr>
            <w:tcW w:w="6460" w:type="dxa"/>
            <w:vAlign w:val="bottom"/>
            <w:gridSpan w:val="4"/>
            <w:vMerge w:val="continue"/>
          </w:tcPr>
          <w:p>
            <w:pPr>
              <w:spacing w:after="0"/>
              <w:rPr>
                <w:sz w:val="15"/>
                <w:szCs w:val="15"/>
                <w:color w:val="auto"/>
              </w:rPr>
            </w:pPr>
          </w:p>
        </w:tc>
        <w:tc>
          <w:tcPr>
            <w:tcW w:w="940" w:type="dxa"/>
            <w:vAlign w:val="bottom"/>
            <w:gridSpan w:val="4"/>
          </w:tcPr>
          <w:p>
            <w:pPr>
              <w:jc w:val="right"/>
              <w:ind w:right="20"/>
              <w:spacing w:after="0" w:line="169" w:lineRule="exact"/>
              <w:rPr>
                <w:rFonts w:ascii="Arial" w:cs="Arial" w:eastAsia="Arial" w:hAnsi="Arial"/>
                <w:sz w:val="18"/>
                <w:szCs w:val="18"/>
                <w:color w:val="auto"/>
              </w:rPr>
            </w:pPr>
            <w:r>
              <w:rPr>
                <w:rFonts w:ascii="Arial" w:cs="Arial" w:eastAsia="Arial" w:hAnsi="Arial"/>
                <w:sz w:val="18"/>
                <w:szCs w:val="18"/>
                <w:color w:val="auto"/>
              </w:rPr>
              <w:t>S-</w:t>
            </w:r>
            <w:hyperlink w:anchor="page2">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7"/>
        </w:trPr>
        <w:tc>
          <w:tcPr>
            <w:tcW w:w="7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80" w:type="dxa"/>
            <w:vAlign w:val="bottom"/>
            <w:tcBorders>
              <w:left w:val="single" w:sz="8" w:color="0000EE"/>
            </w:tcBorders>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520" w:type="dxa"/>
            <w:vAlign w:val="bottom"/>
            <w:tcBorders>
              <w:left w:val="single" w:sz="8" w:color="0000EE"/>
            </w:tcBorders>
            <w:gridSpan w:val="2"/>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300" w:type="dxa"/>
            <w:vAlign w:val="bottom"/>
            <w:gridSpan w:val="12"/>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MARKET, INDUSTRY AND OTHER DATA</w:t>
              </w:r>
            </w:hyperlink>
          </w:p>
        </w:tc>
        <w:tc>
          <w:tcPr>
            <w:tcW w:w="520" w:type="dxa"/>
            <w:vAlign w:val="bottom"/>
            <w:gridSpan w:val="2"/>
          </w:tcPr>
          <w:p>
            <w:pPr>
              <w:spacing w:after="0"/>
              <w:rPr>
                <w:sz w:val="22"/>
                <w:szCs w:val="22"/>
                <w:color w:val="auto"/>
              </w:rPr>
            </w:pPr>
          </w:p>
        </w:tc>
        <w:tc>
          <w:tcPr>
            <w:tcW w:w="6460" w:type="dxa"/>
            <w:vAlign w:val="bottom"/>
            <w:gridSpan w:val="4"/>
          </w:tcPr>
          <w:p>
            <w:pPr>
              <w:spacing w:after="0"/>
              <w:rPr>
                <w:sz w:val="22"/>
                <w:szCs w:val="22"/>
                <w:color w:val="auto"/>
              </w:rPr>
            </w:pPr>
          </w:p>
        </w:tc>
        <w:tc>
          <w:tcPr>
            <w:tcW w:w="940" w:type="dxa"/>
            <w:vAlign w:val="bottom"/>
            <w:gridSpan w:val="4"/>
          </w:tcPr>
          <w:p>
            <w:pPr>
              <w:jc w:val="right"/>
              <w:ind w:right="20"/>
              <w:spacing w:after="0"/>
              <w:rPr>
                <w:rFonts w:ascii="Arial" w:cs="Arial" w:eastAsia="Arial" w:hAnsi="Arial"/>
                <w:sz w:val="18"/>
                <w:szCs w:val="18"/>
                <w:color w:val="auto"/>
              </w:rPr>
            </w:pPr>
            <w:r>
              <w:rPr>
                <w:rFonts w:ascii="Arial" w:cs="Arial" w:eastAsia="Arial" w:hAnsi="Arial"/>
                <w:sz w:val="18"/>
                <w:szCs w:val="18"/>
                <w:color w:val="auto"/>
              </w:rPr>
              <w:t>S-</w:t>
            </w:r>
            <w:hyperlink w:anchor="page3">
              <w:r>
                <w:rPr>
                  <w:rFonts w:ascii="Arial" w:cs="Arial" w:eastAsia="Arial" w:hAnsi="Arial"/>
                  <w:sz w:val="18"/>
                  <w:szCs w:val="18"/>
                  <w:color w:val="auto"/>
                </w:rPr>
                <w:t>2</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gridSpan w:val="12"/>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PROSPECTUS SUPPLEMENT SUMMARY</w:t>
              </w:r>
            </w:hyperlink>
          </w:p>
        </w:tc>
        <w:tc>
          <w:tcPr>
            <w:tcW w:w="6980" w:type="dxa"/>
            <w:vAlign w:val="bottom"/>
            <w:gridSpan w:val="6"/>
          </w:tcPr>
          <w:p>
            <w:pPr>
              <w:spacing w:after="0"/>
              <w:rPr>
                <w:sz w:val="21"/>
                <w:szCs w:val="21"/>
                <w:color w:val="auto"/>
              </w:rPr>
            </w:pPr>
          </w:p>
        </w:tc>
        <w:tc>
          <w:tcPr>
            <w:tcW w:w="940" w:type="dxa"/>
            <w:vAlign w:val="bottom"/>
            <w:gridSpan w:val="4"/>
          </w:tcPr>
          <w:p>
            <w:pPr>
              <w:jc w:val="right"/>
              <w:ind w:right="20"/>
              <w:spacing w:after="0"/>
              <w:rPr>
                <w:rFonts w:ascii="Arial" w:cs="Arial" w:eastAsia="Arial" w:hAnsi="Arial"/>
                <w:sz w:val="18"/>
                <w:szCs w:val="18"/>
                <w:color w:val="auto"/>
              </w:rPr>
            </w:pPr>
            <w:r>
              <w:rPr>
                <w:rFonts w:ascii="Arial" w:cs="Arial" w:eastAsia="Arial" w:hAnsi="Arial"/>
                <w:sz w:val="18"/>
                <w:szCs w:val="18"/>
                <w:color w:val="auto"/>
              </w:rPr>
              <w:t>S-</w:t>
            </w:r>
            <w:hyperlink w:anchor="page4">
              <w:r>
                <w:rPr>
                  <w:rFonts w:ascii="Arial" w:cs="Arial" w:eastAsia="Arial" w:hAnsi="Arial"/>
                  <w:sz w:val="18"/>
                  <w:szCs w:val="18"/>
                  <w:color w:val="auto"/>
                </w:rPr>
                <w:t>2</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gridSpan w:val="1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THE OFFERING</w:t>
              </w:r>
            </w:hyperlink>
          </w:p>
        </w:tc>
        <w:tc>
          <w:tcPr>
            <w:tcW w:w="6980" w:type="dxa"/>
            <w:vAlign w:val="bottom"/>
            <w:gridSpan w:val="6"/>
          </w:tcPr>
          <w:p>
            <w:pPr>
              <w:spacing w:after="0"/>
              <w:rPr>
                <w:sz w:val="21"/>
                <w:szCs w:val="21"/>
                <w:color w:val="auto"/>
              </w:rPr>
            </w:pPr>
          </w:p>
        </w:tc>
        <w:tc>
          <w:tcPr>
            <w:tcW w:w="940" w:type="dxa"/>
            <w:vAlign w:val="bottom"/>
            <w:gridSpan w:val="4"/>
          </w:tcPr>
          <w:p>
            <w:pPr>
              <w:jc w:val="right"/>
              <w:ind w:right="20"/>
              <w:spacing w:after="0"/>
              <w:rPr>
                <w:rFonts w:ascii="Arial" w:cs="Arial" w:eastAsia="Arial" w:hAnsi="Arial"/>
                <w:sz w:val="18"/>
                <w:szCs w:val="18"/>
                <w:color w:val="auto"/>
              </w:rPr>
            </w:pPr>
            <w:r>
              <w:rPr>
                <w:rFonts w:ascii="Arial" w:cs="Arial" w:eastAsia="Arial" w:hAnsi="Arial"/>
                <w:sz w:val="18"/>
                <w:szCs w:val="18"/>
                <w:color w:val="auto"/>
              </w:rPr>
              <w:t>S-</w:t>
            </w:r>
            <w:hyperlink w:anchor="page6">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RISK FACTORS</w:t>
              </w:r>
            </w:hyperlink>
          </w:p>
        </w:tc>
        <w:tc>
          <w:tcPr>
            <w:tcW w:w="9020" w:type="dxa"/>
            <w:vAlign w:val="bottom"/>
            <w:gridSpan w:val="15"/>
          </w:tcPr>
          <w:p>
            <w:pPr>
              <w:spacing w:after="0"/>
              <w:rPr>
                <w:sz w:val="21"/>
                <w:szCs w:val="21"/>
                <w:color w:val="auto"/>
              </w:rPr>
            </w:pPr>
          </w:p>
        </w:tc>
        <w:tc>
          <w:tcPr>
            <w:tcW w:w="940" w:type="dxa"/>
            <w:vAlign w:val="bottom"/>
            <w:gridSpan w:val="4"/>
          </w:tcPr>
          <w:p>
            <w:pPr>
              <w:jc w:val="right"/>
              <w:ind w:right="20"/>
              <w:spacing w:after="0"/>
              <w:rPr>
                <w:rFonts w:ascii="Arial" w:cs="Arial" w:eastAsia="Arial" w:hAnsi="Arial"/>
                <w:sz w:val="18"/>
                <w:szCs w:val="18"/>
                <w:color w:val="auto"/>
              </w:rPr>
            </w:pPr>
            <w:r>
              <w:rPr>
                <w:rFonts w:ascii="Arial" w:cs="Arial" w:eastAsia="Arial" w:hAnsi="Arial"/>
                <w:sz w:val="18"/>
                <w:szCs w:val="18"/>
                <w:color w:val="auto"/>
              </w:rPr>
              <w:t>S-</w:t>
            </w:r>
            <w:hyperlink w:anchor="page7">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gridSpan w:val="16"/>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SPECIAL NOTE REGARDING FORWARD-LOOKING STATEMENTS</w:t>
              </w:r>
            </w:hyperlink>
          </w:p>
        </w:tc>
        <w:tc>
          <w:tcPr>
            <w:tcW w:w="4940" w:type="dxa"/>
            <w:vAlign w:val="bottom"/>
            <w:gridSpan w:val="2"/>
          </w:tcPr>
          <w:p>
            <w:pPr>
              <w:spacing w:after="0"/>
              <w:rPr>
                <w:sz w:val="21"/>
                <w:szCs w:val="21"/>
                <w:color w:val="auto"/>
              </w:rPr>
            </w:pPr>
          </w:p>
        </w:tc>
        <w:tc>
          <w:tcPr>
            <w:tcW w:w="940" w:type="dxa"/>
            <w:vAlign w:val="bottom"/>
            <w:gridSpan w:val="4"/>
          </w:tcPr>
          <w:p>
            <w:pPr>
              <w:jc w:val="right"/>
              <w:ind w:right="20"/>
              <w:spacing w:after="0"/>
              <w:rPr>
                <w:rFonts w:ascii="Arial" w:cs="Arial" w:eastAsia="Arial" w:hAnsi="Arial"/>
                <w:sz w:val="18"/>
                <w:szCs w:val="18"/>
                <w:color w:val="auto"/>
              </w:rPr>
            </w:pPr>
            <w:r>
              <w:rPr>
                <w:rFonts w:ascii="Arial" w:cs="Arial" w:eastAsia="Arial" w:hAnsi="Arial"/>
                <w:sz w:val="18"/>
                <w:szCs w:val="18"/>
                <w:color w:val="auto"/>
              </w:rPr>
              <w:t>S-</w:t>
            </w:r>
            <w:hyperlink w:anchor="page8">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gridSpan w:val="16"/>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4940" w:type="dxa"/>
            <w:vAlign w:val="bottom"/>
            <w:gridSpan w:val="2"/>
          </w:tcPr>
          <w:p>
            <w:pPr>
              <w:spacing w:after="0"/>
              <w:rPr>
                <w:sz w:val="21"/>
                <w:szCs w:val="21"/>
                <w:color w:val="auto"/>
              </w:rPr>
            </w:pPr>
          </w:p>
        </w:tc>
        <w:tc>
          <w:tcPr>
            <w:tcW w:w="940" w:type="dxa"/>
            <w:vAlign w:val="bottom"/>
            <w:gridSpan w:val="4"/>
          </w:tcPr>
          <w:p>
            <w:pPr>
              <w:jc w:val="right"/>
              <w:ind w:right="20"/>
              <w:spacing w:after="0"/>
              <w:rPr>
                <w:rFonts w:ascii="Arial" w:cs="Arial" w:eastAsia="Arial" w:hAnsi="Arial"/>
                <w:sz w:val="18"/>
                <w:szCs w:val="18"/>
                <w:color w:val="auto"/>
              </w:rPr>
            </w:pPr>
            <w:r>
              <w:rPr>
                <w:rFonts w:ascii="Arial" w:cs="Arial" w:eastAsia="Arial" w:hAnsi="Arial"/>
                <w:sz w:val="18"/>
                <w:szCs w:val="18"/>
                <w:color w:val="auto"/>
              </w:rPr>
              <w:t>S-</w:t>
            </w:r>
            <w:hyperlink w:anchor="page9">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20" w:type="dxa"/>
            <w:vAlign w:val="bottom"/>
            <w:gridSpan w:val="5"/>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DILUTION</w:t>
              </w:r>
            </w:hyperlink>
          </w:p>
        </w:tc>
        <w:tc>
          <w:tcPr>
            <w:tcW w:w="8760" w:type="dxa"/>
            <w:vAlign w:val="bottom"/>
            <w:gridSpan w:val="13"/>
          </w:tcPr>
          <w:p>
            <w:pPr>
              <w:spacing w:after="0"/>
              <w:rPr>
                <w:sz w:val="21"/>
                <w:szCs w:val="21"/>
                <w:color w:val="auto"/>
              </w:rPr>
            </w:pPr>
          </w:p>
        </w:tc>
        <w:tc>
          <w:tcPr>
            <w:tcW w:w="940" w:type="dxa"/>
            <w:vAlign w:val="bottom"/>
            <w:gridSpan w:val="4"/>
          </w:tcPr>
          <w:p>
            <w:pPr>
              <w:jc w:val="right"/>
              <w:ind w:right="20"/>
              <w:spacing w:after="0"/>
              <w:rPr>
                <w:rFonts w:ascii="Arial" w:cs="Arial" w:eastAsia="Arial" w:hAnsi="Arial"/>
                <w:sz w:val="18"/>
                <w:szCs w:val="18"/>
                <w:color w:val="auto"/>
              </w:rPr>
            </w:pPr>
            <w:r>
              <w:rPr>
                <w:rFonts w:ascii="Arial" w:cs="Arial" w:eastAsia="Arial" w:hAnsi="Arial"/>
                <w:sz w:val="18"/>
                <w:szCs w:val="18"/>
                <w:color w:val="auto"/>
              </w:rPr>
              <w:t>S-</w:t>
            </w:r>
            <w:hyperlink w:anchor="page9">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60" w:type="dxa"/>
            <w:vAlign w:val="bottom"/>
            <w:gridSpan w:val="7"/>
          </w:tcPr>
          <w:p>
            <w:pPr>
              <w:spacing w:after="0"/>
              <w:rPr>
                <w:rFonts w:ascii="Arial" w:cs="Arial" w:eastAsia="Arial" w:hAnsi="Arial"/>
                <w:sz w:val="18"/>
                <w:szCs w:val="18"/>
                <w:color w:val="0000EE"/>
                <w:w w:val="96"/>
              </w:rPr>
            </w:pPr>
            <w:hyperlink w:anchor="page11">
              <w:r>
                <w:rPr>
                  <w:rFonts w:ascii="Arial" w:cs="Arial" w:eastAsia="Arial" w:hAnsi="Arial"/>
                  <w:sz w:val="18"/>
                  <w:szCs w:val="18"/>
                  <w:color w:val="0000EE"/>
                  <w:w w:val="96"/>
                </w:rPr>
                <w:t>PLAN OF DISTRIBUTION</w:t>
              </w:r>
            </w:hyperlink>
          </w:p>
        </w:tc>
        <w:tc>
          <w:tcPr>
            <w:tcW w:w="8220" w:type="dxa"/>
            <w:vAlign w:val="bottom"/>
            <w:gridSpan w:val="11"/>
          </w:tcPr>
          <w:p>
            <w:pPr>
              <w:spacing w:after="0"/>
              <w:rPr>
                <w:sz w:val="21"/>
                <w:szCs w:val="21"/>
                <w:color w:val="auto"/>
              </w:rPr>
            </w:pPr>
          </w:p>
        </w:tc>
        <w:tc>
          <w:tcPr>
            <w:tcW w:w="940" w:type="dxa"/>
            <w:vAlign w:val="bottom"/>
            <w:gridSpan w:val="4"/>
          </w:tcPr>
          <w:p>
            <w:pPr>
              <w:jc w:val="right"/>
              <w:ind w:right="20"/>
              <w:spacing w:after="0"/>
              <w:rPr>
                <w:rFonts w:ascii="Arial" w:cs="Arial" w:eastAsia="Arial" w:hAnsi="Arial"/>
                <w:sz w:val="18"/>
                <w:szCs w:val="18"/>
                <w:color w:val="auto"/>
              </w:rPr>
            </w:pPr>
            <w:r>
              <w:rPr>
                <w:rFonts w:ascii="Arial" w:cs="Arial" w:eastAsia="Arial" w:hAnsi="Arial"/>
                <w:sz w:val="18"/>
                <w:szCs w:val="18"/>
                <w:color w:val="auto"/>
              </w:rPr>
              <w:t>S-</w:t>
            </w:r>
            <w:hyperlink w:anchor="page11">
              <w:r>
                <w:rPr>
                  <w:rFonts w:ascii="Arial" w:cs="Arial" w:eastAsia="Arial" w:hAnsi="Arial"/>
                  <w:sz w:val="18"/>
                  <w:szCs w:val="18"/>
                  <w:color w:val="auto"/>
                </w:rPr>
                <w:t>9</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60" w:type="dxa"/>
            <w:vAlign w:val="bottom"/>
            <w:gridSpan w:val="7"/>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LEGAL MATTERS</w:t>
              </w:r>
            </w:hyperlink>
          </w:p>
        </w:tc>
        <w:tc>
          <w:tcPr>
            <w:tcW w:w="8220" w:type="dxa"/>
            <w:vAlign w:val="bottom"/>
            <w:gridSpan w:val="11"/>
          </w:tcPr>
          <w:p>
            <w:pPr>
              <w:spacing w:after="0"/>
              <w:rPr>
                <w:sz w:val="21"/>
                <w:szCs w:val="21"/>
                <w:color w:val="auto"/>
              </w:rPr>
            </w:pPr>
          </w:p>
        </w:tc>
        <w:tc>
          <w:tcPr>
            <w:tcW w:w="940" w:type="dxa"/>
            <w:vAlign w:val="bottom"/>
            <w:gridSpan w:val="4"/>
          </w:tcPr>
          <w:p>
            <w:pPr>
              <w:jc w:val="right"/>
              <w:ind w:right="20"/>
              <w:spacing w:after="0"/>
              <w:rPr>
                <w:rFonts w:ascii="Arial" w:cs="Arial" w:eastAsia="Arial" w:hAnsi="Arial"/>
                <w:sz w:val="18"/>
                <w:szCs w:val="18"/>
                <w:color w:val="auto"/>
              </w:rPr>
            </w:pPr>
            <w:r>
              <w:rPr>
                <w:rFonts w:ascii="Arial" w:cs="Arial" w:eastAsia="Arial" w:hAnsi="Arial"/>
                <w:sz w:val="18"/>
                <w:szCs w:val="18"/>
                <w:color w:val="auto"/>
              </w:rPr>
              <w:t>S-</w:t>
            </w:r>
            <w:hyperlink w:anchor="page12">
              <w:r>
                <w:rPr>
                  <w:rFonts w:ascii="Arial" w:cs="Arial" w:eastAsia="Arial" w:hAnsi="Arial"/>
                  <w:sz w:val="18"/>
                  <w:szCs w:val="18"/>
                  <w:color w:val="auto"/>
                </w:rPr>
                <w:t>10</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tcPr>
          <w:p>
            <w:pPr>
              <w:spacing w:after="0"/>
              <w:rPr>
                <w:rFonts w:ascii="Arial" w:cs="Arial" w:eastAsia="Arial" w:hAnsi="Arial"/>
                <w:sz w:val="18"/>
                <w:szCs w:val="18"/>
                <w:color w:val="0000EE"/>
                <w:w w:val="90"/>
              </w:rPr>
            </w:pPr>
            <w:hyperlink w:anchor="page12">
              <w:r>
                <w:rPr>
                  <w:rFonts w:ascii="Arial" w:cs="Arial" w:eastAsia="Arial" w:hAnsi="Arial"/>
                  <w:sz w:val="18"/>
                  <w:szCs w:val="18"/>
                  <w:color w:val="0000EE"/>
                  <w:w w:val="90"/>
                </w:rPr>
                <w:t>EXPERTS</w:t>
              </w:r>
            </w:hyperlink>
          </w:p>
        </w:tc>
        <w:tc>
          <w:tcPr>
            <w:tcW w:w="680" w:type="dxa"/>
            <w:vAlign w:val="bottom"/>
            <w:gridSpan w:val="3"/>
          </w:tcPr>
          <w:p>
            <w:pPr>
              <w:spacing w:after="0"/>
              <w:rPr>
                <w:sz w:val="21"/>
                <w:szCs w:val="21"/>
                <w:color w:val="auto"/>
              </w:rPr>
            </w:pPr>
          </w:p>
        </w:tc>
        <w:tc>
          <w:tcPr>
            <w:tcW w:w="8820" w:type="dxa"/>
            <w:vAlign w:val="bottom"/>
            <w:gridSpan w:val="14"/>
          </w:tcPr>
          <w:p>
            <w:pPr>
              <w:spacing w:after="0"/>
              <w:rPr>
                <w:sz w:val="21"/>
                <w:szCs w:val="21"/>
                <w:color w:val="auto"/>
              </w:rPr>
            </w:pPr>
          </w:p>
        </w:tc>
        <w:tc>
          <w:tcPr>
            <w:tcW w:w="940" w:type="dxa"/>
            <w:vAlign w:val="bottom"/>
            <w:gridSpan w:val="4"/>
          </w:tcPr>
          <w:p>
            <w:pPr>
              <w:jc w:val="right"/>
              <w:ind w:right="20"/>
              <w:spacing w:after="0"/>
              <w:rPr>
                <w:rFonts w:ascii="Arial" w:cs="Arial" w:eastAsia="Arial" w:hAnsi="Arial"/>
                <w:sz w:val="18"/>
                <w:szCs w:val="18"/>
                <w:color w:val="auto"/>
              </w:rPr>
            </w:pPr>
            <w:r>
              <w:rPr>
                <w:rFonts w:ascii="Arial" w:cs="Arial" w:eastAsia="Arial" w:hAnsi="Arial"/>
                <w:sz w:val="18"/>
                <w:szCs w:val="18"/>
                <w:color w:val="auto"/>
              </w:rPr>
              <w:t>S-</w:t>
            </w:r>
            <w:hyperlink w:anchor="page12">
              <w:r>
                <w:rPr>
                  <w:rFonts w:ascii="Arial" w:cs="Arial" w:eastAsia="Arial" w:hAnsi="Arial"/>
                  <w:sz w:val="18"/>
                  <w:szCs w:val="18"/>
                  <w:color w:val="auto"/>
                </w:rPr>
                <w:t>10</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gridSpan w:val="14"/>
          </w:tcPr>
          <w:p>
            <w:pPr>
              <w:spacing w:after="0"/>
              <w:rPr>
                <w:rFonts w:ascii="Arial" w:cs="Arial" w:eastAsia="Arial" w:hAnsi="Arial"/>
                <w:sz w:val="18"/>
                <w:szCs w:val="18"/>
                <w:color w:val="0000EE"/>
                <w:w w:val="97"/>
              </w:rPr>
            </w:pPr>
            <w:hyperlink w:anchor="page12">
              <w:r>
                <w:rPr>
                  <w:rFonts w:ascii="Arial" w:cs="Arial" w:eastAsia="Arial" w:hAnsi="Arial"/>
                  <w:sz w:val="18"/>
                  <w:szCs w:val="18"/>
                  <w:color w:val="0000EE"/>
                  <w:w w:val="97"/>
                </w:rPr>
                <w:t>WHERE YOU CAN FIND MORE INFORMATION</w:t>
              </w:r>
            </w:hyperlink>
          </w:p>
        </w:tc>
        <w:tc>
          <w:tcPr>
            <w:tcW w:w="6460" w:type="dxa"/>
            <w:vAlign w:val="bottom"/>
            <w:gridSpan w:val="4"/>
          </w:tcPr>
          <w:p>
            <w:pPr>
              <w:spacing w:after="0"/>
              <w:rPr>
                <w:sz w:val="21"/>
                <w:szCs w:val="21"/>
                <w:color w:val="auto"/>
              </w:rPr>
            </w:pPr>
          </w:p>
        </w:tc>
        <w:tc>
          <w:tcPr>
            <w:tcW w:w="940" w:type="dxa"/>
            <w:vAlign w:val="bottom"/>
            <w:gridSpan w:val="4"/>
          </w:tcPr>
          <w:p>
            <w:pPr>
              <w:jc w:val="right"/>
              <w:ind w:right="20"/>
              <w:spacing w:after="0"/>
              <w:rPr>
                <w:rFonts w:ascii="Arial" w:cs="Arial" w:eastAsia="Arial" w:hAnsi="Arial"/>
                <w:sz w:val="18"/>
                <w:szCs w:val="18"/>
                <w:color w:val="auto"/>
              </w:rPr>
            </w:pPr>
            <w:r>
              <w:rPr>
                <w:rFonts w:ascii="Arial" w:cs="Arial" w:eastAsia="Arial" w:hAnsi="Arial"/>
                <w:sz w:val="18"/>
                <w:szCs w:val="18"/>
                <w:color w:val="auto"/>
              </w:rPr>
              <w:t>S-</w:t>
            </w:r>
            <w:hyperlink w:anchor="page12">
              <w:r>
                <w:rPr>
                  <w:rFonts w:ascii="Arial" w:cs="Arial" w:eastAsia="Arial" w:hAnsi="Arial"/>
                  <w:sz w:val="18"/>
                  <w:szCs w:val="18"/>
                  <w:color w:val="auto"/>
                </w:rPr>
                <w:t>10</w:t>
              </w:r>
            </w:hyperlink>
          </w:p>
        </w:tc>
        <w:tc>
          <w:tcPr>
            <w:tcW w:w="0" w:type="dxa"/>
            <w:vAlign w:val="bottom"/>
          </w:tcPr>
          <w:p>
            <w:pPr>
              <w:spacing w:after="0"/>
              <w:rPr>
                <w:sz w:val="1"/>
                <w:szCs w:val="1"/>
                <w:color w:val="auto"/>
              </w:rPr>
            </w:pPr>
          </w:p>
        </w:tc>
      </w:tr>
      <w:tr>
        <w:trPr>
          <w:trHeight w:val="20"/>
        </w:trPr>
        <w:tc>
          <w:tcPr>
            <w:tcW w:w="1520" w:type="dxa"/>
            <w:vAlign w:val="bottom"/>
            <w:gridSpan w:val="5"/>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80" w:type="dxa"/>
            <w:vAlign w:val="bottom"/>
            <w:gridSpan w:val="18"/>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INFORMATION INCORPORATED BY REFERENCE</w:t>
              </w:r>
            </w:hyperlink>
          </w:p>
        </w:tc>
        <w:tc>
          <w:tcPr>
            <w:tcW w:w="940" w:type="dxa"/>
            <w:vAlign w:val="bottom"/>
            <w:gridSpan w:val="4"/>
          </w:tcPr>
          <w:p>
            <w:pPr>
              <w:jc w:val="right"/>
              <w:ind w:right="20"/>
              <w:spacing w:after="0"/>
              <w:rPr>
                <w:rFonts w:ascii="Arial" w:cs="Arial" w:eastAsia="Arial" w:hAnsi="Arial"/>
                <w:sz w:val="18"/>
                <w:szCs w:val="18"/>
                <w:color w:val="auto"/>
              </w:rPr>
            </w:pPr>
            <w:r>
              <w:rPr>
                <w:rFonts w:ascii="Arial" w:cs="Arial" w:eastAsia="Arial" w:hAnsi="Arial"/>
                <w:sz w:val="18"/>
                <w:szCs w:val="18"/>
                <w:color w:val="auto"/>
              </w:rPr>
              <w:t>S-</w:t>
            </w:r>
            <w:hyperlink w:anchor="page12">
              <w:r>
                <w:rPr>
                  <w:rFonts w:ascii="Arial" w:cs="Arial" w:eastAsia="Arial" w:hAnsi="Arial"/>
                  <w:sz w:val="18"/>
                  <w:szCs w:val="18"/>
                  <w:color w:val="auto"/>
                </w:rPr>
                <w:t>10</w:t>
              </w:r>
            </w:hyperlink>
          </w:p>
        </w:tc>
        <w:tc>
          <w:tcPr>
            <w:tcW w:w="0" w:type="dxa"/>
            <w:vAlign w:val="bottom"/>
          </w:tcPr>
          <w:p>
            <w:pPr>
              <w:spacing w:after="0"/>
              <w:rPr>
                <w:sz w:val="1"/>
                <w:szCs w:val="1"/>
                <w:color w:val="auto"/>
              </w:rPr>
            </w:pPr>
          </w:p>
        </w:tc>
      </w:tr>
      <w:tr>
        <w:trPr>
          <w:trHeight w:val="520"/>
        </w:trPr>
        <w:tc>
          <w:tcPr>
            <w:tcW w:w="4020" w:type="dxa"/>
            <w:vAlign w:val="bottom"/>
            <w:tcBorders>
              <w:top w:val="single" w:sz="8" w:color="0000EE"/>
            </w:tcBorders>
            <w:gridSpan w:val="15"/>
          </w:tcPr>
          <w:p>
            <w:pPr>
              <w:spacing w:after="0"/>
              <w:rPr>
                <w:sz w:val="20"/>
                <w:szCs w:val="20"/>
                <w:color w:val="auto"/>
              </w:rPr>
            </w:pPr>
            <w:r>
              <w:rPr>
                <w:rFonts w:ascii="Arial" w:cs="Arial" w:eastAsia="Arial" w:hAnsi="Arial"/>
                <w:sz w:val="18"/>
                <w:szCs w:val="18"/>
                <w:b w:val="1"/>
                <w:bCs w:val="1"/>
                <w:color w:val="auto"/>
              </w:rPr>
              <w:t>Prospectus</w:t>
            </w:r>
          </w:p>
        </w:tc>
        <w:tc>
          <w:tcPr>
            <w:tcW w:w="6260" w:type="dxa"/>
            <w:vAlign w:val="bottom"/>
            <w:gridSpan w:val="3"/>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40" w:type="dxa"/>
            <w:vAlign w:val="bottom"/>
            <w:gridSpan w:val="8"/>
          </w:tcPr>
          <w:p>
            <w:pPr>
              <w:spacing w:after="0"/>
              <w:rPr>
                <w:rFonts w:ascii="Arial" w:cs="Arial" w:eastAsia="Arial" w:hAnsi="Arial"/>
                <w:sz w:val="18"/>
                <w:szCs w:val="18"/>
                <w:color w:val="0000FF"/>
                <w:w w:val="93"/>
              </w:rPr>
            </w:pPr>
            <w:hyperlink w:anchor="page15">
              <w:r>
                <w:rPr>
                  <w:rFonts w:ascii="Arial" w:cs="Arial" w:eastAsia="Arial" w:hAnsi="Arial"/>
                  <w:sz w:val="18"/>
                  <w:szCs w:val="18"/>
                  <w:color w:val="0000FF"/>
                  <w:w w:val="93"/>
                </w:rPr>
                <w:t>ABOUT THIS PROSPECTUS</w:t>
              </w:r>
            </w:hyperlink>
          </w:p>
        </w:tc>
        <w:tc>
          <w:tcPr>
            <w:tcW w:w="8040" w:type="dxa"/>
            <w:vAlign w:val="bottom"/>
            <w:gridSpan w:val="10"/>
          </w:tcPr>
          <w:p>
            <w:pPr>
              <w:spacing w:after="0"/>
              <w:rPr>
                <w:sz w:val="19"/>
                <w:szCs w:val="19"/>
                <w:color w:val="auto"/>
              </w:rPr>
            </w:pPr>
          </w:p>
        </w:tc>
        <w:tc>
          <w:tcPr>
            <w:tcW w:w="940" w:type="dxa"/>
            <w:vAlign w:val="bottom"/>
            <w:gridSpan w:val="4"/>
          </w:tcPr>
          <w:p>
            <w:pPr>
              <w:jc w:val="right"/>
              <w:ind w:right="20"/>
              <w:spacing w:after="0"/>
              <w:rPr>
                <w:rFonts w:ascii="Arial" w:cs="Arial" w:eastAsia="Arial" w:hAnsi="Arial"/>
                <w:sz w:val="18"/>
                <w:szCs w:val="18"/>
                <w:color w:val="auto"/>
              </w:rPr>
            </w:pPr>
            <w:hyperlink w:anchor="page15">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0"/>
        </w:trPr>
        <w:tc>
          <w:tcPr>
            <w:tcW w:w="1520" w:type="dxa"/>
            <w:vAlign w:val="bottom"/>
            <w:gridSpan w:val="5"/>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gridSpan w:val="17"/>
          </w:tcPr>
          <w:p>
            <w:pPr>
              <w:spacing w:after="0"/>
              <w:rPr>
                <w:rFonts w:ascii="Arial" w:cs="Arial" w:eastAsia="Arial" w:hAnsi="Arial"/>
                <w:sz w:val="18"/>
                <w:szCs w:val="18"/>
                <w:color w:val="0000EE"/>
                <w:w w:val="96"/>
              </w:rPr>
            </w:pPr>
            <w:hyperlink w:anchor="page16">
              <w:r>
                <w:rPr>
                  <w:rFonts w:ascii="Arial" w:cs="Arial" w:eastAsia="Arial" w:hAnsi="Arial"/>
                  <w:sz w:val="18"/>
                  <w:szCs w:val="18"/>
                  <w:color w:val="0000EE"/>
                  <w:w w:val="96"/>
                </w:rPr>
                <w:t>WHERE YOU CAN FIND MORE INFORMATION; INCORPORATION BY REFERENCE</w:t>
              </w:r>
            </w:hyperlink>
          </w:p>
        </w:tc>
        <w:tc>
          <w:tcPr>
            <w:tcW w:w="3540" w:type="dxa"/>
            <w:vAlign w:val="bottom"/>
          </w:tcPr>
          <w:p>
            <w:pPr>
              <w:spacing w:after="0"/>
              <w:rPr>
                <w:sz w:val="21"/>
                <w:szCs w:val="21"/>
                <w:color w:val="auto"/>
              </w:rPr>
            </w:pPr>
          </w:p>
        </w:tc>
        <w:tc>
          <w:tcPr>
            <w:tcW w:w="940" w:type="dxa"/>
            <w:vAlign w:val="bottom"/>
            <w:gridSpan w:val="4"/>
          </w:tcPr>
          <w:p>
            <w:pPr>
              <w:jc w:val="right"/>
              <w:ind w:right="20"/>
              <w:spacing w:after="0"/>
              <w:rPr>
                <w:rFonts w:ascii="Arial" w:cs="Arial" w:eastAsia="Arial" w:hAnsi="Arial"/>
                <w:sz w:val="18"/>
                <w:szCs w:val="18"/>
                <w:color w:val="auto"/>
              </w:rPr>
            </w:pPr>
            <w:hyperlink w:anchor="page16">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20" w:type="dxa"/>
            <w:vAlign w:val="bottom"/>
            <w:gridSpan w:val="5"/>
          </w:tcPr>
          <w:p>
            <w:pPr>
              <w:spacing w:after="0"/>
              <w:rPr>
                <w:rFonts w:ascii="Arial" w:cs="Arial" w:eastAsia="Arial" w:hAnsi="Arial"/>
                <w:sz w:val="18"/>
                <w:szCs w:val="18"/>
                <w:color w:val="0000FF"/>
                <w:w w:val="97"/>
              </w:rPr>
            </w:pPr>
            <w:hyperlink w:anchor="page18">
              <w:r>
                <w:rPr>
                  <w:rFonts w:ascii="Arial" w:cs="Arial" w:eastAsia="Arial" w:hAnsi="Arial"/>
                  <w:sz w:val="18"/>
                  <w:szCs w:val="18"/>
                  <w:color w:val="0000FF"/>
                  <w:w w:val="97"/>
                </w:rPr>
                <w:t>ABOUT ARDELYX</w:t>
              </w:r>
            </w:hyperlink>
          </w:p>
        </w:tc>
        <w:tc>
          <w:tcPr>
            <w:tcW w:w="5220" w:type="dxa"/>
            <w:vAlign w:val="bottom"/>
            <w:gridSpan w:val="12"/>
          </w:tcPr>
          <w:p>
            <w:pPr>
              <w:spacing w:after="0"/>
              <w:rPr>
                <w:sz w:val="21"/>
                <w:szCs w:val="21"/>
                <w:color w:val="auto"/>
              </w:rPr>
            </w:pPr>
          </w:p>
        </w:tc>
        <w:tc>
          <w:tcPr>
            <w:tcW w:w="3540" w:type="dxa"/>
            <w:vAlign w:val="bottom"/>
          </w:tcPr>
          <w:p>
            <w:pPr>
              <w:spacing w:after="0"/>
              <w:rPr>
                <w:sz w:val="21"/>
                <w:szCs w:val="21"/>
                <w:color w:val="auto"/>
              </w:rPr>
            </w:pPr>
          </w:p>
        </w:tc>
        <w:tc>
          <w:tcPr>
            <w:tcW w:w="940" w:type="dxa"/>
            <w:vAlign w:val="bottom"/>
            <w:gridSpan w:val="4"/>
          </w:tcPr>
          <w:p>
            <w:pPr>
              <w:jc w:val="right"/>
              <w:ind w:right="20"/>
              <w:spacing w:after="0"/>
              <w:rPr>
                <w:rFonts w:ascii="Arial" w:cs="Arial" w:eastAsia="Arial" w:hAnsi="Arial"/>
                <w:sz w:val="18"/>
                <w:szCs w:val="18"/>
                <w:color w:val="auto"/>
              </w:rPr>
            </w:pPr>
            <w:hyperlink w:anchor="page18">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0"/>
        </w:trPr>
        <w:tc>
          <w:tcPr>
            <w:tcW w:w="152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60" w:type="dxa"/>
            <w:vAlign w:val="bottom"/>
            <w:gridSpan w:val="7"/>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RISK FACTORS</w:t>
              </w:r>
            </w:hyperlink>
          </w:p>
        </w:tc>
        <w:tc>
          <w:tcPr>
            <w:tcW w:w="260" w:type="dxa"/>
            <w:vAlign w:val="bottom"/>
            <w:gridSpan w:val="2"/>
          </w:tcPr>
          <w:p>
            <w:pPr>
              <w:spacing w:after="0"/>
              <w:rPr>
                <w:sz w:val="21"/>
                <w:szCs w:val="21"/>
                <w:color w:val="auto"/>
              </w:rPr>
            </w:pPr>
          </w:p>
        </w:tc>
        <w:tc>
          <w:tcPr>
            <w:tcW w:w="8760" w:type="dxa"/>
            <w:vAlign w:val="bottom"/>
            <w:gridSpan w:val="13"/>
          </w:tcPr>
          <w:p>
            <w:pPr>
              <w:spacing w:after="0"/>
              <w:rPr>
                <w:sz w:val="21"/>
                <w:szCs w:val="21"/>
                <w:color w:val="auto"/>
              </w:rPr>
            </w:pPr>
          </w:p>
        </w:tc>
        <w:tc>
          <w:tcPr>
            <w:tcW w:w="940" w:type="dxa"/>
            <w:vAlign w:val="bottom"/>
            <w:gridSpan w:val="4"/>
          </w:tcPr>
          <w:p>
            <w:pPr>
              <w:jc w:val="right"/>
              <w:ind w:right="20"/>
              <w:spacing w:after="0"/>
              <w:rPr>
                <w:rFonts w:ascii="Arial" w:cs="Arial" w:eastAsia="Arial" w:hAnsi="Arial"/>
                <w:sz w:val="18"/>
                <w:szCs w:val="18"/>
                <w:color w:val="auto"/>
              </w:rPr>
            </w:pPr>
            <w:hyperlink w:anchor="page18">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0"/>
        </w:trPr>
        <w:tc>
          <w:tcPr>
            <w:tcW w:w="1260" w:type="dxa"/>
            <w:vAlign w:val="bottom"/>
            <w:gridSpan w:val="3"/>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60" w:type="dxa"/>
            <w:vAlign w:val="bottom"/>
            <w:gridSpan w:val="7"/>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80" w:type="dxa"/>
            <w:vAlign w:val="bottom"/>
            <w:gridSpan w:val="18"/>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USE OF PROCEEDS</w:t>
              </w:r>
            </w:hyperlink>
          </w:p>
        </w:tc>
        <w:tc>
          <w:tcPr>
            <w:tcW w:w="940" w:type="dxa"/>
            <w:vAlign w:val="bottom"/>
            <w:gridSpan w:val="4"/>
          </w:tcPr>
          <w:p>
            <w:pPr>
              <w:jc w:val="right"/>
              <w:ind w:right="20"/>
              <w:spacing w:after="0"/>
              <w:rPr>
                <w:rFonts w:ascii="Arial" w:cs="Arial" w:eastAsia="Arial" w:hAnsi="Arial"/>
                <w:sz w:val="18"/>
                <w:szCs w:val="18"/>
                <w:color w:val="auto"/>
              </w:rPr>
            </w:pPr>
            <w:hyperlink w:anchor="page18">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0"/>
        </w:trPr>
        <w:tc>
          <w:tcPr>
            <w:tcW w:w="1520" w:type="dxa"/>
            <w:vAlign w:val="bottom"/>
            <w:gridSpan w:val="5"/>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60" w:type="dxa"/>
            <w:vAlign w:val="bottom"/>
            <w:gridSpan w:val="7"/>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gridSpan w:val="10"/>
          </w:tcPr>
          <w:p>
            <w:pPr>
              <w:spacing w:after="0"/>
              <w:rPr>
                <w:rFonts w:ascii="Arial" w:cs="Arial" w:eastAsia="Arial" w:hAnsi="Arial"/>
                <w:sz w:val="18"/>
                <w:szCs w:val="18"/>
                <w:color w:val="0000EE"/>
                <w:w w:val="95"/>
              </w:rPr>
            </w:pPr>
            <w:hyperlink w:anchor="page18">
              <w:r>
                <w:rPr>
                  <w:rFonts w:ascii="Arial" w:cs="Arial" w:eastAsia="Arial" w:hAnsi="Arial"/>
                  <w:sz w:val="18"/>
                  <w:szCs w:val="18"/>
                  <w:color w:val="0000EE"/>
                  <w:w w:val="95"/>
                </w:rPr>
                <w:t>DESCRIPTION OF CAPITAL STOCK</w:t>
              </w:r>
            </w:hyperlink>
          </w:p>
        </w:tc>
        <w:tc>
          <w:tcPr>
            <w:tcW w:w="7400" w:type="dxa"/>
            <w:vAlign w:val="bottom"/>
            <w:gridSpan w:val="8"/>
          </w:tcPr>
          <w:p>
            <w:pPr>
              <w:spacing w:after="0"/>
              <w:rPr>
                <w:sz w:val="21"/>
                <w:szCs w:val="21"/>
                <w:color w:val="auto"/>
              </w:rPr>
            </w:pPr>
          </w:p>
        </w:tc>
        <w:tc>
          <w:tcPr>
            <w:tcW w:w="940" w:type="dxa"/>
            <w:vAlign w:val="bottom"/>
            <w:gridSpan w:val="4"/>
          </w:tcPr>
          <w:p>
            <w:pPr>
              <w:jc w:val="right"/>
              <w:ind w:right="20"/>
              <w:spacing w:after="0"/>
              <w:rPr>
                <w:rFonts w:ascii="Arial" w:cs="Arial" w:eastAsia="Arial" w:hAnsi="Arial"/>
                <w:sz w:val="18"/>
                <w:szCs w:val="18"/>
                <w:color w:val="auto"/>
              </w:rPr>
            </w:pPr>
            <w:hyperlink w:anchor="page18">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0"/>
        </w:trPr>
        <w:tc>
          <w:tcPr>
            <w:tcW w:w="1800" w:type="dxa"/>
            <w:vAlign w:val="bottom"/>
            <w:gridSpan w:val="6"/>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60" w:type="dxa"/>
            <w:vAlign w:val="bottom"/>
            <w:gridSpan w:val="7"/>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80" w:type="dxa"/>
            <w:vAlign w:val="bottom"/>
            <w:gridSpan w:val="1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DESCRIPTION OF DEBT SECURITIES</w:t>
              </w:r>
            </w:hyperlink>
          </w:p>
        </w:tc>
        <w:tc>
          <w:tcPr>
            <w:tcW w:w="940" w:type="dxa"/>
            <w:vAlign w:val="bottom"/>
            <w:gridSpan w:val="4"/>
          </w:tcPr>
          <w:p>
            <w:pPr>
              <w:jc w:val="right"/>
              <w:ind w:right="20"/>
              <w:spacing w:after="0"/>
              <w:rPr>
                <w:rFonts w:ascii="Arial" w:cs="Arial" w:eastAsia="Arial" w:hAnsi="Arial"/>
                <w:sz w:val="18"/>
                <w:szCs w:val="18"/>
                <w:color w:val="auto"/>
              </w:rPr>
            </w:pPr>
            <w:hyperlink w:anchor="page22">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20"/>
        </w:trPr>
        <w:tc>
          <w:tcPr>
            <w:tcW w:w="1800" w:type="dxa"/>
            <w:vAlign w:val="bottom"/>
            <w:gridSpan w:val="6"/>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260" w:type="dxa"/>
            <w:vAlign w:val="bottom"/>
            <w:gridSpan w:val="7"/>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gridSpan w:val="11"/>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DESCRIPTION OF WARRANTS</w:t>
              </w:r>
            </w:hyperlink>
          </w:p>
        </w:tc>
        <w:tc>
          <w:tcPr>
            <w:tcW w:w="7260" w:type="dxa"/>
            <w:vAlign w:val="bottom"/>
            <w:gridSpan w:val="7"/>
          </w:tcPr>
          <w:p>
            <w:pPr>
              <w:spacing w:after="0"/>
              <w:rPr>
                <w:sz w:val="21"/>
                <w:szCs w:val="21"/>
                <w:color w:val="auto"/>
              </w:rPr>
            </w:pPr>
          </w:p>
        </w:tc>
        <w:tc>
          <w:tcPr>
            <w:tcW w:w="920" w:type="dxa"/>
            <w:vAlign w:val="bottom"/>
            <w:gridSpan w:val="3"/>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14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80" w:type="dxa"/>
            <w:vAlign w:val="bottom"/>
            <w:tcBorders>
              <w:top w:val="single" w:sz="8" w:color="0000FF"/>
            </w:tcBorders>
            <w:gridSpan w:val="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DESCRIPTION OF UNITS</w:t>
              </w:r>
            </w:hyperlink>
          </w:p>
        </w:tc>
        <w:tc>
          <w:tcPr>
            <w:tcW w:w="7800" w:type="dxa"/>
            <w:vAlign w:val="bottom"/>
            <w:gridSpan w:val="9"/>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Borders>
              <w:top w:val="single" w:sz="8" w:color="auto"/>
            </w:tcBorders>
            <w:gridSpan w:val="2"/>
          </w:tcPr>
          <w:p>
            <w:pPr>
              <w:jc w:val="right"/>
              <w:spacing w:after="0"/>
              <w:rPr>
                <w:rFonts w:ascii="Arial" w:cs="Arial" w:eastAsia="Arial" w:hAnsi="Arial"/>
                <w:sz w:val="18"/>
                <w:szCs w:val="18"/>
                <w:color w:val="auto"/>
                <w:w w:val="79"/>
              </w:rPr>
            </w:pPr>
            <w:hyperlink w:anchor="page30">
              <w:r>
                <w:rPr>
                  <w:rFonts w:ascii="Arial" w:cs="Arial" w:eastAsia="Arial" w:hAnsi="Arial"/>
                  <w:sz w:val="18"/>
                  <w:szCs w:val="18"/>
                  <w:color w:val="auto"/>
                  <w:w w:val="79"/>
                </w:rPr>
                <w:t>15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60" w:type="dxa"/>
            <w:vAlign w:val="bottom"/>
            <w:tcBorders>
              <w:top w:val="single" w:sz="8" w:color="0000EE"/>
            </w:tcBorders>
            <w:gridSpan w:val="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GLOBAL SECURITIES</w:t>
              </w:r>
            </w:hyperlink>
          </w:p>
        </w:tc>
        <w:tc>
          <w:tcPr>
            <w:tcW w:w="8220" w:type="dxa"/>
            <w:vAlign w:val="bottom"/>
            <w:gridSpan w:val="11"/>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Borders>
              <w:top w:val="single" w:sz="8" w:color="auto"/>
            </w:tcBorders>
            <w:gridSpan w:val="2"/>
          </w:tcPr>
          <w:p>
            <w:pPr>
              <w:jc w:val="right"/>
              <w:spacing w:after="0"/>
              <w:rPr>
                <w:rFonts w:ascii="Arial" w:cs="Arial" w:eastAsia="Arial" w:hAnsi="Arial"/>
                <w:sz w:val="18"/>
                <w:szCs w:val="18"/>
                <w:color w:val="auto"/>
                <w:w w:val="79"/>
              </w:rPr>
            </w:pPr>
            <w:hyperlink w:anchor="page31">
              <w:r>
                <w:rPr>
                  <w:rFonts w:ascii="Arial" w:cs="Arial" w:eastAsia="Arial" w:hAnsi="Arial"/>
                  <w:sz w:val="18"/>
                  <w:szCs w:val="18"/>
                  <w:color w:val="auto"/>
                  <w:w w:val="79"/>
                </w:rPr>
                <w:t>16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00" w:type="dxa"/>
            <w:vAlign w:val="bottom"/>
            <w:gridSpan w:val="6"/>
            <w:shd w:val="clear" w:color="auto" w:fill="0000EE"/>
          </w:tcPr>
          <w:p>
            <w:pPr>
              <w:spacing w:after="0" w:line="20" w:lineRule="exact"/>
              <w:rPr>
                <w:sz w:val="1"/>
                <w:szCs w:val="1"/>
                <w:color w:val="auto"/>
              </w:rPr>
            </w:pPr>
          </w:p>
        </w:tc>
        <w:tc>
          <w:tcPr>
            <w:tcW w:w="8480" w:type="dxa"/>
            <w:vAlign w:val="bottom"/>
            <w:gridSpan w:val="1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60" w:type="dxa"/>
            <w:vAlign w:val="bottom"/>
            <w:tcBorders>
              <w:bottom w:val="single" w:sz="8" w:color="0000FF"/>
            </w:tcBorders>
            <w:gridSpan w:val="7"/>
          </w:tcPr>
          <w:p>
            <w:pPr>
              <w:spacing w:after="0"/>
              <w:rPr>
                <w:rFonts w:ascii="Arial" w:cs="Arial" w:eastAsia="Arial" w:hAnsi="Arial"/>
                <w:sz w:val="18"/>
                <w:szCs w:val="18"/>
                <w:color w:val="0000FF"/>
                <w:w w:val="96"/>
              </w:rPr>
            </w:pPr>
            <w:hyperlink w:anchor="page34">
              <w:r>
                <w:rPr>
                  <w:rFonts w:ascii="Arial" w:cs="Arial" w:eastAsia="Arial" w:hAnsi="Arial"/>
                  <w:sz w:val="18"/>
                  <w:szCs w:val="18"/>
                  <w:color w:val="0000FF"/>
                  <w:w w:val="96"/>
                </w:rPr>
                <w:t>PLAN OF DISTRIBUTION</w:t>
              </w:r>
            </w:hyperlink>
          </w:p>
        </w:tc>
        <w:tc>
          <w:tcPr>
            <w:tcW w:w="8220" w:type="dxa"/>
            <w:vAlign w:val="bottom"/>
            <w:gridSpan w:val="11"/>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34">
              <w:r>
                <w:rPr>
                  <w:rFonts w:ascii="Arial" w:cs="Arial" w:eastAsia="Arial" w:hAnsi="Arial"/>
                  <w:sz w:val="18"/>
                  <w:szCs w:val="18"/>
                  <w:color w:val="auto"/>
                  <w:w w:val="79"/>
                </w:rPr>
                <w:t>19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280" w:type="dxa"/>
            <w:vAlign w:val="bottom"/>
            <w:gridSpan w:val="1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MATTERS</w:t>
              </w:r>
            </w:hyperlink>
          </w:p>
        </w:tc>
        <w:tc>
          <w:tcPr>
            <w:tcW w:w="920" w:type="dxa"/>
            <w:vAlign w:val="bottom"/>
            <w:gridSpan w:val="3"/>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20</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8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EXPERTS</w:t>
              </w:r>
            </w:hyperlink>
          </w:p>
        </w:tc>
        <w:tc>
          <w:tcPr>
            <w:tcW w:w="680" w:type="dxa"/>
            <w:vAlign w:val="bottom"/>
            <w:tcBorders>
              <w:top w:val="single" w:sz="8" w:color="0000EE"/>
            </w:tcBorders>
            <w:gridSpan w:val="3"/>
          </w:tcPr>
          <w:p>
            <w:pPr>
              <w:spacing w:after="0"/>
              <w:rPr>
                <w:sz w:val="21"/>
                <w:szCs w:val="21"/>
                <w:color w:val="auto"/>
              </w:rPr>
            </w:pPr>
          </w:p>
        </w:tc>
        <w:tc>
          <w:tcPr>
            <w:tcW w:w="8820" w:type="dxa"/>
            <w:vAlign w:val="bottom"/>
            <w:gridSpan w:val="14"/>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Borders>
              <w:top w:val="single" w:sz="8" w:color="auto"/>
              <w:bottom w:val="single" w:sz="8" w:color="auto"/>
            </w:tcBorders>
            <w:gridSpan w:val="2"/>
          </w:tcPr>
          <w:p>
            <w:pPr>
              <w:jc w:val="right"/>
              <w:spacing w:after="0"/>
              <w:rPr>
                <w:rFonts w:ascii="Arial" w:cs="Arial" w:eastAsia="Arial" w:hAnsi="Arial"/>
                <w:sz w:val="18"/>
                <w:szCs w:val="18"/>
                <w:color w:val="auto"/>
                <w:w w:val="79"/>
              </w:rPr>
            </w:pPr>
            <w:hyperlink w:anchor="page35">
              <w:r>
                <w:rPr>
                  <w:rFonts w:ascii="Arial" w:cs="Arial" w:eastAsia="Arial" w:hAnsi="Arial"/>
                  <w:sz w:val="18"/>
                  <w:szCs w:val="18"/>
                  <w:color w:val="auto"/>
                  <w:w w:val="79"/>
                </w:rPr>
                <w:t>21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41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This prospectus supplement is part of a registration statement that we have filed with the U.S. Securities and Exchange Commission, or the SEC, utilizing a “shelf” registration process. By using a shelf registration statement, we may offer shares of our common stock having an aggregate offering price of up to $150,000,000 from time to time under this prospectus supplement at prices and on terms to be determined by market conditions at the time of offering.</w:t>
      </w:r>
    </w:p>
    <w:p>
      <w:pPr>
        <w:spacing w:after="0" w:line="175"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We provide information to you about this offering of shares of our common stock in two separate documents that are bound together: (1) this prospectus supplement, which describes the specific details regarding this offering; and (2) the accompanying prospectus,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However,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 as our business, financial condition, results of operations and prospects may have changed since the earlier dates.</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We have not, and Jefferies has not, authorized anyone to provide any information other than that contained in or incorporated by reference in this prospectus supplement, the accompanying prospectus and any free writing prospectus prepared by or on behalf of us or to which we have referred you. We and Jefferies take no responsibility for, and can provide no assurance as to the reliability of, any other information that others may give you. We are not, and Jefferies is not, making an offer to sell or soliciting an offer to buy our securities in any jurisdiction where an offer or solicitation is not authorized or in which the person making that offer or solicitation is not qualified to do so or to anyone to whom it is unlawful to make an offer or solicitation. You should assume that the information appearing in this prospectus supplement, the accompanying prospectus, the documents incorporated by reference into this prospectus,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supplement, the accompanying prospectus, the documents incorporated by reference into this prospectus supplement, and any free writing prospectus that we may authorize for use in connection with this offering, in their entirety before making an investment decision. You should also read and consider the information in the documents to which we have referred you in the sections of this prospectus supplement entitled “Where You Can Find More Information” and “Information Incorporated by Reference.”</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We are offering to sell, and seeking offers to buy, shares of common stock only in jurisdictions where offers and sales are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When we refer to “Ardelyx” “we,” “our,” “us” and the “Company” in this prospectus, we mean Ardelyx, Inc., unless otherwise specified. When we refer to “you,” we mean the holders of common stock of the Company.</w:t>
      </w:r>
    </w:p>
    <w:p>
      <w:pPr>
        <w:spacing w:after="0" w:line="192"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Ardelyx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IBSRELA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our logo are some of our trademarks used in this prospectus supplement and the accompanying prospectus. This prospectus supplement and the accompanying prospectus also include trademarks, tradenames, and service marks that are the property of other organizations. Solely for convenience, our trademarks and tradenames referred to in this prospectus supplement and the accompanying prospectus may appear without the ® and</w:t>
      </w:r>
    </w:p>
    <w:p>
      <w:pPr>
        <w:spacing w:after="0" w:line="2" w:lineRule="exact"/>
        <w:rPr>
          <w:sz w:val="20"/>
          <w:szCs w:val="20"/>
          <w:color w:val="auto"/>
        </w:rPr>
      </w:pPr>
    </w:p>
    <w:p>
      <w:pPr>
        <w:ind w:firstLine="8"/>
        <w:spacing w:after="0" w:line="233" w:lineRule="auto"/>
        <w:tabs>
          <w:tab w:leader="none" w:pos="223" w:val="left"/>
        </w:tabs>
        <w:numPr>
          <w:ilvl w:val="0"/>
          <w:numId w:val="1"/>
        </w:numPr>
        <w:rPr>
          <w:rFonts w:ascii="Arial" w:cs="Arial" w:eastAsia="Arial" w:hAnsi="Arial"/>
          <w:sz w:val="18"/>
          <w:szCs w:val="18"/>
          <w:color w:val="auto"/>
        </w:rPr>
      </w:pPr>
      <w:r>
        <w:rPr>
          <w:rFonts w:ascii="Arial" w:cs="Arial" w:eastAsia="Arial" w:hAnsi="Arial"/>
          <w:sz w:val="18"/>
          <w:szCs w:val="18"/>
          <w:color w:val="auto"/>
        </w:rPr>
        <w:t>symbols, but those references are not intended to indicate, in any way, that we will not assert, to the fullest extent under applicable law, our rights, or the right of the applicable licensor to these trademarks and tradenames.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w:t>
      </w:r>
    </w:p>
    <w:p>
      <w:pPr>
        <w:sectPr>
          <w:pgSz w:w="11900" w:h="16838" w:orient="portrait"/>
          <w:cols w:equalWidth="0" w:num="1">
            <w:col w:w="11240"/>
          </w:cols>
          <w:pgMar w:left="320" w:top="140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This prospectus supplement and accompanying prospectus, including the information incorporated by reference herein, contains estimates, projections and other information concerning our industry, our business, and the markets for certain drugs,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third parties, industry, medical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jc w:val="both"/>
        <w:ind w:firstLine="13"/>
        <w:spacing w:after="0" w:line="225" w:lineRule="auto"/>
        <w:rPr>
          <w:sz w:val="20"/>
          <w:szCs w:val="20"/>
          <w:color w:val="auto"/>
        </w:rPr>
      </w:pPr>
      <w:r>
        <w:rPr>
          <w:rFonts w:ascii="Arial" w:cs="Arial" w:eastAsia="Arial" w:hAnsi="Arial"/>
          <w:sz w:val="18"/>
          <w:szCs w:val="18"/>
          <w:i w:val="1"/>
          <w:iCs w:val="1"/>
          <w:color w:val="auto"/>
        </w:rPr>
        <w:t>This summary provides a general overview of selected information and does not contain all of the information you should consider before buying our common stock. Therefore, you should read the entire prospectus supplement and accompanying prospectus and any free writing prospectus that we have authorized for use in connection with this offering carefully, including the information incorporated by reference, before deciding to invest in our common stock. Investors should carefully consider the information set forth under “Risk Factors” beginning on page [S-5] and the “Risk Factors” section, as well as our audited financial statements and related notes thereto, included in our Annual Report on Form 10-K for the year ended December 31, 2020 as well as our Quarterly Report on Form 10-Q for the quarterly period ended June 30, 2021 and any subsequent Quarterly Report on Form 10-Q incorporated by reference herein.</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Ardelyx, Inc.</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13"/>
        <w:spacing w:after="0" w:line="261" w:lineRule="auto"/>
        <w:rPr>
          <w:sz w:val="20"/>
          <w:szCs w:val="20"/>
          <w:color w:val="auto"/>
        </w:rPr>
      </w:pPr>
      <w:r>
        <w:rPr>
          <w:rFonts w:ascii="Arial" w:cs="Arial" w:eastAsia="Arial" w:hAnsi="Arial"/>
          <w:sz w:val="16"/>
          <w:szCs w:val="16"/>
          <w:color w:val="auto"/>
        </w:rPr>
        <w:t>We are a biopharmaceutical company focused on the discovery, development, and commercialization of innovative first-in-class medicines to improve treatment for people with kidney and cardiorenal diseases. This includes patients with chronic kidney disease, or CKD, on dialysis suffering from elevated serum phosphorus, or hyperphosphatemia; and CKD patients and/or heart failure patients with elevated serum potassium, or hyperkalemia. Tenapanor has a unique mechanism of action and acts locally in the gut to inhibit the sodium hydrogen exchanger 3, or NHE3. This results in the tightening of the epithelial cell junctions, thereby significantly reducing paracellular uptake of phosphate, the primary pathway of phosphate absorption.</w:t>
      </w:r>
    </w:p>
    <w:p>
      <w:pPr>
        <w:spacing w:after="0" w:line="188" w:lineRule="exact"/>
        <w:rPr>
          <w:sz w:val="20"/>
          <w:szCs w:val="20"/>
          <w:color w:val="auto"/>
        </w:rPr>
      </w:pPr>
    </w:p>
    <w:p>
      <w:pPr>
        <w:jc w:val="both"/>
        <w:ind w:firstLine="13"/>
        <w:spacing w:after="0" w:line="236" w:lineRule="auto"/>
        <w:rPr>
          <w:sz w:val="20"/>
          <w:szCs w:val="20"/>
          <w:color w:val="auto"/>
        </w:rPr>
      </w:pPr>
      <w:r>
        <w:rPr>
          <w:rFonts w:ascii="Arial" w:cs="Arial" w:eastAsia="Arial" w:hAnsi="Arial"/>
          <w:sz w:val="17"/>
          <w:szCs w:val="17"/>
          <w:color w:val="auto"/>
        </w:rPr>
        <w:t>Our portfolio is led by the development of tenapanor, a first-in-class medicine for the control of serum phosphorus in adult patients with CKD on dialysis. Tenapanor for the control of serum phosphorus has a unique mechanism of action and acts locally in the gut to inhibit the NHE3. This results in the tightening of the epithelial cell junctions, thereby significantly reducing paracellular uptake of phosphate, the primary pathway of phosphate absorption. On July 28, 2021, we received a Complete Response Letter, or CRL, from the U.S. Food and Drug Administration, or FDA regarding our New Drug Application, or NDA, for the control of serum phosphorus in adult patients with CKD on dialysis. According to the CRL, while the FDA agrees “that the submitted data provide substantial evidence that tenapanor is effective in reducing serum phosphorus in CKD patients on dialysis,” the FDA characterizes the magnitude of the treatment effect as “small and of unclear clinical significance.” Additionally, the FDA noted that for the application to be approved, we will need “to conduct an additional adequate and well-controlled trial demonstrating a clinically relevant treatment effect on serum phosphorus or an effect on the clinical outcome thought to be caused by hyperphosphatemia in CKD patients on dialysis.” There were no safety, clinical pharmacology/biopharmaceutics, chemistry, manufacturing, and controls or non-clinical issues identified in the CRL. We intend to request a Type A meeting as soon as possible to discuss the CRL and determine potential paths forward for the approval of tenapanor for the control of serum phosphorus in adult patients with CKD on dialysis.</w:t>
      </w:r>
    </w:p>
    <w:p>
      <w:pPr>
        <w:spacing w:after="0" w:line="204" w:lineRule="exact"/>
        <w:rPr>
          <w:sz w:val="20"/>
          <w:szCs w:val="20"/>
          <w:color w:val="auto"/>
        </w:rPr>
      </w:pPr>
    </w:p>
    <w:p>
      <w:pPr>
        <w:jc w:val="both"/>
        <w:ind w:firstLine="13"/>
        <w:spacing w:after="0" w:line="235" w:lineRule="auto"/>
        <w:rPr>
          <w:sz w:val="20"/>
          <w:szCs w:val="20"/>
          <w:color w:val="auto"/>
        </w:rPr>
      </w:pPr>
      <w:r>
        <w:rPr>
          <w:rFonts w:ascii="Arial" w:cs="Arial" w:eastAsia="Arial" w:hAnsi="Arial"/>
          <w:sz w:val="18"/>
          <w:szCs w:val="18"/>
          <w:color w:val="auto"/>
        </w:rPr>
        <w:t>We have exclusive rights to tenapanor in the U.S. and we have established agreements with Kyowa Kirin Co., Ltd. in Japan, Shanghai Fosun Pharmaceutical Industrial Development Co. Ltd. in China and Knight Therapeutics, Inc. in Canada for the development and commercialization of tenapanor for certain indications in their respective territories.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w:t>
      </w:r>
    </w:p>
    <w:p>
      <w:pPr>
        <w:sectPr>
          <w:pgSz w:w="11900" w:h="16838" w:orient="portrait"/>
          <w:cols w:equalWidth="0" w:num="1">
            <w:col w:w="11240"/>
          </w:cols>
          <w:pgMar w:left="320" w:top="1404" w:right="339" w:bottom="1440" w:gutter="0" w:footer="0" w:header="0"/>
        </w:sectPr>
      </w:pPr>
    </w:p>
    <w:bookmarkStart w:id="4" w:name="page5"/>
    <w:bookmarkEnd w:id="4"/>
    <w:p>
      <w:pPr>
        <w:spacing w:after="0" w:line="211" w:lineRule="exact"/>
        <w:rPr>
          <w:sz w:val="20"/>
          <w:szCs w:val="20"/>
          <w:color w:val="auto"/>
        </w:rPr>
      </w:pPr>
    </w:p>
    <w:p>
      <w:pPr>
        <w:jc w:val="both"/>
        <w:ind w:firstLine="13"/>
        <w:spacing w:after="0" w:line="224" w:lineRule="auto"/>
        <w:rPr>
          <w:sz w:val="20"/>
          <w:szCs w:val="20"/>
          <w:color w:val="auto"/>
        </w:rPr>
      </w:pPr>
      <w:r>
        <w:rPr>
          <w:rFonts w:ascii="Arial" w:cs="Arial" w:eastAsia="Arial" w:hAnsi="Arial"/>
          <w:sz w:val="18"/>
          <w:szCs w:val="18"/>
          <w:color w:val="auto"/>
        </w:rPr>
        <w:t>In December 2019, we reported statistically significant topline efficacy results from our second monotherapy Phase 3 clinical trial, the PHREEDOM trial, which evaluated tenapanor for the control of serum phosphorus in adult patients with CKD on dialysis. The PHREEDOM trial followed a successful monotherapy Phase 3 clinical trial completed in 2017, the BLOCK trial, which achieved statistical significance for the primary endpoint. The only adverse event reported in these Phase 3 trials in greater than 5% of patients was diarrhea, with an incidence rate of 52% in the PHREEDOM trial and 39% in the BLOCK trial, with most incidences in each trial being mild to moderate in nature. PHREEDOM is a one-year study with a 26-week open-label treatment period and a 12-week double-blind, placebo-controlled randomized withdrawal period followed by a 14-week open-label safety extension period. An active safety control group, for safety analysis only, received sevelamer, open-label, for the entire 52-week study period. Patients completing the PHREEDOM trial from both the tenapanor arm and the sevelamer active safety control arm had the option to participate in NORMALIZE, an ongoing open-label 18-month extension study.</w:t>
      </w:r>
    </w:p>
    <w:p>
      <w:pPr>
        <w:spacing w:after="0" w:line="205" w:lineRule="exact"/>
        <w:rPr>
          <w:sz w:val="20"/>
          <w:szCs w:val="20"/>
          <w:color w:val="auto"/>
        </w:rPr>
      </w:pPr>
    </w:p>
    <w:p>
      <w:pPr>
        <w:jc w:val="both"/>
        <w:ind w:firstLine="13"/>
        <w:spacing w:after="0" w:line="252" w:lineRule="auto"/>
        <w:rPr>
          <w:sz w:val="20"/>
          <w:szCs w:val="20"/>
          <w:color w:val="auto"/>
        </w:rPr>
      </w:pPr>
      <w:r>
        <w:rPr>
          <w:rFonts w:ascii="Arial" w:cs="Arial" w:eastAsia="Arial" w:hAnsi="Arial"/>
          <w:sz w:val="16"/>
          <w:szCs w:val="16"/>
          <w:color w:val="auto"/>
        </w:rPr>
        <w:t>In June 2020, we announced positive results from a planned interim data analysis from our ongoing NORMALIZE extension study evaluating tenapanor, as monotherapy or in combination with sevelamer, to achieve serum phosphorus levels in the normal range (2.5 – 4.5 mg/dL) in patients with CKD on dialysis. The NORMALIZE extension study allowed patients from our PHREEDOM study to continue therapy with tenapanor and enabled those patients in the PHREEDOM safety control arm receiving sevelamer carbonate to transition to tenapanor. The data from the planned interim analysis demonstrated that the use of tenapanor as monotherapy or in combination with sevelamer carbonate produces a significant phosphorus-lowering effect with a mean serum phosphorous reduction of 2.33 mg/dL, from a mean baseline phosphorus of 7.27 mg/dL at the beginning of the PHREEDOM trial to a mean of 4.94 mg/dL at the time of this analysis. Of the 171 patients in this interim analysis who completed up to 9 months of treatment in this extension study, up to 47.4% achieved a normal serum phosphorus level, and of those, the majority were on tenapanor alone or tenapanor with low dose sevelamer of three or fewer sevelamer tablets per day. These data represent a 58% improvement in the rate of patients who achieve a normal serum phosphorus level, as compared to current treatment practice data as reported in the April 2020 Dialysis Outcomes Practice Patterns Study, or DOPPS, Practice Monitor. The DOPPS data demonstrate that, with currently available treatments, only 30% of patients have serum phosphorous levels less than 4.6 mg/dL. The only adverse event reported in greater than 5% of patients in NORMALIZE was diarrhea, with an incidence rate of 23.3%.</w:t>
      </w:r>
    </w:p>
    <w:p>
      <w:pPr>
        <w:spacing w:after="0" w:line="193" w:lineRule="exact"/>
        <w:rPr>
          <w:sz w:val="20"/>
          <w:szCs w:val="20"/>
          <w:color w:val="auto"/>
        </w:rPr>
      </w:pPr>
    </w:p>
    <w:p>
      <w:pPr>
        <w:jc w:val="both"/>
        <w:ind w:firstLine="13"/>
        <w:spacing w:after="0" w:line="246" w:lineRule="auto"/>
        <w:rPr>
          <w:sz w:val="20"/>
          <w:szCs w:val="20"/>
          <w:color w:val="auto"/>
        </w:rPr>
      </w:pPr>
      <w:r>
        <w:rPr>
          <w:rFonts w:ascii="Arial" w:cs="Arial" w:eastAsia="Arial" w:hAnsi="Arial"/>
          <w:sz w:val="17"/>
          <w:szCs w:val="17"/>
          <w:color w:val="auto"/>
        </w:rPr>
        <w:t>In September 2019, we reported positive results from the AMPLIFY trial, a Phase 3 study evaluating tenapanor in adult patients with CKD on dialysis who had uncontrolled hyperphosphatemia despite phosphate binder treatment. In this trial, approximately twice the number of patients achieved the serum phosphorus treatment goal of less than 5.5 mg/dL with tenapanor and phosphate binders versus phosphate binders alone. The only adverse event with a placebo-adjusted rate greater than 3% was diarrhea, with an incidence rate of 43%, with most being mild to moderate in nature.</w:t>
      </w:r>
    </w:p>
    <w:p>
      <w:pPr>
        <w:spacing w:after="0" w:line="198" w:lineRule="exact"/>
        <w:rPr>
          <w:sz w:val="20"/>
          <w:szCs w:val="20"/>
          <w:color w:val="auto"/>
        </w:rPr>
      </w:pPr>
    </w:p>
    <w:p>
      <w:pPr>
        <w:jc w:val="both"/>
        <w:ind w:firstLine="13"/>
        <w:spacing w:after="0" w:line="239" w:lineRule="auto"/>
        <w:rPr>
          <w:sz w:val="20"/>
          <w:szCs w:val="20"/>
          <w:color w:val="auto"/>
        </w:rPr>
      </w:pPr>
      <w:r>
        <w:rPr>
          <w:rFonts w:ascii="Arial" w:cs="Arial" w:eastAsia="Arial" w:hAnsi="Arial"/>
          <w:sz w:val="17"/>
          <w:szCs w:val="17"/>
          <w:color w:val="auto"/>
        </w:rPr>
        <w:t>In June 2020, our partner KKC, a Japan-based global specialty pharmaceutical company exclusively developing tenapanor in Japan, presented results from a Phase 2 trial of tenapanor at the European Renal Association-European Dialysis and Transplant Association annual meeting, or ERA-EDTA 2020. The trial was designed to evaluate if, with tenapanor, patients with hyperphosphatemia undergoing hemodialysis could achieve at least a 30% decrease in mean pill burden while maintaining their serum phosphorus level. The study results were statistically significant, with 71.6% (p&lt;0.001) of patients achieving at least a 30% reduction in mean pill burden. The overall mean reduction in phosphate binder usage was 80% (reduction from 14.7 to 3.0 pills per day), while maintaining serum phosphorus control. The mean phosphorus level of patients entering the study on treatment with binders was 5.2 mg/dL at baseline and 4.7 mg/dL at the end of the 26-week study.</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Tenapanor is the first therapy for phosphate management that blocks phosphorus absorption at the primary pathway of uptake. It is not a phosphate binder.</w:t>
      </w:r>
    </w:p>
    <w:p>
      <w:pPr>
        <w:spacing w:after="0" w:line="4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Tenapanor is a novel, potent, small molecule, that has been shown in phase 3 studies to treat hyperphosphatemia as monotherapy and as a dual mechanism approach.</w:t>
      </w:r>
    </w:p>
    <w:p>
      <w:pPr>
        <w:spacing w:after="0" w:line="198" w:lineRule="exact"/>
        <w:rPr>
          <w:sz w:val="20"/>
          <w:szCs w:val="20"/>
          <w:color w:val="auto"/>
        </w:rPr>
      </w:pPr>
    </w:p>
    <w:p>
      <w:pPr>
        <w:jc w:val="both"/>
        <w:ind w:firstLine="13"/>
        <w:spacing w:after="0" w:line="216" w:lineRule="auto"/>
        <w:rPr>
          <w:sz w:val="20"/>
          <w:szCs w:val="20"/>
          <w:color w:val="auto"/>
        </w:rPr>
      </w:pPr>
      <w:r>
        <w:rPr>
          <w:rFonts w:ascii="Arial" w:cs="Arial" w:eastAsia="Arial" w:hAnsi="Arial"/>
          <w:sz w:val="18"/>
          <w:szCs w:val="18"/>
          <w:color w:val="auto"/>
        </w:rPr>
        <w:t>In addition to the development of tenapanor for hyperphosphatemia, we have developed tenapanor for the treatment of patients with irritable bowel syndrome with constipation, or IBS-C. In September 2019, we received FDA approval of IBSRELA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(tenapanor) for the treatment of IBS-C in adults. IBS-C is a burdensome gastrointestinal disorder. It is characterized by significant abdominal pain, constipation, straining during bowel movements, bloating and/or gas.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S-3</w:t>
      </w:r>
    </w:p>
    <w:p>
      <w:pPr>
        <w:sectPr>
          <w:pgSz w:w="11900" w:h="16838" w:orient="portrait"/>
          <w:cols w:equalWidth="0" w:num="1">
            <w:col w:w="11240"/>
          </w:cols>
          <w:pgMar w:left="320" w:top="1440" w:right="339" w:bottom="1440" w:gutter="0" w:footer="0" w:header="0"/>
        </w:sectPr>
      </w:pPr>
    </w:p>
    <w:bookmarkStart w:id="5" w:name="page6"/>
    <w:bookmarkEnd w:id="5"/>
    <w:p>
      <w:pPr>
        <w:spacing w:after="0" w:line="211" w:lineRule="exact"/>
        <w:rPr>
          <w:sz w:val="20"/>
          <w:szCs w:val="20"/>
          <w:color w:val="auto"/>
        </w:rPr>
      </w:pPr>
    </w:p>
    <w:p>
      <w:pPr>
        <w:jc w:val="both"/>
        <w:ind w:firstLine="13"/>
        <w:spacing w:after="0" w:line="227" w:lineRule="auto"/>
        <w:rPr>
          <w:sz w:val="20"/>
          <w:szCs w:val="20"/>
          <w:color w:val="auto"/>
        </w:rPr>
      </w:pPr>
      <w:r>
        <w:rPr>
          <w:rFonts w:ascii="Arial" w:cs="Arial" w:eastAsia="Arial" w:hAnsi="Arial"/>
          <w:sz w:val="18"/>
          <w:szCs w:val="18"/>
          <w:color w:val="auto"/>
        </w:rPr>
        <w:t>We are also advancing a small molecule potassium secretagogue program, RDX013, for the potential treatment of hyperkalemia. Hyperkalemia is a common problem in patients with heart and kidney disease, particularly in patients taking common blood pressure medications known as renin-angiotensin-aldosterone system, or RAAS, inhibitors. Similar to what we have done with tenapanor in developing a non-binder approach for the treatment of elevated serum phosphate levels, RDX013 is designed to target the underlying biological mechanisms of potassium secretion to lower elevated potassium. While currently available therapies are all ion exchange agents, RDX013 is a first in class approach that exerts its effects by amplifying the underlying pathways of potassium secretion in the colon.</w:t>
      </w:r>
    </w:p>
    <w:p>
      <w:pPr>
        <w:spacing w:after="0" w:line="202" w:lineRule="exact"/>
        <w:rPr>
          <w:sz w:val="20"/>
          <w:szCs w:val="20"/>
          <w:color w:val="auto"/>
        </w:rPr>
      </w:pPr>
    </w:p>
    <w:p>
      <w:pPr>
        <w:jc w:val="both"/>
        <w:ind w:right="20" w:firstLine="13"/>
        <w:spacing w:after="0" w:line="235" w:lineRule="auto"/>
        <w:rPr>
          <w:sz w:val="20"/>
          <w:szCs w:val="20"/>
          <w:color w:val="auto"/>
        </w:rPr>
      </w:pPr>
      <w:r>
        <w:rPr>
          <w:rFonts w:ascii="Arial" w:cs="Arial" w:eastAsia="Arial" w:hAnsi="Arial"/>
          <w:sz w:val="18"/>
          <w:szCs w:val="18"/>
          <w:color w:val="auto"/>
        </w:rPr>
        <w:t>We have an ongoing discovery program targeting the inhibition of intestinal bicarbonate exchange for the treatment of metabolic acidosis, a highly prevalent comorbidity in CKD patients that is strongly correlated with disease progression and adverse outcomes. We have identified lead compounds that are potent, selective and proprietary inhibitors of bicarbonate secretion.</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13"/>
        <w:spacing w:after="0" w:line="269" w:lineRule="auto"/>
        <w:rPr>
          <w:sz w:val="20"/>
          <w:szCs w:val="20"/>
          <w:color w:val="auto"/>
        </w:rPr>
      </w:pPr>
      <w:r>
        <w:rPr>
          <w:rFonts w:ascii="Arial" w:cs="Arial" w:eastAsia="Arial" w:hAnsi="Arial"/>
          <w:sz w:val="16"/>
          <w:szCs w:val="16"/>
          <w:color w:val="auto"/>
        </w:rPr>
        <w:t xml:space="preserve">We were founded in October 2007 as a Delaware corporation under the name Nteryx, Inc. We changed our name to Ardelyx, Inc. in June 2008. Our principal executive offices are located at 34175 Ardenwood Blvd., Fremont, CA 94555 and 400 Fifth Avenue, Suite 210, Waltham, MA 02451, and our telephone number is (510) 745-1700. Our website address is </w:t>
      </w:r>
      <w:r>
        <w:rPr>
          <w:rFonts w:ascii="Arial" w:cs="Arial" w:eastAsia="Arial" w:hAnsi="Arial"/>
          <w:sz w:val="19"/>
          <w:szCs w:val="19"/>
          <w:i w:val="1"/>
          <w:iCs w:val="1"/>
          <w:color w:val="auto"/>
        </w:rPr>
        <w:t>www.ardelyx.com</w:t>
      </w:r>
      <w:r>
        <w:rPr>
          <w:rFonts w:ascii="Arial" w:cs="Arial" w:eastAsia="Arial" w:hAnsi="Arial"/>
          <w:sz w:val="16"/>
          <w:szCs w:val="16"/>
          <w:color w:val="auto"/>
        </w:rPr>
        <w:t>. The information on, or that can be accessed through, our website is not part of this prospectus supplement and is not incorporated by reference herein. We have included our website address as an inactive textual reference only.</w:t>
      </w:r>
    </w:p>
    <w:p>
      <w:pPr>
        <w:sectPr>
          <w:pgSz w:w="11900" w:h="16838" w:orient="portrait"/>
          <w:cols w:equalWidth="0" w:num="1">
            <w:col w:w="11240"/>
          </w:cols>
          <w:pgMar w:left="320" w:top="1440" w:right="3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2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Common stock offered by us</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Common stock to be outstanding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Manner of offering</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Symbol on the Nasdaq Global Market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Shares of our common stock having an aggregate offering price of up to $150,000,000.</w:t>
      </w:r>
    </w:p>
    <w:p>
      <w:pPr>
        <w:spacing w:after="0" w:line="8" w:lineRule="exact"/>
        <w:rPr>
          <w:sz w:val="20"/>
          <w:szCs w:val="20"/>
          <w:color w:val="auto"/>
        </w:rPr>
      </w:pPr>
    </w:p>
    <w:p>
      <w:pPr>
        <w:jc w:val="both"/>
        <w:ind w:right="40"/>
        <w:spacing w:after="0" w:line="273" w:lineRule="auto"/>
        <w:rPr>
          <w:sz w:val="20"/>
          <w:szCs w:val="20"/>
          <w:color w:val="auto"/>
        </w:rPr>
      </w:pPr>
      <w:r>
        <w:rPr>
          <w:rFonts w:ascii="Arial" w:cs="Arial" w:eastAsia="Arial" w:hAnsi="Arial"/>
          <w:sz w:val="17"/>
          <w:szCs w:val="17"/>
          <w:color w:val="auto"/>
        </w:rPr>
        <w:t>Up to 201,651,227 shares (as more fully described in the notes following this table), assuming sales of 98,684,210 shares of our common stock in this offering at an offering price of $1.52 per share, which was the last reported sale price of our common stock on the Nasdaq Global Market on August 12, 2021. The actual number of shares issued will vary depending on the sales price under this offering.</w:t>
      </w:r>
    </w:p>
    <w:p>
      <w:pPr>
        <w:spacing w:after="0" w:line="2"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auto"/>
        </w:rPr>
        <w:t>“At the market offering” that may be made from time to time through our sales agent, Jefferies LLC. See “Plan of Distribution” on page [S-9].</w:t>
      </w:r>
    </w:p>
    <w:p>
      <w:pPr>
        <w:jc w:val="both"/>
        <w:ind w:right="20"/>
        <w:spacing w:after="0" w:line="246" w:lineRule="auto"/>
        <w:rPr>
          <w:sz w:val="20"/>
          <w:szCs w:val="20"/>
          <w:color w:val="auto"/>
        </w:rPr>
      </w:pPr>
      <w:r>
        <w:rPr>
          <w:rFonts w:ascii="Arial" w:cs="Arial" w:eastAsia="Arial" w:hAnsi="Arial"/>
          <w:sz w:val="17"/>
          <w:szCs w:val="17"/>
          <w:color w:val="auto"/>
        </w:rPr>
        <w:t>We intend to use the net proceeds from this offering, if any, for general corporate purposes, which may include, among other things, increasing our working capital and funding research and development, and capital expenditures. See “Use of Proceeds” on page [S-7].</w:t>
      </w:r>
    </w:p>
    <w:p>
      <w:pPr>
        <w:spacing w:after="0" w:line="9" w:lineRule="exact"/>
        <w:rPr>
          <w:sz w:val="20"/>
          <w:szCs w:val="20"/>
          <w:color w:val="auto"/>
        </w:rPr>
      </w:pPr>
    </w:p>
    <w:p>
      <w:pPr>
        <w:jc w:val="both"/>
        <w:ind w:right="20"/>
        <w:spacing w:after="0" w:line="231" w:lineRule="auto"/>
        <w:rPr>
          <w:sz w:val="20"/>
          <w:szCs w:val="20"/>
          <w:color w:val="auto"/>
        </w:rPr>
      </w:pPr>
      <w:r>
        <w:rPr>
          <w:rFonts w:ascii="Arial" w:cs="Arial" w:eastAsia="Arial" w:hAnsi="Arial"/>
          <w:sz w:val="18"/>
          <w:szCs w:val="18"/>
          <w:color w:val="auto"/>
        </w:rPr>
        <w:t>You should read the “Risk Factors” section of this prospectus supplement and in the documents incorporated by reference in this prospectus supplement for a discussion of factors to consider before deciding to purchase shares of our common stock.</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“ARDX”</w:t>
      </w:r>
    </w:p>
    <w:p>
      <w:pPr>
        <w:spacing w:after="0" w:line="213" w:lineRule="exact"/>
        <w:rPr>
          <w:sz w:val="20"/>
          <w:szCs w:val="20"/>
          <w:color w:val="auto"/>
        </w:rPr>
      </w:pPr>
    </w:p>
    <w:p>
      <w:pPr>
        <w:sectPr>
          <w:pgSz w:w="11900" w:h="16838" w:orient="portrait"/>
          <w:cols w:equalWidth="0" w:num="2">
            <w:col w:w="5080" w:space="720"/>
            <w:col w:w="54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S-4</w:t>
      </w:r>
    </w:p>
    <w:p>
      <w:pPr>
        <w:sectPr>
          <w:pgSz w:w="11900" w:h="16838" w:orient="portrait"/>
          <w:cols w:equalWidth="0" w:num="1">
            <w:col w:w="11240"/>
          </w:cols>
          <w:pgMar w:left="320" w:top="1440" w:right="339" w:bottom="1440" w:gutter="0" w:footer="0" w:header="0"/>
          <w:type w:val="continuous"/>
        </w:sectPr>
      </w:pPr>
    </w:p>
    <w:bookmarkStart w:id="6" w:name="page7"/>
    <w:bookmarkEnd w:id="6"/>
    <w:p>
      <w:pPr>
        <w:ind w:firstLine="13"/>
        <w:spacing w:after="0" w:line="246" w:lineRule="auto"/>
        <w:rPr>
          <w:sz w:val="20"/>
          <w:szCs w:val="20"/>
          <w:color w:val="auto"/>
        </w:rPr>
      </w:pPr>
      <w:r>
        <w:rPr>
          <w:rFonts w:ascii="Arial" w:cs="Arial" w:eastAsia="Arial" w:hAnsi="Arial"/>
          <w:sz w:val="18"/>
          <w:szCs w:val="18"/>
          <w:color w:val="auto"/>
        </w:rPr>
        <w:t>The number of shares of common stock to be outstanding after this offering is based on 102,967,017 shares of common stock outstanding as of June 30, 2021, and excludes, in each case as of June 30, 2021:</w:t>
      </w:r>
    </w:p>
    <w:p>
      <w:pPr>
        <w:spacing w:after="0" w:line="237" w:lineRule="exact"/>
        <w:rPr>
          <w:sz w:val="20"/>
          <w:szCs w:val="20"/>
          <w:color w:val="auto"/>
        </w:rPr>
      </w:pPr>
    </w:p>
    <w:p>
      <w:pPr>
        <w:ind w:left="660" w:hanging="328"/>
        <w:spacing w:after="0" w:line="218"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color w:val="auto"/>
        </w:rPr>
        <w:t>12,511,376 shares of common stock issuable upon the exercise of outstanding stock options having a weighted-average exercise price of $6.76 per share;</w:t>
      </w:r>
    </w:p>
    <w:p>
      <w:pPr>
        <w:spacing w:after="0" w:line="221"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1,135,251 shares of common stock issuable upon the settlement of outstanding restricted stock units;</w:t>
      </w:r>
    </w:p>
    <w:p>
      <w:pPr>
        <w:spacing w:after="0" w:line="242" w:lineRule="exact"/>
        <w:rPr>
          <w:rFonts w:ascii="Arial" w:cs="Arial" w:eastAsia="Arial" w:hAnsi="Arial"/>
          <w:sz w:val="22"/>
          <w:szCs w:val="22"/>
          <w:color w:val="auto"/>
        </w:rPr>
      </w:pPr>
    </w:p>
    <w:p>
      <w:pPr>
        <w:ind w:left="660" w:hanging="328"/>
        <w:spacing w:after="0" w:line="218"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color w:val="auto"/>
        </w:rPr>
        <w:t>1,939,153 shares of common stock reserved for issuance pursuant to future awards under our 2014 Equity Incentive Award Plan, as well as any automatic increases in the number of shares of our common stock reserved for future issuance under this plan;</w:t>
      </w:r>
    </w:p>
    <w:p>
      <w:pPr>
        <w:spacing w:after="0" w:line="243" w:lineRule="exact"/>
        <w:rPr>
          <w:rFonts w:ascii="Arial" w:cs="Arial" w:eastAsia="Arial" w:hAnsi="Arial"/>
          <w:sz w:val="22"/>
          <w:szCs w:val="22"/>
          <w:color w:val="auto"/>
        </w:rPr>
      </w:pPr>
    </w:p>
    <w:p>
      <w:pPr>
        <w:ind w:left="660" w:right="20" w:hanging="328"/>
        <w:spacing w:after="0" w:line="218"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color w:val="auto"/>
        </w:rPr>
        <w:t>1,183,438 shares of common stock reserved for future issuance under our Employee Stock Purchase Plan, as well as any automatic increases in the number of shares of our common stock reserved for future issuance under this plan; and</w:t>
      </w:r>
    </w:p>
    <w:p>
      <w:pPr>
        <w:spacing w:after="0" w:line="203"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848,063 shares of common stock reserved for issuance pursuant to future awards under our 2016 Employment Commencement Inducement Plan.</w:t>
      </w:r>
    </w:p>
    <w:p>
      <w:pPr>
        <w:spacing w:after="0" w:line="248" w:lineRule="exact"/>
        <w:rPr>
          <w:sz w:val="20"/>
          <w:szCs w:val="20"/>
          <w:color w:val="auto"/>
        </w:rPr>
      </w:pPr>
    </w:p>
    <w:p>
      <w:pPr>
        <w:jc w:val="both"/>
        <w:ind w:firstLine="13"/>
        <w:spacing w:after="0" w:line="246" w:lineRule="auto"/>
        <w:rPr>
          <w:sz w:val="20"/>
          <w:szCs w:val="20"/>
          <w:color w:val="auto"/>
        </w:rPr>
      </w:pPr>
      <w:r>
        <w:rPr>
          <w:rFonts w:ascii="Arial" w:cs="Arial" w:eastAsia="Arial" w:hAnsi="Arial"/>
          <w:sz w:val="18"/>
          <w:szCs w:val="18"/>
          <w:color w:val="auto"/>
        </w:rPr>
        <w:t>Unless otherwise stated, all information contained in this prospectus supplement reflects an assumed public offering price of $1.52 per share, which was the last reported sale price of our common stock on the Nasdaq Global Market on August 12,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i w:val="1"/>
          <w:iCs w:val="1"/>
          <w:color w:val="auto"/>
        </w:rPr>
        <w:t>You should consider carefully the risks described below and discussed under the section captioned “Risk Factors” contained in our quarterly report for the quarterly period ended June 30, 2021, as updated by our subsequent filings under the Securities Exchange Act of 1934, as amended, or the Exchange Act, each of which is incorporated by reference in this prospectus supplement in their entirety, together with other information in this prospectus supplement, and the information and documents incorporated by reference in this prospectus supplement, and any free writing prospectus that we have authorized for use in connection with this offering before you make a decision to invest in our common stock. If any of the following events actually occur, our business, operating results, prospects or financial condition could be materially and adversely affected. This could cause the trading price of our common stock to decline and you may lose all or part of your investment. The risks described below are not the only ones that we face. Additional risks not presently known to us or that we currently deem immaterial may also affect our business operations. To the extent the COVID-19 pandemic adversely affects our business and financial results, it may also have the effect of heightening many of the risks in this “Risk Factors” section and those contained in the documents incorporated by reference herein.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Relating to this Offering</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Our management team may invest or spend the proceeds of this offering in ways with which you may not agree or in ways which may not yield a significant return.</w:t>
      </w:r>
    </w:p>
    <w:p>
      <w:pPr>
        <w:spacing w:after="0" w:line="197"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Our management will have broad discretion over the use of proceeds from this offering. We intend to use the net proceeds, if any, from this offering for general corporate purposes, which may include, among other things, increasing our working capital and funding research and development, and capital expenditures. Our management will have considerable discretion in the application of the net proceeds, and you will not have the opportunity, as part of your investment decision, to assess whether the proceeds are being used appropriately. The net proceeds may be used for corporate purposes that do not increase our operating results or enhance the value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S-5</w:t>
      </w:r>
    </w:p>
    <w:p>
      <w:pPr>
        <w:sectPr>
          <w:pgSz w:w="11900" w:h="16838" w:orient="portrait"/>
          <w:cols w:equalWidth="0" w:num="1">
            <w:col w:w="11240"/>
          </w:cols>
          <w:pgMar w:left="320" w:top="1408"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i w:val="1"/>
          <w:iCs w:val="1"/>
          <w:color w:val="auto"/>
        </w:rPr>
        <w:t>You may experience immediate and substantial dilution in the net tangible book value per share of the common stock you purchase.</w:t>
      </w:r>
    </w:p>
    <w:p>
      <w:pPr>
        <w:spacing w:after="0" w:line="23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price per share of our common stock being offered may be higher than the net tangible book value per share of our common stock outstanding prior to this offering. Assuming that an aggregate of 98,684,210 shares are sold at a price of $1.52 per share, the last reported sale price of our common stock on the Nasdaq Global Market on August 12, 2021, for aggregate proceeds of $150.0 million in this offering, and after deducting commissions and estimated aggregate offering expenses payable by us, you will suffer immediate and substantial dilution of $0.21 per share, representing the difference between the as adjusted net tangible book value per share of our common stock as of June 30, 2021 after giving effect to this offering and the assumed offering price. See the section entitled “Dilution” below for a more detailed discussion of the dilution you will incur if you purchase common stock in this offering.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order to raise additional capital, we may in the future offer additional shares of our common stock or other securities convertible into or exchangeable for our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 As of June 30, 2021, 17,617,281 shares of common stock were either subject to outstanding options or restricted stock unit awards, or reserved for future issuance under our equity incentive plans are eligible for sale in the public market to the extent permitted by the provisions of various vesting schedules.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Unless the context requires otherwise, in this prospectus supplement the terms “Ardelyx”, “we,” “us,” “our” and “the Company” refer to Ardelyx, Inc.</w:t>
      </w:r>
    </w:p>
    <w:p>
      <w:pPr>
        <w:spacing w:after="0" w:line="237"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This prospectus supplement, the accompanying prospectus, including the documents incorporated by reference herein and therein, and any free writing prospectus that we have authorized for use in connection with this offering contain forward-looking statements that involve risks and uncertainties. Any statements contained or incorporated by reference herein that are not statements of historical facts may be deemed to be forward-looking statements. In some cases, you can identify forward-looking statements by terminology such as “aim,” “anticipate,” “assume,” “believe,”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244" w:lineRule="exact"/>
        <w:rPr>
          <w:sz w:val="20"/>
          <w:szCs w:val="20"/>
          <w:color w:val="auto"/>
        </w:rPr>
      </w:pPr>
    </w:p>
    <w:p>
      <w:pPr>
        <w:ind w:left="660" w:right="60" w:hanging="328"/>
        <w:spacing w:after="0" w:line="218"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expectations regarding our planned interactions and communications with the FDA and our plans and expectations as to the possibility of determining a pathway to approval of our NDA for tenapanor for the control of serum phosphorus in adult patients with chronic kidney disease on dialysis;</w:t>
      </w:r>
    </w:p>
    <w:p>
      <w:pPr>
        <w:spacing w:after="0" w:line="204" w:lineRule="exact"/>
        <w:rPr>
          <w:rFonts w:ascii="Arial" w:cs="Arial" w:eastAsia="Arial" w:hAnsi="Arial"/>
          <w:sz w:val="22"/>
          <w:szCs w:val="22"/>
          <w:color w:val="auto"/>
        </w:rPr>
      </w:pPr>
    </w:p>
    <w:p>
      <w:pPr>
        <w:ind w:left="660" w:right="160" w:hanging="328"/>
        <w:spacing w:after="0" w:line="23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plans for and our participation in the commercialization of tenapanor for the control of serum phosphorus in adult patients with chronic kidney disease, or CKD, on dialysis, including our expectations regarding our plans to build our own sales and marketing organization to market and sell tenapanor for such indication;</w:t>
      </w:r>
    </w:p>
    <w:p>
      <w:pPr>
        <w:spacing w:after="0" w:line="21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expectations regarding the potential market size and the size of the patient populations for our product candidates;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plans with respect to RDX013 and to our pre-clinical programs;</w:t>
      </w:r>
    </w:p>
    <w:p>
      <w:pPr>
        <w:spacing w:after="0" w:line="242" w:lineRule="exact"/>
        <w:rPr>
          <w:rFonts w:ascii="Arial" w:cs="Arial" w:eastAsia="Arial" w:hAnsi="Arial"/>
          <w:sz w:val="22"/>
          <w:szCs w:val="22"/>
          <w:color w:val="auto"/>
        </w:rPr>
      </w:pPr>
    </w:p>
    <w:p>
      <w:pPr>
        <w:ind w:left="660" w:hanging="328"/>
        <w:spacing w:after="0" w:line="218"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identify and validate targets and novel drug candidates using our proprietary drug discovery and design platform including the Ardelyx Primary Enterocyte and Colonocyte Culture System,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S-6</w:t>
      </w:r>
    </w:p>
    <w:p>
      <w:pPr>
        <w:sectPr>
          <w:pgSz w:w="11900" w:h="16838" w:orient="portrait"/>
          <w:cols w:equalWidth="0" w:num="1">
            <w:col w:w="11240"/>
          </w:cols>
          <w:pgMar w:left="320" w:top="1408" w:right="339" w:bottom="1440" w:gutter="0" w:footer="0" w:header="0"/>
        </w:sectPr>
      </w:pPr>
    </w:p>
    <w:bookmarkStart w:id="8" w:name="page9"/>
    <w:bookmarkEnd w:id="8"/>
    <w:p>
      <w:pPr>
        <w:ind w:left="660" w:right="20"/>
        <w:spacing w:after="0" w:line="246" w:lineRule="auto"/>
        <w:rPr>
          <w:sz w:val="20"/>
          <w:szCs w:val="20"/>
          <w:color w:val="auto"/>
        </w:rPr>
      </w:pPr>
      <w:r>
        <w:rPr>
          <w:rFonts w:ascii="Arial" w:cs="Arial" w:eastAsia="Arial" w:hAnsi="Arial"/>
          <w:sz w:val="18"/>
          <w:szCs w:val="18"/>
          <w:color w:val="auto"/>
        </w:rPr>
        <w:t>APECCS, or any other proprietary drug discovery and design platform we develop for the identification, screening, testing, design and development of new product candidates for the treatment of renal diseases;</w:t>
      </w:r>
    </w:p>
    <w:p>
      <w:pPr>
        <w:spacing w:after="0" w:line="21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implementation of our business model and strategic plans for our business, product candidates and technology;</w:t>
      </w:r>
    </w:p>
    <w:p>
      <w:pPr>
        <w:spacing w:after="0" w:line="231"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1"/>
          <w:szCs w:val="21"/>
          <w:color w:val="auto"/>
        </w:rPr>
      </w:pPr>
      <w:r>
        <w:rPr>
          <w:rFonts w:ascii="Arial" w:cs="Arial" w:eastAsia="Arial" w:hAnsi="Arial"/>
          <w:sz w:val="17"/>
          <w:szCs w:val="17"/>
          <w:color w:val="auto"/>
        </w:rPr>
        <w:t>estimates of our expenses, future revenue, capital requirements, our needs for additional financing and our ability to obtain additional capital;</w:t>
      </w:r>
    </w:p>
    <w:p>
      <w:pPr>
        <w:spacing w:after="0" w:line="219" w:lineRule="exact"/>
        <w:rPr>
          <w:rFonts w:ascii="Arial" w:cs="Arial" w:eastAsia="Arial" w:hAnsi="Arial"/>
          <w:sz w:val="21"/>
          <w:szCs w:val="21"/>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financial performance; and</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developments and projections relating to our competitors and our industry.</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or incorporated by reference in, this prospectus supplement may turn out to be inaccurate. Factors that may cause actual results to differ materially from current expectations include, among other things, those listed under “Risk Factors” and elsewhere in this prospectus supplement, the accompanying prospectus, and the documents incorporated by reference herein and the discussion in our Annual Report on Form 10-K for the year ended December 31, 2020 and in our Quarterly Report on Form 10-Q for the quarterly period ended June 30, 2021, as amended, in each of “Risk Factors” and “Management’s Discussion and Analysis of Financial Condition and Results of Operations.” Potential investors are urged to consider these factors carefully in evaluating the forward-looking statements. These forward-looking statements speak only as of the date of this prospectus supplement, the accompanying prospectus and the documents incorporated by reference herein and therein, and any free writing prospectus, as applicable.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prospectus supplement. See “Where You Can Find More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amount of proceeds from this offering will depend upon the number of shares of our common stock sold and the market price at which they are sold. There can be no assurance that we will be able to sell any shares under or fully utilize the sales agreement with Jefferies as a source of financing. We intend to use the net proceeds, if any, from this offering for general corporate purposes, which may include, among other things, activities for the development and potential commercialization of tenanpanor for the control of serum phosphorus in chronic kidney disease, or CKD, patients on dialysis, as well as for clinical trials and nonclinical studies for other product candidates, and for general corporate purposes and working capital.</w:t>
      </w:r>
    </w:p>
    <w:p>
      <w:pPr>
        <w:spacing w:after="0" w:line="188"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The amounts and timing of our actual expenditures will depend on numerous factors, including the activities in which we elect to engage in order to continue to seek approval for our NDA for tenapanor for the control of serum phosphorus in adult CKD patients on dialysis, our clinical, pre-commercial and commercial activities with respect to tenapanor, the timing of potential future milestone payments from our current and future collaboration partners, as well as the amount of cash used in our operations and the amount and timing of payments under our loan and security agreement with Solar Capital Ltd. and Western Alliance Bank. We therefore cannot estimate with certainty the amount of net proceeds to be used for the purposes described above. We may find it necessary or advisable to use the net proceeds for other purposes, and we will have broad discretion in the application of the net proceeds. Pending the uses described above, we plan to invest the net proceeds, if any, from this offering in interest-bearing investment-grade securities, certificates of deposit or government securities.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historical net tangible book value as of June 30, 2021 was approximately $117.6 million, or $1.14 per share. Our net tangible book value represents total tangible assets less total liabilities and convertible preferred stock,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S-7</w:t>
      </w:r>
    </w:p>
    <w:p>
      <w:pPr>
        <w:sectPr>
          <w:pgSz w:w="11900" w:h="16838" w:orient="portrait"/>
          <w:cols w:equalWidth="0" w:num="1">
            <w:col w:w="11240"/>
          </w:cols>
          <w:pgMar w:left="320" w:top="1408" w:right="339" w:bottom="1440" w:gutter="0" w:footer="0" w:header="0"/>
        </w:sectPr>
      </w:pPr>
    </w:p>
    <w:bookmarkStart w:id="9" w:name="page10"/>
    <w:bookmarkEnd w:id="9"/>
    <w:p>
      <w:pPr>
        <w:jc w:val="both"/>
        <w:spacing w:after="0" w:line="235" w:lineRule="auto"/>
        <w:rPr>
          <w:sz w:val="20"/>
          <w:szCs w:val="20"/>
          <w:color w:val="auto"/>
        </w:rPr>
      </w:pPr>
      <w:r>
        <w:rPr>
          <w:rFonts w:ascii="Arial" w:cs="Arial" w:eastAsia="Arial" w:hAnsi="Arial"/>
          <w:sz w:val="18"/>
          <w:szCs w:val="18"/>
          <w:color w:val="auto"/>
        </w:rPr>
        <w:t>divided by the number of shares of common stock outstanding on June 30, 2021. Dilution in net tangible book value per share represents the difference between the amount per share paid by purchasers of shares of common stock in this offering and the as adjusted net tangible book value per share of our common stock immediately after giving effect to this offering.</w:t>
      </w:r>
    </w:p>
    <w:p>
      <w:pPr>
        <w:spacing w:after="0" w:line="20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After giving effect to the sale of our common stock in the aggregate amount of $150.0 million in this offering at an assumed offering price of $1.52, the last reported sale price of our common stock on the Nasdaq Global Market on August 12, 2021, and after deducting commissions and estimated aggregate offering expenses payable by us, our as adjusted net tangible book value as of June 30, 2021 would have been approximately $264.4 million, or $1.31 per share. This represents an immediate increase in net tangible book value of $0.17 per share to existing stockholders and immediate dilution in net tangible book value of $0.21 per share to new investors purchasing our common stock in this offering. The following table illustrates this dilution on a per share basis: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Assumed public offering price per share</w:t>
            </w:r>
          </w:p>
        </w:tc>
        <w:tc>
          <w:tcPr>
            <w:tcW w:w="520" w:type="dxa"/>
            <w:vAlign w:val="bottom"/>
            <w:shd w:val="clear" w:color="auto" w:fill="CCEEFF"/>
          </w:tcPr>
          <w:p>
            <w:pPr>
              <w:spacing w:after="0"/>
              <w:rPr>
                <w:sz w:val="23"/>
                <w:szCs w:val="23"/>
                <w:color w:val="auto"/>
              </w:rPr>
            </w:pPr>
          </w:p>
        </w:tc>
        <w:tc>
          <w:tcPr>
            <w:tcW w:w="158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43"/>
        </w:trPr>
        <w:tc>
          <w:tcPr>
            <w:tcW w:w="7940" w:type="dxa"/>
            <w:vAlign w:val="bottom"/>
          </w:tcPr>
          <w:p>
            <w:pPr>
              <w:ind w:left="140"/>
              <w:spacing w:after="0"/>
              <w:rPr>
                <w:sz w:val="20"/>
                <w:szCs w:val="20"/>
                <w:color w:val="auto"/>
              </w:rPr>
            </w:pPr>
            <w:r>
              <w:rPr>
                <w:rFonts w:ascii="Arial" w:cs="Arial" w:eastAsia="Arial" w:hAnsi="Arial"/>
                <w:sz w:val="18"/>
                <w:szCs w:val="18"/>
                <w:color w:val="auto"/>
              </w:rPr>
              <w:t>Net tangible book value per share as of June 30, 2021</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Increase per share attributable to new investors</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r>
      <w:tr>
        <w:trPr>
          <w:trHeight w:val="223"/>
        </w:trPr>
        <w:tc>
          <w:tcPr>
            <w:tcW w:w="7940" w:type="dxa"/>
            <w:vAlign w:val="bottom"/>
          </w:tcPr>
          <w:p>
            <w:pPr>
              <w:ind w:left="140"/>
              <w:spacing w:after="0"/>
              <w:rPr>
                <w:sz w:val="20"/>
                <w:szCs w:val="20"/>
                <w:color w:val="auto"/>
              </w:rPr>
            </w:pPr>
            <w:r>
              <w:rPr>
                <w:rFonts w:ascii="Arial" w:cs="Arial" w:eastAsia="Arial" w:hAnsi="Arial"/>
                <w:sz w:val="18"/>
                <w:szCs w:val="18"/>
                <w:color w:val="auto"/>
              </w:rPr>
              <w:t>As adjusted net tangible book value per share after this offering</w:t>
            </w:r>
          </w:p>
        </w:tc>
        <w:tc>
          <w:tcPr>
            <w:tcW w:w="5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78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79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Dilution per share to new investors</w:t>
            </w:r>
          </w:p>
        </w:tc>
        <w:tc>
          <w:tcPr>
            <w:tcW w:w="5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0"/>
        </w:trPr>
        <w:tc>
          <w:tcPr>
            <w:tcW w:w="7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31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shares sold in this offering, if any, will be sold from time to time at various prices. An increase of $1.00 per share in the price at which the shares are sold from the assumed offering price of $1.52 per share shown in the table above, assuming all of our common stock in the aggregate amount of $150.0 million is sold at that price, would cause our as adjusted net tangible book value per share after the offering to be $1.63 per share and would increase the dilution in net tangible book value per share to new investors to $0.89 per share, after deducting commissions and estimated aggregate offering expenses payable by us. A decrease of $1.00 per share in the price at which the shares are sold from the assumed offering price of $1.52 per share shown in the table above, assuming all of our common stock in the aggregate amount of $150.0 million is sold at that price, would cause our as adjusted net tangible book value per share after the offering to be $0.68 per share and would would result in an increase of $0.16 in net tangible book value per share to new investors, after deducting commissions and estimated aggregate offering expenses payable by us. This information is supplied for illustrative purposes only.</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To the extent that outstanding options are exercised or outstanding restricted stock awards vest, investors purchasing our common stock in this offering will experience further dilution.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above discussion and table are based on 102,967,017 shares of common stock outstanding as of June 30, 2021, and excludes, in each case as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June 30, 2021:</w:t>
      </w:r>
    </w:p>
    <w:p>
      <w:pPr>
        <w:spacing w:after="0" w:line="209" w:lineRule="exact"/>
        <w:rPr>
          <w:sz w:val="20"/>
          <w:szCs w:val="20"/>
          <w:color w:val="auto"/>
        </w:rPr>
      </w:pPr>
    </w:p>
    <w:p>
      <w:pPr>
        <w:ind w:left="660" w:hanging="328"/>
        <w:spacing w:after="0" w:line="24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12,511,376 shares of common stock issuable upon the exercise of outstanding stock options having a weighted-average exercise price of $6.76 per share;</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1,135,251 shares of common stock issuable upon the settlement of outstanding restricted stock units;</w:t>
      </w:r>
    </w:p>
    <w:p>
      <w:pPr>
        <w:spacing w:after="0" w:line="225"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1,939,153 shares of common stock reserved for issuance pursuant to future awards under our 2014 Equity Incentive Award Plan, as well as any automatic increases in the number of shares of our common stock reserved for future issuance under this plan;</w:t>
      </w:r>
    </w:p>
    <w:p>
      <w:pPr>
        <w:spacing w:after="0" w:line="196" w:lineRule="exact"/>
        <w:rPr>
          <w:rFonts w:ascii="Arial" w:cs="Arial" w:eastAsia="Arial" w:hAnsi="Arial"/>
          <w:sz w:val="18"/>
          <w:szCs w:val="18"/>
          <w:color w:val="auto"/>
        </w:rPr>
      </w:pPr>
    </w:p>
    <w:p>
      <w:pPr>
        <w:ind w:left="660" w:right="20" w:hanging="328"/>
        <w:spacing w:after="0" w:line="24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1,183,438 shares of common stock reserved for future issuance under our Employee Stock Purchase Plan, as well as any automatic increases in the number of shares of our common stock reserved for future issuance under this plan; and</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848,063 shares of common stock reserved for issuance pursuant to future awards under our 2016 Employment Commencement Inducement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S-8</w:t>
      </w:r>
    </w:p>
    <w:p>
      <w:pPr>
        <w:sectPr>
          <w:pgSz w:w="11900" w:h="16838" w:orient="portrait"/>
          <w:cols w:equalWidth="0" w:num="1">
            <w:col w:w="11240"/>
          </w:cols>
          <w:pgMar w:left="320" w:top="1408" w:right="339" w:bottom="1440" w:gutter="0" w:footer="0" w:header="0"/>
        </w:sectPr>
      </w:pPr>
    </w:p>
    <w:bookmarkStart w:id="10" w:name="page11"/>
    <w:bookmarkEnd w:id="10"/>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have entered into a sales agreement with Jefferies, under which we may offer and sell up to $150,000,000 of our shares of common stock from time to time through Jefferies acting as agent. Sales of our shares of common stock, if any, under this prospectus supplement and the accompanying prospectus will be made by any method that is deemed to be an “at the market offering” as defined in Rule 415(a)(4) under the Securities Act.</w:t>
      </w:r>
    </w:p>
    <w:p>
      <w:pPr>
        <w:spacing w:after="0" w:line="19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Each time we wish to issue and sell our shares of common stock under the sales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sales agreement to sell our shares of common stock are subject to a number of conditions that we must meet.</w:t>
      </w:r>
    </w:p>
    <w:p>
      <w:pPr>
        <w:spacing w:after="0" w:line="18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The settlement of sales of shares between us and Jefferies is generally anticipated to occur on the second trading day following the date on which the sale was made. Sales of our shares of common stock as contemplated in this prospectus supplement will be settled through the facilities of The Depository Trust Company or by such other means as we and Jefferies may agree upon. There is no arrangement for funds to be received in an escrow, trust or similar arrangement.</w:t>
      </w:r>
    </w:p>
    <w:p>
      <w:pPr>
        <w:spacing w:after="0" w:line="20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We will pay Jefferies a commission of up to 3.0% of the aggregate gross proceeds we receive from each sale of our shares of common stock.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execution of the sales agreement, in an amount not to exceed $50,000, in addition to certain ongoing disbursements of its legal counsel. We estimate that the total expenses for the offering, excluding any commissions or expense reimbursement payable to Jefferies under the terms of the sales agreement, will be approximately $140,000. The remaining sale proceeds, after deducting any other transaction fees, will equal our net proceeds from the sale of such shares.</w:t>
      </w:r>
    </w:p>
    <w:p>
      <w:pPr>
        <w:spacing w:after="0" w:line="20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Jefferies will provide written confirmation to us before the open on the Nasdaq Global Market on the day following each day on which our shares of common stock are sold under the sales agreement. Each confirmation will include the number of shares sold on that day, the aggregate gross proceeds of such sales and the proceeds to us.</w:t>
      </w:r>
    </w:p>
    <w:p>
      <w:pPr>
        <w:spacing w:after="0" w:line="20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In connection with the sale of our shares of common stock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offering of our shares of common stock pursuant to the sales agreement will terminate upon the earlier of (i) the sale of all shares of common stock subject to the sales agreement and (ii) the termination of the sales agreement as permitted therein. We and Jefferies may each terminate the sales agreement at any time upon ten trading days’ prior notice.</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This summary of the material provisions of the sales agreement does not purport to be a complete statement of its terms and conditions. A copy of the sales agreement is filed as an exhibit to the registration statement of which this prospectus supplement forms a part.</w:t>
      </w:r>
    </w:p>
    <w:p>
      <w:pPr>
        <w:spacing w:after="0" w:line="197"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Jefferies and its affiliates have provided, and may in the future provide, various investment banking, commercial banking, financial advisory and other financial services for us and our affiliates, for which services they have received, and may in the future receive customary fees. In the course of its business, Jefferies may actively trade our securities for its own account or for the accounts of customers, and, accordingly, Jefferies may at any time hold long or short positions in such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S-9</w:t>
      </w:r>
    </w:p>
    <w:p>
      <w:pPr>
        <w:sectPr>
          <w:pgSz w:w="11900" w:h="16838" w:orient="portrait"/>
          <w:cols w:equalWidth="0" w:num="1">
            <w:col w:w="11240"/>
          </w:cols>
          <w:pgMar w:left="320" w:top="1440" w:right="339" w:bottom="1440" w:gutter="0" w:footer="0" w:header="0"/>
        </w:sectPr>
      </w:pPr>
    </w:p>
    <w:bookmarkStart w:id="11" w:name="page12"/>
    <w:bookmarkEnd w:id="11"/>
    <w:p>
      <w:pPr>
        <w:jc w:val="both"/>
        <w:ind w:right="20"/>
        <w:spacing w:after="0" w:line="246" w:lineRule="auto"/>
        <w:rPr>
          <w:sz w:val="20"/>
          <w:szCs w:val="20"/>
          <w:color w:val="auto"/>
        </w:rPr>
      </w:pPr>
      <w:r>
        <w:rPr>
          <w:rFonts w:ascii="Arial" w:cs="Arial" w:eastAsia="Arial" w:hAnsi="Arial"/>
          <w:sz w:val="18"/>
          <w:szCs w:val="18"/>
          <w:color w:val="auto"/>
        </w:rPr>
        <w:t>A prospectus supplement and the accompanying prospectus in electronic format may be made available on a website maintained by Jefferies, and Jefferies may distribute the prospectus supplement and the accompanying prospectus electronically.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validity of the issuance of the securities offered hereby will be passed upon by our counsel, Latham &amp; Watkins LLP, Menlo Park, California. Jefferies LLC is being represented in connection with this offering by Davis Polk &amp; Wardwell LLP, Menlo Park, California.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Ernst &amp; Young LLP, independent registered public accounting firm, has audited our financial statements included in our Annual Report on Form 10-K for the year ended December 31, 2020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have filed with the SEC a registration statement on Form S-3 under the Securities Act, of which this prospectus forms a part. The rules and regulations of the SEC allow us to omit from this prospectus supplement and the accompanying prospectus certain information included in the registration statement. For further information about us and the securities we are offering under this prospectus supplement and the accompanying prospectus, you should refer to the registration statement and the exhibits and schedules filed with the registration statement. With respect to the statements contained in this prospectus supplement and the accompanying prospectus regarding the contents of any agreement or any other document, in each instance, the statement is qualified in all respects by the complete text of the agreement or document, a copy of which has been filed as an exhibit to the registration statement.</w:t>
      </w:r>
    </w:p>
    <w:p>
      <w:pPr>
        <w:spacing w:after="0" w:line="190"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 xml:space="preserve">We file reports, proxy statements and other information with the SEC under the Exchange Act. The SEC maintains an Internet website that contains reports, proxy statements and other information about issuers, like us, that file electronically with the SEC. The address of that website is </w:t>
      </w:r>
      <w:r>
        <w:rPr>
          <w:rFonts w:ascii="Arial" w:cs="Arial" w:eastAsia="Arial" w:hAnsi="Arial"/>
          <w:sz w:val="19"/>
          <w:szCs w:val="19"/>
          <w:i w:val="1"/>
          <w:iCs w:val="1"/>
          <w:color w:val="auto"/>
        </w:rPr>
        <w:t>www.sec.gov</w:t>
      </w:r>
      <w:r>
        <w:rPr>
          <w:rFonts w:ascii="Arial" w:cs="Arial" w:eastAsia="Arial" w:hAnsi="Arial"/>
          <w:sz w:val="16"/>
          <w:szCs w:val="16"/>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SEC allows us to “incorporate by reference” the information we file with them which means that we can disclose important information to you by referring you to those documents instead of having to repeat the information in this prospectus supplement and the accompanying prospectus. The information incorporated by reference is considered to be part of this prospectus supplement and the accompanying prospectus, and later information that we file with the SEC will automatically update and supersede this information. Any statement contained in a previously filed document incorporated by reference will be deemed to be modified or superseded for purposes of this prospectus to the extent that a statement contained in this prospectus modifies or replaces that statement. 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Compensation Committee report and performance graph or any information furnished pursuant to Items 2.02 or 7.01 of Form 8-K or related exhibits furnished pursuant to Item 9.01 of Form 8-K.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incorporate by reference the documents set forth below that have previously been filed with the SEC:</w:t>
      </w:r>
    </w:p>
    <w:p>
      <w:pPr>
        <w:spacing w:after="0" w:line="225" w:lineRule="exact"/>
        <w:rPr>
          <w:sz w:val="20"/>
          <w:szCs w:val="20"/>
          <w:color w:val="auto"/>
        </w:rPr>
      </w:pPr>
    </w:p>
    <w:p>
      <w:pPr>
        <w:ind w:left="900" w:hanging="568"/>
        <w:spacing w:after="0"/>
        <w:tabs>
          <w:tab w:leader="none" w:pos="900" w:val="left"/>
        </w:tabs>
        <w:numPr>
          <w:ilvl w:val="0"/>
          <w:numId w:val="6"/>
        </w:numPr>
        <w:rPr>
          <w:rFonts w:ascii="Arial" w:cs="Arial" w:eastAsia="Arial" w:hAnsi="Arial"/>
          <w:sz w:val="18"/>
          <w:szCs w:val="18"/>
          <w:color w:val="0000FF"/>
        </w:rPr>
      </w:pPr>
      <w:hyperlink r:id="rId9">
        <w:r>
          <w:rPr>
            <w:rFonts w:ascii="Arial" w:cs="Arial" w:eastAsia="Arial" w:hAnsi="Arial"/>
            <w:sz w:val="18"/>
            <w:szCs w:val="18"/>
            <w:u w:val="single" w:color="auto"/>
            <w:color w:val="0000FF"/>
          </w:rPr>
          <w:t>our Annual Report on Form 10-K for the year ended December 31, 2020, filed with the SEC on March 8, 2021</w:t>
        </w:r>
      </w:hyperlink>
      <w:r>
        <w:rPr>
          <w:rFonts w:ascii="Arial" w:cs="Arial" w:eastAsia="Arial" w:hAnsi="Arial"/>
          <w:sz w:val="18"/>
          <w:szCs w:val="18"/>
          <w:color w:val="000000"/>
        </w:rPr>
        <w:t>;</w:t>
      </w:r>
    </w:p>
    <w:p>
      <w:pPr>
        <w:spacing w:after="0" w:line="90" w:lineRule="exact"/>
        <w:rPr>
          <w:rFonts w:ascii="Arial" w:cs="Arial" w:eastAsia="Arial" w:hAnsi="Arial"/>
          <w:sz w:val="18"/>
          <w:szCs w:val="18"/>
          <w:color w:val="0000FF"/>
        </w:rPr>
      </w:pPr>
    </w:p>
    <w:p>
      <w:pPr>
        <w:ind w:left="660" w:hanging="328"/>
        <w:spacing w:after="0" w:line="246" w:lineRule="auto"/>
        <w:tabs>
          <w:tab w:leader="none" w:pos="912" w:val="left"/>
        </w:tabs>
        <w:numPr>
          <w:ilvl w:val="0"/>
          <w:numId w:val="6"/>
        </w:numPr>
        <w:rPr>
          <w:rFonts w:ascii="Arial" w:cs="Arial" w:eastAsia="Arial" w:hAnsi="Arial"/>
          <w:sz w:val="18"/>
          <w:szCs w:val="18"/>
          <w:color w:val="0000FF"/>
        </w:rPr>
      </w:pPr>
      <w:hyperlink r:id="rId10">
        <w:r>
          <w:rPr>
            <w:rFonts w:ascii="Arial" w:cs="Arial" w:eastAsia="Arial" w:hAnsi="Arial"/>
            <w:sz w:val="18"/>
            <w:szCs w:val="18"/>
            <w:u w:val="single" w:color="auto"/>
            <w:color w:val="0000FF"/>
          </w:rPr>
          <w:t>the information specifically incorporated by reference into our Annual Report on Form 10-K for the year ended December 31, 2020 from our</w:t>
        </w:r>
      </w:hyperlink>
      <w:r>
        <w:rPr>
          <w:rFonts w:ascii="Arial" w:cs="Arial" w:eastAsia="Arial" w:hAnsi="Arial"/>
          <w:sz w:val="18"/>
          <w:szCs w:val="18"/>
          <w:u w:val="single" w:color="auto"/>
          <w:color w:val="0000FF"/>
        </w:rPr>
        <w:t xml:space="preserve"> </w:t>
      </w:r>
      <w:hyperlink r:id="rId10">
        <w:r>
          <w:rPr>
            <w:rFonts w:ascii="Arial" w:cs="Arial" w:eastAsia="Arial" w:hAnsi="Arial"/>
            <w:sz w:val="18"/>
            <w:szCs w:val="18"/>
            <w:u w:val="single" w:color="auto"/>
            <w:color w:val="0000FF"/>
          </w:rPr>
          <w:t>Definitive Proxy Statement on Schedule 14A filed with the SEC on April 30, 2021</w:t>
        </w:r>
        <w:r>
          <w:rPr>
            <w:rFonts w:ascii="Arial" w:cs="Arial" w:eastAsia="Arial" w:hAnsi="Arial"/>
            <w:sz w:val="18"/>
            <w:szCs w:val="18"/>
            <w:color w:val="000000"/>
          </w:rPr>
          <w:t>;</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1"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22"/>
          <w:szCs w:val="22"/>
          <w:color w:val="auto"/>
        </w:rPr>
        <w:t>S-10</w:t>
      </w:r>
    </w:p>
    <w:p>
      <w:pPr>
        <w:sectPr>
          <w:pgSz w:w="11900" w:h="16838" w:orient="portrait"/>
          <w:cols w:equalWidth="0" w:num="1">
            <w:col w:w="11240"/>
          </w:cols>
          <w:pgMar w:left="320" w:top="1408" w:right="339" w:bottom="1440" w:gutter="0" w:footer="0" w:header="0"/>
        </w:sectPr>
      </w:pPr>
    </w:p>
    <w:bookmarkStart w:id="12" w:name="page13"/>
    <w:bookmarkEnd w:id="12"/>
    <w:p>
      <w:pPr>
        <w:ind w:left="900" w:hanging="568"/>
        <w:spacing w:after="0"/>
        <w:tabs>
          <w:tab w:leader="none" w:pos="900" w:val="left"/>
        </w:tabs>
        <w:numPr>
          <w:ilvl w:val="0"/>
          <w:numId w:val="7"/>
        </w:numPr>
        <w:rPr>
          <w:rFonts w:ascii="Arial" w:cs="Arial" w:eastAsia="Arial" w:hAnsi="Arial"/>
          <w:sz w:val="18"/>
          <w:szCs w:val="18"/>
          <w:color w:val="0000FF"/>
        </w:rPr>
      </w:pPr>
      <w:hyperlink r:id="rId11">
        <w:r>
          <w:rPr>
            <w:rFonts w:ascii="Arial" w:cs="Arial" w:eastAsia="Arial" w:hAnsi="Arial"/>
            <w:sz w:val="18"/>
            <w:szCs w:val="18"/>
            <w:u w:val="single" w:color="auto"/>
            <w:color w:val="0000FF"/>
          </w:rPr>
          <w:t>our Quarterly Report on Form 10-Q for the quarter ended June 30, 2021 filed with the SEC on August 13, 2021</w:t>
        </w:r>
      </w:hyperlink>
      <w:r>
        <w:rPr>
          <w:rFonts w:ascii="Arial" w:cs="Arial" w:eastAsia="Arial" w:hAnsi="Arial"/>
          <w:sz w:val="18"/>
          <w:szCs w:val="18"/>
          <w:color w:val="000000"/>
        </w:rPr>
        <w:t>;</w:t>
      </w:r>
    </w:p>
    <w:p>
      <w:pPr>
        <w:spacing w:after="0" w:line="90" w:lineRule="exact"/>
        <w:rPr>
          <w:rFonts w:ascii="Arial" w:cs="Arial" w:eastAsia="Arial" w:hAnsi="Arial"/>
          <w:sz w:val="18"/>
          <w:szCs w:val="18"/>
          <w:color w:val="0000FF"/>
        </w:rPr>
      </w:pPr>
    </w:p>
    <w:p>
      <w:pPr>
        <w:ind w:left="660" w:hanging="328"/>
        <w:spacing w:after="0" w:line="246" w:lineRule="auto"/>
        <w:tabs>
          <w:tab w:leader="none" w:pos="655" w:val="left"/>
        </w:tabs>
        <w:numPr>
          <w:ilvl w:val="0"/>
          <w:numId w:val="7"/>
        </w:numPr>
        <w:rPr>
          <w:rFonts w:ascii="Arial" w:cs="Arial" w:eastAsia="Arial" w:hAnsi="Arial"/>
          <w:sz w:val="18"/>
          <w:szCs w:val="18"/>
          <w:color w:val="0000FF"/>
        </w:rPr>
      </w:pPr>
      <w:hyperlink r:id="rId12">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FF"/>
          </w:rPr>
          <w:t>October 14, 2020</w:t>
        </w:r>
        <w:r>
          <w:rPr>
            <w:rFonts w:ascii="Arial" w:cs="Arial" w:eastAsia="Arial" w:hAnsi="Arial"/>
            <w:sz w:val="18"/>
            <w:szCs w:val="18"/>
            <w:color w:val="auto"/>
          </w:rPr>
          <w:t xml:space="preserve">, </w:t>
        </w:r>
        <w:r>
          <w:rPr>
            <w:rFonts w:ascii="Arial" w:cs="Arial" w:eastAsia="Arial" w:hAnsi="Arial"/>
            <w:sz w:val="18"/>
            <w:szCs w:val="18"/>
            <w:u w:val="single" w:color="auto"/>
            <w:color w:val="0000FF"/>
          </w:rPr>
          <w:t>November 12, 2020</w:t>
        </w:r>
        <w:r>
          <w:rPr>
            <w:rFonts w:ascii="Arial" w:cs="Arial" w:eastAsia="Arial" w:hAnsi="Arial"/>
            <w:sz w:val="18"/>
            <w:szCs w:val="18"/>
            <w:color w:val="auto"/>
          </w:rPr>
          <w:t xml:space="preserve">, </w:t>
        </w:r>
        <w:r>
          <w:rPr>
            <w:rFonts w:ascii="Arial" w:cs="Arial" w:eastAsia="Arial" w:hAnsi="Arial"/>
            <w:sz w:val="18"/>
            <w:szCs w:val="18"/>
            <w:u w:val="single" w:color="auto"/>
            <w:color w:val="0000FF"/>
          </w:rPr>
          <w:t>March 15, 2021</w:t>
        </w:r>
        <w:r>
          <w:rPr>
            <w:rFonts w:ascii="Arial" w:cs="Arial" w:eastAsia="Arial" w:hAnsi="Arial"/>
            <w:sz w:val="18"/>
            <w:szCs w:val="18"/>
            <w:color w:val="auto"/>
          </w:rPr>
          <w:t xml:space="preserve">, </w:t>
        </w:r>
        <w:r>
          <w:rPr>
            <w:rFonts w:ascii="Arial" w:cs="Arial" w:eastAsia="Arial" w:hAnsi="Arial"/>
            <w:sz w:val="18"/>
            <w:szCs w:val="18"/>
            <w:u w:val="single" w:color="auto"/>
            <w:color w:val="0000FF"/>
          </w:rPr>
          <w:t>May 3, 2021</w:t>
        </w:r>
        <w:r>
          <w:rPr>
            <w:rFonts w:ascii="Arial" w:cs="Arial" w:eastAsia="Arial" w:hAnsi="Arial"/>
            <w:sz w:val="18"/>
            <w:szCs w:val="18"/>
            <w:color w:val="auto"/>
          </w:rPr>
          <w:t xml:space="preserve">, </w:t>
        </w:r>
        <w:r>
          <w:rPr>
            <w:rFonts w:ascii="Arial" w:cs="Arial" w:eastAsia="Arial" w:hAnsi="Arial"/>
            <w:sz w:val="18"/>
            <w:szCs w:val="18"/>
            <w:u w:val="single" w:color="auto"/>
            <w:color w:val="0000FF"/>
          </w:rPr>
          <w:t>June 21, 2021</w:t>
        </w:r>
        <w:r>
          <w:rPr>
            <w:rFonts w:ascii="Arial" w:cs="Arial" w:eastAsia="Arial" w:hAnsi="Arial"/>
            <w:sz w:val="18"/>
            <w:szCs w:val="18"/>
            <w:color w:val="auto"/>
          </w:rPr>
          <w:t xml:space="preserve">, </w:t>
        </w:r>
        <w:r>
          <w:rPr>
            <w:rFonts w:ascii="Arial" w:cs="Arial" w:eastAsia="Arial" w:hAnsi="Arial"/>
            <w:sz w:val="18"/>
            <w:szCs w:val="18"/>
            <w:u w:val="single" w:color="auto"/>
            <w:color w:val="0000FF"/>
          </w:rPr>
          <w:t>July</w:t>
        </w:r>
      </w:hyperlink>
      <w:r>
        <w:rPr>
          <w:rFonts w:ascii="Arial" w:cs="Arial" w:eastAsia="Arial" w:hAnsi="Arial"/>
          <w:sz w:val="18"/>
          <w:szCs w:val="18"/>
          <w:color w:val="auto"/>
        </w:rPr>
        <w:t xml:space="preserve"> </w:t>
      </w:r>
      <w:hyperlink r:id="rId12">
        <w:r>
          <w:rPr>
            <w:rFonts w:ascii="Arial" w:cs="Arial" w:eastAsia="Arial" w:hAnsi="Arial"/>
            <w:sz w:val="18"/>
            <w:szCs w:val="18"/>
            <w:u w:val="single" w:color="auto"/>
            <w:color w:val="0000FF"/>
          </w:rPr>
          <w:t>19, 2021</w:t>
        </w:r>
        <w:r>
          <w:rPr>
            <w:rFonts w:ascii="Arial" w:cs="Arial" w:eastAsia="Arial" w:hAnsi="Arial"/>
            <w:sz w:val="18"/>
            <w:szCs w:val="18"/>
            <w:color w:val="000000"/>
          </w:rPr>
          <w:t>,</w:t>
        </w:r>
        <w:r>
          <w:rPr>
            <w:rFonts w:ascii="Arial" w:cs="Arial" w:eastAsia="Arial" w:hAnsi="Arial"/>
            <w:sz w:val="18"/>
            <w:szCs w:val="18"/>
            <w:color w:val="0000FF"/>
          </w:rPr>
          <w:t xml:space="preserve"> </w:t>
        </w:r>
      </w:hyperlink>
      <w:hyperlink r:id="rId13">
        <w:r>
          <w:rPr>
            <w:rFonts w:ascii="Arial" w:cs="Arial" w:eastAsia="Arial" w:hAnsi="Arial"/>
            <w:sz w:val="18"/>
            <w:szCs w:val="18"/>
            <w:u w:val="single" w:color="auto"/>
            <w:color w:val="0000FF"/>
          </w:rPr>
          <w:t xml:space="preserve">July 30, 2021 </w:t>
        </w:r>
      </w:hyperlink>
      <w:hyperlink r:id="rId12">
        <w:r>
          <w:rPr>
            <w:rFonts w:ascii="Arial" w:cs="Arial" w:eastAsia="Arial" w:hAnsi="Arial"/>
            <w:sz w:val="18"/>
            <w:szCs w:val="18"/>
            <w:color w:val="000000"/>
          </w:rPr>
          <w:t>and</w:t>
        </w:r>
        <w:r>
          <w:rPr>
            <w:rFonts w:ascii="Arial" w:cs="Arial" w:eastAsia="Arial" w:hAnsi="Arial"/>
            <w:sz w:val="18"/>
            <w:szCs w:val="18"/>
            <w:color w:val="0000FF"/>
          </w:rPr>
          <w:t xml:space="preserve"> </w:t>
        </w:r>
      </w:hyperlink>
      <w:hyperlink r:id="rId14">
        <w:r>
          <w:rPr>
            <w:rFonts w:ascii="Arial" w:cs="Arial" w:eastAsia="Arial" w:hAnsi="Arial"/>
            <w:sz w:val="18"/>
            <w:szCs w:val="18"/>
            <w:u w:val="single" w:color="auto"/>
            <w:color w:val="0000FF"/>
          </w:rPr>
          <w:t>August 3, 2021</w:t>
        </w:r>
      </w:hyperlink>
      <w:hyperlink r:id="rId12">
        <w:r>
          <w:rPr>
            <w:rFonts w:ascii="Arial" w:cs="Arial" w:eastAsia="Arial" w:hAnsi="Arial"/>
            <w:sz w:val="18"/>
            <w:szCs w:val="18"/>
            <w:color w:val="000000"/>
          </w:rPr>
          <w:t>; and</w:t>
        </w:r>
      </w:hyperlink>
    </w:p>
    <w:p>
      <w:pPr>
        <w:spacing w:after="0" w:line="61" w:lineRule="exact"/>
        <w:rPr>
          <w:rFonts w:ascii="Arial" w:cs="Arial" w:eastAsia="Arial" w:hAnsi="Arial"/>
          <w:sz w:val="18"/>
          <w:szCs w:val="18"/>
          <w:color w:val="0000FF"/>
        </w:rPr>
      </w:pPr>
    </w:p>
    <w:p>
      <w:pPr>
        <w:ind w:left="660" w:right="20" w:hanging="328"/>
        <w:spacing w:after="0" w:line="246" w:lineRule="auto"/>
        <w:tabs>
          <w:tab w:leader="none" w:pos="912" w:val="left"/>
        </w:tabs>
        <w:numPr>
          <w:ilvl w:val="0"/>
          <w:numId w:val="7"/>
        </w:numPr>
        <w:rPr>
          <w:rFonts w:ascii="Arial" w:cs="Arial" w:eastAsia="Arial" w:hAnsi="Arial"/>
          <w:sz w:val="18"/>
          <w:szCs w:val="18"/>
          <w:color w:val="0000FF"/>
        </w:rPr>
      </w:pPr>
      <w:hyperlink r:id="rId15">
        <w:r>
          <w:rPr>
            <w:rFonts w:ascii="Arial" w:cs="Arial" w:eastAsia="Arial" w:hAnsi="Arial"/>
            <w:sz w:val="18"/>
            <w:szCs w:val="18"/>
            <w:u w:val="single" w:color="auto"/>
            <w:color w:val="0000FF"/>
          </w:rPr>
          <w:t>the description of our common stock contained in our registration statement on Form 8-A filed with the SEC on June 9, 2014, including any</w:t>
        </w:r>
      </w:hyperlink>
      <w:r>
        <w:rPr>
          <w:rFonts w:ascii="Arial" w:cs="Arial" w:eastAsia="Arial" w:hAnsi="Arial"/>
          <w:sz w:val="18"/>
          <w:szCs w:val="18"/>
          <w:u w:val="single" w:color="auto"/>
          <w:color w:val="0000FF"/>
        </w:rPr>
        <w:t xml:space="preserve"> </w:t>
      </w:r>
      <w:hyperlink r:id="rId15">
        <w:r>
          <w:rPr>
            <w:rFonts w:ascii="Arial" w:cs="Arial" w:eastAsia="Arial" w:hAnsi="Arial"/>
            <w:sz w:val="18"/>
            <w:szCs w:val="18"/>
            <w:u w:val="single" w:color="auto"/>
            <w:color w:val="0000FF"/>
          </w:rPr>
          <w:t>amendments or reports filed for the purpose of updating such description</w:t>
        </w:r>
        <w:r>
          <w:rPr>
            <w:rFonts w:ascii="Arial" w:cs="Arial" w:eastAsia="Arial" w:hAnsi="Arial"/>
            <w:sz w:val="18"/>
            <w:szCs w:val="18"/>
            <w:color w:val="000000"/>
          </w:rPr>
          <w:t>.</w:t>
        </w:r>
      </w:hyperlink>
    </w:p>
    <w:p>
      <w:pPr>
        <w:spacing w:after="0" w:line="311" w:lineRule="exact"/>
        <w:rPr>
          <w:rFonts w:ascii="Arial" w:cs="Arial" w:eastAsia="Arial" w:hAnsi="Arial"/>
          <w:sz w:val="18"/>
          <w:szCs w:val="18"/>
          <w:color w:val="auto"/>
        </w:rPr>
      </w:pPr>
    </w:p>
    <w:p>
      <w:pPr>
        <w:jc w:val="both"/>
        <w:spacing w:after="0" w:line="225" w:lineRule="auto"/>
        <w:rPr>
          <w:sz w:val="20"/>
          <w:szCs w:val="20"/>
          <w:color w:val="auto"/>
        </w:rPr>
      </w:pPr>
      <w:r>
        <w:rPr>
          <w:rFonts w:ascii="Arial" w:cs="Arial" w:eastAsia="Arial" w:hAnsi="Arial"/>
          <w:sz w:val="18"/>
          <w:szCs w:val="18"/>
          <w:color w:val="auto"/>
        </w:rPr>
        <w:t xml:space="preserve">These documents may also be accessed on our website at </w:t>
      </w:r>
      <w:r>
        <w:rPr>
          <w:rFonts w:ascii="Arial" w:cs="Arial" w:eastAsia="Arial" w:hAnsi="Arial"/>
          <w:sz w:val="21"/>
          <w:szCs w:val="21"/>
          <w:i w:val="1"/>
          <w:iCs w:val="1"/>
          <w:color w:val="auto"/>
        </w:rPr>
        <w:t>www.ardelyx.com</w:t>
      </w:r>
      <w:r>
        <w:rPr>
          <w:rFonts w:ascii="Arial" w:cs="Arial" w:eastAsia="Arial" w:hAnsi="Arial"/>
          <w:sz w:val="18"/>
          <w:szCs w:val="18"/>
          <w:color w:val="auto"/>
        </w:rPr>
        <w:t>. Except as otherwise specifically incorporated by reference in this prospectus supplement and the accompanying prospectus, information contained in, or accessible through, our website is not a part of this prospectus supplement and the accompanying prospectus.</w:t>
      </w:r>
    </w:p>
    <w:p>
      <w:pPr>
        <w:spacing w:after="0" w:line="3" w:lineRule="exact"/>
        <w:rPr>
          <w:rFonts w:ascii="Arial" w:cs="Arial" w:eastAsia="Arial" w:hAnsi="Arial"/>
          <w:sz w:val="18"/>
          <w:szCs w:val="18"/>
          <w:color w:val="auto"/>
        </w:rPr>
      </w:pPr>
    </w:p>
    <w:p>
      <w:pPr>
        <w:jc w:val="both"/>
        <w:spacing w:after="0" w:line="233" w:lineRule="auto"/>
        <w:rPr>
          <w:sz w:val="20"/>
          <w:szCs w:val="20"/>
          <w:color w:val="auto"/>
        </w:rPr>
      </w:pPr>
      <w:r>
        <w:rPr>
          <w:rFonts w:ascii="Arial" w:cs="Arial" w:eastAsia="Arial" w:hAnsi="Arial"/>
          <w:sz w:val="18"/>
          <w:szCs w:val="18"/>
          <w:color w:val="auto"/>
        </w:rPr>
        <w:t>We will furnish without charge to you, upon written or oral request, a copy of any or all of the documents incorporated by reference, including exhibits to these documents by writing or telephoning us at the following address:</w:t>
      </w:r>
    </w:p>
    <w:p>
      <w:pPr>
        <w:spacing w:after="0" w:line="201"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Ardelyx, Inc.</w:t>
      </w:r>
    </w:p>
    <w:p>
      <w:pPr>
        <w:jc w:val="center"/>
        <w:spacing w:after="0" w:line="219" w:lineRule="auto"/>
        <w:rPr>
          <w:sz w:val="20"/>
          <w:szCs w:val="20"/>
          <w:color w:val="auto"/>
        </w:rPr>
      </w:pPr>
      <w:r>
        <w:rPr>
          <w:rFonts w:ascii="Arial" w:cs="Arial" w:eastAsia="Arial" w:hAnsi="Arial"/>
          <w:sz w:val="18"/>
          <w:szCs w:val="18"/>
          <w:color w:val="auto"/>
        </w:rPr>
        <w:t>400 Fifth Avenue, Suite 210</w:t>
      </w:r>
    </w:p>
    <w:p>
      <w:pPr>
        <w:jc w:val="center"/>
        <w:spacing w:after="0" w:line="219" w:lineRule="auto"/>
        <w:rPr>
          <w:sz w:val="20"/>
          <w:szCs w:val="20"/>
          <w:color w:val="auto"/>
        </w:rPr>
      </w:pPr>
      <w:r>
        <w:rPr>
          <w:rFonts w:ascii="Arial" w:cs="Arial" w:eastAsia="Arial" w:hAnsi="Arial"/>
          <w:sz w:val="18"/>
          <w:szCs w:val="18"/>
          <w:color w:val="auto"/>
        </w:rPr>
        <w:t>Waltham, MA 02451</w:t>
      </w:r>
    </w:p>
    <w:p>
      <w:pPr>
        <w:jc w:val="center"/>
        <w:spacing w:after="0" w:line="219" w:lineRule="auto"/>
        <w:rPr>
          <w:sz w:val="20"/>
          <w:szCs w:val="20"/>
          <w:color w:val="auto"/>
        </w:rPr>
      </w:pPr>
      <w:r>
        <w:rPr>
          <w:rFonts w:ascii="Arial" w:cs="Arial" w:eastAsia="Arial" w:hAnsi="Arial"/>
          <w:sz w:val="18"/>
          <w:szCs w:val="18"/>
          <w:color w:val="auto"/>
        </w:rPr>
        <w:t>(510) 745-1700</w:t>
      </w:r>
    </w:p>
    <w:p>
      <w:pPr>
        <w:jc w:val="center"/>
        <w:spacing w:after="0"/>
        <w:rPr>
          <w:sz w:val="20"/>
          <w:szCs w:val="20"/>
          <w:color w:val="auto"/>
        </w:rPr>
      </w:pPr>
      <w:r>
        <w:rPr>
          <w:rFonts w:ascii="Arial" w:cs="Arial" w:eastAsia="Arial" w:hAnsi="Arial"/>
          <w:sz w:val="18"/>
          <w:szCs w:val="18"/>
          <w:color w:val="auto"/>
        </w:rPr>
        <w:t>Attention: Chief Legal and Administrative Officer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22"/>
          <w:szCs w:val="22"/>
          <w:color w:val="auto"/>
        </w:rPr>
        <w:t>S-11</w:t>
      </w:r>
    </w:p>
    <w:p>
      <w:pPr>
        <w:sectPr>
          <w:pgSz w:w="11900" w:h="16838" w:orient="portrait"/>
          <w:cols w:equalWidth="0" w:num="1">
            <w:col w:w="11240"/>
          </w:cols>
          <w:pgMar w:left="320" w:top="140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PROSPECTUS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146685</wp:posOffset>
            </wp:positionV>
            <wp:extent cx="4114800" cy="9429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extLst>
                    </a:blip>
                    <a:srcRect/>
                    <a:stretch>
                      <a:fillRect/>
                    </a:stretch>
                  </pic:blipFill>
                  <pic:spPr bwMode="auto">
                    <a:xfrm>
                      <a:off x="0" y="0"/>
                      <a:ext cx="411480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Common Stock</w:t>
      </w:r>
    </w:p>
    <w:p>
      <w:pPr>
        <w:jc w:val="center"/>
        <w:ind w:right="-19"/>
        <w:spacing w:after="0" w:line="234" w:lineRule="auto"/>
        <w:rPr>
          <w:sz w:val="20"/>
          <w:szCs w:val="20"/>
          <w:color w:val="auto"/>
        </w:rPr>
      </w:pPr>
      <w:r>
        <w:rPr>
          <w:rFonts w:ascii="Arial" w:cs="Arial" w:eastAsia="Arial" w:hAnsi="Arial"/>
          <w:sz w:val="25"/>
          <w:szCs w:val="25"/>
          <w:b w:val="1"/>
          <w:bCs w:val="1"/>
          <w:color w:val="auto"/>
        </w:rPr>
        <w:t>Preferred Stock</w:t>
      </w:r>
    </w:p>
    <w:p>
      <w:pPr>
        <w:jc w:val="center"/>
        <w:ind w:right="-19"/>
        <w:spacing w:after="0" w:line="225" w:lineRule="auto"/>
        <w:rPr>
          <w:sz w:val="20"/>
          <w:szCs w:val="20"/>
          <w:color w:val="auto"/>
        </w:rPr>
      </w:pPr>
      <w:r>
        <w:rPr>
          <w:rFonts w:ascii="Arial" w:cs="Arial" w:eastAsia="Arial" w:hAnsi="Arial"/>
          <w:sz w:val="25"/>
          <w:szCs w:val="25"/>
          <w:b w:val="1"/>
          <w:bCs w:val="1"/>
          <w:color w:val="auto"/>
        </w:rPr>
        <w:t>Debt Securities</w:t>
      </w:r>
    </w:p>
    <w:p>
      <w:pPr>
        <w:jc w:val="center"/>
        <w:ind w:right="-19"/>
        <w:spacing w:after="0" w:line="226" w:lineRule="auto"/>
        <w:rPr>
          <w:sz w:val="20"/>
          <w:szCs w:val="20"/>
          <w:color w:val="auto"/>
        </w:rPr>
      </w:pPr>
      <w:r>
        <w:rPr>
          <w:rFonts w:ascii="Arial" w:cs="Arial" w:eastAsia="Arial" w:hAnsi="Arial"/>
          <w:sz w:val="25"/>
          <w:szCs w:val="25"/>
          <w:b w:val="1"/>
          <w:bCs w:val="1"/>
          <w:color w:val="auto"/>
        </w:rPr>
        <w:t>Warrants</w:t>
      </w:r>
    </w:p>
    <w:p>
      <w:pPr>
        <w:jc w:val="center"/>
        <w:ind w:right="-1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0377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extLst>
                    </a:blip>
                    <a:srcRect/>
                    <a:stretch>
                      <a:fillRect/>
                    </a:stretch>
                  </pic:blipFill>
                  <pic:spPr bwMode="auto">
                    <a:xfrm>
                      <a:off x="0" y="0"/>
                      <a:ext cx="70377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280"/>
        <w:spacing w:after="0" w:line="228" w:lineRule="auto"/>
        <w:rPr>
          <w:sz w:val="20"/>
          <w:szCs w:val="20"/>
          <w:color w:val="auto"/>
        </w:rPr>
      </w:pPr>
      <w:r>
        <w:rPr>
          <w:rFonts w:ascii="Arial" w:cs="Arial" w:eastAsia="Arial" w:hAnsi="Arial"/>
          <w:sz w:val="18"/>
          <w:szCs w:val="18"/>
          <w:color w:val="auto"/>
        </w:rPr>
        <w:t>We may offer and sell up to $250,000,000 in the aggregate of the securities identified above from time to time in one or more offerings. This prospectus provides you with a general description of the securities.</w:t>
      </w:r>
    </w:p>
    <w:p>
      <w:pPr>
        <w:spacing w:after="0" w:line="1"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82"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0377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extLst>
                    </a:blip>
                    <a:srcRect/>
                    <a:stretch>
                      <a:fillRect/>
                    </a:stretch>
                  </pic:blipFill>
                  <pic:spPr bwMode="auto">
                    <a:xfrm>
                      <a:off x="0" y="0"/>
                      <a:ext cx="7037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560"/>
        <w:spacing w:after="0" w:line="236" w:lineRule="auto"/>
        <w:rPr>
          <w:sz w:val="20"/>
          <w:szCs w:val="20"/>
          <w:color w:val="auto"/>
        </w:rPr>
      </w:pPr>
      <w:r>
        <w:rPr>
          <w:rFonts w:ascii="Arial" w:cs="Arial" w:eastAsia="Arial" w:hAnsi="Arial"/>
          <w:sz w:val="18"/>
          <w:szCs w:val="18"/>
          <w:b w:val="1"/>
          <w:bCs w:val="1"/>
          <w:color w:val="auto"/>
        </w:rPr>
        <w:t>INVESTING IN OUR SECURITIES INVOLVES RISKS. SEE THE “RISK FACTORS” ON PAGE 5 OF THIS PROSPECTUS AND ANY SIMILAR SECTION CONTAINED IN THE APPLICABLE PROSPECTUS SUPPLEMENT CONCERNING FACTORS YOU SHOULD CONSIDER BEFORE INVESTING IN OUR SECURITIES.</w:t>
      </w:r>
    </w:p>
    <w:p>
      <w:pPr>
        <w:spacing w:after="0" w:line="20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Our common stock is listed on the Nasdaq Global Market under the symbol “ARDX.” On July 7, 2020, the last reported sale price of our common stock on the Nasdaq Global Market was $7.01 per share.</w:t>
      </w:r>
    </w:p>
    <w:p>
      <w:pPr>
        <w:spacing w:after="0" w:line="193"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0377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extLst>
                    </a:blip>
                    <a:srcRect/>
                    <a:stretch>
                      <a:fillRect/>
                    </a:stretch>
                  </pic:blipFill>
                  <pic:spPr bwMode="auto">
                    <a:xfrm>
                      <a:off x="0" y="0"/>
                      <a:ext cx="7037705" cy="825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0" w:type="dxa"/>
            <w:vAlign w:val="bottom"/>
            <w:gridSpan w:val="2"/>
          </w:tcPr>
          <w:p>
            <w:pPr>
              <w:jc w:val="center"/>
              <w:ind w:right="2840"/>
              <w:spacing w:after="0"/>
              <w:rPr>
                <w:sz w:val="20"/>
                <w:szCs w:val="20"/>
                <w:color w:val="auto"/>
              </w:rPr>
            </w:pPr>
            <w:r>
              <w:rPr>
                <w:rFonts w:ascii="Arial" w:cs="Arial" w:eastAsia="Arial" w:hAnsi="Arial"/>
                <w:sz w:val="18"/>
                <w:szCs w:val="18"/>
                <w:b w:val="1"/>
                <w:bCs w:val="1"/>
                <w:color w:val="auto"/>
                <w:w w:val="87"/>
              </w:rPr>
              <w:t>The date of this prospectus is , 2020.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75"/>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0" w:type="dxa"/>
            <w:vAlign w:val="bottom"/>
            <w:gridSpan w:val="2"/>
          </w:tcPr>
          <w:p>
            <w:pPr>
              <w:jc w:val="center"/>
              <w:ind w:right="284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2240" w:type="dxa"/>
            <w:vAlign w:val="bottom"/>
            <w:gridSpan w:val="7"/>
          </w:tcPr>
          <w:p>
            <w:pPr>
              <w:spacing w:after="0"/>
              <w:rPr>
                <w:rFonts w:ascii="Arial" w:cs="Arial" w:eastAsia="Arial" w:hAnsi="Arial"/>
                <w:sz w:val="18"/>
                <w:szCs w:val="18"/>
                <w:color w:val="0000FF"/>
                <w:w w:val="93"/>
              </w:rPr>
            </w:pPr>
            <w:hyperlink w:anchor="page15">
              <w:r>
                <w:rPr>
                  <w:rFonts w:ascii="Arial" w:cs="Arial" w:eastAsia="Arial" w:hAnsi="Arial"/>
                  <w:sz w:val="18"/>
                  <w:szCs w:val="18"/>
                  <w:color w:val="0000FF"/>
                  <w:w w:val="93"/>
                </w:rPr>
                <w:t>ABOUT THIS PROSPECTUS</w:t>
              </w:r>
            </w:hyperlink>
          </w:p>
        </w:tc>
        <w:tc>
          <w:tcPr>
            <w:tcW w:w="8780" w:type="dxa"/>
            <w:vAlign w:val="bottom"/>
            <w:gridSpan w:val="5"/>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auto"/>
              </w:rPr>
            </w:pPr>
            <w:hyperlink w:anchor="page15">
              <w:r>
                <w:rPr>
                  <w:rFonts w:ascii="Arial" w:cs="Arial" w:eastAsia="Arial" w:hAnsi="Arial"/>
                  <w:sz w:val="18"/>
                  <w:szCs w:val="18"/>
                  <w:color w:val="auto"/>
                </w:rPr>
                <w:t>1</w:t>
              </w:r>
            </w:hyperlink>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50"/>
        </w:trPr>
        <w:tc>
          <w:tcPr>
            <w:tcW w:w="6740" w:type="dxa"/>
            <w:vAlign w:val="bottom"/>
            <w:gridSpan w:val="11"/>
          </w:tcPr>
          <w:p>
            <w:pPr>
              <w:spacing w:after="0"/>
              <w:rPr>
                <w:rFonts w:ascii="Arial" w:cs="Arial" w:eastAsia="Arial" w:hAnsi="Arial"/>
                <w:sz w:val="18"/>
                <w:szCs w:val="18"/>
                <w:color w:val="0000EE"/>
                <w:w w:val="96"/>
              </w:rPr>
            </w:pPr>
            <w:hyperlink w:anchor="page16">
              <w:r>
                <w:rPr>
                  <w:rFonts w:ascii="Arial" w:cs="Arial" w:eastAsia="Arial" w:hAnsi="Arial"/>
                  <w:sz w:val="18"/>
                  <w:szCs w:val="18"/>
                  <w:color w:val="0000EE"/>
                  <w:w w:val="96"/>
                </w:rPr>
                <w:t>WHERE YOU CAN FIND MORE INFORMATION; INCORPORATION BY REFERENCE</w:t>
              </w:r>
            </w:hyperlink>
          </w:p>
        </w:tc>
        <w:tc>
          <w:tcPr>
            <w:tcW w:w="4280" w:type="dxa"/>
            <w:vAlign w:val="bottom"/>
          </w:tcPr>
          <w:p>
            <w:pPr>
              <w:spacing w:after="0"/>
              <w:rPr>
                <w:sz w:val="21"/>
                <w:szCs w:val="21"/>
                <w:color w:val="auto"/>
              </w:rPr>
            </w:pPr>
          </w:p>
        </w:tc>
        <w:tc>
          <w:tcPr>
            <w:tcW w:w="180" w:type="dxa"/>
            <w:vAlign w:val="bottom"/>
            <w:gridSpan w:val="2"/>
          </w:tcPr>
          <w:p>
            <w:pPr>
              <w:jc w:val="right"/>
              <w:spacing w:after="0"/>
              <w:rPr>
                <w:rFonts w:ascii="Arial" w:cs="Arial" w:eastAsia="Arial" w:hAnsi="Arial"/>
                <w:sz w:val="18"/>
                <w:szCs w:val="18"/>
                <w:color w:val="auto"/>
              </w:rPr>
            </w:pPr>
            <w:hyperlink w:anchor="page16">
              <w:r>
                <w:rPr>
                  <w:rFonts w:ascii="Arial" w:cs="Arial" w:eastAsia="Arial" w:hAnsi="Arial"/>
                  <w:sz w:val="18"/>
                  <w:szCs w:val="18"/>
                  <w:color w:val="auto"/>
                </w:rPr>
                <w:t>1</w:t>
              </w:r>
            </w:hyperlink>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720" w:type="dxa"/>
            <w:vAlign w:val="bottom"/>
            <w:shd w:val="clear" w:color="auto" w:fill="0000EE"/>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50"/>
        </w:trPr>
        <w:tc>
          <w:tcPr>
            <w:tcW w:w="1520" w:type="dxa"/>
            <w:vAlign w:val="bottom"/>
            <w:gridSpan w:val="3"/>
          </w:tcPr>
          <w:p>
            <w:pPr>
              <w:spacing w:after="0"/>
              <w:rPr>
                <w:rFonts w:ascii="Arial" w:cs="Arial" w:eastAsia="Arial" w:hAnsi="Arial"/>
                <w:sz w:val="18"/>
                <w:szCs w:val="18"/>
                <w:color w:val="0000FF"/>
                <w:w w:val="97"/>
              </w:rPr>
            </w:pPr>
            <w:hyperlink w:anchor="page18">
              <w:r>
                <w:rPr>
                  <w:rFonts w:ascii="Arial" w:cs="Arial" w:eastAsia="Arial" w:hAnsi="Arial"/>
                  <w:sz w:val="18"/>
                  <w:szCs w:val="18"/>
                  <w:color w:val="0000FF"/>
                  <w:w w:val="97"/>
                </w:rPr>
                <w:t>ABOUT ARDELYX</w:t>
              </w:r>
            </w:hyperlink>
          </w:p>
        </w:tc>
        <w:tc>
          <w:tcPr>
            <w:tcW w:w="5220" w:type="dxa"/>
            <w:vAlign w:val="bottom"/>
            <w:gridSpan w:val="8"/>
          </w:tcPr>
          <w:p>
            <w:pPr>
              <w:spacing w:after="0"/>
              <w:rPr>
                <w:sz w:val="21"/>
                <w:szCs w:val="21"/>
                <w:color w:val="auto"/>
              </w:rPr>
            </w:pPr>
          </w:p>
        </w:tc>
        <w:tc>
          <w:tcPr>
            <w:tcW w:w="4280" w:type="dxa"/>
            <w:vAlign w:val="bottom"/>
          </w:tcPr>
          <w:p>
            <w:pPr>
              <w:spacing w:after="0"/>
              <w:rPr>
                <w:sz w:val="21"/>
                <w:szCs w:val="21"/>
                <w:color w:val="auto"/>
              </w:rPr>
            </w:pPr>
          </w:p>
        </w:tc>
        <w:tc>
          <w:tcPr>
            <w:tcW w:w="180" w:type="dxa"/>
            <w:vAlign w:val="bottom"/>
            <w:gridSpan w:val="2"/>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3</w:t>
              </w:r>
            </w:hyperlink>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50"/>
        </w:trPr>
        <w:tc>
          <w:tcPr>
            <w:tcW w:w="1260" w:type="dxa"/>
            <w:vAlign w:val="bottom"/>
            <w:gridSpan w:val="2"/>
          </w:tcPr>
          <w:p>
            <w:pPr>
              <w:spacing w:after="0"/>
              <w:rPr>
                <w:rFonts w:ascii="Arial" w:cs="Arial" w:eastAsia="Arial" w:hAnsi="Arial"/>
                <w:sz w:val="18"/>
                <w:szCs w:val="18"/>
                <w:color w:val="0000EE"/>
                <w:w w:val="93"/>
              </w:rPr>
            </w:pPr>
            <w:hyperlink w:anchor="page18">
              <w:r>
                <w:rPr>
                  <w:rFonts w:ascii="Arial" w:cs="Arial" w:eastAsia="Arial" w:hAnsi="Arial"/>
                  <w:sz w:val="18"/>
                  <w:szCs w:val="18"/>
                  <w:color w:val="0000EE"/>
                  <w:w w:val="93"/>
                </w:rPr>
                <w:t>RISK FACTORS</w:t>
              </w:r>
            </w:hyperlink>
          </w:p>
        </w:tc>
        <w:tc>
          <w:tcPr>
            <w:tcW w:w="260" w:type="dxa"/>
            <w:vAlign w:val="bottom"/>
          </w:tcPr>
          <w:p>
            <w:pPr>
              <w:spacing w:after="0"/>
              <w:rPr>
                <w:sz w:val="21"/>
                <w:szCs w:val="21"/>
                <w:color w:val="auto"/>
              </w:rPr>
            </w:pPr>
          </w:p>
        </w:tc>
        <w:tc>
          <w:tcPr>
            <w:tcW w:w="9500" w:type="dxa"/>
            <w:vAlign w:val="bottom"/>
            <w:gridSpan w:val="9"/>
          </w:tcPr>
          <w:p>
            <w:pPr>
              <w:spacing w:after="0"/>
              <w:rPr>
                <w:sz w:val="21"/>
                <w:szCs w:val="21"/>
                <w:color w:val="auto"/>
              </w:rPr>
            </w:pPr>
          </w:p>
        </w:tc>
        <w:tc>
          <w:tcPr>
            <w:tcW w:w="180" w:type="dxa"/>
            <w:vAlign w:val="bottom"/>
            <w:gridSpan w:val="2"/>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3</w:t>
              </w:r>
            </w:hyperlink>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50"/>
        </w:trPr>
        <w:tc>
          <w:tcPr>
            <w:tcW w:w="11020" w:type="dxa"/>
            <w:vAlign w:val="bottom"/>
            <w:gridSpan w:val="12"/>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USE OF PROCEEDS</w:t>
              </w:r>
            </w:hyperlink>
          </w:p>
        </w:tc>
        <w:tc>
          <w:tcPr>
            <w:tcW w:w="180" w:type="dxa"/>
            <w:vAlign w:val="bottom"/>
            <w:gridSpan w:val="2"/>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3</w:t>
              </w:r>
            </w:hyperlink>
          </w:p>
        </w:tc>
      </w:tr>
      <w:tr>
        <w:trPr>
          <w:trHeight w:val="20"/>
        </w:trPr>
        <w:tc>
          <w:tcPr>
            <w:tcW w:w="78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50"/>
        </w:trPr>
        <w:tc>
          <w:tcPr>
            <w:tcW w:w="2880" w:type="dxa"/>
            <w:vAlign w:val="bottom"/>
            <w:gridSpan w:val="9"/>
          </w:tcPr>
          <w:p>
            <w:pPr>
              <w:spacing w:after="0"/>
              <w:rPr>
                <w:rFonts w:ascii="Arial" w:cs="Arial" w:eastAsia="Arial" w:hAnsi="Arial"/>
                <w:sz w:val="18"/>
                <w:szCs w:val="18"/>
                <w:color w:val="0000EE"/>
                <w:w w:val="95"/>
              </w:rPr>
            </w:pPr>
            <w:hyperlink w:anchor="page18">
              <w:r>
                <w:rPr>
                  <w:rFonts w:ascii="Arial" w:cs="Arial" w:eastAsia="Arial" w:hAnsi="Arial"/>
                  <w:sz w:val="18"/>
                  <w:szCs w:val="18"/>
                  <w:color w:val="0000EE"/>
                  <w:w w:val="95"/>
                </w:rPr>
                <w:t>DESCRIPTION OF CAPITAL STOCK</w:t>
              </w:r>
            </w:hyperlink>
          </w:p>
        </w:tc>
        <w:tc>
          <w:tcPr>
            <w:tcW w:w="8140" w:type="dxa"/>
            <w:vAlign w:val="bottom"/>
            <w:gridSpan w:val="3"/>
          </w:tcPr>
          <w:p>
            <w:pPr>
              <w:spacing w:after="0"/>
              <w:rPr>
                <w:sz w:val="21"/>
                <w:szCs w:val="21"/>
                <w:color w:val="auto"/>
              </w:rPr>
            </w:pPr>
          </w:p>
        </w:tc>
        <w:tc>
          <w:tcPr>
            <w:tcW w:w="180" w:type="dxa"/>
            <w:vAlign w:val="bottom"/>
            <w:gridSpan w:val="2"/>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3</w:t>
              </w:r>
            </w:hyperlink>
          </w:p>
        </w:tc>
      </w:tr>
      <w:tr>
        <w:trPr>
          <w:trHeight w:val="20"/>
        </w:trPr>
        <w:tc>
          <w:tcPr>
            <w:tcW w:w="78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50"/>
        </w:trPr>
        <w:tc>
          <w:tcPr>
            <w:tcW w:w="11020" w:type="dxa"/>
            <w:vAlign w:val="bottom"/>
            <w:gridSpan w:val="1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DESCRIPTION OF DEBT SECURITIES</w:t>
              </w:r>
            </w:hyperlink>
          </w:p>
        </w:tc>
        <w:tc>
          <w:tcPr>
            <w:tcW w:w="180" w:type="dxa"/>
            <w:vAlign w:val="bottom"/>
            <w:gridSpan w:val="2"/>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7</w:t>
              </w:r>
            </w:hyperlink>
          </w:p>
        </w:tc>
      </w:tr>
      <w:tr>
        <w:trPr>
          <w:trHeight w:val="20"/>
        </w:trPr>
        <w:tc>
          <w:tcPr>
            <w:tcW w:w="78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50"/>
        </w:trPr>
        <w:tc>
          <w:tcPr>
            <w:tcW w:w="3020" w:type="dxa"/>
            <w:vAlign w:val="bottom"/>
            <w:gridSpan w:val="10"/>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DESCRIPTION OF WARRANTS</w:t>
              </w:r>
            </w:hyperlink>
          </w:p>
        </w:tc>
        <w:tc>
          <w:tcPr>
            <w:tcW w:w="8000" w:type="dxa"/>
            <w:vAlign w:val="bottom"/>
            <w:gridSpan w:val="2"/>
          </w:tcPr>
          <w:p>
            <w:pPr>
              <w:spacing w:after="0"/>
              <w:rPr>
                <w:sz w:val="21"/>
                <w:szCs w:val="21"/>
                <w:color w:val="auto"/>
              </w:rPr>
            </w:pPr>
          </w:p>
        </w:tc>
        <w:tc>
          <w:tcPr>
            <w:tcW w:w="180" w:type="dxa"/>
            <w:vAlign w:val="bottom"/>
            <w:gridSpan w:val="2"/>
          </w:tcPr>
          <w:p>
            <w:pPr>
              <w:jc w:val="right"/>
              <w:spacing w:after="0"/>
              <w:rPr>
                <w:rFonts w:ascii="Arial" w:cs="Arial" w:eastAsia="Arial" w:hAnsi="Arial"/>
                <w:sz w:val="18"/>
                <w:szCs w:val="18"/>
                <w:color w:val="auto"/>
                <w:w w:val="79"/>
              </w:rPr>
            </w:pPr>
            <w:hyperlink w:anchor="page29">
              <w:r>
                <w:rPr>
                  <w:rFonts w:ascii="Arial" w:cs="Arial" w:eastAsia="Arial" w:hAnsi="Arial"/>
                  <w:sz w:val="18"/>
                  <w:szCs w:val="18"/>
                  <w:color w:val="auto"/>
                  <w:w w:val="79"/>
                </w:rPr>
                <w:t>14</w:t>
              </w:r>
            </w:hyperlink>
          </w:p>
        </w:tc>
      </w:tr>
      <w:tr>
        <w:trPr>
          <w:trHeight w:val="250"/>
        </w:trPr>
        <w:tc>
          <w:tcPr>
            <w:tcW w:w="2480" w:type="dxa"/>
            <w:vAlign w:val="bottom"/>
            <w:tcBorders>
              <w:top w:val="single" w:sz="8" w:color="0000FF"/>
            </w:tcBorders>
            <w:gridSpan w:val="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DESCRIPTION OF UNITS</w:t>
              </w:r>
            </w:hyperlink>
          </w:p>
        </w:tc>
        <w:tc>
          <w:tcPr>
            <w:tcW w:w="8540" w:type="dxa"/>
            <w:vAlign w:val="bottom"/>
            <w:gridSpan w:val="4"/>
          </w:tcPr>
          <w:p>
            <w:pPr>
              <w:spacing w:after="0"/>
              <w:rPr>
                <w:sz w:val="21"/>
                <w:szCs w:val="21"/>
                <w:color w:val="auto"/>
              </w:rPr>
            </w:pPr>
          </w:p>
        </w:tc>
        <w:tc>
          <w:tcPr>
            <w:tcW w:w="180" w:type="dxa"/>
            <w:vAlign w:val="bottom"/>
            <w:tcBorders>
              <w:top w:val="single" w:sz="8" w:color="auto"/>
            </w:tcBorders>
            <w:gridSpan w:val="2"/>
          </w:tcPr>
          <w:p>
            <w:pPr>
              <w:jc w:val="right"/>
              <w:spacing w:after="0"/>
              <w:rPr>
                <w:rFonts w:ascii="Arial" w:cs="Arial" w:eastAsia="Arial" w:hAnsi="Arial"/>
                <w:sz w:val="18"/>
                <w:szCs w:val="18"/>
                <w:color w:val="auto"/>
                <w:w w:val="79"/>
              </w:rPr>
            </w:pPr>
            <w:hyperlink w:anchor="page30">
              <w:r>
                <w:rPr>
                  <w:rFonts w:ascii="Arial" w:cs="Arial" w:eastAsia="Arial" w:hAnsi="Arial"/>
                  <w:sz w:val="18"/>
                  <w:szCs w:val="18"/>
                  <w:color w:val="auto"/>
                  <w:w w:val="79"/>
                </w:rPr>
                <w:t>15</w:t>
              </w:r>
            </w:hyperlink>
          </w:p>
        </w:tc>
      </w:tr>
      <w:tr>
        <w:trPr>
          <w:trHeight w:val="250"/>
        </w:trPr>
        <w:tc>
          <w:tcPr>
            <w:tcW w:w="2020" w:type="dxa"/>
            <w:vAlign w:val="bottom"/>
            <w:tcBorders>
              <w:top w:val="single" w:sz="8" w:color="0000EE"/>
            </w:tcBorders>
            <w:gridSpan w:val="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GLOBAL SECURITIES</w:t>
              </w:r>
            </w:hyperlink>
          </w:p>
        </w:tc>
        <w:tc>
          <w:tcPr>
            <w:tcW w:w="9000" w:type="dxa"/>
            <w:vAlign w:val="bottom"/>
            <w:gridSpan w:val="7"/>
          </w:tcPr>
          <w:p>
            <w:pPr>
              <w:spacing w:after="0"/>
              <w:rPr>
                <w:sz w:val="21"/>
                <w:szCs w:val="21"/>
                <w:color w:val="auto"/>
              </w:rPr>
            </w:pPr>
          </w:p>
        </w:tc>
        <w:tc>
          <w:tcPr>
            <w:tcW w:w="180" w:type="dxa"/>
            <w:vAlign w:val="bottom"/>
            <w:tcBorders>
              <w:top w:val="single" w:sz="8" w:color="auto"/>
            </w:tcBorders>
            <w:gridSpan w:val="2"/>
          </w:tcPr>
          <w:p>
            <w:pPr>
              <w:jc w:val="right"/>
              <w:spacing w:after="0"/>
              <w:rPr>
                <w:rFonts w:ascii="Arial" w:cs="Arial" w:eastAsia="Arial" w:hAnsi="Arial"/>
                <w:sz w:val="18"/>
                <w:szCs w:val="18"/>
                <w:color w:val="auto"/>
                <w:w w:val="79"/>
              </w:rPr>
            </w:pPr>
            <w:hyperlink w:anchor="page31">
              <w:r>
                <w:rPr>
                  <w:rFonts w:ascii="Arial" w:cs="Arial" w:eastAsia="Arial" w:hAnsi="Arial"/>
                  <w:sz w:val="18"/>
                  <w:szCs w:val="18"/>
                  <w:color w:val="auto"/>
                  <w:w w:val="79"/>
                </w:rPr>
                <w:t>16</w:t>
              </w:r>
            </w:hyperlink>
          </w:p>
        </w:tc>
      </w:tr>
      <w:tr>
        <w:trPr>
          <w:trHeight w:val="20"/>
        </w:trPr>
        <w:tc>
          <w:tcPr>
            <w:tcW w:w="78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960" w:type="dxa"/>
            <w:vAlign w:val="bottom"/>
            <w:gridSpan w:val="6"/>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r>
      <w:tr>
        <w:trPr>
          <w:trHeight w:val="250"/>
        </w:trPr>
        <w:tc>
          <w:tcPr>
            <w:tcW w:w="2060" w:type="dxa"/>
            <w:vAlign w:val="bottom"/>
            <w:tcBorders>
              <w:bottom w:val="single" w:sz="8" w:color="0000FF"/>
            </w:tcBorders>
            <w:gridSpan w:val="6"/>
          </w:tcPr>
          <w:p>
            <w:pPr>
              <w:spacing w:after="0"/>
              <w:rPr>
                <w:rFonts w:ascii="Arial" w:cs="Arial" w:eastAsia="Arial" w:hAnsi="Arial"/>
                <w:sz w:val="18"/>
                <w:szCs w:val="18"/>
                <w:color w:val="0000FF"/>
                <w:w w:val="97"/>
              </w:rPr>
            </w:pPr>
            <w:hyperlink w:anchor="page34">
              <w:r>
                <w:rPr>
                  <w:rFonts w:ascii="Arial" w:cs="Arial" w:eastAsia="Arial" w:hAnsi="Arial"/>
                  <w:sz w:val="18"/>
                  <w:szCs w:val="18"/>
                  <w:color w:val="0000FF"/>
                  <w:w w:val="97"/>
                </w:rPr>
                <w:t>PLAN OF DISTRIBUTION</w:t>
              </w:r>
            </w:hyperlink>
          </w:p>
        </w:tc>
        <w:tc>
          <w:tcPr>
            <w:tcW w:w="8960" w:type="dxa"/>
            <w:vAlign w:val="bottom"/>
            <w:gridSpan w:val="6"/>
          </w:tcPr>
          <w:p>
            <w:pPr>
              <w:spacing w:after="0"/>
              <w:rPr>
                <w:sz w:val="21"/>
                <w:szCs w:val="21"/>
                <w:color w:val="auto"/>
              </w:rPr>
            </w:pP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34">
              <w:r>
                <w:rPr>
                  <w:rFonts w:ascii="Arial" w:cs="Arial" w:eastAsia="Arial" w:hAnsi="Arial"/>
                  <w:sz w:val="18"/>
                  <w:szCs w:val="18"/>
                  <w:color w:val="auto"/>
                  <w:w w:val="79"/>
                </w:rPr>
                <w:t>19</w:t>
              </w:r>
            </w:hyperlink>
          </w:p>
        </w:tc>
      </w:tr>
      <w:tr>
        <w:trPr>
          <w:trHeight w:val="250"/>
        </w:trPr>
        <w:tc>
          <w:tcPr>
            <w:tcW w:w="11020" w:type="dxa"/>
            <w:vAlign w:val="bottom"/>
            <w:gridSpan w:val="1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MATTERS</w:t>
              </w:r>
            </w:hyperlink>
          </w:p>
        </w:tc>
        <w:tc>
          <w:tcPr>
            <w:tcW w:w="180" w:type="dxa"/>
            <w:vAlign w:val="bottom"/>
            <w:gridSpan w:val="2"/>
          </w:tcPr>
          <w:p>
            <w:pPr>
              <w:jc w:val="right"/>
              <w:spacing w:after="0"/>
              <w:rPr>
                <w:rFonts w:ascii="Arial" w:cs="Arial" w:eastAsia="Arial" w:hAnsi="Arial"/>
                <w:sz w:val="18"/>
                <w:szCs w:val="18"/>
                <w:color w:val="auto"/>
                <w:w w:val="79"/>
              </w:rPr>
            </w:pPr>
            <w:hyperlink w:anchor="page35">
              <w:r>
                <w:rPr>
                  <w:rFonts w:ascii="Arial" w:cs="Arial" w:eastAsia="Arial" w:hAnsi="Arial"/>
                  <w:sz w:val="18"/>
                  <w:szCs w:val="18"/>
                  <w:color w:val="auto"/>
                  <w:w w:val="79"/>
                </w:rPr>
                <w:t>20</w:t>
              </w:r>
            </w:hyperlink>
          </w:p>
        </w:tc>
      </w:tr>
      <w:tr>
        <w:trPr>
          <w:trHeight w:val="250"/>
        </w:trPr>
        <w:tc>
          <w:tcPr>
            <w:tcW w:w="78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EXPERTS</w:t>
              </w:r>
            </w:hyperlink>
          </w:p>
        </w:tc>
        <w:tc>
          <w:tcPr>
            <w:tcW w:w="740" w:type="dxa"/>
            <w:vAlign w:val="bottom"/>
            <w:tcBorders>
              <w:top w:val="single" w:sz="8" w:color="0000EE"/>
            </w:tcBorders>
            <w:gridSpan w:val="2"/>
          </w:tcPr>
          <w:p>
            <w:pPr>
              <w:spacing w:after="0"/>
              <w:rPr>
                <w:sz w:val="21"/>
                <w:szCs w:val="21"/>
                <w:color w:val="auto"/>
              </w:rPr>
            </w:pPr>
          </w:p>
        </w:tc>
        <w:tc>
          <w:tcPr>
            <w:tcW w:w="9500" w:type="dxa"/>
            <w:vAlign w:val="bottom"/>
            <w:gridSpan w:val="9"/>
          </w:tcPr>
          <w:p>
            <w:pPr>
              <w:spacing w:after="0"/>
              <w:rPr>
                <w:sz w:val="21"/>
                <w:szCs w:val="21"/>
                <w:color w:val="auto"/>
              </w:rPr>
            </w:pPr>
          </w:p>
        </w:tc>
        <w:tc>
          <w:tcPr>
            <w:tcW w:w="180" w:type="dxa"/>
            <w:vAlign w:val="bottom"/>
            <w:tcBorders>
              <w:top w:val="single" w:sz="8" w:color="auto"/>
              <w:bottom w:val="single" w:sz="8" w:color="auto"/>
            </w:tcBorders>
            <w:gridSpan w:val="2"/>
          </w:tcPr>
          <w:p>
            <w:pPr>
              <w:jc w:val="right"/>
              <w:spacing w:after="0"/>
              <w:rPr>
                <w:rFonts w:ascii="Arial" w:cs="Arial" w:eastAsia="Arial" w:hAnsi="Arial"/>
                <w:sz w:val="18"/>
                <w:szCs w:val="18"/>
                <w:color w:val="auto"/>
                <w:w w:val="79"/>
              </w:rPr>
            </w:pPr>
            <w:hyperlink w:anchor="page35">
              <w:r>
                <w:rPr>
                  <w:rFonts w:ascii="Arial" w:cs="Arial" w:eastAsia="Arial" w:hAnsi="Arial"/>
                  <w:sz w:val="18"/>
                  <w:szCs w:val="18"/>
                  <w:color w:val="auto"/>
                  <w:w w:val="79"/>
                </w:rPr>
                <w:t>21</w:t>
              </w:r>
            </w:hyperlink>
          </w:p>
        </w:tc>
      </w:tr>
    </w:tbl>
    <w:p>
      <w:pPr>
        <w:sectPr>
          <w:pgSz w:w="11900" w:h="16838" w:orient="portrait"/>
          <w:cols w:equalWidth="0" w:num="1">
            <w:col w:w="11200"/>
          </w:cols>
          <w:pgMar w:left="340" w:top="1404" w:right="359" w:bottom="1440" w:gutter="0" w:footer="0" w:header="0"/>
        </w:sectPr>
      </w:pPr>
    </w:p>
    <w:bookmarkStart w:id="15" w:name="page16"/>
    <w:bookmarkEnd w:id="15"/>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This prospectus is part of a registration statement that we filed with the U.S. Securities and Exchange Commission, or the SEC, using a “shelf” registration</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process. By using a shelf registration statement, we may sell securities from time to time and in one or more offerings up to a total dollar amount of</w:t>
      </w:r>
    </w:p>
    <w:p>
      <w:pPr>
        <w:spacing w:after="0"/>
        <w:rPr>
          <w:sz w:val="20"/>
          <w:szCs w:val="20"/>
          <w:color w:val="auto"/>
        </w:rPr>
      </w:pPr>
      <w:r>
        <w:rPr>
          <w:rFonts w:ascii="Arial" w:cs="Arial" w:eastAsia="Arial" w:hAnsi="Arial"/>
          <w:sz w:val="16"/>
          <w:szCs w:val="16"/>
          <w:color w:val="auto"/>
        </w:rPr>
        <w:t>$250,000,000 as described in this prospectus. Each time that we offer and sell securities, we will provide a prospectus supplement to this prospectus that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contains specific information about the securities being offered and sold and the specific terms of that offering. We may also authorize one or more free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writing prospectuses to be provided to you that may contain material information relating to these offerings. The prospectus supplement or free writing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prospectus may also add, update or change information contained in this prospectus with respect to that offering. If there is any inconsistency between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information in this prospectus and the applicable prospectus supplement or free writing prospectus, you should rely on the prospectus supplement or free</w:t>
      </w:r>
    </w:p>
    <w:p>
      <w:pPr>
        <w:spacing w:after="0" w:line="238" w:lineRule="auto"/>
        <w:rPr>
          <w:sz w:val="20"/>
          <w:szCs w:val="20"/>
          <w:color w:val="auto"/>
        </w:rPr>
      </w:pPr>
      <w:r>
        <w:rPr>
          <w:rFonts w:ascii="Arial" w:cs="Arial" w:eastAsia="Arial" w:hAnsi="Arial"/>
          <w:sz w:val="17"/>
          <w:szCs w:val="17"/>
          <w:color w:val="auto"/>
        </w:rPr>
        <w:t>writing prospectus, as applicable. Before purchasing any securities, you should carefully read both this prospectus and the applicable prospectus</w:t>
      </w:r>
    </w:p>
    <w:p>
      <w:pPr>
        <w:spacing w:after="0"/>
        <w:rPr>
          <w:sz w:val="20"/>
          <w:szCs w:val="20"/>
          <w:color w:val="auto"/>
        </w:rPr>
      </w:pPr>
      <w:r>
        <w:rPr>
          <w:rFonts w:ascii="Arial" w:cs="Arial" w:eastAsia="Arial" w:hAnsi="Arial"/>
          <w:sz w:val="16"/>
          <w:szCs w:val="16"/>
          <w:color w:val="auto"/>
        </w:rPr>
        <w:t>supplement (and any applicable free writing prospectuses), together with the additional information described under the heading “Where You Can Find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More Information; Incorporation by Reference.”</w:t>
      </w:r>
    </w:p>
    <w:p>
      <w:pPr>
        <w:spacing w:after="0" w:line="209"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We have not authorized anyone to provide you with any information or to make any representations other than those contained in, or incorporated by reference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w:t>
      </w:r>
    </w:p>
    <w:p>
      <w:pPr>
        <w:spacing w:after="0" w:line="4"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202" w:lineRule="exact"/>
        <w:rPr>
          <w:sz w:val="20"/>
          <w:szCs w:val="20"/>
          <w:color w:val="auto"/>
        </w:rPr>
      </w:pPr>
    </w:p>
    <w:p>
      <w:pPr>
        <w:jc w:val="both"/>
        <w:ind w:right="180"/>
        <w:spacing w:after="0" w:line="246" w:lineRule="auto"/>
        <w:rPr>
          <w:sz w:val="20"/>
          <w:szCs w:val="20"/>
          <w:color w:val="auto"/>
        </w:rPr>
      </w:pPr>
      <w:r>
        <w:rPr>
          <w:rFonts w:ascii="Arial" w:cs="Arial" w:eastAsia="Arial" w:hAnsi="Arial"/>
          <w:sz w:val="18"/>
          <w:szCs w:val="18"/>
          <w:color w:val="auto"/>
        </w:rPr>
        <w:t>When we refer to “Ardelyx,” “we,” “our,” “us” and the “Company” in this prospectus, we mean Ardelyx, Inc., unless otherwise specified. When we refer to “you,” we mean the potential holders of the applicable series of securities.</w:t>
      </w:r>
    </w:p>
    <w:p>
      <w:pPr>
        <w:spacing w:after="0" w:line="197" w:lineRule="exact"/>
        <w:rPr>
          <w:sz w:val="20"/>
          <w:szCs w:val="20"/>
          <w:color w:val="auto"/>
        </w:rPr>
      </w:pPr>
    </w:p>
    <w:p>
      <w:pPr>
        <w:jc w:val="both"/>
        <w:ind w:right="180"/>
        <w:spacing w:after="0" w:line="231" w:lineRule="auto"/>
        <w:rPr>
          <w:sz w:val="20"/>
          <w:szCs w:val="20"/>
          <w:color w:val="auto"/>
        </w:rPr>
      </w:pPr>
      <w:r>
        <w:rPr>
          <w:rFonts w:ascii="Arial" w:cs="Arial" w:eastAsia="Arial" w:hAnsi="Arial"/>
          <w:sz w:val="18"/>
          <w:szCs w:val="18"/>
          <w:color w:val="auto"/>
        </w:rPr>
        <w:t>Ardelyx® and our logo are some of our trademarks used in this prospectus. This prospectus also includes trademarks, tradenames, and service marks that are the property of other organizations. Solely for convenience, our trademarks and tradenames referred to in this prospectus appear without the ® and ™ symbols, but those references are not intended to indicate, in any way, that we will not assert, to the fullest extent under applicable law, our rights, or the right of the applicable licensor to these trademarks and tradenames.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Arial" w:cs="Arial" w:eastAsia="Arial" w:hAnsi="Arial"/>
          <w:sz w:val="17"/>
          <w:szCs w:val="17"/>
          <w:i w:val="1"/>
          <w:iCs w:val="1"/>
          <w:color w:val="auto"/>
        </w:rPr>
        <w:t>http://www.sec.gov</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40" w:right="339" w:bottom="1440" w:gutter="0" w:footer="0" w:header="0"/>
        </w:sectPr>
      </w:pPr>
    </w:p>
    <w:bookmarkStart w:id="16" w:name="page17"/>
    <w:bookmarkEnd w:id="16"/>
    <w:p>
      <w:pPr>
        <w:spacing w:after="0" w:line="274" w:lineRule="auto"/>
        <w:rPr>
          <w:sz w:val="20"/>
          <w:szCs w:val="20"/>
          <w:color w:val="auto"/>
        </w:rPr>
      </w:pPr>
      <w:r>
        <w:rPr>
          <w:rFonts w:ascii="Arial" w:cs="Arial" w:eastAsia="Arial" w:hAnsi="Arial"/>
          <w:sz w:val="17"/>
          <w:szCs w:val="17"/>
          <w:color w:val="auto"/>
        </w:rPr>
        <w:t xml:space="preserve">Our website address is </w:t>
      </w:r>
      <w:r>
        <w:rPr>
          <w:rFonts w:ascii="Arial" w:cs="Arial" w:eastAsia="Arial" w:hAnsi="Arial"/>
          <w:sz w:val="17"/>
          <w:szCs w:val="17"/>
          <w:i w:val="1"/>
          <w:iCs w:val="1"/>
          <w:color w:val="auto"/>
        </w:rPr>
        <w:t>www.ardelyx.com</w:t>
      </w:r>
      <w:r>
        <w:rPr>
          <w:rFonts w:ascii="Arial" w:cs="Arial" w:eastAsia="Arial" w:hAnsi="Arial"/>
          <w:sz w:val="17"/>
          <w:szCs w:val="17"/>
          <w:color w:val="auto"/>
        </w:rPr>
        <w:t>. The information on, or accessible through, our website, however, is not, and should not be deemed to be, a part of this prospectus or any prospectus supplement. We have included our website address as an inactive textual reference only.</w:t>
      </w:r>
    </w:p>
    <w:p>
      <w:pPr>
        <w:spacing w:after="0" w:line="175"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88" w:lineRule="exact"/>
        <w:rPr>
          <w:sz w:val="20"/>
          <w:szCs w:val="20"/>
          <w:color w:val="auto"/>
        </w:rPr>
      </w:pPr>
    </w:p>
    <w:p>
      <w:pPr>
        <w:ind w:right="220"/>
        <w:spacing w:after="0" w:line="196" w:lineRule="exact"/>
        <w:rPr>
          <w:sz w:val="20"/>
          <w:szCs w:val="20"/>
          <w:color w:val="auto"/>
        </w:rPr>
      </w:pPr>
      <w:r>
        <w:rPr>
          <w:rFonts w:ascii="Arial" w:cs="Arial" w:eastAsia="Arial" w:hAnsi="Arial"/>
          <w:sz w:val="18"/>
          <w:szCs w:val="18"/>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Compensation Committee report and performance graph or any information furnished pursuant to Items 2.02 or 7.01 of Form 8</w:t>
      </w:r>
      <w:r>
        <w:rPr>
          <w:rFonts w:ascii="MS PGothic" w:cs="MS PGothic" w:eastAsia="MS PGothic" w:hAnsi="MS PGothic"/>
          <w:sz w:val="18"/>
          <w:szCs w:val="18"/>
          <w:color w:val="auto"/>
        </w:rPr>
        <w:t>‑</w:t>
      </w:r>
      <w:r>
        <w:rPr>
          <w:rFonts w:ascii="Arial" w:cs="Arial" w:eastAsia="Arial" w:hAnsi="Arial"/>
          <w:sz w:val="18"/>
          <w:szCs w:val="18"/>
          <w:color w:val="auto"/>
        </w:rPr>
        <w:t>K or related exhibits furnished pursuant to Item 9.01 of Form 8</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2"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195" w:lineRule="exact"/>
        <w:rPr>
          <w:sz w:val="20"/>
          <w:szCs w:val="20"/>
          <w:color w:val="auto"/>
        </w:rPr>
      </w:pPr>
    </w:p>
    <w:p>
      <w:pPr>
        <w:ind w:left="660" w:hanging="328"/>
        <w:spacing w:after="0" w:line="207" w:lineRule="exact"/>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2019, filed with the SEC on March 6, 2020;</w:t>
      </w:r>
    </w:p>
    <w:p>
      <w:pPr>
        <w:ind w:left="660" w:right="400" w:hanging="328"/>
        <w:spacing w:after="0" w:line="201" w:lineRule="exact"/>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specifically incorporated by reference into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2019 from our Definitive Proxy Statement on Schedule 14A filed with the SEC on April 27, 2020;</w:t>
      </w:r>
    </w:p>
    <w:p>
      <w:pPr>
        <w:spacing w:after="0" w:line="203"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for the quarter ended March 31, 2020 filed with the SEC on May 7, 2020;</w:t>
      </w:r>
    </w:p>
    <w:p>
      <w:pPr>
        <w:spacing w:after="0" w:line="225"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Current Reports on Form 8</w:t>
      </w:r>
      <w:r>
        <w:rPr>
          <w:rFonts w:ascii="MS PGothic" w:cs="MS PGothic" w:eastAsia="MS PGothic" w:hAnsi="MS PGothic"/>
          <w:sz w:val="18"/>
          <w:szCs w:val="18"/>
          <w:color w:val="auto"/>
        </w:rPr>
        <w:t>‑</w:t>
      </w:r>
      <w:r>
        <w:rPr>
          <w:rFonts w:ascii="Arial" w:cs="Arial" w:eastAsia="Arial" w:hAnsi="Arial"/>
          <w:sz w:val="18"/>
          <w:szCs w:val="18"/>
          <w:color w:val="auto"/>
        </w:rPr>
        <w:t>K filed with the SEC on January 13, 2020, March 17, 2020 and June 10, 2020; and</w:t>
      </w:r>
    </w:p>
    <w:p>
      <w:pPr>
        <w:spacing w:after="0" w:line="225" w:lineRule="exact"/>
        <w:rPr>
          <w:rFonts w:ascii="Arial" w:cs="Arial" w:eastAsia="Arial" w:hAnsi="Arial"/>
          <w:sz w:val="18"/>
          <w:szCs w:val="18"/>
          <w:color w:val="auto"/>
        </w:rPr>
      </w:pPr>
    </w:p>
    <w:p>
      <w:pPr>
        <w:ind w:left="660" w:right="480" w:hanging="328"/>
        <w:spacing w:after="0" w:line="210" w:lineRule="exact"/>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w:t>
      </w:r>
      <w:r>
        <w:rPr>
          <w:rFonts w:ascii="MS PGothic" w:cs="MS PGothic" w:eastAsia="MS PGothic" w:hAnsi="MS PGothic"/>
          <w:sz w:val="18"/>
          <w:szCs w:val="18"/>
          <w:color w:val="auto"/>
        </w:rPr>
        <w:t>‑</w:t>
      </w:r>
      <w:r>
        <w:rPr>
          <w:rFonts w:ascii="Arial" w:cs="Arial" w:eastAsia="Arial" w:hAnsi="Arial"/>
          <w:sz w:val="18"/>
          <w:szCs w:val="18"/>
          <w:color w:val="auto"/>
        </w:rPr>
        <w:t>A filed with the SEC on June 9, 2014, including any amendments or reports filed for the purpose of updating such description.</w:t>
      </w:r>
    </w:p>
    <w:p>
      <w:pPr>
        <w:spacing w:after="0" w:line="202" w:lineRule="exact"/>
        <w:rPr>
          <w:sz w:val="20"/>
          <w:szCs w:val="20"/>
          <w:color w:val="auto"/>
        </w:rPr>
      </w:pPr>
    </w:p>
    <w:p>
      <w:pPr>
        <w:ind w:right="400"/>
        <w:spacing w:after="0" w:line="246" w:lineRule="auto"/>
        <w:rPr>
          <w:sz w:val="20"/>
          <w:szCs w:val="20"/>
          <w:color w:val="auto"/>
        </w:rPr>
      </w:pPr>
      <w:r>
        <w:rPr>
          <w:rFonts w:ascii="Arial" w:cs="Arial" w:eastAsia="Arial" w:hAnsi="Arial"/>
          <w:sz w:val="17"/>
          <w:szCs w:val="17"/>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98" w:lineRule="exact"/>
        <w:rPr>
          <w:sz w:val="20"/>
          <w:szCs w:val="20"/>
          <w:color w:val="auto"/>
        </w:rPr>
      </w:pPr>
    </w:p>
    <w:p>
      <w:pPr>
        <w:ind w:right="700"/>
        <w:spacing w:after="0" w:line="246" w:lineRule="auto"/>
        <w:rPr>
          <w:sz w:val="20"/>
          <w:szCs w:val="20"/>
          <w:color w:val="auto"/>
        </w:rPr>
      </w:pPr>
      <w:r>
        <w:rPr>
          <w:rFonts w:ascii="Arial" w:cs="Arial" w:eastAsia="Arial" w:hAnsi="Arial"/>
          <w:sz w:val="18"/>
          <w:szCs w:val="18"/>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408" w:right="3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Ardelyx, Inc.</w:t>
      </w:r>
    </w:p>
    <w:p>
      <w:pPr>
        <w:jc w:val="center"/>
        <w:spacing w:after="0" w:line="219" w:lineRule="auto"/>
        <w:rPr>
          <w:sz w:val="20"/>
          <w:szCs w:val="20"/>
          <w:color w:val="auto"/>
        </w:rPr>
      </w:pPr>
      <w:r>
        <w:rPr>
          <w:rFonts w:ascii="Arial" w:cs="Arial" w:eastAsia="Arial" w:hAnsi="Arial"/>
          <w:sz w:val="18"/>
          <w:szCs w:val="18"/>
          <w:color w:val="auto"/>
        </w:rPr>
        <w:t>34175 Ardenwood Blvd.</w:t>
      </w:r>
    </w:p>
    <w:p>
      <w:pPr>
        <w:jc w:val="center"/>
        <w:spacing w:after="0" w:line="219" w:lineRule="auto"/>
        <w:rPr>
          <w:sz w:val="20"/>
          <w:szCs w:val="20"/>
          <w:color w:val="auto"/>
        </w:rPr>
      </w:pPr>
      <w:r>
        <w:rPr>
          <w:rFonts w:ascii="Arial" w:cs="Arial" w:eastAsia="Arial" w:hAnsi="Arial"/>
          <w:sz w:val="18"/>
          <w:szCs w:val="18"/>
          <w:color w:val="auto"/>
        </w:rPr>
        <w:t>Fremont, CA 94555</w:t>
      </w:r>
    </w:p>
    <w:p>
      <w:pPr>
        <w:jc w:val="center"/>
        <w:spacing w:after="0" w:line="189" w:lineRule="exact"/>
        <w:rPr>
          <w:sz w:val="20"/>
          <w:szCs w:val="20"/>
          <w:color w:val="auto"/>
        </w:rPr>
      </w:pPr>
      <w:r>
        <w:rPr>
          <w:rFonts w:ascii="Arial" w:cs="Arial" w:eastAsia="Arial" w:hAnsi="Arial"/>
          <w:sz w:val="18"/>
          <w:szCs w:val="18"/>
          <w:color w:val="auto"/>
        </w:rPr>
        <w:t>(510)745</w:t>
      </w:r>
      <w:r>
        <w:rPr>
          <w:rFonts w:ascii="MS PGothic" w:cs="MS PGothic" w:eastAsia="MS PGothic" w:hAnsi="MS PGothic"/>
          <w:sz w:val="18"/>
          <w:szCs w:val="18"/>
          <w:color w:val="auto"/>
        </w:rPr>
        <w:t>‑</w:t>
      </w:r>
      <w:r>
        <w:rPr>
          <w:rFonts w:ascii="Arial" w:cs="Arial" w:eastAsia="Arial" w:hAnsi="Arial"/>
          <w:sz w:val="18"/>
          <w:szCs w:val="18"/>
          <w:color w:val="auto"/>
        </w:rPr>
        <w:t>1700</w:t>
      </w:r>
    </w:p>
    <w:p>
      <w:pPr>
        <w:jc w:val="center"/>
        <w:spacing w:after="0"/>
        <w:rPr>
          <w:sz w:val="20"/>
          <w:szCs w:val="20"/>
          <w:color w:val="auto"/>
        </w:rPr>
      </w:pPr>
      <w:r>
        <w:rPr>
          <w:rFonts w:ascii="Arial" w:cs="Arial" w:eastAsia="Arial" w:hAnsi="Arial"/>
          <w:sz w:val="18"/>
          <w:szCs w:val="18"/>
          <w:color w:val="auto"/>
        </w:rPr>
        <w:t>Attention: Chief Legal and Administrative Officer</w:t>
      </w:r>
    </w:p>
    <w:p>
      <w:pPr>
        <w:spacing w:after="0" w:line="209" w:lineRule="exact"/>
        <w:rPr>
          <w:sz w:val="20"/>
          <w:szCs w:val="20"/>
          <w:color w:val="auto"/>
        </w:rPr>
      </w:pPr>
    </w:p>
    <w:p>
      <w:pPr>
        <w:ind w:right="800"/>
        <w:spacing w:after="0" w:line="246"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and any accompanying prospectus supplement.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ARDELYX</w:t>
      </w:r>
    </w:p>
    <w:p>
      <w:pPr>
        <w:spacing w:after="0" w:line="229"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We are a specialized biopharmaceutical company focused on developing first-in-class medicines to improve treatment for people with kidney and cardiovascular diseases. This includes patients with chronic kidney disease, or CKD, on dialysis suffering from elevated serum phosphorus, or hyperphosphatemia; and CKD patients and/or heart failure patients with elevated serum potassium, or hyperkalemia. Our lead program is tenapanor, a first-in-class medicine for which we submitted a New Drug Application, or NDA, in June 2020 for the control of serum phosphorus in adult patients with CKD on dialysis. Tenapanor has a unique mechanism of action and acts locally in the gut to inhibit the sodium hydrogen exchanger 3, or NHE3. This results in the tightening of the epithelial cell junctions, thereby significantly reducing paracellular uptake of phosphate, the primary pathway of phosphate absorption.</w:t>
      </w:r>
    </w:p>
    <w:p>
      <w:pPr>
        <w:spacing w:after="0" w:line="190" w:lineRule="exact"/>
        <w:rPr>
          <w:sz w:val="20"/>
          <w:szCs w:val="20"/>
          <w:color w:val="auto"/>
        </w:rPr>
      </w:pPr>
    </w:p>
    <w:p>
      <w:pPr>
        <w:spacing w:after="0" w:line="209" w:lineRule="exact"/>
        <w:rPr>
          <w:sz w:val="20"/>
          <w:szCs w:val="20"/>
          <w:color w:val="auto"/>
        </w:rPr>
      </w:pPr>
      <w:r>
        <w:rPr>
          <w:rFonts w:ascii="Arial" w:cs="Arial" w:eastAsia="Arial" w:hAnsi="Arial"/>
          <w:sz w:val="16"/>
          <w:szCs w:val="16"/>
          <w:color w:val="auto"/>
        </w:rPr>
        <w:t>We were founded in October 2007 as a Delaware corporation under the name Nteryx, Inc. Our principal executive offices are located at 34175 Ardenwood Blvd., Fremont, CA 94555, and our telephone number is (510) 745</w:t>
      </w:r>
      <w:r>
        <w:rPr>
          <w:rFonts w:ascii="MS PGothic" w:cs="MS PGothic" w:eastAsia="MS PGothic" w:hAnsi="MS PGothic"/>
          <w:sz w:val="16"/>
          <w:szCs w:val="16"/>
          <w:color w:val="auto"/>
        </w:rPr>
        <w:t>‑</w:t>
      </w:r>
      <w:r>
        <w:rPr>
          <w:rFonts w:ascii="Arial" w:cs="Arial" w:eastAsia="Arial" w:hAnsi="Arial"/>
          <w:sz w:val="16"/>
          <w:szCs w:val="16"/>
          <w:color w:val="auto"/>
        </w:rPr>
        <w:t xml:space="preserve">1700. Our website address is </w:t>
      </w:r>
      <w:r>
        <w:rPr>
          <w:rFonts w:ascii="Arial" w:cs="Arial" w:eastAsia="Arial" w:hAnsi="Arial"/>
          <w:sz w:val="19"/>
          <w:szCs w:val="19"/>
          <w:i w:val="1"/>
          <w:iCs w:val="1"/>
          <w:color w:val="auto"/>
        </w:rPr>
        <w:t>www.ardelyx.com</w:t>
      </w:r>
      <w:r>
        <w:rPr>
          <w:rFonts w:ascii="Arial" w:cs="Arial" w:eastAsia="Arial" w:hAnsi="Arial"/>
          <w:sz w:val="16"/>
          <w:szCs w:val="16"/>
          <w:color w:val="auto"/>
        </w:rPr>
        <w:t>. The information on, or that can be accessed through, our website is not part of this prospectus and is not incorporated by reference herein. We have included our website address as an inactive textual reference only. References in this prospectus to “we,” “us,” “our,” “our company” or “Ardelyx” refer to Ardelyx,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00"/>
        <w:spacing w:after="0" w:line="196" w:lineRule="exact"/>
        <w:rPr>
          <w:sz w:val="20"/>
          <w:szCs w:val="20"/>
          <w:color w:val="auto"/>
        </w:rPr>
      </w:pPr>
      <w:r>
        <w:rPr>
          <w:rFonts w:ascii="Arial" w:cs="Arial" w:eastAsia="Arial" w:hAnsi="Arial"/>
          <w:sz w:val="17"/>
          <w:szCs w:val="17"/>
          <w:color w:val="auto"/>
        </w:rPr>
        <w:t>Investment in any securities offered pursuant to this prospectus and the applicable prospectus supplement involves risks. You should carefully consider the risk factors included in our most recent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our most recent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and any subsequent Quarterly Reports on Form 10</w:t>
      </w:r>
      <w:r>
        <w:rPr>
          <w:rFonts w:ascii="MS PGothic" w:cs="MS PGothic" w:eastAsia="MS PGothic" w:hAnsi="MS PGothic"/>
          <w:sz w:val="17"/>
          <w:szCs w:val="17"/>
          <w:color w:val="auto"/>
        </w:rPr>
        <w:t>‑</w:t>
      </w:r>
      <w:r>
        <w:rPr>
          <w:rFonts w:ascii="Arial" w:cs="Arial" w:eastAsia="Arial" w:hAnsi="Arial"/>
          <w:sz w:val="17"/>
          <w:szCs w:val="17"/>
          <w:color w:val="auto"/>
        </w:rPr>
        <w:t>Q or Current Reports on Form 8</w:t>
      </w:r>
      <w:r>
        <w:rPr>
          <w:rFonts w:ascii="MS PGothic" w:cs="MS PGothic" w:eastAsia="MS PGothic" w:hAnsi="MS PGothic"/>
          <w:sz w:val="17"/>
          <w:szCs w:val="17"/>
          <w:color w:val="auto"/>
        </w:rPr>
        <w:t>‑</w:t>
      </w:r>
      <w:r>
        <w:rPr>
          <w:rFonts w:ascii="Arial" w:cs="Arial" w:eastAsia="Arial" w:hAnsi="Arial"/>
          <w:sz w:val="17"/>
          <w:szCs w:val="17"/>
          <w:color w:val="auto"/>
        </w:rPr>
        <w:t>K we file after the date of this prospectus,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intend to use the net proceeds from the sale of the securities as set forth in the applicable prospectus supplement.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i w:val="1"/>
          <w:iCs w:val="1"/>
          <w:color w:val="auto"/>
        </w:rPr>
        <w:t>The following description of our capital stock is not complete and may not contain all the information you should consider before investing in our capital stock. This description is summarized from, and qualified in its entirety by reference to, our certificate of incorporation, which has been publicly filed with the SEC. See “Where You Can Find More Information; Incorporation by Reference.” For a complete description, you should refer to our amended and restated certificate of incorporation and amended and restated bylaws, copies of which are incorporated by reference as exhibits to the registration statement of which this prospectus is a part.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Our amended and restated certificate of incorporation authorizes 300,000,000 shares of common stock, $0.0001 par value per share, and 5,000,000 shares of preferred stock, $0.0001 par value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 2/3% of the voting power of all of the then outstanding voting stock will be required to take certain actions, including amending certain provisions of our amended and restated certificate of incorporation, such as the provisions relating to amending our amended and restated bylaws, the classified board and director liability.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In the event of our liquidation, dissolution or winding up, holders of our common stock will be entitled to share</w:t>
      </w:r>
    </w:p>
    <w:p>
      <w:pPr>
        <w:ind w:right="60"/>
        <w:spacing w:after="0" w:line="233" w:lineRule="auto"/>
        <w:rPr>
          <w:sz w:val="20"/>
          <w:szCs w:val="20"/>
          <w:color w:val="auto"/>
        </w:rPr>
      </w:pPr>
      <w:r>
        <w:rPr>
          <w:rFonts w:ascii="Arial" w:cs="Arial" w:eastAsia="Arial" w:hAnsi="Arial"/>
          <w:sz w:val="18"/>
          <w:szCs w:val="18"/>
          <w:color w:val="auto"/>
        </w:rPr>
        <w:t>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22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All of our outstanding shares of common stock are, and the shares of common stock to be issued in this offering will be, fully paid and nonassessable.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Our board of directors has the authority,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No shares of preferred stock are outstanding, and we have no present plan to issue any shares of preferred stock.</w:t>
      </w:r>
    </w:p>
    <w:p>
      <w:pPr>
        <w:spacing w:after="0" w:line="199"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b w:val="1"/>
          <w:bCs w:val="1"/>
          <w:color w:val="auto"/>
        </w:rPr>
        <w:t>Anti-Takeover Effects of Provisions of our Amended and Restated Certificate of Incorporation, our Amended and Restated Bylaws and Delaware Law</w:t>
      </w:r>
    </w:p>
    <w:p>
      <w:pPr>
        <w:spacing w:after="0" w:line="194"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Some provisions of Delaware law and our amended and restated certificate of incorporation and our amended and restated bylaws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4" w:right="339" w:bottom="1440" w:gutter="0" w:footer="0" w:header="0"/>
        </w:sectPr>
      </w:pPr>
    </w:p>
    <w:bookmarkStart w:id="19" w:name="page20"/>
    <w:bookmarkEnd w:id="19"/>
    <w:p>
      <w:pPr>
        <w:spacing w:after="0" w:line="211" w:lineRule="exact"/>
        <w:rPr>
          <w:sz w:val="20"/>
          <w:szCs w:val="20"/>
          <w:color w:val="auto"/>
        </w:rPr>
      </w:pPr>
    </w:p>
    <w:p>
      <w:pPr>
        <w:ind w:right="400"/>
        <w:spacing w:after="0" w:line="266" w:lineRule="auto"/>
        <w:rPr>
          <w:sz w:val="20"/>
          <w:szCs w:val="20"/>
          <w:color w:val="auto"/>
        </w:rPr>
      </w:pPr>
      <w:r>
        <w:rPr>
          <w:rFonts w:ascii="Arial" w:cs="Arial" w:eastAsia="Arial" w:hAnsi="Arial"/>
          <w:sz w:val="16"/>
          <w:szCs w:val="16"/>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225"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We are subject to the provisions of Section 203 of the Delaware General Corporation Law. Under Section 203, we would generally be prohibited from engaging in any business combination with any interested stockholder for a period of three years following the time that this stockholder became an interested stockholder unless:</w:t>
      </w:r>
    </w:p>
    <w:p>
      <w:pPr>
        <w:spacing w:after="0" w:line="202" w:lineRule="exact"/>
        <w:rPr>
          <w:sz w:val="20"/>
          <w:szCs w:val="20"/>
          <w:color w:val="auto"/>
        </w:rPr>
      </w:pPr>
    </w:p>
    <w:p>
      <w:pPr>
        <w:ind w:left="660" w:right="620" w:hanging="328"/>
        <w:spacing w:after="0" w:line="24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prior to this time, the board of directors of the corporation approved either the business combination or the transaction that resulted in the stockholder becoming an interested stockholder;</w:t>
      </w:r>
    </w:p>
    <w:p>
      <w:pPr>
        <w:spacing w:after="0" w:line="196"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the voting stock of the corporation outstanding at the time the transaction commenced, excluding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197" w:lineRule="exact"/>
        <w:rPr>
          <w:rFonts w:ascii="Arial" w:cs="Arial" w:eastAsia="Arial" w:hAnsi="Arial"/>
          <w:sz w:val="17"/>
          <w:szCs w:val="17"/>
          <w:color w:val="auto"/>
        </w:rPr>
      </w:pPr>
    </w:p>
    <w:p>
      <w:pPr>
        <w:ind w:left="660" w:right="220" w:hanging="328"/>
        <w:spacing w:after="0" w:line="235"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Under Section 203, a “business combination” includes:</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225" w:lineRule="exact"/>
        <w:rPr>
          <w:rFonts w:ascii="Arial" w:cs="Arial" w:eastAsia="Arial" w:hAnsi="Arial"/>
          <w:sz w:val="18"/>
          <w:szCs w:val="18"/>
          <w:color w:val="auto"/>
        </w:rPr>
      </w:pPr>
    </w:p>
    <w:p>
      <w:pPr>
        <w:ind w:left="660" w:right="200" w:hanging="328"/>
        <w:spacing w:after="0" w:line="24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transaction that results in the issuance or transfer by the corporation of any stock of the corporation to the interested stockholder, subject to limited exceptions;</w:t>
      </w:r>
    </w:p>
    <w:p>
      <w:pPr>
        <w:spacing w:after="0" w:line="196" w:lineRule="exact"/>
        <w:rPr>
          <w:rFonts w:ascii="Arial" w:cs="Arial" w:eastAsia="Arial" w:hAnsi="Arial"/>
          <w:sz w:val="18"/>
          <w:szCs w:val="18"/>
          <w:color w:val="auto"/>
        </w:rPr>
      </w:pPr>
    </w:p>
    <w:p>
      <w:pPr>
        <w:ind w:left="660" w:right="640" w:hanging="328"/>
        <w:spacing w:after="0" w:line="24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196" w:lineRule="exact"/>
        <w:rPr>
          <w:rFonts w:ascii="Arial" w:cs="Arial" w:eastAsia="Arial" w:hAnsi="Arial"/>
          <w:sz w:val="18"/>
          <w:szCs w:val="18"/>
          <w:color w:val="auto"/>
        </w:rPr>
      </w:pPr>
    </w:p>
    <w:p>
      <w:pPr>
        <w:ind w:left="660" w:right="440" w:hanging="328"/>
        <w:spacing w:after="0" w:line="24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97"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In general, Section 203 defines an interested stockholder as an entity or person beneficially owning 15% or more of the outstanding voting stock of the corporation and any entity or person affiliated with or controlling or controlled by such entity or person.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225"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140"/>
          </w:cols>
          <w:pgMar w:left="320" w:top="1440" w:right="4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225"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Our amended and restated bylaws provide that a special meeting of stockholders may be called only by our chairman of the board of directors, Chief Executive Officer or President, or by a resolution adopted by a majority of our board of directors.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225"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amended and restated certificate of incorporation eliminates the right of stockholders to act by written consent without a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Election and Removal of Directors; Filling Vacancies</w:t>
      </w:r>
    </w:p>
    <w:p>
      <w:pPr>
        <w:spacing w:after="0" w:line="225"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Our board of directors is divided into three classes. The directors in each class will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at least a 66 2/3% stockholder vote. Furthermore, any vacancy on our board of directors, however occurring, including a vacancy resulting from an increase in the size of our board, may only be filled by a resolution of the board of directors unless the board of directors determines that such vacancies shall be filled by the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Choice of Forum</w:t>
      </w:r>
    </w:p>
    <w:p>
      <w:pPr>
        <w:spacing w:after="0" w:line="225"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will be the exclusive forum for any derivative action or proceeding brought on our behalf; any action asserting a breach of fiduciary duty, or other wrongdoing by, any of our directors, officers, employees or stockholders; any action asserting a claim against us or any of our directors, officers or employees arising pursuant to the Delaware General Corporation Law, our amended and restated certificate of incorporation or our amended and restated bylaws; any action to interpret, apply, enforce or determine the validity of our amended and restated certificate of incorporation or our amended and restated bylaws; or any action asserting a claim against us or any of our directors, officers or employees that is governed by the internal affairs doctrine. Although our amended and restated certificate of incorporation contains the choice of forum provision described above, it is possible that a court could find that such a provision is inapplicable for a particular claim or action or that such provision is unenforceable.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225"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preferred stock, would require approval by holders of at least 66 2/3% of the voting power of our then outstanding voting stock.</w:t>
      </w:r>
    </w:p>
    <w:p>
      <w:pPr>
        <w:spacing w:after="0" w:line="197" w:lineRule="exact"/>
        <w:rPr>
          <w:sz w:val="20"/>
          <w:szCs w:val="20"/>
          <w:color w:val="auto"/>
        </w:rPr>
      </w:pPr>
    </w:p>
    <w:p>
      <w:pPr>
        <w:ind w:right="240"/>
        <w:spacing w:after="0" w:line="228" w:lineRule="auto"/>
        <w:rPr>
          <w:sz w:val="20"/>
          <w:szCs w:val="20"/>
          <w:color w:val="auto"/>
        </w:rPr>
      </w:pPr>
      <w:r>
        <w:rPr>
          <w:rFonts w:ascii="Arial" w:cs="Arial" w:eastAsia="Arial" w:hAnsi="Arial"/>
          <w:sz w:val="18"/>
          <w:szCs w:val="18"/>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229"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Our amended and restated certificate of incorporation contains provisions that limit the liability of our directors for monetary damages for breach of fiduciary duty as a director to the fullest extent permitted by Delaware law. Consequently, our directors will not be personally liable to us or our stockholders for monetary damages for any breach of fiduciary duties as directors, except liability for:</w:t>
      </w:r>
    </w:p>
    <w:p>
      <w:pPr>
        <w:spacing w:after="0" w:line="20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25" w:lineRule="exact"/>
        <w:rPr>
          <w:rFonts w:ascii="Arial" w:cs="Arial" w:eastAsia="Arial" w:hAnsi="Arial"/>
          <w:sz w:val="18"/>
          <w:szCs w:val="18"/>
          <w:color w:val="auto"/>
        </w:rPr>
      </w:pPr>
    </w:p>
    <w:p>
      <w:pPr>
        <w:ind w:left="660" w:right="220" w:hanging="328"/>
        <w:spacing w:after="0" w:line="24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we are required to indemnify our directors and officers, in each case to the fullest extent permitted by Delaware law. Our amended and restated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 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207"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limitation of liability and indemnification provisions in our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Nasdaq Global Market 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Market under the symbol “ARDX.”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 and registrar’s address is 6201 15th Avenue, Brooklyn, New York 11219.</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98"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00"/>
          </w:cols>
          <w:pgMar w:left="320" w:top="1404" w:right="379" w:bottom="1440" w:gutter="0" w:footer="0" w:header="0"/>
        </w:sectPr>
      </w:pPr>
    </w:p>
    <w:bookmarkStart w:id="22" w:name="page23"/>
    <w:bookmarkEnd w:id="22"/>
    <w:p>
      <w:pPr>
        <w:ind w:right="100"/>
        <w:spacing w:after="0" w:line="266" w:lineRule="auto"/>
        <w:rPr>
          <w:sz w:val="20"/>
          <w:szCs w:val="20"/>
          <w:color w:val="auto"/>
        </w:rPr>
      </w:pPr>
      <w:r>
        <w:rPr>
          <w:rFonts w:ascii="Arial" w:cs="Arial" w:eastAsia="Arial" w:hAnsi="Arial"/>
          <w:sz w:val="16"/>
          <w:szCs w:val="16"/>
          <w:color w:val="auto"/>
        </w:rPr>
        <w:t>The debt securities will be issued under an indenture between us and a third party to be identified therein.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83"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As used in this section only, “Ardelyx,” “we,” “our” or “us” refer to Ardelyx, Inc. excluding our subsidiaries, unless expressly stated or the context otherwise requires.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80"/>
        <w:spacing w:after="0" w:line="276" w:lineRule="auto"/>
        <w:rPr>
          <w:sz w:val="20"/>
          <w:szCs w:val="20"/>
          <w:color w:val="auto"/>
        </w:rPr>
      </w:pPr>
      <w:r>
        <w:rPr>
          <w:rFonts w:ascii="Arial" w:cs="Arial" w:eastAsia="Arial" w:hAnsi="Arial"/>
          <w:sz w:val="16"/>
          <w:szCs w:val="16"/>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75"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19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90" w:lineRule="exact"/>
        <w:rPr>
          <w:rFonts w:ascii="Arial" w:cs="Arial" w:eastAsia="Arial" w:hAnsi="Arial"/>
          <w:sz w:val="18"/>
          <w:szCs w:val="18"/>
          <w:color w:val="auto"/>
        </w:rPr>
      </w:pPr>
    </w:p>
    <w:p>
      <w:pPr>
        <w:ind w:left="660" w:hanging="328"/>
        <w:spacing w:after="0" w:line="23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67" w:lineRule="exact"/>
        <w:rPr>
          <w:rFonts w:ascii="Arial" w:cs="Arial" w:eastAsia="Arial" w:hAnsi="Arial"/>
          <w:sz w:val="18"/>
          <w:szCs w:val="18"/>
          <w:color w:val="auto"/>
        </w:rPr>
      </w:pPr>
    </w:p>
    <w:p>
      <w:pPr>
        <w:ind w:left="660" w:right="260" w:hanging="328"/>
        <w:spacing w:after="0" w:line="23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6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period or periods within which, the price or prices at which and the terms and conditions upon which we may redeem the debt securities;</w:t>
      </w:r>
    </w:p>
    <w:p>
      <w:pPr>
        <w:spacing w:after="0" w:line="101" w:lineRule="exact"/>
        <w:rPr>
          <w:rFonts w:ascii="Arial" w:cs="Arial" w:eastAsia="Arial" w:hAnsi="Arial"/>
          <w:sz w:val="17"/>
          <w:szCs w:val="17"/>
          <w:color w:val="auto"/>
        </w:rPr>
      </w:pPr>
    </w:p>
    <w:p>
      <w:pPr>
        <w:jc w:val="both"/>
        <w:ind w:left="660" w:right="100" w:hanging="328"/>
        <w:spacing w:after="0" w:line="23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66" w:lineRule="exact"/>
        <w:rPr>
          <w:rFonts w:ascii="Arial" w:cs="Arial" w:eastAsia="Arial" w:hAnsi="Arial"/>
          <w:sz w:val="18"/>
          <w:szCs w:val="18"/>
          <w:color w:val="auto"/>
        </w:rPr>
      </w:pPr>
    </w:p>
    <w:p>
      <w:pPr>
        <w:ind w:left="660" w:right="480" w:hanging="328"/>
        <w:spacing w:after="0" w:line="24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6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 if other than denominations of $1,000 and any integral multiple thereof;</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90" w:lineRule="exact"/>
        <w:rPr>
          <w:rFonts w:ascii="Arial" w:cs="Arial" w:eastAsia="Arial" w:hAnsi="Arial"/>
          <w:sz w:val="18"/>
          <w:szCs w:val="18"/>
          <w:color w:val="auto"/>
        </w:rPr>
      </w:pPr>
    </w:p>
    <w:p>
      <w:pPr>
        <w:ind w:left="660" w:right="460" w:hanging="328"/>
        <w:spacing w:after="0" w:line="24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61" w:lineRule="exact"/>
        <w:rPr>
          <w:rFonts w:ascii="Arial" w:cs="Arial" w:eastAsia="Arial" w:hAnsi="Arial"/>
          <w:sz w:val="18"/>
          <w:szCs w:val="18"/>
          <w:color w:val="auto"/>
        </w:rPr>
      </w:pPr>
    </w:p>
    <w:p>
      <w:pPr>
        <w:ind w:left="660" w:right="760" w:hanging="328"/>
        <w:spacing w:after="0" w:line="307"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8" w:right="339" w:bottom="1440" w:gutter="0" w:footer="0" w:header="0"/>
        </w:sectPr>
      </w:pPr>
    </w:p>
    <w:bookmarkStart w:id="23" w:name="page24"/>
    <w:bookmarkEnd w:id="23"/>
    <w:p>
      <w:pPr>
        <w:ind w:left="660" w:right="100" w:hanging="328"/>
        <w:spacing w:after="0" w:line="24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and interest on the debt securities will be made;</w:t>
      </w:r>
    </w:p>
    <w:p>
      <w:pPr>
        <w:spacing w:after="0" w:line="61" w:lineRule="exact"/>
        <w:rPr>
          <w:rFonts w:ascii="Arial" w:cs="Arial" w:eastAsia="Arial" w:hAnsi="Arial"/>
          <w:sz w:val="18"/>
          <w:szCs w:val="18"/>
          <w:color w:val="auto"/>
        </w:rPr>
      </w:pPr>
    </w:p>
    <w:p>
      <w:pPr>
        <w:ind w:left="660" w:right="160" w:hanging="328"/>
        <w:spacing w:after="0" w:line="307"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15" w:lineRule="exact"/>
        <w:rPr>
          <w:rFonts w:ascii="Arial" w:cs="Arial" w:eastAsia="Arial" w:hAnsi="Arial"/>
          <w:sz w:val="16"/>
          <w:szCs w:val="16"/>
          <w:color w:val="auto"/>
        </w:rPr>
      </w:pPr>
    </w:p>
    <w:p>
      <w:pPr>
        <w:ind w:left="660" w:right="140" w:hanging="328"/>
        <w:spacing w:after="0" w:line="235"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6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90" w:lineRule="exact"/>
        <w:rPr>
          <w:rFonts w:ascii="Arial" w:cs="Arial" w:eastAsia="Arial" w:hAnsi="Arial"/>
          <w:sz w:val="18"/>
          <w:szCs w:val="18"/>
          <w:color w:val="auto"/>
        </w:rPr>
      </w:pPr>
    </w:p>
    <w:p>
      <w:pPr>
        <w:ind w:left="660" w:right="240" w:hanging="328"/>
        <w:spacing w:after="0" w:line="307"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addition to, deletion of or change in the covenants described in this prospectus or in the indenture with respect to the debt securities;</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depositaries, interest rate calculation agents, exchange rate calculation agents or other agents with respect to the debt securities;</w:t>
      </w:r>
    </w:p>
    <w:p>
      <w:pPr>
        <w:spacing w:after="0" w:line="101" w:lineRule="exact"/>
        <w:rPr>
          <w:rFonts w:ascii="Arial" w:cs="Arial" w:eastAsia="Arial" w:hAnsi="Arial"/>
          <w:sz w:val="17"/>
          <w:szCs w:val="17"/>
          <w:color w:val="auto"/>
        </w:rPr>
      </w:pPr>
    </w:p>
    <w:p>
      <w:pPr>
        <w:ind w:left="660" w:right="80" w:hanging="328"/>
        <w:spacing w:after="0" w:line="235"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66" w:lineRule="exact"/>
        <w:rPr>
          <w:rFonts w:ascii="Arial" w:cs="Arial" w:eastAsia="Arial" w:hAnsi="Arial"/>
          <w:sz w:val="18"/>
          <w:szCs w:val="18"/>
          <w:color w:val="auto"/>
        </w:rPr>
      </w:pPr>
    </w:p>
    <w:p>
      <w:pPr>
        <w:ind w:left="660" w:right="20" w:hanging="328"/>
        <w:spacing w:after="0" w:line="307"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15" w:lineRule="exact"/>
        <w:rPr>
          <w:rFonts w:ascii="Arial" w:cs="Arial" w:eastAsia="Arial" w:hAnsi="Arial"/>
          <w:sz w:val="16"/>
          <w:szCs w:val="16"/>
          <w:color w:val="auto"/>
        </w:rPr>
      </w:pPr>
    </w:p>
    <w:p>
      <w:pPr>
        <w:ind w:left="660" w:right="220" w:hanging="328"/>
        <w:spacing w:after="0" w:line="24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 (Section 2.2)</w:t>
      </w:r>
    </w:p>
    <w:p>
      <w:pPr>
        <w:spacing w:after="0" w:line="62"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67"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229"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205" w:lineRule="exact"/>
        <w:rPr>
          <w:sz w:val="20"/>
          <w:szCs w:val="20"/>
          <w:color w:val="auto"/>
        </w:rPr>
      </w:pPr>
    </w:p>
    <w:p>
      <w:pPr>
        <w:ind w:right="280"/>
        <w:spacing w:after="0" w:line="276" w:lineRule="auto"/>
        <w:rPr>
          <w:sz w:val="20"/>
          <w:szCs w:val="20"/>
          <w:color w:val="auto"/>
        </w:rPr>
      </w:pPr>
      <w:r>
        <w:rPr>
          <w:rFonts w:ascii="Arial" w:cs="Arial" w:eastAsia="Arial" w:hAnsi="Arial"/>
          <w:sz w:val="16"/>
          <w:szCs w:val="16"/>
          <w:i w:val="1"/>
          <w:iCs w:val="1"/>
          <w:color w:val="auto"/>
        </w:rPr>
        <w:t>Certificated Debt Securities</w:t>
      </w:r>
      <w:r>
        <w:rPr>
          <w:rFonts w:ascii="Arial" w:cs="Arial" w:eastAsia="Arial" w:hAnsi="Arial"/>
          <w:sz w:val="16"/>
          <w:szCs w:val="16"/>
          <w:color w:val="auto"/>
        </w:rPr>
        <w:t>. You may transfer or exchange certificated debt securities at any office we maintain for this purpose in accordance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00"/>
          </w:cols>
          <w:pgMar w:left="320" w:top="1408" w:right="379" w:bottom="1440" w:gutter="0" w:footer="0" w:header="0"/>
        </w:sectPr>
      </w:pPr>
    </w:p>
    <w:bookmarkStart w:id="24" w:name="page25"/>
    <w:bookmarkEnd w:id="24"/>
    <w:p>
      <w:pPr>
        <w:jc w:val="both"/>
        <w:ind w:right="80"/>
        <w:spacing w:after="0" w:line="235"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02"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i w:val="1"/>
          <w:iCs w:val="1"/>
          <w:color w:val="auto"/>
        </w:rPr>
        <w:t>Global Debt Securities and Book-Entry System</w:t>
      </w:r>
      <w:r>
        <w:rPr>
          <w:rFonts w:ascii="Arial" w:cs="Arial" w:eastAsia="Arial" w:hAnsi="Arial"/>
          <w:sz w:val="17"/>
          <w:szCs w:val="17"/>
          <w:color w:val="auto"/>
        </w:rPr>
        <w:t>. Each global debt security representing book-entry debt securities will be deposited with, or on behalf of,</w:t>
      </w:r>
      <w:r>
        <w:rPr>
          <w:rFonts w:ascii="Arial" w:cs="Arial" w:eastAsia="Arial" w:hAnsi="Arial"/>
          <w:sz w:val="17"/>
          <w:szCs w:val="17"/>
          <w:i w:val="1"/>
          <w:iCs w:val="1"/>
          <w:color w:val="auto"/>
        </w:rPr>
        <w:t xml:space="preserve"> </w:t>
      </w:r>
      <w:r>
        <w:rPr>
          <w:rFonts w:ascii="Arial" w:cs="Arial" w:eastAsia="Arial" w:hAnsi="Arial"/>
          <w:sz w:val="17"/>
          <w:szCs w:val="17"/>
          <w:color w:val="auto"/>
        </w:rPr>
        <w:t>the Depositary, and registered in the name of the Depositary or a nominee of the Depositary. Please see “Global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 (Article IV)</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29" w:lineRule="exact"/>
        <w:rPr>
          <w:sz w:val="20"/>
          <w:szCs w:val="20"/>
          <w:color w:val="auto"/>
        </w:rPr>
      </w:pPr>
    </w:p>
    <w:p>
      <w:pPr>
        <w:jc w:val="both"/>
        <w:ind w:right="60"/>
        <w:spacing w:after="0" w:line="235"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29" w:lineRule="exact"/>
        <w:rPr>
          <w:sz w:val="20"/>
          <w:szCs w:val="20"/>
          <w:color w:val="auto"/>
        </w:rPr>
      </w:pPr>
    </w:p>
    <w:p>
      <w:pPr>
        <w:ind w:right="700"/>
        <w:spacing w:after="0" w:line="246"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(a “successor person”) unless:</w:t>
      </w:r>
    </w:p>
    <w:p>
      <w:pPr>
        <w:spacing w:after="0" w:line="197" w:lineRule="exact"/>
        <w:rPr>
          <w:sz w:val="20"/>
          <w:szCs w:val="20"/>
          <w:color w:val="auto"/>
        </w:rPr>
      </w:pPr>
    </w:p>
    <w:p>
      <w:pPr>
        <w:ind w:left="660" w:right="160" w:hanging="328"/>
        <w:spacing w:after="0" w:line="274"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are the surviving corporation or the successor person (if other than Ardelyx) is a corporation organized and validly existing under the laws of any U.S. domestic jurisdiction and expressly assumes our obligations on the debt securities and under the indenture; and</w:t>
      </w:r>
    </w:p>
    <w:p>
      <w:pPr>
        <w:spacing w:after="0" w:line="39"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above, any of our subsidiaries may consolidate with, merge into or transfer all or part of its properties to us. (Section 5.1)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225" w:lineRule="exact"/>
        <w:rPr>
          <w:sz w:val="20"/>
          <w:szCs w:val="20"/>
          <w:color w:val="auto"/>
        </w:rPr>
      </w:pPr>
    </w:p>
    <w:p>
      <w:pPr>
        <w:ind w:left="660" w:right="20" w:hanging="328"/>
        <w:spacing w:after="0" w:line="203" w:lineRule="exact"/>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w:t>
      </w:r>
      <w:r>
        <w:rPr>
          <w:rFonts w:ascii="MS PGothic" w:cs="MS PGothic" w:eastAsia="MS PGothic" w:hAnsi="MS PGothic"/>
          <w:sz w:val="18"/>
          <w:szCs w:val="18"/>
          <w:color w:val="auto"/>
        </w:rPr>
        <w:t>‑</w:t>
      </w:r>
      <w:r>
        <w:rPr>
          <w:rFonts w:ascii="Arial" w:cs="Arial" w:eastAsia="Arial" w:hAnsi="Arial"/>
          <w:sz w:val="18"/>
          <w:szCs w:val="18"/>
          <w:color w:val="auto"/>
        </w:rPr>
        <w:t>day period);</w:t>
      </w:r>
    </w:p>
    <w:p>
      <w:pPr>
        <w:spacing w:after="0" w:line="6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w:t>
      </w:r>
    </w:p>
    <w:p>
      <w:pPr>
        <w:spacing w:after="0" w:line="90" w:lineRule="exact"/>
        <w:rPr>
          <w:rFonts w:ascii="Arial" w:cs="Arial" w:eastAsia="Arial" w:hAnsi="Arial"/>
          <w:sz w:val="18"/>
          <w:szCs w:val="18"/>
          <w:color w:val="auto"/>
        </w:rPr>
      </w:pPr>
    </w:p>
    <w:p>
      <w:pPr>
        <w:ind w:left="660" w:right="80" w:hanging="328"/>
        <w:spacing w:after="0" w:line="246"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Ardelyx and the trustee receive written notice from the holders of not less than 25% in principal amount of the outstanding debt securities of that series as provided in the indenture;</w:t>
      </w:r>
    </w:p>
    <w:p>
      <w:pPr>
        <w:spacing w:after="0" w:line="62"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Ardelyx; and</w:t>
      </w:r>
    </w:p>
    <w:p>
      <w:pPr>
        <w:spacing w:after="0" w:line="90"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that is described in the applicable prospectus supplement. (Section 6.1)</w:t>
      </w:r>
    </w:p>
    <w:p>
      <w:pPr>
        <w:spacing w:after="0" w:line="62"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20"/>
          </w:cols>
          <w:pgMar w:left="320" w:top="1408" w:right="359" w:bottom="1440" w:gutter="0" w:footer="0" w:header="0"/>
        </w:sectPr>
      </w:pPr>
    </w:p>
    <w:bookmarkStart w:id="25" w:name="page26"/>
    <w:bookmarkEnd w:id="25"/>
    <w:p>
      <w:pPr>
        <w:spacing w:after="0" w:line="211" w:lineRule="exact"/>
        <w:rPr>
          <w:sz w:val="20"/>
          <w:szCs w:val="20"/>
          <w:color w:val="auto"/>
        </w:rPr>
      </w:pPr>
    </w:p>
    <w:p>
      <w:pPr>
        <w:jc w:val="both"/>
        <w:ind w:right="40"/>
        <w:spacing w:after="0" w:line="235"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93"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202"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9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that holder has previously given to the trustee written notice of a continuing Event of Default with respect to debt securities of that series; and</w:t>
      </w:r>
    </w:p>
    <w:p>
      <w:pPr>
        <w:spacing w:after="0" w:line="101" w:lineRule="exact"/>
        <w:rPr>
          <w:rFonts w:ascii="Arial" w:cs="Arial" w:eastAsia="Arial" w:hAnsi="Arial"/>
          <w:sz w:val="17"/>
          <w:szCs w:val="17"/>
          <w:color w:val="auto"/>
        </w:rPr>
      </w:pPr>
    </w:p>
    <w:p>
      <w:pPr>
        <w:ind w:left="660" w:right="40" w:hanging="328"/>
        <w:spacing w:after="0" w:line="23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67" w:lineRule="exact"/>
        <w:rPr>
          <w:sz w:val="20"/>
          <w:szCs w:val="20"/>
          <w:color w:val="auto"/>
        </w:rPr>
      </w:pPr>
    </w:p>
    <w:p>
      <w:pPr>
        <w:ind w:right="220"/>
        <w:spacing w:after="0" w:line="225"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1"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Modification and Waiver</w:t>
      </w:r>
    </w:p>
    <w:p>
      <w:pPr>
        <w:spacing w:after="0" w:line="337"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We and the trustee may modify, amend or supplement the indenture or the debt securities of any series without the consent of any holder of any debt security:</w:t>
      </w:r>
    </w:p>
    <w:p>
      <w:pPr>
        <w:spacing w:after="0" w:line="19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any series or secure debt securities of any series;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debt securities of any series;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 provide for the issuance of and establish the form and terms and conditions of debt securities of any series as permitted by the indenture;</w:t>
      </w:r>
    </w:p>
    <w:p>
      <w:pPr>
        <w:spacing w:after="0" w:line="101" w:lineRule="exact"/>
        <w:rPr>
          <w:rFonts w:ascii="Arial" w:cs="Arial" w:eastAsia="Arial" w:hAnsi="Arial"/>
          <w:sz w:val="17"/>
          <w:szCs w:val="17"/>
          <w:color w:val="auto"/>
        </w:rPr>
      </w:pPr>
    </w:p>
    <w:p>
      <w:pPr>
        <w:ind w:left="660" w:right="40" w:hanging="328"/>
        <w:spacing w:after="0" w:line="24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61" w:lineRule="exact"/>
        <w:rPr>
          <w:rFonts w:ascii="Arial" w:cs="Arial" w:eastAsia="Arial" w:hAnsi="Arial"/>
          <w:sz w:val="18"/>
          <w:szCs w:val="18"/>
          <w:color w:val="auto"/>
        </w:rPr>
      </w:pPr>
    </w:p>
    <w:p>
      <w:pPr>
        <w:ind w:left="660" w:right="280" w:hanging="328"/>
        <w:spacing w:after="0" w:line="24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 (Section 9.1)</w:t>
      </w:r>
    </w:p>
    <w:p>
      <w:pPr>
        <w:spacing w:after="0" w:line="6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20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90"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90" w:lineRule="exact"/>
        <w:rPr>
          <w:rFonts w:ascii="Arial" w:cs="Arial" w:eastAsia="Arial" w:hAnsi="Arial"/>
          <w:sz w:val="18"/>
          <w:szCs w:val="18"/>
          <w:color w:val="auto"/>
        </w:rPr>
      </w:pPr>
    </w:p>
    <w:p>
      <w:pPr>
        <w:ind w:left="660" w:right="100" w:hanging="328"/>
        <w:spacing w:after="0" w:line="235"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6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the principal of or premium or interest on any debt security payable in currency other than that stated in the debt security;</w:t>
      </w:r>
    </w:p>
    <w:p>
      <w:pPr>
        <w:spacing w:after="0" w:line="90" w:lineRule="exact"/>
        <w:rPr>
          <w:rFonts w:ascii="Arial" w:cs="Arial" w:eastAsia="Arial" w:hAnsi="Arial"/>
          <w:sz w:val="18"/>
          <w:szCs w:val="18"/>
          <w:color w:val="auto"/>
        </w:rPr>
      </w:pPr>
    </w:p>
    <w:p>
      <w:pPr>
        <w:ind w:left="660" w:right="20" w:hanging="328"/>
        <w:spacing w:after="0" w:line="235"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6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 (Section 9.3)</w:t>
      </w:r>
    </w:p>
    <w:p>
      <w:pPr>
        <w:spacing w:after="0" w:line="90"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20"/>
          </w:cols>
          <w:pgMar w:left="320" w:top="1404" w:right="359" w:bottom="1440" w:gutter="0" w:footer="0" w:header="0"/>
        </w:sectPr>
      </w:pPr>
    </w:p>
    <w:bookmarkStart w:id="27" w:name="page28"/>
    <w:bookmarkEnd w:id="27"/>
    <w:p>
      <w:pPr>
        <w:spacing w:after="0" w:line="253" w:lineRule="auto"/>
        <w:rPr>
          <w:sz w:val="20"/>
          <w:szCs w:val="20"/>
          <w:color w:val="auto"/>
        </w:rPr>
      </w:pPr>
      <w:r>
        <w:rPr>
          <w:rFonts w:ascii="Arial" w:cs="Arial" w:eastAsia="Arial" w:hAnsi="Arial"/>
          <w:sz w:val="17"/>
          <w:szCs w:val="17"/>
          <w:color w:val="auto"/>
        </w:rPr>
        <w:t>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229" w:lineRule="exact"/>
        <w:rPr>
          <w:sz w:val="20"/>
          <w:szCs w:val="20"/>
          <w:color w:val="auto"/>
        </w:rPr>
      </w:pPr>
    </w:p>
    <w:p>
      <w:pPr>
        <w:spacing w:after="0" w:line="238" w:lineRule="auto"/>
        <w:rPr>
          <w:sz w:val="20"/>
          <w:szCs w:val="20"/>
          <w:color w:val="auto"/>
        </w:rPr>
      </w:pPr>
      <w:r>
        <w:rPr>
          <w:rFonts w:ascii="Arial" w:cs="Arial" w:eastAsia="Arial" w:hAnsi="Arial"/>
          <w:sz w:val="17"/>
          <w:szCs w:val="17"/>
          <w:i w:val="1"/>
          <w:iCs w:val="1"/>
          <w:color w:val="auto"/>
        </w:rPr>
        <w:t>Legal Defeasance</w:t>
      </w:r>
      <w:r>
        <w:rPr>
          <w:rFonts w:ascii="Arial" w:cs="Arial" w:eastAsia="Arial" w:hAnsi="Arial"/>
          <w:sz w:val="17"/>
          <w:szCs w:val="17"/>
          <w:color w:val="auto"/>
        </w:rPr>
        <w:t>. The indenture provides that, unless otherwise provided by the terms of the applicable series of debt securities, we may be discharged</w:t>
      </w:r>
      <w:r>
        <w:rPr>
          <w:rFonts w:ascii="Arial" w:cs="Arial" w:eastAsia="Arial" w:hAnsi="Arial"/>
          <w:sz w:val="17"/>
          <w:szCs w:val="17"/>
          <w:i w:val="1"/>
          <w:iCs w:val="1"/>
          <w:color w:val="auto"/>
        </w:rPr>
        <w:t xml:space="preserve"> </w:t>
      </w:r>
      <w:r>
        <w:rPr>
          <w:rFonts w:ascii="Arial" w:cs="Arial" w:eastAsia="Arial" w:hAnsi="Arial"/>
          <w:sz w:val="17"/>
          <w:szCs w:val="17"/>
          <w:color w:val="auto"/>
        </w:rPr>
        <w:t>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204"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pacing w:after="0" w:line="204"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i w:val="1"/>
          <w:iCs w:val="1"/>
          <w:color w:val="auto"/>
        </w:rPr>
        <w:t>Defeasance of Certain Covenants</w:t>
      </w:r>
      <w:r>
        <w:rPr>
          <w:rFonts w:ascii="Arial" w:cs="Arial" w:eastAsia="Arial" w:hAnsi="Arial"/>
          <w:sz w:val="18"/>
          <w:szCs w:val="18"/>
          <w:color w:val="auto"/>
        </w:rPr>
        <w:t>. The indenture provides that, unless otherwise provided by the terms of the applicable series of debt securities, upon</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certain conditions:</w:t>
      </w:r>
    </w:p>
    <w:p>
      <w:pPr>
        <w:spacing w:after="0" w:line="197" w:lineRule="exact"/>
        <w:rPr>
          <w:sz w:val="20"/>
          <w:szCs w:val="20"/>
          <w:color w:val="auto"/>
        </w:rPr>
      </w:pPr>
    </w:p>
    <w:p>
      <w:pPr>
        <w:ind w:left="660" w:hanging="328"/>
        <w:spacing w:after="0" w:line="307"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15" w:lineRule="exact"/>
        <w:rPr>
          <w:rFonts w:ascii="Arial" w:cs="Arial" w:eastAsia="Arial" w:hAnsi="Arial"/>
          <w:sz w:val="16"/>
          <w:szCs w:val="16"/>
          <w:color w:val="auto"/>
        </w:rPr>
      </w:pPr>
    </w:p>
    <w:p>
      <w:pPr>
        <w:ind w:left="660" w:right="180" w:hanging="328"/>
        <w:spacing w:after="0" w:line="24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(“covenant defeasance”).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conditions include:</w:t>
      </w:r>
    </w:p>
    <w:p>
      <w:pPr>
        <w:spacing w:after="0" w:line="225" w:lineRule="exact"/>
        <w:rPr>
          <w:sz w:val="20"/>
          <w:szCs w:val="20"/>
          <w:color w:val="auto"/>
        </w:rPr>
      </w:pPr>
    </w:p>
    <w:p>
      <w:pPr>
        <w:ind w:left="660" w:hanging="328"/>
        <w:spacing w:after="0" w:line="22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67" w:lineRule="exact"/>
        <w:rPr>
          <w:rFonts w:ascii="Arial" w:cs="Arial" w:eastAsia="Arial" w:hAnsi="Arial"/>
          <w:sz w:val="18"/>
          <w:szCs w:val="18"/>
          <w:color w:val="auto"/>
        </w:rPr>
      </w:pPr>
    </w:p>
    <w:p>
      <w:pPr>
        <w:ind w:left="660" w:hanging="328"/>
        <w:spacing w:after="0"/>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beneficial owners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20"/>
          </w:cols>
          <w:pgMar w:left="320" w:top="1408"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 Personal Liability of Directors, Officers, Employees or Securityholders</w:t>
      </w:r>
    </w:p>
    <w:p>
      <w:pPr>
        <w:spacing w:after="0" w:line="22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w:t>
      </w:r>
    </w:p>
    <w:p>
      <w:pPr>
        <w:spacing w:after="0" w:line="202"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securities, will be governed by the laws of the State of New York.</w:t>
      </w:r>
    </w:p>
    <w:p>
      <w:pPr>
        <w:spacing w:after="0" w:line="197"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202"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right="260"/>
        <w:spacing w:after="0" w:line="239" w:lineRule="auto"/>
        <w:rPr>
          <w:sz w:val="20"/>
          <w:szCs w:val="20"/>
          <w:color w:val="auto"/>
        </w:rPr>
      </w:pPr>
      <w:r>
        <w:rPr>
          <w:rFonts w:ascii="Arial" w:cs="Arial" w:eastAsia="Arial" w:hAnsi="Arial"/>
          <w:sz w:val="17"/>
          <w:szCs w:val="17"/>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particular terms of any issue of warrants will be described in the prospectus supplement relating to the issue. Those terms may include:</w:t>
      </w:r>
    </w:p>
    <w:p>
      <w:pPr>
        <w:spacing w:after="0" w:line="225" w:lineRule="exact"/>
        <w:rPr>
          <w:sz w:val="20"/>
          <w:szCs w:val="20"/>
          <w:color w:val="auto"/>
        </w:rPr>
      </w:pPr>
    </w:p>
    <w:p>
      <w:pPr>
        <w:ind w:left="660" w:right="20" w:hanging="328"/>
        <w:spacing w:after="0" w:line="24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61" w:lineRule="exact"/>
        <w:rPr>
          <w:rFonts w:ascii="Arial" w:cs="Arial" w:eastAsia="Arial" w:hAnsi="Arial"/>
          <w:sz w:val="18"/>
          <w:szCs w:val="18"/>
          <w:color w:val="auto"/>
        </w:rPr>
      </w:pPr>
    </w:p>
    <w:p>
      <w:pPr>
        <w:ind w:left="660" w:right="20" w:hanging="328"/>
        <w:spacing w:after="0" w:line="24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61" w:lineRule="exact"/>
        <w:rPr>
          <w:rFonts w:ascii="Arial" w:cs="Arial" w:eastAsia="Arial" w:hAnsi="Arial"/>
          <w:sz w:val="18"/>
          <w:szCs w:val="18"/>
          <w:color w:val="auto"/>
        </w:rPr>
      </w:pPr>
    </w:p>
    <w:p>
      <w:pPr>
        <w:ind w:left="660" w:right="180" w:hanging="328"/>
        <w:spacing w:after="0" w:line="24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4" w:right="339" w:bottom="1440" w:gutter="0" w:footer="0" w:header="0"/>
        </w:sectPr>
      </w:pPr>
    </w:p>
    <w:bookmarkStart w:id="29" w:name="page30"/>
    <w:bookmarkEnd w:id="29"/>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date, if any, on and after which the warrants and the related debt securities, preferred stock or common stock will be separately transferable;</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United States Federal income tax consequences applicable to the warrants; and</w:t>
      </w:r>
    </w:p>
    <w:p>
      <w:pPr>
        <w:spacing w:after="0" w:line="90" w:lineRule="exact"/>
        <w:rPr>
          <w:rFonts w:ascii="Arial" w:cs="Arial" w:eastAsia="Arial" w:hAnsi="Arial"/>
          <w:sz w:val="18"/>
          <w:szCs w:val="18"/>
          <w:color w:val="auto"/>
        </w:rPr>
      </w:pPr>
    </w:p>
    <w:p>
      <w:pPr>
        <w:ind w:right="20" w:firstLine="332"/>
        <w:spacing w:after="0" w:line="371" w:lineRule="auto"/>
        <w:tabs>
          <w:tab w:leader="none" w:pos="643"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exercise and settlement of the warrants. Holders of equity warrants will not be entitled to:</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vote, consent or receive dividends;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receive notice as stockholders with respect to any meeting of stockholders for the election of our directors or any other matter; or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exercise any rights as stockholders of Ardelyx.</w:t>
      </w:r>
    </w:p>
    <w:p>
      <w:pPr>
        <w:spacing w:after="0" w:line="90"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98"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202"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202"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If we offer any units, certain terms of that series of units will be described in the applicable prospectus supplement, including, without limitation, the following, as applicable:</w:t>
      </w:r>
    </w:p>
    <w:p>
      <w:pPr>
        <w:spacing w:after="0" w:line="19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title of the series of units;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identification and description of the separate constituent securities comprising the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20"/>
          </w:cols>
          <w:pgMar w:left="320" w:top="1408" w:right="359" w:bottom="1440" w:gutter="0" w:footer="0" w:header="0"/>
        </w:sectPr>
      </w:pPr>
    </w:p>
    <w:bookmarkStart w:id="30" w:name="page31"/>
    <w:bookmarkEnd w:id="30"/>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price or prices at which the units will be issued;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if any, on and after which the constituent securities comprising the units will be separately transferable;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discussion of certain United States federal income tax considerations applicable to the units;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terms of the units and their constituent securities.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GLOBAL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229"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Unless we indicate differently in any applicable prospectus supplement,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DTC has advised us that it is:</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New York Banking Law;</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90"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204"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203" w:lineRule="exact"/>
        <w:rPr>
          <w:sz w:val="20"/>
          <w:szCs w:val="20"/>
          <w:color w:val="auto"/>
        </w:rPr>
      </w:pPr>
    </w:p>
    <w:p>
      <w:pPr>
        <w:ind w:right="340"/>
        <w:spacing w:after="0" w:line="246" w:lineRule="auto"/>
        <w:rPr>
          <w:sz w:val="20"/>
          <w:szCs w:val="20"/>
          <w:color w:val="auto"/>
        </w:rPr>
      </w:pPr>
      <w:r>
        <w:rPr>
          <w:rFonts w:ascii="Arial" w:cs="Arial" w:eastAsia="Arial" w:hAnsi="Arial"/>
          <w:sz w:val="17"/>
          <w:szCs w:val="17"/>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00"/>
          </w:cols>
          <w:pgMar w:left="320" w:top="1408" w:right="379" w:bottom="1440" w:gutter="0" w:footer="0" w:header="0"/>
        </w:sectPr>
      </w:pPr>
    </w:p>
    <w:bookmarkStart w:id="31" w:name="page32"/>
    <w:bookmarkEnd w:id="31"/>
    <w:p>
      <w:pPr>
        <w:ind w:right="120"/>
        <w:spacing w:after="0" w:line="228" w:lineRule="auto"/>
        <w:rPr>
          <w:sz w:val="20"/>
          <w:szCs w:val="20"/>
          <w:color w:val="auto"/>
        </w:rPr>
      </w:pPr>
      <w:r>
        <w:rPr>
          <w:rFonts w:ascii="Arial" w:cs="Arial" w:eastAsia="Arial" w:hAnsi="Arial"/>
          <w:sz w:val="18"/>
          <w:szCs w:val="18"/>
          <w:color w:val="auto"/>
        </w:rPr>
        <w:t>accounts the securities are credited, which may or may not be the beneficial owners. The participants are responsible for keeping account of their holdings on behalf of their customers.</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203" w:lineRule="exact"/>
        <w:rPr>
          <w:sz w:val="20"/>
          <w:szCs w:val="20"/>
          <w:color w:val="auto"/>
        </w:rPr>
      </w:pPr>
    </w:p>
    <w:p>
      <w:pPr>
        <w:ind w:right="40"/>
        <w:spacing w:after="0" w:line="307" w:lineRule="auto"/>
        <w:rPr>
          <w:sz w:val="20"/>
          <w:szCs w:val="20"/>
          <w:color w:val="auto"/>
        </w:rPr>
      </w:pPr>
      <w:r>
        <w:rPr>
          <w:rFonts w:ascii="Arial" w:cs="Arial" w:eastAsia="Arial" w:hAnsi="Arial"/>
          <w:sz w:val="16"/>
          <w:szCs w:val="16"/>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50"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97" w:lineRule="exact"/>
        <w:rPr>
          <w:sz w:val="20"/>
          <w:szCs w:val="20"/>
          <w:color w:val="auto"/>
        </w:rPr>
      </w:pPr>
    </w:p>
    <w:p>
      <w:pPr>
        <w:jc w:val="both"/>
        <w:ind w:right="180"/>
        <w:spacing w:after="0" w:line="276" w:lineRule="auto"/>
        <w:rPr>
          <w:sz w:val="20"/>
          <w:szCs w:val="20"/>
          <w:color w:val="auto"/>
        </w:rPr>
      </w:pPr>
      <w:r>
        <w:rPr>
          <w:rFonts w:ascii="Arial" w:cs="Arial" w:eastAsia="Arial" w:hAnsi="Arial"/>
          <w:sz w:val="16"/>
          <w:szCs w:val="16"/>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75"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204"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91"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20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97"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175"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As noted above, beneficial owners of a particular series of securities generally will not receive certificates representing their ownership interests in those securities. However,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08" w:right="339" w:bottom="1440" w:gutter="0" w:footer="0" w:header="0"/>
        </w:sectPr>
      </w:pPr>
    </w:p>
    <w:bookmarkStart w:id="32" w:name="page33"/>
    <w:bookmarkEnd w:id="32"/>
    <w:p>
      <w:pPr>
        <w:ind w:left="660" w:right="20" w:hanging="328"/>
        <w:spacing w:after="0" w:line="23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6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determine, in our sole discretion, not to have such securities represented by one or more global securities; or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with respect to such series of securities,</w:t>
      </w:r>
    </w:p>
    <w:p>
      <w:pPr>
        <w:spacing w:after="0" w:line="90"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202"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We have obtained the information in this section and elsewhere in this prospectus concerning DTC and DTC’s book-entry system from sources that are believed to be reliable, but we take no responsibility for the accuracy of this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Euroclear and Clearstream</w:t>
      </w:r>
    </w:p>
    <w:p>
      <w:pPr>
        <w:spacing w:after="0" w:line="225"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20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202"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202"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9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192"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Due to time zone differences, the securities accounts of a participant in Euroclear or Clearstream purchasing an interest in a global security from a direct participant in DTC will be credited, and any such crediting will be reported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20"/>
          </w:cols>
          <w:pgMar w:left="320" w:top="1408" w:right="359" w:bottom="1440" w:gutter="0" w:footer="0" w:header="0"/>
        </w:sectPr>
      </w:pPr>
    </w:p>
    <w:bookmarkStart w:id="33" w:name="page34"/>
    <w:bookmarkEnd w:id="33"/>
    <w:p>
      <w:pPr>
        <w:spacing w:after="0" w:line="228" w:lineRule="auto"/>
        <w:rPr>
          <w:sz w:val="20"/>
          <w:szCs w:val="20"/>
          <w:color w:val="auto"/>
        </w:rPr>
      </w:pPr>
      <w:r>
        <w:rPr>
          <w:rFonts w:ascii="Arial" w:cs="Arial" w:eastAsia="Arial" w:hAnsi="Arial"/>
          <w:sz w:val="18"/>
          <w:szCs w:val="18"/>
          <w:color w:val="auto"/>
        </w:rPr>
        <w:t>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We may sell the securities from time to time pursuant to underwritten public offerings, “at the market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20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90"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202"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75"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97"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08" w:right="339" w:bottom="1440" w:gutter="0" w:footer="0" w:header="0"/>
        </w:sectPr>
      </w:pPr>
    </w:p>
    <w:bookmarkStart w:id="34" w:name="page35"/>
    <w:bookmarkEnd w:id="34"/>
    <w:p>
      <w:pPr>
        <w:ind w:right="40"/>
        <w:spacing w:after="0" w:line="258" w:lineRule="auto"/>
        <w:rPr>
          <w:sz w:val="20"/>
          <w:szCs w:val="20"/>
          <w:color w:val="auto"/>
        </w:rPr>
      </w:pPr>
      <w:r>
        <w:rPr>
          <w:rFonts w:ascii="Arial" w:cs="Arial" w:eastAsia="Arial" w:hAnsi="Arial"/>
          <w:sz w:val="16"/>
          <w:szCs w:val="16"/>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90"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Any common stock or preferred stock will be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207"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p>
    <w:p>
      <w:pPr>
        <w:spacing w:after="0" w:line="5"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Latham &amp; Watkins LLP will pass upon certain legal matters relating to the issuance and sale of the securities offered hereby on behalf of Ardelyx, Inc. Additional legal matters may be passed upon for us or any underwriters, dealers or agents by counsel that we will name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20"/>
          </w:cols>
          <w:pgMar w:left="320" w:top="1408" w:right="359" w:bottom="1440" w:gutter="0" w:footer="0" w:header="0"/>
        </w:sectPr>
      </w:pPr>
    </w:p>
    <w:bookmarkStart w:id="35" w:name="page36"/>
    <w:bookmarkEnd w:id="35"/>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spacing w:after="0" w:line="199" w:lineRule="exact"/>
        <w:rPr>
          <w:sz w:val="20"/>
          <w:szCs w:val="20"/>
          <w:color w:val="auto"/>
        </w:rPr>
      </w:pPr>
      <w:r>
        <w:rPr>
          <w:rFonts w:ascii="Arial" w:cs="Arial" w:eastAsia="Arial" w:hAnsi="Arial"/>
          <w:sz w:val="17"/>
          <w:szCs w:val="17"/>
          <w:color w:val="auto"/>
        </w:rPr>
        <w:t>Ernst &amp; Young LLP, independent registered public accounting firm, has audited our financial statements included in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year ended December 31, 2019, and the effectiveness of our internal control over financial reporting as of December 31, 2019,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21</w:t>
      </w:r>
    </w:p>
    <w:sectPr>
      <w:pgSz w:w="11900" w:h="16838" w:orient="portrait"/>
      <w:cols w:equalWidth="0" w:num="1">
        <w:col w:w="11080"/>
      </w:cols>
      <w:pgMar w:left="320" w:top="140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16" Type="http://schemas.openxmlformats.org/officeDocument/2006/relationships/image" Target="media/image2.jpe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9" Type="http://schemas.openxmlformats.org/officeDocument/2006/relationships/hyperlink" Target="https://www.sec.gov/ix?doc=/Archives/edgar/data/1437402/000155837021002500/ardx-20201231x10k.htm" TargetMode="External"/><Relationship Id="rId10" Type="http://schemas.openxmlformats.org/officeDocument/2006/relationships/hyperlink" Target="https://www.sec.gov/Archives/edgar/data/1437402/000114036121015380/nc10023793x1_def14a.htm" TargetMode="External"/><Relationship Id="rId11" Type="http://schemas.openxmlformats.org/officeDocument/2006/relationships/hyperlink" Target="http://www.sec.gov/ix?doc=/Archives/edgar/data/1437402/000162828021016912/ardx-20210630.htm" TargetMode="External"/><Relationship Id="rId12" Type="http://schemas.openxmlformats.org/officeDocument/2006/relationships/hyperlink" Target="https://www.sec.gov/ix?doc=/Archives/edgar/data/1437402/000162828021014021/ardx-20210713.htm" TargetMode="External"/><Relationship Id="rId13" Type="http://schemas.openxmlformats.org/officeDocument/2006/relationships/hyperlink" Target="http://www.sec.gov/ix?doc=/Archives/edgar/data/1437402/000162828021014943/ardx-20210728.htm" TargetMode="External"/><Relationship Id="rId14" Type="http://schemas.openxmlformats.org/officeDocument/2006/relationships/hyperlink" Target="http://www.sec.gov/ix?doc=/Archives/edgar/data/1437402/000162828021015215/ardx-20210729.htm" TargetMode="External"/><Relationship Id="rId15" Type="http://schemas.openxmlformats.org/officeDocument/2006/relationships/hyperlink" Target="https://www.sec.gov/Archives/edgar/data/1437402/000119312514230441/d740908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2021-08-13T15:18:59Z</dcterms:created>
  <dcterms:modified xsi:type="dcterms:W3CDTF">2021-08-13T15:18:59Z</dcterms:modified>
</cp:coreProperties>
</file>