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Statement No. 333-205631</w:t>
      </w:r>
    </w:p>
    <w:p>
      <w:pPr>
        <w:spacing w:after="0" w:line="212" w:lineRule="exact"/>
        <w:rPr>
          <w:sz w:val="24"/>
          <w:szCs w:val="24"/>
          <w:color w:val="auto"/>
        </w:rPr>
      </w:pPr>
    </w:p>
    <w:p>
      <w:pPr>
        <w:ind w:right="100"/>
        <w:spacing w:after="0" w:line="239" w:lineRule="auto"/>
        <w:rPr>
          <w:sz w:val="20"/>
          <w:szCs w:val="20"/>
          <w:color w:val="auto"/>
        </w:rPr>
      </w:pPr>
      <w:r>
        <w:rPr>
          <w:rFonts w:ascii="Arial" w:cs="Arial" w:eastAsia="Arial" w:hAnsi="Arial"/>
          <w:sz w:val="18"/>
          <w:szCs w:val="18"/>
          <w:color w:val="FF4040"/>
        </w:rPr>
        <w:t>The information in this preliminary prospectus supplement is not complete and may be changed. This preliminary prospectus supplement is not an offer to sell nor does it seek an offer to buy these securities in any jurisdiction where the offer or sale is not permitted.</w:t>
      </w:r>
    </w:p>
    <w:p>
      <w:pPr>
        <w:spacing w:after="0" w:line="209" w:lineRule="exact"/>
        <w:rPr>
          <w:sz w:val="24"/>
          <w:szCs w:val="24"/>
          <w:color w:val="auto"/>
        </w:rPr>
      </w:pPr>
    </w:p>
    <w:p>
      <w:pPr>
        <w:ind w:left="8100"/>
        <w:spacing w:after="0"/>
        <w:rPr>
          <w:sz w:val="20"/>
          <w:szCs w:val="20"/>
          <w:color w:val="auto"/>
        </w:rPr>
      </w:pPr>
      <w:r>
        <w:rPr>
          <w:rFonts w:ascii="Arial" w:cs="Arial" w:eastAsia="Arial" w:hAnsi="Arial"/>
          <w:sz w:val="16"/>
          <w:szCs w:val="16"/>
          <w:color w:val="FF4040"/>
        </w:rPr>
        <w:t>Subject to completion, dated May 21, 2018</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20, 2015)</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2243455</wp:posOffset>
            </wp:positionH>
            <wp:positionV relativeFrom="paragraph">
              <wp:posOffset>163830</wp:posOffset>
            </wp:positionV>
            <wp:extent cx="277876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876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163830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right="560"/>
        <w:spacing w:after="0" w:line="239" w:lineRule="auto"/>
        <w:rPr>
          <w:sz w:val="20"/>
          <w:szCs w:val="20"/>
          <w:color w:val="auto"/>
        </w:rPr>
      </w:pPr>
      <w:r>
        <w:rPr>
          <w:rFonts w:ascii="Arial" w:cs="Arial" w:eastAsia="Arial" w:hAnsi="Arial"/>
          <w:sz w:val="18"/>
          <w:szCs w:val="18"/>
          <w:color w:val="auto"/>
        </w:rPr>
        <w:t>We are offering up to $50,000,000 of shares of our common stock. Assuming a public offering price of $5.80 per share, we would be offering 8,620,689 shares of our common stock in this offering.</w:t>
      </w:r>
    </w:p>
    <w:p>
      <w:pPr>
        <w:spacing w:after="0" w:line="209"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color w:val="auto"/>
        </w:rPr>
        <w:t>Our common stock is listed on The Nasdaq Global Market under the symbol "ARDX." On May 18, 2018, the last reported sale price of our common stock on The Nasdaq Global Market was $5.80 per share.</w:t>
      </w:r>
    </w:p>
    <w:p>
      <w:pPr>
        <w:spacing w:after="0" w:line="187" w:lineRule="exact"/>
        <w:rPr>
          <w:sz w:val="24"/>
          <w:szCs w:val="24"/>
          <w:color w:val="auto"/>
        </w:rPr>
      </w:pPr>
    </w:p>
    <w:p>
      <w:pPr>
        <w:ind w:right="80"/>
        <w:spacing w:after="0" w:line="249" w:lineRule="auto"/>
        <w:rPr>
          <w:sz w:val="20"/>
          <w:szCs w:val="20"/>
          <w:color w:val="auto"/>
        </w:rPr>
      </w:pPr>
      <w:r>
        <w:rPr>
          <w:rFonts w:ascii="Arial" w:cs="Arial" w:eastAsia="Arial" w:hAnsi="Arial"/>
          <w:sz w:val="18"/>
          <w:szCs w:val="18"/>
          <w:b w:val="1"/>
          <w:bCs w:val="1"/>
          <w:color w:val="auto"/>
        </w:rPr>
        <w:t>Investing in our common stock involves a high degree of risk. Before making an investment decision, please read the information under the heading "Risk Factors" beginning on page S-8 of this prospectus supplement and in the documents incorporated by reference into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1660" w:type="dxa"/>
            <w:vAlign w:val="bottom"/>
          </w:tcPr>
          <w:p>
            <w:pPr>
              <w:spacing w:after="0"/>
              <w:rPr>
                <w:sz w:val="15"/>
                <w:szCs w:val="15"/>
                <w:color w:val="auto"/>
              </w:rPr>
            </w:pPr>
          </w:p>
        </w:tc>
      </w:tr>
      <w:tr>
        <w:trPr>
          <w:trHeight w:val="199"/>
        </w:trPr>
        <w:tc>
          <w:tcPr>
            <w:tcW w:w="6060" w:type="dxa"/>
            <w:vAlign w:val="bottom"/>
          </w:tcPr>
          <w:p>
            <w:pPr>
              <w:ind w:left="1380"/>
              <w:spacing w:after="0" w:line="199" w:lineRule="exact"/>
              <w:rPr>
                <w:sz w:val="20"/>
                <w:szCs w:val="20"/>
                <w:color w:val="auto"/>
              </w:rPr>
            </w:pPr>
            <w:r>
              <w:rPr>
                <w:rFonts w:ascii="Arial" w:cs="Arial" w:eastAsia="Arial" w:hAnsi="Arial"/>
                <w:sz w:val="18"/>
                <w:szCs w:val="18"/>
                <w:color w:val="auto"/>
              </w:rPr>
              <w:t>Public offering price</w:t>
            </w:r>
          </w:p>
        </w:tc>
        <w:tc>
          <w:tcPr>
            <w:tcW w:w="2240" w:type="dxa"/>
            <w:vAlign w:val="bottom"/>
            <w:gridSpan w:val="2"/>
          </w:tcPr>
          <w:p>
            <w:pPr>
              <w:jc w:val="right"/>
              <w:ind w:right="748"/>
              <w:spacing w:after="0" w:line="199"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148"/>
              <w:spacing w:after="0" w:line="199" w:lineRule="exact"/>
              <w:rPr>
                <w:sz w:val="20"/>
                <w:szCs w:val="20"/>
                <w:color w:val="auto"/>
              </w:rPr>
            </w:pPr>
            <w:r>
              <w:rPr>
                <w:rFonts w:ascii="Arial" w:cs="Arial" w:eastAsia="Arial" w:hAnsi="Arial"/>
                <w:sz w:val="18"/>
                <w:szCs w:val="18"/>
                <w:color w:val="auto"/>
              </w:rPr>
              <w:t>$</w:t>
            </w:r>
          </w:p>
        </w:tc>
        <w:tc>
          <w:tcPr>
            <w:tcW w:w="1660" w:type="dxa"/>
            <w:vAlign w:val="bottom"/>
          </w:tcPr>
          <w:p>
            <w:pPr>
              <w:spacing w:after="0"/>
              <w:rPr>
                <w:sz w:val="17"/>
                <w:szCs w:val="17"/>
                <w:color w:val="auto"/>
              </w:rPr>
            </w:pPr>
          </w:p>
        </w:tc>
      </w:tr>
      <w:tr>
        <w:trPr>
          <w:trHeight w:val="244"/>
        </w:trPr>
        <w:tc>
          <w:tcPr>
            <w:tcW w:w="6060" w:type="dxa"/>
            <w:vAlign w:val="bottom"/>
          </w:tcPr>
          <w:p>
            <w:pPr>
              <w:ind w:left="1380"/>
              <w:spacing w:after="0" w:line="243"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8"/>
                <w:szCs w:val="28"/>
                <w:color w:val="auto"/>
                <w:vertAlign w:val="superscript"/>
              </w:rPr>
              <w:t>(1)</w:t>
            </w:r>
          </w:p>
        </w:tc>
        <w:tc>
          <w:tcPr>
            <w:tcW w:w="22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1"/>
                <w:szCs w:val="21"/>
                <w:color w:val="auto"/>
              </w:rPr>
            </w:pPr>
          </w:p>
        </w:tc>
      </w:tr>
      <w:tr>
        <w:trPr>
          <w:trHeight w:val="211"/>
        </w:trPr>
        <w:tc>
          <w:tcPr>
            <w:tcW w:w="6060" w:type="dxa"/>
            <w:vAlign w:val="bottom"/>
          </w:tcPr>
          <w:p>
            <w:pPr>
              <w:ind w:left="1380"/>
              <w:spacing w:after="0"/>
              <w:rPr>
                <w:sz w:val="20"/>
                <w:szCs w:val="20"/>
                <w:color w:val="auto"/>
              </w:rPr>
            </w:pPr>
            <w:r>
              <w:rPr>
                <w:rFonts w:ascii="Arial" w:cs="Arial" w:eastAsia="Arial" w:hAnsi="Arial"/>
                <w:sz w:val="18"/>
                <w:szCs w:val="18"/>
                <w:color w:val="auto"/>
              </w:rPr>
              <w:t>Proceeds, before expenses, to us</w:t>
            </w:r>
          </w:p>
        </w:tc>
        <w:tc>
          <w:tcPr>
            <w:tcW w:w="22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r>
      <w:tr>
        <w:trPr>
          <w:trHeight w:val="97"/>
        </w:trPr>
        <w:tc>
          <w:tcPr>
            <w:tcW w:w="60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bl>
    <w:p>
      <w:pPr>
        <w:spacing w:after="0" w:line="10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See "Underwriting" for additional disclosure regarding estimated underwriting discounts and commissions and estimated offering expenses.</w:t>
      </w:r>
    </w:p>
    <w:p>
      <w:pPr>
        <w:spacing w:after="0" w:line="208" w:lineRule="exact"/>
        <w:rPr>
          <w:sz w:val="24"/>
          <w:szCs w:val="24"/>
          <w:color w:val="auto"/>
        </w:rPr>
      </w:pPr>
    </w:p>
    <w:p>
      <w:pPr>
        <w:ind w:right="680"/>
        <w:spacing w:after="0" w:line="239" w:lineRule="auto"/>
        <w:rPr>
          <w:sz w:val="20"/>
          <w:szCs w:val="20"/>
          <w:color w:val="auto"/>
        </w:rPr>
      </w:pPr>
      <w:r>
        <w:rPr>
          <w:rFonts w:ascii="Arial" w:cs="Arial" w:eastAsia="Arial" w:hAnsi="Arial"/>
          <w:sz w:val="18"/>
          <w:szCs w:val="18"/>
          <w:color w:val="auto"/>
        </w:rPr>
        <w:t>We intend to grant the underwriters the right to purchase up to $7,500,000 of additional shares of our common stock. The underwriters can exercise this right at any time within 30 days after the date of this prospectus supplement.</w:t>
      </w:r>
    </w:p>
    <w:p>
      <w:pPr>
        <w:spacing w:after="0" w:line="209" w:lineRule="exact"/>
        <w:rPr>
          <w:sz w:val="24"/>
          <w:szCs w:val="24"/>
          <w:color w:val="auto"/>
        </w:rPr>
      </w:pPr>
    </w:p>
    <w:p>
      <w:pPr>
        <w:ind w:right="340"/>
        <w:spacing w:after="0" w:line="23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205" w:lineRule="exact"/>
        <w:rPr>
          <w:sz w:val="24"/>
          <w:szCs w:val="24"/>
          <w:color w:val="auto"/>
        </w:rPr>
      </w:pPr>
    </w:p>
    <w:p>
      <w:pPr>
        <w:spacing w:after="0"/>
        <w:tabs>
          <w:tab w:leader="none" w:pos="11160" w:val="left"/>
        </w:tabs>
        <w:rPr>
          <w:sz w:val="20"/>
          <w:szCs w:val="20"/>
          <w:color w:val="auto"/>
        </w:rPr>
      </w:pPr>
      <w:r>
        <w:rPr>
          <w:rFonts w:ascii="Arial" w:cs="Arial" w:eastAsia="Arial" w:hAnsi="Arial"/>
          <w:sz w:val="18"/>
          <w:szCs w:val="18"/>
          <w:color w:val="auto"/>
        </w:rPr>
        <w:t>The underwriters expect to deliver the shares of common stock against payment in New York, New York on or about</w:t>
      </w:r>
      <w:r>
        <w:rPr>
          <w:sz w:val="20"/>
          <w:szCs w:val="20"/>
          <w:color w:val="auto"/>
        </w:rPr>
        <w:tab/>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2018.</w:t>
      </w:r>
    </w:p>
    <w:p>
      <w:pPr>
        <w:spacing w:after="0" w:line="190" w:lineRule="exact"/>
        <w:rPr>
          <w:sz w:val="24"/>
          <w:szCs w:val="24"/>
          <w:color w:val="auto"/>
        </w:rPr>
      </w:pPr>
    </w:p>
    <w:p>
      <w:pPr>
        <w:ind w:right="100"/>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86995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Joint Book-Running Managers</w:t>
      </w:r>
    </w:p>
    <w:p>
      <w:pPr>
        <w:spacing w:after="0" w:line="193" w:lineRule="exact"/>
        <w:rPr>
          <w:sz w:val="24"/>
          <w:szCs w:val="24"/>
          <w:color w:val="auto"/>
        </w:rPr>
      </w:pPr>
    </w:p>
    <w:p>
      <w:pPr>
        <w:ind w:left="2240"/>
        <w:spacing w:after="0"/>
        <w:tabs>
          <w:tab w:leader="none" w:pos="7700" w:val="left"/>
        </w:tabs>
        <w:rPr>
          <w:sz w:val="20"/>
          <w:szCs w:val="20"/>
          <w:color w:val="auto"/>
        </w:rPr>
      </w:pPr>
      <w:r>
        <w:rPr>
          <w:rFonts w:ascii="Arial" w:cs="Arial" w:eastAsia="Arial" w:hAnsi="Arial"/>
          <w:sz w:val="24"/>
          <w:szCs w:val="24"/>
          <w:b w:val="1"/>
          <w:bCs w:val="1"/>
          <w:color w:val="auto"/>
        </w:rPr>
        <w:t>Jefferies</w:t>
      </w:r>
      <w:r>
        <w:rPr>
          <w:sz w:val="20"/>
          <w:szCs w:val="20"/>
          <w:color w:val="auto"/>
        </w:rPr>
        <w:tab/>
      </w:r>
      <w:r>
        <w:rPr>
          <w:rFonts w:ascii="Arial" w:cs="Arial" w:eastAsia="Arial" w:hAnsi="Arial"/>
          <w:sz w:val="24"/>
          <w:szCs w:val="24"/>
          <w:b w:val="1"/>
          <w:bCs w:val="1"/>
          <w:color w:val="auto"/>
        </w:rPr>
        <w:t>Leerink Partners</w:t>
      </w:r>
    </w:p>
    <w:p>
      <w:pPr>
        <w:sectPr>
          <w:pgSz w:w="11900" w:h="16838" w:orient="portrait"/>
          <w:cols w:equalWidth="0" w:num="1">
            <w:col w:w="11440"/>
          </w:cols>
          <w:pgMar w:left="240" w:top="685" w:right="219" w:bottom="1095" w:gutter="0" w:footer="0" w:header="0"/>
        </w:sectPr>
      </w:pPr>
    </w:p>
    <w:p>
      <w:pPr>
        <w:spacing w:after="0" w:line="200" w:lineRule="exact"/>
        <w:rPr>
          <w:sz w:val="24"/>
          <w:szCs w:val="24"/>
          <w:color w:val="auto"/>
        </w:rPr>
      </w:pPr>
    </w:p>
    <w:p>
      <w:pPr>
        <w:spacing w:after="0" w:line="344" w:lineRule="exact"/>
        <w:rPr>
          <w:sz w:val="24"/>
          <w:szCs w:val="24"/>
          <w:color w:val="auto"/>
        </w:rPr>
      </w:pPr>
    </w:p>
    <w:p>
      <w:pPr>
        <w:ind w:left="3200"/>
        <w:spacing w:after="0"/>
        <w:tabs>
          <w:tab w:leader="none" w:pos="7720" w:val="left"/>
        </w:tabs>
        <w:rPr>
          <w:sz w:val="20"/>
          <w:szCs w:val="20"/>
          <w:color w:val="auto"/>
        </w:rPr>
      </w:pPr>
      <w:r>
        <w:rPr>
          <w:rFonts w:ascii="Arial" w:cs="Arial" w:eastAsia="Arial" w:hAnsi="Arial"/>
          <w:sz w:val="18"/>
          <w:szCs w:val="18"/>
          <w:color w:val="auto"/>
        </w:rPr>
        <w:t>Prospectus Supplement dated</w:t>
      </w:r>
      <w:r>
        <w:rPr>
          <w:sz w:val="20"/>
          <w:szCs w:val="20"/>
          <w:color w:val="auto"/>
        </w:rPr>
        <w:tab/>
      </w:r>
      <w:r>
        <w:rPr>
          <w:rFonts w:ascii="Arial" w:cs="Arial" w:eastAsia="Arial" w:hAnsi="Arial"/>
          <w:sz w:val="16"/>
          <w:szCs w:val="16"/>
          <w:color w:val="auto"/>
        </w:rPr>
        <w:t>,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685" w:right="219" w:bottom="1095"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Page</w:t>
            </w:r>
          </w:p>
        </w:tc>
        <w:tc>
          <w:tcPr>
            <w:tcW w:w="130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8520" w:type="dxa"/>
            <w:vAlign w:val="bottom"/>
            <w:gridSpan w:val="29"/>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80" w:type="dxa"/>
            <w:vAlign w:val="bottom"/>
          </w:tcPr>
          <w:p>
            <w:pPr>
              <w:spacing w:after="0"/>
              <w:rPr>
                <w:sz w:val="14"/>
                <w:szCs w:val="14"/>
                <w:color w:val="auto"/>
              </w:rPr>
            </w:pPr>
          </w:p>
        </w:tc>
        <w:tc>
          <w:tcPr>
            <w:tcW w:w="1700" w:type="dxa"/>
            <w:vAlign w:val="bottom"/>
            <w:gridSpan w:val="6"/>
          </w:tcPr>
          <w:p>
            <w:pPr>
              <w:jc w:val="right"/>
              <w:ind w:right="132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r>
      <w:tr>
        <w:trPr>
          <w:trHeight w:val="183"/>
        </w:trPr>
        <w:tc>
          <w:tcPr>
            <w:tcW w:w="1140" w:type="dxa"/>
            <w:vAlign w:val="bottom"/>
          </w:tcPr>
          <w:p>
            <w:pPr>
              <w:spacing w:after="0"/>
              <w:rPr>
                <w:sz w:val="15"/>
                <w:szCs w:val="15"/>
                <w:color w:val="auto"/>
              </w:rPr>
            </w:pPr>
          </w:p>
        </w:tc>
        <w:tc>
          <w:tcPr>
            <w:tcW w:w="35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MARKET, INDUSTRY AND OTHER DATA</w:t>
              </w:r>
            </w:hyperlink>
          </w:p>
        </w:tc>
        <w:tc>
          <w:tcPr>
            <w:tcW w:w="4960" w:type="dxa"/>
            <w:vAlign w:val="bottom"/>
            <w:gridSpan w:val="7"/>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S-2</w:t>
              </w:r>
            </w:hyperlink>
          </w:p>
        </w:tc>
        <w:tc>
          <w:tcPr>
            <w:tcW w:w="132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80" w:type="dxa"/>
            <w:vAlign w:val="bottom"/>
          </w:tcPr>
          <w:p>
            <w:pPr>
              <w:spacing w:after="0"/>
              <w:rPr>
                <w:sz w:val="15"/>
                <w:szCs w:val="15"/>
                <w:color w:val="auto"/>
              </w:rPr>
            </w:pPr>
          </w:p>
        </w:tc>
        <w:tc>
          <w:tcPr>
            <w:tcW w:w="1700" w:type="dxa"/>
            <w:vAlign w:val="bottom"/>
            <w:gridSpan w:val="6"/>
          </w:tcPr>
          <w:p>
            <w:pPr>
              <w:jc w:val="right"/>
              <w:ind w:right="1320"/>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S-3</w:t>
              </w:r>
            </w:hyperlink>
          </w:p>
        </w:tc>
      </w:tr>
      <w:tr>
        <w:trPr>
          <w:trHeight w:val="183"/>
        </w:trPr>
        <w:tc>
          <w:tcPr>
            <w:tcW w:w="114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THE OFFERING</w:t>
              </w:r>
            </w:hyperlink>
          </w:p>
        </w:tc>
        <w:tc>
          <w:tcPr>
            <w:tcW w:w="2080" w:type="dxa"/>
            <w:vAlign w:val="bottom"/>
            <w:tcBorders>
              <w:top w:val="single" w:sz="8" w:color="0000EE"/>
            </w:tcBorders>
            <w:gridSpan w:val="17"/>
          </w:tcPr>
          <w:p>
            <w:pPr>
              <w:spacing w:after="0"/>
              <w:rPr>
                <w:sz w:val="15"/>
                <w:szCs w:val="15"/>
                <w:color w:val="auto"/>
              </w:rPr>
            </w:pPr>
          </w:p>
        </w:tc>
        <w:tc>
          <w:tcPr>
            <w:tcW w:w="5120" w:type="dxa"/>
            <w:vAlign w:val="bottom"/>
            <w:gridSpan w:val="8"/>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S-6</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RISK FACTORS</w:t>
              </w:r>
            </w:hyperlink>
          </w:p>
        </w:tc>
        <w:tc>
          <w:tcPr>
            <w:tcW w:w="7220" w:type="dxa"/>
            <w:vAlign w:val="bottom"/>
            <w:gridSpan w:val="26"/>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S-8</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SPECIAL NOTE REGARDING FORWARD-LOOKING STATEMENTS</w:t>
              </w:r>
            </w:hyperlink>
          </w:p>
        </w:tc>
        <w:tc>
          <w:tcPr>
            <w:tcW w:w="80" w:type="dxa"/>
            <w:vAlign w:val="bottom"/>
          </w:tcPr>
          <w:p>
            <w:pPr>
              <w:spacing w:after="0"/>
              <w:rPr>
                <w:sz w:val="15"/>
                <w:szCs w:val="15"/>
                <w:color w:val="auto"/>
              </w:rPr>
            </w:pPr>
          </w:p>
        </w:tc>
        <w:tc>
          <w:tcPr>
            <w:tcW w:w="1700" w:type="dxa"/>
            <w:vAlign w:val="bottom"/>
            <w:gridSpan w:val="6"/>
          </w:tcPr>
          <w:p>
            <w:pPr>
              <w:jc w:val="right"/>
              <w:ind w:right="1320"/>
              <w:spacing w:after="0" w:line="182"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S-11</w:t>
              </w:r>
            </w:hyperlink>
          </w:p>
        </w:tc>
      </w:tr>
      <w:tr>
        <w:trPr>
          <w:trHeight w:val="183"/>
        </w:trPr>
        <w:tc>
          <w:tcPr>
            <w:tcW w:w="114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USE OF PROCEEDS</w:t>
              </w:r>
            </w:hyperlink>
          </w:p>
        </w:tc>
        <w:tc>
          <w:tcPr>
            <w:tcW w:w="3700" w:type="dxa"/>
            <w:vAlign w:val="bottom"/>
            <w:tcBorders>
              <w:top w:val="single" w:sz="8" w:color="0000EE"/>
            </w:tcBorders>
            <w:gridSpan w:val="15"/>
          </w:tcPr>
          <w:p>
            <w:pPr>
              <w:spacing w:after="0"/>
              <w:rPr>
                <w:sz w:val="15"/>
                <w:szCs w:val="15"/>
                <w:color w:val="auto"/>
              </w:rPr>
            </w:pPr>
          </w:p>
        </w:tc>
        <w:tc>
          <w:tcPr>
            <w:tcW w:w="3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S-12</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20" w:type="dxa"/>
            <w:vAlign w:val="bottom"/>
            <w:tcBorders>
              <w:bottom w:val="single" w:sz="8" w:color="0000EE"/>
            </w:tcBorders>
            <w:gridSpan w:val="6"/>
          </w:tcPr>
          <w:p>
            <w:pPr>
              <w:spacing w:after="0" w:line="182"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CAPITALIZATION</w:t>
              </w:r>
            </w:hyperlink>
          </w:p>
        </w:tc>
        <w:tc>
          <w:tcPr>
            <w:tcW w:w="7100" w:type="dxa"/>
            <w:vAlign w:val="bottom"/>
            <w:gridSpan w:val="23"/>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S-13</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DILUTION</w:t>
              </w:r>
            </w:hyperlink>
          </w:p>
        </w:tc>
        <w:tc>
          <w:tcPr>
            <w:tcW w:w="7680" w:type="dxa"/>
            <w:vAlign w:val="bottom"/>
            <w:gridSpan w:val="27"/>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S-15</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PRICE RANGE OF COMMON STOCK</w:t>
              </w:r>
            </w:hyperlink>
          </w:p>
        </w:tc>
        <w:tc>
          <w:tcPr>
            <w:tcW w:w="80" w:type="dxa"/>
            <w:vAlign w:val="bottom"/>
          </w:tcPr>
          <w:p>
            <w:pPr>
              <w:spacing w:after="0"/>
              <w:rPr>
                <w:sz w:val="15"/>
                <w:szCs w:val="15"/>
                <w:color w:val="auto"/>
              </w:rPr>
            </w:pPr>
          </w:p>
        </w:tc>
        <w:tc>
          <w:tcPr>
            <w:tcW w:w="1700" w:type="dxa"/>
            <w:vAlign w:val="bottom"/>
            <w:gridSpan w:val="6"/>
          </w:tcPr>
          <w:p>
            <w:pPr>
              <w:jc w:val="right"/>
              <w:ind w:right="1320"/>
              <w:spacing w:after="0" w:line="182"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S-17</w:t>
              </w:r>
            </w:hyperlink>
          </w:p>
        </w:tc>
      </w:tr>
      <w:tr>
        <w:trPr>
          <w:trHeight w:val="183"/>
        </w:trPr>
        <w:tc>
          <w:tcPr>
            <w:tcW w:w="1140" w:type="dxa"/>
            <w:vAlign w:val="bottom"/>
          </w:tcPr>
          <w:p>
            <w:pPr>
              <w:spacing w:after="0"/>
              <w:rPr>
                <w:sz w:val="15"/>
                <w:szCs w:val="15"/>
                <w:color w:val="auto"/>
              </w:rPr>
            </w:pPr>
          </w:p>
        </w:tc>
        <w:tc>
          <w:tcPr>
            <w:tcW w:w="30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DIVIDEND POLICY</w:t>
              </w:r>
            </w:hyperlink>
          </w:p>
        </w:tc>
        <w:tc>
          <w:tcPr>
            <w:tcW w:w="5500" w:type="dxa"/>
            <w:vAlign w:val="bottom"/>
            <w:gridSpan w:val="11"/>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S-18</w:t>
              </w:r>
            </w:hyperlink>
          </w:p>
        </w:tc>
        <w:tc>
          <w:tcPr>
            <w:tcW w:w="132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820" w:type="dxa"/>
            <w:vAlign w:val="bottom"/>
            <w:tcBorders>
              <w:bottom w:val="single" w:sz="8" w:color="0000EE"/>
            </w:tcBorders>
            <w:gridSpan w:val="28"/>
          </w:tcPr>
          <w:p>
            <w:pPr>
              <w:spacing w:after="0" w:line="182"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MATERIAL U.S. FEDERAL INCOME TAX CONSEQUENCES TO NON-U.S. HOLDERS</w:t>
              </w:r>
            </w:hyperlink>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S-19</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UNDERWRITING</w:t>
              </w:r>
            </w:hyperlink>
          </w:p>
        </w:tc>
        <w:tc>
          <w:tcPr>
            <w:tcW w:w="7120" w:type="dxa"/>
            <w:vAlign w:val="bottom"/>
            <w:gridSpan w:val="24"/>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S-23</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80" w:type="dxa"/>
            <w:vAlign w:val="bottom"/>
          </w:tcPr>
          <w:p>
            <w:pPr>
              <w:spacing w:after="0"/>
              <w:rPr>
                <w:sz w:val="15"/>
                <w:szCs w:val="15"/>
                <w:color w:val="auto"/>
              </w:rPr>
            </w:pPr>
          </w:p>
        </w:tc>
        <w:tc>
          <w:tcPr>
            <w:tcW w:w="1700" w:type="dxa"/>
            <w:vAlign w:val="bottom"/>
            <w:gridSpan w:val="6"/>
          </w:tcPr>
          <w:p>
            <w:pPr>
              <w:jc w:val="right"/>
              <w:ind w:right="1320"/>
              <w:spacing w:after="0" w:line="182"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S-31</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7080" w:type="dxa"/>
            <w:vAlign w:val="bottom"/>
            <w:gridSpan w:val="22"/>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S-31</w:t>
              </w:r>
            </w:hyperlink>
          </w:p>
        </w:tc>
        <w:tc>
          <w:tcPr>
            <w:tcW w:w="132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80" w:type="dxa"/>
            <w:vAlign w:val="bottom"/>
          </w:tcPr>
          <w:p>
            <w:pPr>
              <w:spacing w:after="0"/>
              <w:rPr>
                <w:sz w:val="15"/>
                <w:szCs w:val="15"/>
                <w:color w:val="auto"/>
              </w:rPr>
            </w:pPr>
          </w:p>
        </w:tc>
        <w:tc>
          <w:tcPr>
            <w:tcW w:w="1700" w:type="dxa"/>
            <w:vAlign w:val="bottom"/>
            <w:gridSpan w:val="6"/>
          </w:tcPr>
          <w:p>
            <w:pPr>
              <w:jc w:val="right"/>
              <w:ind w:right="1320"/>
              <w:spacing w:after="0" w:line="182"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S-32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8"/>
          </w:tcPr>
          <w:p>
            <w:pPr>
              <w:spacing w:after="0"/>
              <w:rPr>
                <w:sz w:val="15"/>
                <w:szCs w:val="15"/>
                <w:color w:val="auto"/>
              </w:rPr>
            </w:pPr>
          </w:p>
        </w:tc>
        <w:tc>
          <w:tcPr>
            <w:tcW w:w="472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S-32</w:t>
              </w:r>
            </w:hyperlink>
          </w:p>
        </w:tc>
        <w:tc>
          <w:tcPr>
            <w:tcW w:w="1320" w:type="dxa"/>
            <w:vAlign w:val="bottom"/>
            <w:gridSpan w:val="2"/>
          </w:tcPr>
          <w:p>
            <w:pPr>
              <w:spacing w:after="0"/>
              <w:rPr>
                <w:sz w:val="15"/>
                <w:szCs w:val="15"/>
                <w:color w:val="auto"/>
              </w:rPr>
            </w:pPr>
          </w:p>
        </w:tc>
      </w:tr>
      <w:tr>
        <w:trPr>
          <w:trHeight w:val="437"/>
        </w:trPr>
        <w:tc>
          <w:tcPr>
            <w:tcW w:w="1140" w:type="dxa"/>
            <w:vAlign w:val="bottom"/>
          </w:tcPr>
          <w:p>
            <w:pPr>
              <w:spacing w:after="0"/>
              <w:rPr>
                <w:sz w:val="24"/>
                <w:szCs w:val="24"/>
                <w:color w:val="auto"/>
              </w:rPr>
            </w:pPr>
          </w:p>
        </w:tc>
        <w:tc>
          <w:tcPr>
            <w:tcW w:w="8520" w:type="dxa"/>
            <w:vAlign w:val="bottom"/>
            <w:gridSpan w:val="29"/>
          </w:tcPr>
          <w:p>
            <w:pPr>
              <w:spacing w:after="0"/>
              <w:rPr>
                <w:sz w:val="20"/>
                <w:szCs w:val="20"/>
                <w:color w:val="auto"/>
              </w:rPr>
            </w:pPr>
            <w:r>
              <w:rPr>
                <w:rFonts w:ascii="Arial" w:cs="Arial" w:eastAsia="Arial" w:hAnsi="Arial"/>
                <w:sz w:val="18"/>
                <w:szCs w:val="18"/>
                <w:b w:val="1"/>
                <w:bCs w:val="1"/>
                <w:color w:val="auto"/>
              </w:rPr>
              <w:t>Prospectus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8520" w:type="dxa"/>
            <w:vAlign w:val="bottom"/>
            <w:gridSpan w:val="2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1</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800" w:type="dxa"/>
            <w:vAlign w:val="bottom"/>
            <w:gridSpan w:val="27"/>
          </w:tcPr>
          <w:p>
            <w:pPr>
              <w:spacing w:after="0" w:line="18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WHERE YOU CAN FIND MORE INFORMATION; INCORPORATION BY REFERENCE</w:t>
              </w:r>
            </w:hyperlink>
          </w:p>
        </w:tc>
        <w:tc>
          <w:tcPr>
            <w:tcW w:w="1720" w:type="dxa"/>
            <w:vAlign w:val="bottom"/>
            <w:gridSpan w:val="2"/>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2</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800" w:type="dxa"/>
            <w:vAlign w:val="bottom"/>
            <w:gridSpan w:val="27"/>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ABOUT ARDELYX</w:t>
              </w:r>
            </w:hyperlink>
          </w:p>
        </w:tc>
        <w:tc>
          <w:tcPr>
            <w:tcW w:w="1720" w:type="dxa"/>
            <w:vAlign w:val="bottom"/>
            <w:gridSpan w:val="2"/>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4</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RISK FACTORS</w:t>
              </w:r>
            </w:hyperlink>
          </w:p>
        </w:tc>
        <w:tc>
          <w:tcPr>
            <w:tcW w:w="160" w:type="dxa"/>
            <w:vAlign w:val="bottom"/>
            <w:gridSpan w:val="5"/>
          </w:tcPr>
          <w:p>
            <w:pPr>
              <w:spacing w:after="0"/>
              <w:rPr>
                <w:sz w:val="15"/>
                <w:szCs w:val="15"/>
                <w:color w:val="auto"/>
              </w:rPr>
            </w:pPr>
          </w:p>
        </w:tc>
        <w:tc>
          <w:tcPr>
            <w:tcW w:w="7060" w:type="dxa"/>
            <w:vAlign w:val="bottom"/>
            <w:gridSpan w:val="21"/>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5</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10"/>
          </w:tcPr>
          <w:p>
            <w:pPr>
              <w:spacing w:after="0" w:line="182"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USE OF PROCEEDS</w:t>
              </w:r>
            </w:hyperlink>
          </w:p>
        </w:tc>
        <w:tc>
          <w:tcPr>
            <w:tcW w:w="6820" w:type="dxa"/>
            <w:vAlign w:val="bottom"/>
            <w:gridSpan w:val="19"/>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6</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240" w:type="dxa"/>
            <w:vAlign w:val="bottom"/>
            <w:gridSpan w:val="26"/>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RATIO OF EARNINGS TO FIXED CHARGES AND PREFERENCE DIVIDENDS</w:t>
              </w:r>
            </w:hyperlink>
          </w:p>
        </w:tc>
        <w:tc>
          <w:tcPr>
            <w:tcW w:w="2280" w:type="dxa"/>
            <w:vAlign w:val="bottom"/>
            <w:gridSpan w:val="3"/>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7</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7"/>
          </w:tcPr>
          <w:p>
            <w:pPr>
              <w:spacing w:after="0" w:line="182"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DESCRIPTION OF CAPITAL STOCK</w:t>
              </w:r>
            </w:hyperlink>
          </w:p>
        </w:tc>
        <w:tc>
          <w:tcPr>
            <w:tcW w:w="3320" w:type="dxa"/>
            <w:vAlign w:val="bottom"/>
            <w:gridSpan w:val="9"/>
          </w:tcPr>
          <w:p>
            <w:pPr>
              <w:spacing w:after="0"/>
              <w:rPr>
                <w:sz w:val="15"/>
                <w:szCs w:val="15"/>
                <w:color w:val="auto"/>
              </w:rPr>
            </w:pPr>
          </w:p>
        </w:tc>
        <w:tc>
          <w:tcPr>
            <w:tcW w:w="2280" w:type="dxa"/>
            <w:vAlign w:val="bottom"/>
            <w:gridSpan w:val="3"/>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8</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DEBT SECURITIES</w:t>
              </w:r>
            </w:hyperlink>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13</w:t>
              </w:r>
            </w:hyperlink>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1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WARRANTS</w:t>
              </w:r>
            </w:hyperlink>
          </w:p>
        </w:tc>
        <w:tc>
          <w:tcPr>
            <w:tcW w:w="5400" w:type="dxa"/>
            <w:vAlign w:val="bottom"/>
            <w:gridSpan w:val="10"/>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21</w:t>
              </w:r>
            </w:hyperlink>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PURCHASE CONTRACTS</w:t>
              </w:r>
            </w:hyperlink>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23</w:t>
              </w:r>
            </w:hyperlink>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8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DESCRIPTION OF UNITS</w:t>
              </w:r>
            </w:hyperlink>
          </w:p>
        </w:tc>
        <w:tc>
          <w:tcPr>
            <w:tcW w:w="1580" w:type="dxa"/>
            <w:vAlign w:val="bottom"/>
            <w:tcBorders>
              <w:top w:val="single" w:sz="8" w:color="0000EE"/>
            </w:tcBorders>
            <w:gridSpan w:val="10"/>
          </w:tcPr>
          <w:p>
            <w:pPr>
              <w:spacing w:after="0"/>
              <w:rPr>
                <w:sz w:val="15"/>
                <w:szCs w:val="15"/>
                <w:color w:val="auto"/>
              </w:rPr>
            </w:pPr>
          </w:p>
        </w:tc>
        <w:tc>
          <w:tcPr>
            <w:tcW w:w="4860" w:type="dxa"/>
            <w:vAlign w:val="bottom"/>
            <w:gridSpan w:val="6"/>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24</w:t>
              </w:r>
            </w:hyperlink>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2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GLOBAL SECURITIES</w:t>
              </w:r>
            </w:hyperlink>
          </w:p>
        </w:tc>
        <w:tc>
          <w:tcPr>
            <w:tcW w:w="6700" w:type="dxa"/>
            <w:vAlign w:val="bottom"/>
            <w:gridSpan w:val="18"/>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25</w:t>
              </w:r>
            </w:hyperlink>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PLAN OF DISTRIBUTION</w:t>
              </w:r>
            </w:hyperlink>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28</w:t>
              </w:r>
            </w:hyperlink>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LEGAL MATTERS</w:t>
              </w:r>
            </w:hyperlink>
          </w:p>
        </w:tc>
        <w:tc>
          <w:tcPr>
            <w:tcW w:w="6480" w:type="dxa"/>
            <w:vAlign w:val="bottom"/>
            <w:gridSpan w:val="17"/>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30</w:t>
              </w:r>
            </w:hyperlink>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EXPERTS</w:t>
              </w:r>
            </w:hyperlink>
          </w:p>
        </w:tc>
        <w:tc>
          <w:tcPr>
            <w:tcW w:w="7080" w:type="dxa"/>
            <w:vAlign w:val="bottom"/>
            <w:gridSpan w:val="22"/>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30</w:t>
              </w:r>
            </w:hyperlink>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82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as our business, financial condition, results of operations and prospects may have changed since the earlier dates.</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have not authorized anyone to provide you with any information or to make any representation, other than those contained or incorporated by reference in this prospectus supplement or in any free writing prospectus we have prepared. We take no responsibility for, and provide no assurance as to the reliability of, any other information that others may give you. Neither we or the underwriters are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"Information Incorporated by Reference."</w:t>
      </w:r>
    </w:p>
    <w:p>
      <w:pPr>
        <w:spacing w:after="0" w:line="390"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We are offering to sell, and seeking offers to buy, shares of our common stock only in jurisdictions where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21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common stock of the Company.</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Ardelyx® and our logo are some of our trademarks used in this prospectus. This prospectus also includes trademarks, tradenames, and service marks that are the property of other organizations. Solely for convenience, our trademarks and tradenames referred to in this prospectus supplement appear without the ® and ™ symbol, but those references are not intended to indicate, in any way, that we will not assert, to the fullest extent under applicable law, our rights, or the right of the applicable licensor to these trademarks and tradenames.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MARKET, INDUSTRY AND OTHER DATA</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prospectus, including the information incorporated by reference,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This summary provides a general overview of selected information and does not contain all of the information you should consider before buying our common stock. Therefore, you should read the entire prospectus and any free writing prospectus that we have authorized for use in connection with this offering carefully, including the information incorporated by reference, before deciding to invest in our common stock. Investors should carefully consider the information set forth under "Risk Factors" beginning on page S-7 and the "Risk Factors" section, as well as our audited financial statements and related notes thereto, included in our Annual Report on Form 10-K for the year ended December 31, 2017 as well as our Quarterly Report on Form 10-Q for the quarterly period ended March 31, 2018 and any subsequent Quarterly Report on Form 10-Q incorporated by reference therein.</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Ardelyx,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We are a specialized biopharmaceutical company focused on developing first-in-class, disruptive medicines for the treatment of renal diseases. Our primary therapeutic focus is on treating people with renal diseases, which affect both the heart and the kidneys. This includes patients with end-stage renal disease, or ESRD, who suffer from elevated serum phosphorus, or hyperphosphatemia; patients with chronic kidney disease, or CKD, and/or heart failure patients with elevated serum potassium, or hyperkalemia. We have also developed a number of programs directed toward treating gastrointestinal, or GI, disorders, including the treatment of irritable bowel syndrome with constipation, or IBS-C.</w:t>
      </w:r>
    </w:p>
    <w:p>
      <w:pPr>
        <w:spacing w:after="0" w:line="18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portfolio is led by the development of tenapanor, a first-in-class inhibitor of NHE3. In our renal pipeline, tenapanor is being evaluated in a second Phase 3 trial for the treatment of hyperphosphatemia in patients with ESRD who are on dialysis. This registration trial follows a successful first Phase 3 trial completed in 2017, which achieved statistical significance for the primary endpoint. We are also advancing a small molecule potassium secretagogue program, RDX013, for the potential treatment of hyperkalemia. We believe that both tenapanor and RDX013 have the potential to provide treatment options that are differentiated significantly from binders, the current standards of care in both of these markets. We believe our small molecule approach to treating these conditions could significantly reduce the pill burden for patients, leading to higher compliance, and offer completely new mechanisms of action that interact with receptors in the gut, potentially allowing improved efficacy in some patients.</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addition to the development for renal diseases, we have developed tenapanor for the treatment of patients with IBS-C. In 2017, we completed the T3MPO program for this indication, including two Phase 3 studies, both of which achieved statistical significance for the primary endpoint, and a long-term safety extension study. We believe that data from the T3MPO program collectively demonstrated the ability of tenapanor to provide sustained relief of constipation and reduced abdominal pain with a generally favorable tolerability profile. Based on the results of the T3MPO clinical program in IBS-C, we are preparing to submit our first New Drug Application, or NDA, to the United States Food and Drug Administration, or FDA, in the second half of 2018 for tenapanor for the treatment of IBS-C.</w:t>
      </w:r>
    </w:p>
    <w:p>
      <w:pPr>
        <w:spacing w:after="0" w:line="210"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We believe that tenapanor for the treatment of hyperphosphatemia could represent a market opportunity of between $500 million and $700 million in the United States and that tenapanor for the treatment of IBS-C could represent a market opportunity of over $500 million in the United States.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May 16, 2018, or the Closing Date, we entered into a loan and security agreement, or the Loan Agreement, with Solar Capital Ltd. and Western Alliance Bank, or, collectively, the Lenders. The Loan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Agreement provides for a $50.0 million term loan facility with a maturity date of November 1, 2022, or the Term Loan. The full amount of the loan was funded on May 16, 2018.</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Borrowings under the Term Loan bear interest at a floating per annum rate equal to 7.45% plus the one-month LIBOR. We are permitted to make interest-only payments on the Term Loan through December 1, 2020 if we achieve our primary endpoint in the Phase 3 study of tenapanor for the treatment of hyperphosphatemia in patients with ESRD who are on dialysis, or the Phase 3 Endpoint, prior to June 1, 2020; otherwise, we are permitted to make interest-only payments on the Term Loan only through June 1, 2020. Accordingly, beginning on either June 1, 2020 or December 1, 2020, as applicable, through the maturity date, we will be required to make monthly payments of interest plus repay the Term Loan in consecutive equal monthly installments of principal. We were obligated to pay 1% of the Term Loan, or $0.5 million, upon the closing of the Term Loan. We are obligated to pay a fee equal to 3.95% of the Term Loan upon the earliest to occur of the maturity date, the acceleration of the Term Loan, the prepayment or repayment of the Term Loan or the termination of the Loan Agreement. We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of our assets, except for our intellectual property and certain other customary exclusions. Additionally, in connection with the Term Loan, we entered into an Exit Fee Agreement, whereby we agreed to pay an exit fee in the amount 3% of the Term Loan, or the Exit Fee, upon (y) any change of control transaction or (z) FDA approval of tenapanor in the treatment of hyperphosphatemia in ESRD patients on dialysis and FDA approval of tenapanor for the treatment of patients with irritable bowel syndrome with constipation (IBS-C). Notwithstanding the prepayment or termination of the Term Loan, the Exit Fee will expire 10 years from the Closing Date.</w:t>
      </w:r>
    </w:p>
    <w:p>
      <w:pPr>
        <w:spacing w:after="0" w:line="2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unrestricted cash and cash equivalents to be less than the sum of (i) the principal payments due on interest-bearing liabilities for the upcoming seven fiscal months and (ii) seven times the average cash spent in respect of operations and capital expenditures per month (excluding principal payments made in respect of interest- bearing liabilities made in such period). The foregoing covenant shall no longer apply if after May 16, 2018, we have received at least $46.5 million in aggregate unrestricted net cash proceeds from the sale and issuance of stock pursuant to one or more bona fide equity financings. Additionally, if we elect to enter into an exclusive license agreement for the use of our intellectual property in the United States (other than for tenapanor for hyperphosphatemia or for our FXR and TGR5 agonist programs) and we have not obtained the written consent of the Lenders to enter into such license agreement, we have agreed to not allow our unrestricted cash and cash equivalents to be less than $50.0 million, until we achieve our Phase 3 Endpoint.</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Loan Agreement contains customary events of default that entitle the Lender to cause our indebtedness under the Loan Agreement to become immediately due and payable, and to exercise remedies against us and the collateral securing the Term Loan, including our cash. Under the Loan Agreement, an event of default will occur if, among other things, we fail to make payments under the Loan Agreement, we breach any of our covenants under the Loan Agreement, subject to specified cure periods with respect to certain breaches, the Lenders determines that a material adverse change has occurred, we or our assets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4.0% per annum will apply to all obligations owed under the Loan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We were founded in October 2007 as a Delaware corporation under the name Nteryx, Inc. Our principal executive offices are located at 34175 Ardenwood Blvd., Suite 200, Fremont, CA 94555, and our telephone number is (510) 745-1700. Our website address is www.ardelyx.com. The information on, or that can be accessed through, our website is not part of this prospectus. We have included our website address as an inactive textual reference only.</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We will remain an emerging growth company until the earlier of (1) the last day of the fiscal year following the fifth anniversary of the completion of our initial public offering of common stock (December 31, 2019), (2) the last day of the fiscal year in which we have total annual gross revenue of at least $1.07 billion, (3) the last day of the fiscal year in which we are deemed to be a large accelerated filer, which means the market value of our common stock that is held by non-affiliates exceeds $700 million as of the prior June 30th, and (4) the date on which we have issued more than $1.0 billion in non-convertible debt during the prior three-year period.</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967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96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00"/>
          </w:cols>
          <w:pgMar w:left="240" w:top="143" w:right="559" w:bottom="1440" w:gutter="0" w:footer="0" w:header="0"/>
        </w:sect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Ardelyx, Inc.</w:t>
      </w:r>
    </w:p>
    <w:p>
      <w:pPr>
        <w:spacing w:after="0" w:line="200" w:lineRule="exact"/>
        <w:rPr>
          <w:sz w:val="20"/>
          <w:szCs w:val="20"/>
          <w:color w:val="auto"/>
        </w:rPr>
      </w:pPr>
    </w:p>
    <w:p>
      <w:pPr>
        <w:sectPr>
          <w:pgSz w:w="11900" w:h="16838" w:orient="portrait"/>
          <w:cols w:equalWidth="0" w:num="2">
            <w:col w:w="840" w:space="720"/>
            <w:col w:w="9540"/>
          </w:cols>
          <w:pgMar w:left="240" w:top="143" w:right="559" w:bottom="1440" w:gutter="0" w:footer="0" w:header="0"/>
          <w:type w:val="continuous"/>
        </w:sectPr>
      </w:pP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w:t>
      </w:r>
    </w:p>
    <w:p>
      <w:pPr>
        <w:ind w:left="400"/>
        <w:spacing w:after="0" w:line="234" w:lineRule="auto"/>
        <w:rPr>
          <w:sz w:val="20"/>
          <w:szCs w:val="20"/>
          <w:color w:val="auto"/>
        </w:rPr>
      </w:pPr>
      <w:r>
        <w:rPr>
          <w:rFonts w:ascii="Arial" w:cs="Arial" w:eastAsia="Arial" w:hAnsi="Arial"/>
          <w:sz w:val="18"/>
          <w:szCs w:val="18"/>
          <w:color w:val="auto"/>
        </w:rPr>
        <w:t>stock we</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are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w:t>
      </w:r>
    </w:p>
    <w:p>
      <w:pPr>
        <w:spacing w:after="0" w:line="200" w:lineRule="exact"/>
        <w:rPr>
          <w:sz w:val="20"/>
          <w:szCs w:val="20"/>
          <w:color w:val="auto"/>
        </w:rPr>
      </w:pPr>
    </w:p>
    <w:p>
      <w:pPr>
        <w:sectPr>
          <w:pgSz w:w="11900" w:h="16838" w:orient="portrait"/>
          <w:cols w:equalWidth="0" w:num="2">
            <w:col w:w="1820" w:space="720"/>
            <w:col w:w="8560"/>
          </w:cols>
          <w:pgMar w:left="240" w:top="143" w:right="559" w:bottom="1440" w:gutter="0" w:footer="0" w:header="0"/>
          <w:type w:val="continuous"/>
        </w:sectPr>
      </w:pP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w:t>
      </w:r>
    </w:p>
    <w:p>
      <w:pPr>
        <w:ind w:left="400"/>
        <w:spacing w:after="0" w:line="234" w:lineRule="auto"/>
        <w:rPr>
          <w:sz w:val="20"/>
          <w:szCs w:val="20"/>
          <w:color w:val="auto"/>
        </w:rPr>
      </w:pPr>
      <w:r>
        <w:rPr>
          <w:rFonts w:ascii="Arial" w:cs="Arial" w:eastAsia="Arial" w:hAnsi="Arial"/>
          <w:sz w:val="18"/>
          <w:szCs w:val="18"/>
          <w:color w:val="auto"/>
        </w:rPr>
        <w:t>stock to be</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outstanding</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after the</w:t>
      </w:r>
    </w:p>
    <w:p>
      <w:pPr>
        <w:ind w:left="400"/>
        <w:spacing w:after="0"/>
        <w:rPr>
          <w:sz w:val="20"/>
          <w:szCs w:val="20"/>
          <w:color w:val="auto"/>
        </w:rPr>
      </w:pPr>
      <w:r>
        <w:rPr>
          <w:rFonts w:ascii="Arial" w:cs="Arial" w:eastAsia="Arial" w:hAnsi="Arial"/>
          <w:sz w:val="18"/>
          <w:szCs w:val="18"/>
          <w:color w:val="auto"/>
        </w:rPr>
        <w:t>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222" w:lineRule="exact"/>
        <w:rPr>
          <w:sz w:val="20"/>
          <w:szCs w:val="20"/>
          <w:color w:val="auto"/>
        </w:rPr>
      </w:pPr>
    </w:p>
    <w:p>
      <w:pPr>
        <w:sectPr>
          <w:pgSz w:w="11900" w:h="16838" w:orient="portrait"/>
          <w:cols w:equalWidth="0" w:num="2">
            <w:col w:w="1820" w:space="720"/>
            <w:col w:w="8560"/>
          </w:cols>
          <w:pgMar w:left="240" w:top="143" w:right="559" w:bottom="1440" w:gutter="0" w:footer="0" w:header="0"/>
          <w:type w:val="continuous"/>
        </w:sectPr>
      </w:pPr>
    </w:p>
    <w:p>
      <w:pPr>
        <w:spacing w:after="0" w:line="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Option to</w:t>
      </w:r>
    </w:p>
    <w:p>
      <w:pPr>
        <w:ind w:left="400"/>
        <w:spacing w:after="0"/>
        <w:rPr>
          <w:sz w:val="20"/>
          <w:szCs w:val="20"/>
          <w:color w:val="auto"/>
        </w:rPr>
      </w:pPr>
      <w:r>
        <w:rPr>
          <w:rFonts w:ascii="Arial" w:cs="Arial" w:eastAsia="Arial" w:hAnsi="Arial"/>
          <w:sz w:val="16"/>
          <w:szCs w:val="16"/>
          <w:color w:val="auto"/>
        </w:rPr>
        <w:t>purchase</w:t>
      </w:r>
    </w:p>
    <w:p>
      <w:pPr>
        <w:sectPr>
          <w:pgSz w:w="11900" w:h="16838" w:orient="portrait"/>
          <w:cols w:equalWidth="0" w:num="1">
            <w:col w:w="11100"/>
          </w:cols>
          <w:pgMar w:left="240" w:top="143" w:right="559" w:bottom="1440" w:gutter="0" w:footer="0" w:header="0"/>
          <w:type w:val="continuous"/>
        </w:sectPr>
      </w:pPr>
    </w:p>
    <w:p>
      <w:pPr>
        <w:spacing w:after="0" w:line="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additional</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We intend to grant the underwriters a 30-day option to purchase up to an additional stock.</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w:t>
      </w:r>
    </w:p>
    <w:p>
      <w:pPr>
        <w:spacing w:after="0" w:line="419" w:lineRule="exact"/>
        <w:rPr>
          <w:sz w:val="20"/>
          <w:szCs w:val="20"/>
          <w:color w:val="auto"/>
        </w:rPr>
      </w:pPr>
    </w:p>
    <w:p>
      <w:pPr>
        <w:sectPr>
          <w:pgSz w:w="11900" w:h="16838" w:orient="portrait"/>
          <w:cols w:equalWidth="0" w:num="3">
            <w:col w:w="1160" w:space="400"/>
            <w:col w:w="6720" w:space="720"/>
            <w:col w:w="2100"/>
          </w:cols>
          <w:pgMar w:left="240" w:top="143" w:right="559" w:bottom="1440" w:gutter="0" w:footer="0" w:header="0"/>
          <w:type w:val="continuous"/>
        </w:sectPr>
      </w:pP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Use of</w:t>
      </w:r>
    </w:p>
    <w:p>
      <w:pPr>
        <w:ind w:left="400"/>
        <w:spacing w:after="0"/>
        <w:rPr>
          <w:sz w:val="20"/>
          <w:szCs w:val="20"/>
          <w:color w:val="auto"/>
        </w:rPr>
      </w:pPr>
      <w:r>
        <w:rPr>
          <w:rFonts w:ascii="Arial" w:cs="Arial" w:eastAsia="Arial" w:hAnsi="Arial"/>
          <w:sz w:val="16"/>
          <w:szCs w:val="16"/>
          <w:color w:val="auto"/>
        </w:rPr>
        <w:t>proceeds</w:t>
      </w:r>
    </w:p>
    <w:p>
      <w:pPr>
        <w:spacing w:after="0" w:line="20" w:lineRule="exact"/>
        <w:rPr>
          <w:sz w:val="20"/>
          <w:szCs w:val="20"/>
          <w:color w:val="auto"/>
        </w:rPr>
      </w:pPr>
      <w:r>
        <w:rPr>
          <w:sz w:val="20"/>
          <w:szCs w:val="20"/>
          <w:color w:val="auto"/>
        </w:rPr>
        <w:br w:type="column"/>
      </w:r>
    </w:p>
    <w:p>
      <w:pPr>
        <w:ind w:right="40"/>
        <w:spacing w:after="0" w:line="236" w:lineRule="auto"/>
        <w:rPr>
          <w:sz w:val="20"/>
          <w:szCs w:val="20"/>
          <w:color w:val="auto"/>
        </w:rPr>
      </w:pPr>
      <w:r>
        <w:rPr>
          <w:rFonts w:ascii="Arial" w:cs="Arial" w:eastAsia="Arial" w:hAnsi="Arial"/>
          <w:sz w:val="18"/>
          <w:szCs w:val="18"/>
          <w:color w:val="auto"/>
        </w:rPr>
        <w:t>We currently expect to use our existing cash, cash equivalents and short-term investments and the net proceeds from this offering to support our clinical development and pre-commercialization efforts for tenapanor for the treatment of hyperphosphatemia in patients with ESRD who are on dialysis, including the ongoing second Phase 3 clinical trial evaluating tenapanor for such indication; the manufacturing efforts for tenapanor; our research and development efforts for our RDX013 program; the preparation and submission of a New Drug Application for tenapanor for IBS-C, and for general corporate purposes and working capital. See "Use of Proceeds" on page S-11.</w:t>
      </w:r>
    </w:p>
    <w:p>
      <w:pPr>
        <w:spacing w:after="0" w:line="200" w:lineRule="exact"/>
        <w:rPr>
          <w:sz w:val="20"/>
          <w:szCs w:val="20"/>
          <w:color w:val="auto"/>
        </w:rPr>
      </w:pPr>
    </w:p>
    <w:p>
      <w:pPr>
        <w:sectPr>
          <w:pgSz w:w="11900" w:h="16838" w:orient="portrait"/>
          <w:cols w:equalWidth="0" w:num="2">
            <w:col w:w="1120" w:space="440"/>
            <w:col w:w="9540"/>
          </w:cols>
          <w:pgMar w:left="240" w:top="143" w:right="559" w:bottom="1440" w:gutter="0" w:footer="0" w:header="0"/>
          <w:type w:val="continuous"/>
        </w:sectPr>
      </w:pPr>
    </w:p>
    <w:p>
      <w:pPr>
        <w:spacing w:after="0" w:line="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99" w:lineRule="auto"/>
        <w:rPr>
          <w:sz w:val="20"/>
          <w:szCs w:val="20"/>
          <w:color w:val="auto"/>
        </w:rPr>
      </w:pPr>
      <w:r>
        <w:rPr>
          <w:rFonts w:ascii="Arial" w:cs="Arial" w:eastAsia="Arial" w:hAnsi="Arial"/>
          <w:sz w:val="16"/>
          <w:szCs w:val="16"/>
          <w:color w:val="auto"/>
        </w:rPr>
        <w:t>You should read the "Risk Factors" section of this prospectus supplement and in the documents incorporated by reference in this prospectus for a discussion of factors to consider before deciding to purchase shares of our common stock.</w:t>
      </w:r>
    </w:p>
    <w:p>
      <w:pPr>
        <w:spacing w:after="0" w:line="158" w:lineRule="exact"/>
        <w:rPr>
          <w:sz w:val="20"/>
          <w:szCs w:val="20"/>
          <w:color w:val="auto"/>
        </w:rPr>
      </w:pPr>
    </w:p>
    <w:p>
      <w:pPr>
        <w:sectPr>
          <w:pgSz w:w="11900" w:h="16838" w:orient="portrait"/>
          <w:cols w:equalWidth="0" w:num="2">
            <w:col w:w="1160" w:space="400"/>
            <w:col w:w="9540"/>
          </w:cols>
          <w:pgMar w:left="240" w:top="143" w:right="559" w:bottom="1440" w:gutter="0" w:footer="0" w:header="0"/>
          <w:type w:val="continuous"/>
        </w:sectPr>
      </w:pPr>
    </w:p>
    <w:p>
      <w:pPr>
        <w:ind w:left="240"/>
        <w:spacing w:after="0"/>
        <w:rPr>
          <w:sz w:val="20"/>
          <w:szCs w:val="20"/>
          <w:color w:val="auto"/>
        </w:rPr>
      </w:pPr>
      <w:r>
        <w:rPr>
          <w:rFonts w:ascii="Arial" w:cs="Arial" w:eastAsia="Arial" w:hAnsi="Arial"/>
          <w:sz w:val="18"/>
          <w:szCs w:val="18"/>
          <w:color w:val="auto"/>
        </w:rPr>
        <w:t>Loan</w:t>
      </w:r>
    </w:p>
    <w:p>
      <w:pPr>
        <w:ind w:left="400"/>
        <w:spacing w:after="0"/>
        <w:rPr>
          <w:sz w:val="20"/>
          <w:szCs w:val="20"/>
          <w:color w:val="auto"/>
        </w:rPr>
      </w:pPr>
      <w:r>
        <w:rPr>
          <w:rFonts w:ascii="Arial" w:cs="Arial" w:eastAsia="Arial" w:hAnsi="Arial"/>
          <w:sz w:val="16"/>
          <w:szCs w:val="16"/>
          <w:color w:val="auto"/>
        </w:rPr>
        <w:t>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May 16, 2018, we entered into a loan and security agreement with Solar Capital Ltd and Western Alliance Bank. This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loan agreement provides for a $50.0 million term loan facility with a maturity date of November 1, 2022. In addition to other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affirmative and negative covenants, the loan agreement requires that we maintain a minimum of seven months of cash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certain cash equivalents until we have completed one or more equity offerings with aggregate net proceeds of at least</w:t>
      </w:r>
    </w:p>
    <w:p>
      <w:pPr>
        <w:spacing w:after="0"/>
        <w:rPr>
          <w:sz w:val="20"/>
          <w:szCs w:val="20"/>
          <w:color w:val="auto"/>
        </w:rPr>
      </w:pPr>
      <w:r>
        <w:rPr>
          <w:rFonts w:ascii="Arial" w:cs="Arial" w:eastAsia="Arial" w:hAnsi="Arial"/>
          <w:sz w:val="16"/>
          <w:szCs w:val="16"/>
          <w:color w:val="auto"/>
        </w:rPr>
        <w:t>$46.5 million, including this offering. At that time, this minimum liquidity requirement will cease to have effect. In the event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that we remain subject to this minimum liquidity requirement, it may have a material adverse effect on our business,</w:t>
      </w:r>
    </w:p>
    <w:p>
      <w:pPr>
        <w:spacing w:after="0"/>
        <w:rPr>
          <w:sz w:val="20"/>
          <w:szCs w:val="20"/>
          <w:color w:val="auto"/>
        </w:rPr>
      </w:pPr>
      <w:r>
        <w:rPr>
          <w:rFonts w:ascii="Arial" w:cs="Arial" w:eastAsia="Arial" w:hAnsi="Arial"/>
          <w:sz w:val="18"/>
          <w:szCs w:val="18"/>
          <w:color w:val="auto"/>
        </w:rPr>
        <w:t>operating results and financial condition.</w:t>
      </w:r>
    </w:p>
    <w:p>
      <w:pPr>
        <w:spacing w:after="0" w:line="200" w:lineRule="exact"/>
        <w:rPr>
          <w:sz w:val="20"/>
          <w:szCs w:val="20"/>
          <w:color w:val="auto"/>
        </w:rPr>
      </w:pPr>
    </w:p>
    <w:p>
      <w:pPr>
        <w:sectPr>
          <w:pgSz w:w="11900" w:h="16838" w:orient="portrait"/>
          <w:cols w:equalWidth="0" w:num="2">
            <w:col w:w="1260" w:space="300"/>
            <w:col w:w="9540"/>
          </w:cols>
          <w:pgMar w:left="240" w:top="143" w:right="559" w:bottom="1440" w:gutter="0" w:footer="0" w:header="0"/>
          <w:type w:val="continuous"/>
        </w:sectPr>
      </w:pP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Symbol on</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w:t>
      </w:r>
    </w:p>
    <w:p>
      <w:pPr>
        <w:ind w:left="400"/>
        <w:spacing w:after="0" w:line="234" w:lineRule="auto"/>
        <w:rPr>
          <w:sz w:val="20"/>
          <w:szCs w:val="20"/>
          <w:color w:val="auto"/>
        </w:rPr>
      </w:pPr>
      <w:r>
        <w:rPr>
          <w:rFonts w:ascii="Arial" w:cs="Arial" w:eastAsia="Arial" w:hAnsi="Arial"/>
          <w:sz w:val="18"/>
          <w:szCs w:val="18"/>
          <w:color w:val="auto"/>
        </w:rPr>
        <w:t>Nasdaq</w:t>
      </w:r>
    </w:p>
    <w:p>
      <w:pPr>
        <w:ind w:left="400"/>
        <w:spacing w:after="0" w:line="235" w:lineRule="auto"/>
        <w:rPr>
          <w:sz w:val="20"/>
          <w:szCs w:val="20"/>
          <w:color w:val="auto"/>
        </w:rPr>
      </w:pPr>
      <w:r>
        <w:rPr>
          <w:rFonts w:ascii="Arial" w:cs="Arial" w:eastAsia="Arial" w:hAnsi="Arial"/>
          <w:sz w:val="18"/>
          <w:szCs w:val="18"/>
          <w:color w:val="auto"/>
        </w:rPr>
        <w:t>Global</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"ARDX".</w:t>
      </w:r>
    </w:p>
    <w:p>
      <w:pPr>
        <w:spacing w:after="0" w:line="222" w:lineRule="exact"/>
        <w:rPr>
          <w:sz w:val="20"/>
          <w:szCs w:val="20"/>
          <w:color w:val="auto"/>
        </w:rPr>
      </w:pPr>
    </w:p>
    <w:p>
      <w:pPr>
        <w:sectPr>
          <w:pgSz w:w="11900" w:h="16838" w:orient="portrait"/>
          <w:cols w:equalWidth="0" w:num="2">
            <w:col w:w="1080" w:space="480"/>
            <w:col w:w="9540"/>
          </w:cols>
          <w:pgMar w:left="240" w:top="143" w:right="559" w:bottom="1440" w:gutter="0" w:footer="0" w:header="0"/>
          <w:type w:val="continuous"/>
        </w:sectPr>
      </w:pPr>
    </w:p>
    <w:p>
      <w:pPr>
        <w:spacing w:after="0" w:line="12"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The number of shares of common stock to be outstanding after this offering is based on 47,603,568 shares of common stock outstanding as of March 31, 2018, and excludes the following, in each case as of such date:</w:t>
      </w:r>
    </w:p>
    <w:p>
      <w:pPr>
        <w:spacing w:after="0" w:line="209" w:lineRule="exact"/>
        <w:rPr>
          <w:sz w:val="20"/>
          <w:szCs w:val="20"/>
          <w:color w:val="auto"/>
        </w:rPr>
      </w:pPr>
    </w:p>
    <w:p>
      <w:pPr>
        <w:ind w:left="1320" w:right="540" w:hanging="538"/>
        <w:spacing w:after="0" w:line="183" w:lineRule="auto"/>
        <w:tabs>
          <w:tab w:leader="none" w:pos="132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5,227,555 shares of common stock issuable upon the exercise of outstanding stock options having a weighted-average exercise price of $9.61 per share;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02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0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right="20" w:hanging="538"/>
        <w:spacing w:after="0" w:line="183" w:lineRule="auto"/>
        <w:tabs>
          <w:tab w:leader="none" w:pos="132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2,172,899 shares of common stock issuable upon the exercise of outstanding warrants having an exercise price of $13.91 per share;</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635,445 shares of common stock issuable upon the settlement of outstanding restricted stock units;</w:t>
      </w:r>
    </w:p>
    <w:p>
      <w:pPr>
        <w:spacing w:after="0" w:line="194" w:lineRule="exact"/>
        <w:rPr>
          <w:rFonts w:ascii="Arial" w:cs="Arial" w:eastAsia="Arial" w:hAnsi="Arial"/>
          <w:sz w:val="29"/>
          <w:szCs w:val="29"/>
          <w:color w:val="auto"/>
          <w:vertAlign w:val="superscript"/>
        </w:rPr>
      </w:pPr>
    </w:p>
    <w:p>
      <w:pPr>
        <w:ind w:left="1320" w:right="1020" w:hanging="538"/>
        <w:spacing w:after="0" w:line="183" w:lineRule="auto"/>
        <w:tabs>
          <w:tab w:leader="none" w:pos="132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195" w:lineRule="exact"/>
        <w:rPr>
          <w:rFonts w:ascii="Arial" w:cs="Arial" w:eastAsia="Arial" w:hAnsi="Arial"/>
          <w:sz w:val="29"/>
          <w:szCs w:val="29"/>
          <w:color w:val="auto"/>
          <w:vertAlign w:val="superscript"/>
        </w:rPr>
      </w:pPr>
    </w:p>
    <w:p>
      <w:pPr>
        <w:ind w:left="1320" w:hanging="538"/>
        <w:spacing w:after="0" w:line="197" w:lineRule="auto"/>
        <w:tabs>
          <w:tab w:leader="none" w:pos="132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1,718,410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96" w:lineRule="exact"/>
        <w:rPr>
          <w:rFonts w:ascii="Arial" w:cs="Arial" w:eastAsia="Arial" w:hAnsi="Arial"/>
          <w:sz w:val="29"/>
          <w:szCs w:val="29"/>
          <w:color w:val="auto"/>
          <w:vertAlign w:val="superscript"/>
        </w:rPr>
      </w:pPr>
    </w:p>
    <w:p>
      <w:pPr>
        <w:ind w:left="1320" w:right="460" w:hanging="538"/>
        <w:spacing w:after="0" w:line="183" w:lineRule="auto"/>
        <w:tabs>
          <w:tab w:leader="none" w:pos="132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110,080 shares of common stock reserved for future issuance under our Employee Stock Purchase Plan, as well as any automatic increases in the number of shares of our common stock reserved for future issuance under this plan.</w:t>
      </w:r>
    </w:p>
    <w:p>
      <w:pPr>
        <w:spacing w:after="0" w:line="209" w:lineRule="exact"/>
        <w:rPr>
          <w:sz w:val="20"/>
          <w:szCs w:val="20"/>
          <w:color w:val="auto"/>
        </w:rPr>
      </w:pPr>
    </w:p>
    <w:p>
      <w:pPr>
        <w:ind w:left="240" w:right="140"/>
        <w:spacing w:after="0" w:line="238" w:lineRule="auto"/>
        <w:rPr>
          <w:sz w:val="20"/>
          <w:szCs w:val="20"/>
          <w:color w:val="auto"/>
        </w:rPr>
      </w:pPr>
      <w:r>
        <w:rPr>
          <w:rFonts w:ascii="Arial" w:cs="Arial" w:eastAsia="Arial" w:hAnsi="Arial"/>
          <w:sz w:val="18"/>
          <w:szCs w:val="18"/>
          <w:color w:val="auto"/>
        </w:rPr>
        <w:t>Unless otherwise stated, all information contained in this prospectus supplement reflects an assumed public offering price of $5.80 per share, which was the last reported sale price of our common stock on The Nasdaq Global Market on May 18, 2018, and 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and discussed under the section captioned "Risk Factors" contained in our Quarterly Report on Form 10-Q for the quarterly period ended March 31, 2018, incorporated by reference in this prospectus in its entirety,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21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Our management team may invest or spend the proceeds of this offering in ways with which you may not agree or in ways which may not yield a significant return.</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management will have broad discretion over the use of proceeds from this offering. We currently expect to use our existing cash, cash equivalents and short-term investments and the net proceeds from this offering as described in the section captioned "Use of Proceeds." However,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experience immediate and substantial dilution in the net tangible book value per share of the common stock you purchase.</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price per share of our common stock being offered is higher than the net tangible book value per share of our common stock outstanding prior to this offering. As a result, investors purchasing shares of common stock in this offering will incur immediate dilution of $2.68 per share, based on an assumed public offering price of $5.80 per share, which was the last reported sale price of our common stock on The Nasdaq Global Market on May 18, 2018, and our as-adjusted net tangible book value as of March 31, 2018 after giving effect to this offering. For information on how the foregoing amounts were calculated, see "Dilution."</w:t>
      </w:r>
    </w:p>
    <w:p>
      <w:pPr>
        <w:spacing w:after="0" w:line="21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 and the exercise of stock options granted to our employees. As a result of the dilution to investors purchasing shares in this offering, investors may receive significantly less than the purchase price paid in this offering, if anything, in the event of our liquidation.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experience future dilution as a result of future equity offerings.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March 31, 2018, approximately 8.7 million shares of common stock that are either subject to outstanding options or restricted stock units or reserved for future issuance under our equity incentive plans are eligible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20"/>
        <w:spacing w:after="0" w:line="299" w:lineRule="auto"/>
        <w:rPr>
          <w:sz w:val="20"/>
          <w:szCs w:val="20"/>
          <w:color w:val="auto"/>
        </w:rPr>
      </w:pPr>
      <w:r>
        <w:rPr>
          <w:rFonts w:ascii="Arial" w:cs="Arial" w:eastAsia="Arial" w:hAnsi="Arial"/>
          <w:sz w:val="16"/>
          <w:szCs w:val="16"/>
          <w:color w:val="auto"/>
        </w:rPr>
        <w:t>for sale in the public market to the extent permitted by the provisions of various vesting schedules. Additionally, as of March 31, 2018, approximately 2.2 million shares of common stock that are subject to outstanding warrants are eligible for sale in the public market.</w:t>
      </w:r>
    </w:p>
    <w:p>
      <w:pPr>
        <w:spacing w:after="0" w:line="14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Our stock price may be volatile and our stockholders may not be able to resell shares of our common stock at or above the price they paid.</w:t>
      </w:r>
    </w:p>
    <w:p>
      <w:pPr>
        <w:spacing w:after="0" w:line="18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w:t>
      </w:r>
    </w:p>
    <w:p>
      <w:pPr>
        <w:spacing w:after="0" w:line="209" w:lineRule="exact"/>
        <w:rPr>
          <w:sz w:val="20"/>
          <w:szCs w:val="20"/>
          <w:color w:val="auto"/>
        </w:rPr>
      </w:pPr>
    </w:p>
    <w:p>
      <w:pPr>
        <w:ind w:left="1080" w:right="2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results from, or any delays in, clinical trial programs relating to our product candidates, including the ongoing Phase 3 clinical trial for tenapanor for hyperphosphatemia;</w:t>
      </w:r>
    </w:p>
    <w:p>
      <w:pPr>
        <w:spacing w:after="0" w:line="195"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95" w:lineRule="exact"/>
        <w:rPr>
          <w:rFonts w:ascii="Arial" w:cs="Arial" w:eastAsia="Arial" w:hAnsi="Arial"/>
          <w:sz w:val="29"/>
          <w:szCs w:val="29"/>
          <w:color w:val="auto"/>
          <w:vertAlign w:val="superscript"/>
        </w:rPr>
      </w:pPr>
    </w:p>
    <w:p>
      <w:pPr>
        <w:ind w:left="1080" w:right="12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our ability, alone or with collaboration partners, to commercialize or obtain regulatory approval for our product candidates, including tenapanor, or delays in commercializing or obtaining regulatory approval;</w:t>
      </w:r>
    </w:p>
    <w:p>
      <w:pPr>
        <w:spacing w:after="0" w:line="195" w:lineRule="exact"/>
        <w:rPr>
          <w:rFonts w:ascii="Arial" w:cs="Arial" w:eastAsia="Arial" w:hAnsi="Arial"/>
          <w:sz w:val="29"/>
          <w:szCs w:val="29"/>
          <w:color w:val="auto"/>
          <w:vertAlign w:val="superscript"/>
        </w:rPr>
      </w:pPr>
    </w:p>
    <w:p>
      <w:pPr>
        <w:ind w:left="1080" w:right="8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announcements of regulatory approval, a complete response letter or a refuse to file letter to tenapanor, or specific label restrictions or patient populations for its use, or changes or delays in the regulatory review process;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announcements relating to our current or future collaboration partnerships;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announcements of therapeutic innovations or new products by us or our competitors;</w:t>
      </w:r>
    </w:p>
    <w:p>
      <w:pPr>
        <w:spacing w:after="0" w:line="194"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changes or developments in laws or regulations applicable to our product candidates;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success of our testing and clinical trials;</w:t>
      </w:r>
    </w:p>
    <w:p>
      <w:pPr>
        <w:spacing w:after="0" w:line="194" w:lineRule="exact"/>
        <w:rPr>
          <w:rFonts w:ascii="Arial" w:cs="Arial" w:eastAsia="Arial" w:hAnsi="Arial"/>
          <w:sz w:val="29"/>
          <w:szCs w:val="29"/>
          <w:color w:val="auto"/>
          <w:vertAlign w:val="superscript"/>
        </w:rPr>
      </w:pPr>
    </w:p>
    <w:p>
      <w:pPr>
        <w:ind w:left="1080" w:right="50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failure to meet any of our projected timelines or goals with regard to the clinical development of any of our product candidates, including the Phase 3 clinical trial for tenapanor for hyperphosphatemia;</w:t>
      </w:r>
    </w:p>
    <w:p>
      <w:pPr>
        <w:spacing w:after="0" w:line="195"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failure to meet our projected timelines with regard to the filing of the NDA for tenapanor for IBS-C or to timely receive approval for such indication;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success of our efforts to acquire or license or discover additional product candidates;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any intellectual property infringement actions in which we may become involved;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success of our efforts to obtain adequate intellectual property protection for our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announcements concerning our competitors or the pharmaceutical industry in general;</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achievement of expected product sales and profitability;</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manufacture, supply or distribution shortages;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actual or anticipated fluctuations in our operating results;</w:t>
      </w:r>
    </w:p>
    <w:p>
      <w:pPr>
        <w:spacing w:after="0" w:line="142" w:lineRule="exact"/>
        <w:rPr>
          <w:rFonts w:ascii="Arial" w:cs="Arial" w:eastAsia="Arial" w:hAnsi="Arial"/>
          <w:sz w:val="29"/>
          <w:szCs w:val="29"/>
          <w:color w:val="auto"/>
          <w:vertAlign w:val="superscript"/>
        </w:rPr>
      </w:pPr>
    </w:p>
    <w:p>
      <w:pPr>
        <w:ind w:left="1080" w:hanging="532"/>
        <w:spacing w:after="0" w:line="196" w:lineRule="auto"/>
        <w:tabs>
          <w:tab w:leader="none" w:pos="108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FDA or other U.S. or foreign regulatory actions affecting us or our industry or other healthcare reform measures in the United States;</w:t>
      </w:r>
    </w:p>
    <w:p>
      <w:pPr>
        <w:spacing w:after="0" w:line="142"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changes in financial estimates or recommendations by securities analysts;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trading volume of our common stock;</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sales of our common stock by us, our executive officers and directors or our stockholders in the future;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general economic and market conditions and overall fluctuations in the United States equity markets;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loss of any of our key scientific or management personnel.</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6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If securities or industry analysts cease to publish research, or publish inaccurate or unfavorable research about our business, our stock price and trading volume could decline.</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Limited Operating History, Financial Condition and Capital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Loan Agreement contains restrictions that limit our flexibility in operating our business.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May 14, 2018, we entered into a loan and security agreement, or the Loan Agreement, with Solar Capital Ltd. and Western Alliance Bank. The Loan Agreement provides for a $50.0 million term loan facility with a maturity date of November 1, 2022. The Loan Agreement contains various covenants that limit our ability to engage in specified types of transactions without our lenders' prior consent. These covenants limit our ability to, among other things:</w:t>
      </w:r>
    </w:p>
    <w:p>
      <w:pPr>
        <w:spacing w:after="0" w:line="86"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license our intellectual property;</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sell, transfer, lease or dispose of our assets;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create, incur or assume additional indebtedness;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encumber or permit liens on certain of our assets;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make restricted payments, including paying dividends on, repurchasing or making distributions with respect to our common stock;</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make specified investments (including loans and advances);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consolidate, merge, sell or otherwise dispose of all or substantially all of our assets;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enter into certain transactions with our affiliates.</w:t>
      </w:r>
    </w:p>
    <w:p>
      <w:pPr>
        <w:spacing w:after="0" w:line="20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the Loan Agreement contains a liquidity covenant which requires us to maintain a minimum of seven months of cash and certain cash equivalents; provided, that this minimum liquidity requirement ceases to apply if we complete one or more equity offerings with aggregate net proceeds of at least $46.5 million, including this offering.</w:t>
      </w:r>
    </w:p>
    <w:p>
      <w:pPr>
        <w:spacing w:after="0" w:line="20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covenants in the Loan Agreement limit our ability to take certain actions and, in the event that we breach one or more covenants, our lenders may choose to declare an event of default and require that we immediately repay all amounts outstanding of the aggregate principal amount of $50 million, plus exit fees, prepayment premiums, penalties and interest, and foreclose on the collateral granted to them to secure such indebtedness. Such repayment could have a material adverse effect on our business, operating results and financial condition.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This prospectus, including the documents incorporated by reference herein and therein, and any free writing prospectus that we have authorized for use in connection with this offering, contain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08" w:lineRule="exact"/>
        <w:rPr>
          <w:sz w:val="20"/>
          <w:szCs w:val="20"/>
          <w:color w:val="auto"/>
        </w:rPr>
      </w:pPr>
    </w:p>
    <w:p>
      <w:pPr>
        <w:ind w:left="1080" w:right="460" w:hanging="532"/>
        <w:spacing w:after="0" w:line="191" w:lineRule="auto"/>
        <w:tabs>
          <w:tab w:leader="none" w:pos="108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our expectation regarding the timing of our filing of a New Drug Application with the U.S. Federal Food and Drug Administration requesting approval to market tenapanor for patients with irritable bowel syndrome with constipation, or IBS-C;</w:t>
      </w:r>
    </w:p>
    <w:p>
      <w:pPr>
        <w:spacing w:after="0" w:line="195" w:lineRule="exact"/>
        <w:rPr>
          <w:rFonts w:ascii="Arial" w:cs="Arial" w:eastAsia="Arial" w:hAnsi="Arial"/>
          <w:sz w:val="28"/>
          <w:szCs w:val="28"/>
          <w:color w:val="auto"/>
          <w:vertAlign w:val="superscript"/>
        </w:rPr>
      </w:pPr>
    </w:p>
    <w:p>
      <w:pPr>
        <w:ind w:left="1080" w:right="40" w:hanging="532"/>
        <w:spacing w:after="0" w:line="183"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expectation regarding the timing of receipt of results from our second Phase 3 clinical trial evaluating tenapanor for the treatment of hyperphosphatemia in patients with end-stage renal disease, or ESRD, on dialysis;</w:t>
      </w:r>
    </w:p>
    <w:p>
      <w:pPr>
        <w:spacing w:after="0" w:line="195" w:lineRule="exact"/>
        <w:rPr>
          <w:rFonts w:ascii="Arial" w:cs="Arial" w:eastAsia="Arial" w:hAnsi="Arial"/>
          <w:sz w:val="29"/>
          <w:szCs w:val="29"/>
          <w:color w:val="auto"/>
          <w:vertAlign w:val="superscript"/>
        </w:rPr>
      </w:pPr>
    </w:p>
    <w:p>
      <w:pPr>
        <w:ind w:left="1080" w:right="740" w:hanging="532"/>
        <w:spacing w:after="0" w:line="197"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expectations regarding our plans for and our participation in the commercialization of tenapanor for the treatment of hyperphosphatemia in ESRD patients on dialysis, including our expectations regarding our plans to build our own sales and marketing organization to market and sell tenapanor for such indication;</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plans to seek one or more collaboration partners to commercialize tenapanor for IBS-C;</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plans with respect to our pre-clinical programs;</w:t>
      </w:r>
    </w:p>
    <w:p>
      <w:pPr>
        <w:spacing w:after="0" w:line="194" w:lineRule="exact"/>
        <w:rPr>
          <w:rFonts w:ascii="Arial" w:cs="Arial" w:eastAsia="Arial" w:hAnsi="Arial"/>
          <w:sz w:val="29"/>
          <w:szCs w:val="29"/>
          <w:color w:val="auto"/>
          <w:vertAlign w:val="superscript"/>
        </w:rPr>
      </w:pPr>
    </w:p>
    <w:p>
      <w:pPr>
        <w:ind w:left="1080" w:right="640" w:hanging="532"/>
        <w:spacing w:after="0" w:line="183"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ability to identify and validate targets and novel drug candidates using our proprietary drug discovery and design platform including the Ardelyx Primary Enterocyte and Colonocyte Culture System;</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the implementation of our business model and strategic plans for our business, product candidates and technology;</w:t>
      </w:r>
    </w:p>
    <w:p>
      <w:pPr>
        <w:spacing w:after="0" w:line="194"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95" w:lineRule="exact"/>
        <w:rPr>
          <w:rFonts w:ascii="Arial" w:cs="Arial" w:eastAsia="Arial" w:hAnsi="Arial"/>
          <w:sz w:val="29"/>
          <w:szCs w:val="29"/>
          <w:color w:val="auto"/>
          <w:vertAlign w:val="superscript"/>
        </w:rPr>
      </w:pPr>
    </w:p>
    <w:p>
      <w:pPr>
        <w:ind w:left="1080" w:right="640" w:hanging="532"/>
        <w:spacing w:after="0" w:line="183"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financial performance;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developments and projections relating to our competitors and our industry.</w:t>
      </w:r>
    </w:p>
    <w:p>
      <w:pPr>
        <w:spacing w:after="0" w:line="2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You should read this prospectus and the documents incorporated by reference herein completely and with the understanding that 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in greater detail in the documents incorporated by reference herein, including under the heading "Risk Factors." These forward-looking statements represent our estimates and assumptions only as of the dates of this prospectus and the documents incorporated by reference herein and therein, regardless of the time of delivery of this prospectus or any sale of our common stock and, except as required by law, we undertake no obligation to update or revise publicly any forward-looking statements, whether as a result of new information, future events or otherwise after the date of this prospectus. For all forward-looking statements, we claim the protection of the safe harbor for forward-looking statements contained in the Private Securities Litigation Reform Act of 1995.</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estimate that the net proceeds from this offering will be approximately $46.6 million after deducting the estimated underwriting discounts and commissions and estimated offering expenses payable by us. If the underwriters exercise their option to purchase additional shares in full, we estimate that the net proceeds will be approximately $53.7 million after deducting the estimated underwriting discounts and commissions and estimated offering expenses payable by us. Assuming an issuance of 8,620,689 shares of common stock in this offering, a $1.00 increase (decrease) in the assumed public offering price would increase (decrease) the net proceeds to us by approximately $8.1 million (based on the assumed public offering price of $5.80 per share) after deducting the estimated underwriting discounts and commissions and estimated offering expenses payable by us. We may also increase or decrease the size of this offering by issuing more or less shares than the 8,620,689 shares we have estimated. An increase (decrease) of 1,000,000 shares in the number of shares offered by us would increase (decrease) the net proceeds to us from this offering by approximately $5.5 million, assuming that the public offering price (based on the assumed public offering price of $5.80 per share) remains the same and after deducting the estimated underwriting discounts and commissions and estimated offering expenses payable by us.</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expect to use our existing cash, cash equivalents and short-term investments and the net proceeds from this offering (i) to support our clinical development and pre-commercial activities for tenapanor for the treatment of hyperphosphatemia in end-stage renal disease patients on dialysis, (ii) to support the manufacturing efforts for tenapanor, (iii) to support identification of a clinical candidate for our RDX013 program for hyperkalemia and to conduct activities related to the submission of an investigational new drug application for the RDX013 program; (iv) to finalize the preparation and submission of the New Drug Application for tenapanor for IBS-C, and (v) for general business purposes including supporting working capital requirements.</w:t>
      </w:r>
    </w:p>
    <w:p>
      <w:pPr>
        <w:spacing w:after="0" w:line="21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amounts and timing of our actual expenditures will depend on numerous factors, including our clinical and pre-commercial activities with respect to tenapanor for the treatment of hyperphosphatemia in end-stage renal disease on dialysis, our manufacturing efforts for tenapanor,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interest-bearing investment-grade securities, certificates of deposit or government securities.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March 31, 2018:</w:t>
      </w:r>
    </w:p>
    <w:p>
      <w:pPr>
        <w:spacing w:after="0" w:line="8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on an actual basis; and</w:t>
      </w:r>
    </w:p>
    <w:p>
      <w:pPr>
        <w:spacing w:after="0" w:line="194" w:lineRule="exact"/>
        <w:rPr>
          <w:rFonts w:ascii="Arial" w:cs="Arial" w:eastAsia="Arial" w:hAnsi="Arial"/>
          <w:sz w:val="29"/>
          <w:szCs w:val="29"/>
          <w:color w:val="auto"/>
          <w:vertAlign w:val="superscript"/>
        </w:rPr>
      </w:pPr>
    </w:p>
    <w:p>
      <w:pPr>
        <w:jc w:val="both"/>
        <w:ind w:left="1080" w:right="200" w:hanging="532"/>
        <w:spacing w:after="0" w:line="207" w:lineRule="auto"/>
        <w:tabs>
          <w:tab w:leader="none" w:pos="108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on an as adjusted basis to give effect to the issuance and sale by us of 8,620,689 shares of our common stock in this offering at an assumed public offering price of $5.80, the last reported sale price of our common stock on The Nasdaq Global Market on May 18, 2018, and after deducting the estimated underwriting discounts and commissions and estimated offering expenses payable by us.</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You should read this information together with our audited financial statements and related notes incorporated by reference in this prospectus. For more details on how you can obtain our SEC reports and other information, you should read the section of the prospectus supplement entitled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gridSpan w:val="7"/>
          </w:tcPr>
          <w:p>
            <w:pPr>
              <w:jc w:val="center"/>
              <w:ind w:right="1500"/>
              <w:spacing w:after="0"/>
              <w:rPr>
                <w:sz w:val="20"/>
                <w:szCs w:val="20"/>
                <w:color w:val="auto"/>
              </w:rPr>
            </w:pPr>
            <w:r>
              <w:rPr>
                <w:rFonts w:ascii="Arial" w:cs="Arial" w:eastAsia="Arial" w:hAnsi="Arial"/>
                <w:sz w:val="14"/>
                <w:szCs w:val="14"/>
                <w:b w:val="1"/>
                <w:bCs w:val="1"/>
                <w:color w:val="auto"/>
              </w:rPr>
              <w:t>As of March 31, 2018</w:t>
            </w: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94"/>
              <w:spacing w:after="0" w:line="141" w:lineRule="exact"/>
              <w:rPr>
                <w:sz w:val="20"/>
                <w:szCs w:val="20"/>
                <w:color w:val="auto"/>
              </w:rPr>
            </w:pPr>
            <w:r>
              <w:rPr>
                <w:rFonts w:ascii="Arial" w:cs="Arial" w:eastAsia="Arial" w:hAnsi="Arial"/>
                <w:sz w:val="14"/>
                <w:szCs w:val="14"/>
                <w:b w:val="1"/>
                <w:bCs w:val="1"/>
                <w:color w:val="auto"/>
              </w:rPr>
              <w:t>As</w:t>
            </w:r>
          </w:p>
        </w:tc>
        <w:tc>
          <w:tcPr>
            <w:tcW w:w="1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17"/>
                <w:szCs w:val="17"/>
                <w:color w:val="auto"/>
              </w:rPr>
            </w:pPr>
          </w:p>
        </w:tc>
        <w:tc>
          <w:tcPr>
            <w:tcW w:w="2240" w:type="dxa"/>
            <w:vAlign w:val="bottom"/>
            <w:gridSpan w:val="4"/>
          </w:tcPr>
          <w:p>
            <w:pPr>
              <w:ind w:left="80"/>
              <w:spacing w:after="0" w:line="205"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w w:val="94"/>
              </w:rPr>
              <w:t>(in thousands,</w:t>
            </w:r>
          </w:p>
        </w:tc>
        <w:tc>
          <w:tcPr>
            <w:tcW w:w="160" w:type="dxa"/>
            <w:vAlign w:val="bottom"/>
            <w:gridSpan w:val="2"/>
          </w:tcPr>
          <w:p>
            <w:pPr>
              <w:spacing w:after="0"/>
              <w:rPr>
                <w:sz w:val="12"/>
                <w:szCs w:val="12"/>
                <w:color w:val="auto"/>
              </w:rPr>
            </w:pPr>
          </w:p>
        </w:tc>
        <w:tc>
          <w:tcPr>
            <w:tcW w:w="92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except share</w:t>
            </w:r>
          </w:p>
        </w:tc>
        <w:tc>
          <w:tcPr>
            <w:tcW w:w="1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gridSpan w:val="7"/>
          </w:tcPr>
          <w:p>
            <w:pPr>
              <w:jc w:val="center"/>
              <w:ind w:right="148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127,449</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174,069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ind w:left="11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80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w w:val="99"/>
              </w:rPr>
              <w:t>Preferred stock — $0.0001 par value — 5,000,000 shares authorized, actual and as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680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adjusted; no shares issued or outstanding, actual and as adjusted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800" w:type="dxa"/>
            <w:vAlign w:val="bottom"/>
          </w:tcPr>
          <w:p>
            <w:pPr>
              <w:ind w:left="160"/>
              <w:spacing w:after="0" w:line="206" w:lineRule="exact"/>
              <w:rPr>
                <w:sz w:val="20"/>
                <w:szCs w:val="20"/>
                <w:color w:val="auto"/>
              </w:rPr>
            </w:pPr>
            <w:r>
              <w:rPr>
                <w:rFonts w:ascii="Arial" w:cs="Arial" w:eastAsia="Arial" w:hAnsi="Arial"/>
                <w:sz w:val="18"/>
                <w:szCs w:val="18"/>
                <w:color w:val="auto"/>
              </w:rPr>
              <w:t>Common stock — $0.0001 par value — authorized, 300,000,000 actual and as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6800" w:type="dxa"/>
            <w:vAlign w:val="bottom"/>
          </w:tcPr>
          <w:p>
            <w:pPr>
              <w:ind w:left="320"/>
              <w:spacing w:after="0" w:line="200" w:lineRule="exact"/>
              <w:rPr>
                <w:sz w:val="20"/>
                <w:szCs w:val="20"/>
                <w:color w:val="auto"/>
              </w:rPr>
            </w:pPr>
            <w:r>
              <w:rPr>
                <w:rFonts w:ascii="Arial" w:cs="Arial" w:eastAsia="Arial" w:hAnsi="Arial"/>
                <w:sz w:val="18"/>
                <w:szCs w:val="18"/>
                <w:color w:val="auto"/>
              </w:rPr>
              <w:t>adjusted; issued and outstanding, 47,603,568 actual and 56,224,257 as adjusted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420,294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466,914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(291,232)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(291,232)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800" w:type="dxa"/>
            <w:vAlign w:val="bottom"/>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128,976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175,596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80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Total capitalization</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128,976</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175,596</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180" w:hanging="532"/>
        <w:spacing w:after="0" w:line="227" w:lineRule="auto"/>
        <w:tabs>
          <w:tab w:leader="none" w:pos="5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Assuming an issuance of 8,620,689 shares of common stock in this offering, a $1.00 increase (decrease) in the assumed public offering price would increase (decrease) the as adjusted amount of each of cash, cash equivalents and short-term investments, additional paid-in capital, total stockholders' equity and total capitalization by approximately $8.1 million (based on the assumed public offering price of $5.80 per share) after deducting the estimated underwriting discounts and commissions and estimated offering expenses payable by us. A 1,000,000 share increase (decrease) in the number of shares offered by us would increase (decrease) the as adjusted amount of each of cash, cash equivalents and short-term investments, additional paid-in capital, total stockholders' equity and total capitalization by approximately $5.5 million, assuming that the public offering price (based on the assumed public offering price of $5.80 per share) remains the same and after deducting the estimated underwriting discounts and commissions and estimated offering expenses payable by us. The as adjusted information discussed above is illustrative only and will adjust based on the actual public offering price and other terms of this offering determined at pricing.</w:t>
      </w:r>
    </w:p>
    <w:p>
      <w:pPr>
        <w:spacing w:after="0" w:line="206"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outstanding share information in the table above is based on 47,603,568 shares of common stock outstanding as of March 31, 2018 and excludes the following, in each case as of such date:</w:t>
      </w:r>
    </w:p>
    <w:p>
      <w:pPr>
        <w:spacing w:after="0" w:line="209" w:lineRule="exact"/>
        <w:rPr>
          <w:sz w:val="20"/>
          <w:szCs w:val="20"/>
          <w:color w:val="auto"/>
        </w:rPr>
      </w:pPr>
    </w:p>
    <w:p>
      <w:pPr>
        <w:ind w:left="1080" w:right="400" w:hanging="532"/>
        <w:spacing w:after="0" w:line="183" w:lineRule="auto"/>
        <w:tabs>
          <w:tab w:leader="none" w:pos="10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5,227,555 shares of common stock issuable upon the exercise of outstanding stock options having a weighted-average exercise price of $9.61 per share;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2,172,899 shares of common stock issuable upon the exercise of outstanding warrants having an exercise price of $13.91 per share;</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635,445 shares of common stock issuable upon the settlement of outstanding restricted stock units;</w:t>
      </w:r>
    </w:p>
    <w:p>
      <w:pPr>
        <w:spacing w:after="0" w:line="194"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195" w:lineRule="exact"/>
        <w:rPr>
          <w:rFonts w:ascii="Arial" w:cs="Arial" w:eastAsia="Arial" w:hAnsi="Arial"/>
          <w:sz w:val="29"/>
          <w:szCs w:val="29"/>
          <w:color w:val="auto"/>
          <w:vertAlign w:val="superscript"/>
        </w:rPr>
      </w:pPr>
    </w:p>
    <w:p>
      <w:pPr>
        <w:ind w:left="1080" w:right="40" w:hanging="532"/>
        <w:spacing w:after="0" w:line="191" w:lineRule="auto"/>
        <w:tabs>
          <w:tab w:leader="none" w:pos="108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1,718,410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95" w:lineRule="exact"/>
        <w:rPr>
          <w:rFonts w:ascii="Arial" w:cs="Arial" w:eastAsia="Arial" w:hAnsi="Arial"/>
          <w:sz w:val="28"/>
          <w:szCs w:val="28"/>
          <w:color w:val="auto"/>
          <w:vertAlign w:val="superscript"/>
        </w:rPr>
      </w:pPr>
    </w:p>
    <w:p>
      <w:pPr>
        <w:ind w:left="1080" w:right="160" w:hanging="532"/>
        <w:spacing w:after="0" w:line="183" w:lineRule="auto"/>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110,080 shares of common stock reserved for future issuance under our Employee Stock Purchase Plan, as well as any automatic increases in the number of shares of our common stock reserved for future issuance under this plan.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you invest in our common stock in this offering, your interest will be immediately diluted to the extent of the difference between the public offering price per share of our common stock in this offering and the net tangible book value per share of our common stock after this offering. As of March 31, 2018, we had a historical net tangible book value of $129.0 million, or $2.71 per share of common stock. Our net tangible book value represents total tangible assets less total liabilities and convertible preferred stock, all divided by the number of shares of common stock outstanding on March 31, 2018.</w:t>
      </w:r>
    </w:p>
    <w:p>
      <w:pPr>
        <w:spacing w:after="0" w:line="2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After giving effect to the sale of shares of common stock in this offering based on the last reported sale price of our common stock on The Nasdaq Global Market on May 18, 2018, or $5.80 per share, and after deducting the estimated underwriting discounts and commissions and estimated offering expenses, our as adjusted net tangible book value at March 31, 2018 would have been approximately $175.6 million, or $3.12 per share. This represents an immediate increase in as adjusted net tangible book value of $0.41 per share to existing stockholders and an immediate dilution of $2.68 per share to new investors. The following table illustrates this per share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Net tangible book value per share as of March 31, 2018</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2.71</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per share attributable to new investors</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6"/>
        </w:trPr>
        <w:tc>
          <w:tcPr>
            <w:tcW w:w="858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As adjusted net tangible book value per share as of March 31, 2018, after giving effect to this</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7420" w:type="dxa"/>
            <w:vAlign w:val="bottom"/>
          </w:tcPr>
          <w:p>
            <w:pPr>
              <w:ind w:left="160"/>
              <w:spacing w:after="0" w:line="200" w:lineRule="exact"/>
              <w:rPr>
                <w:sz w:val="20"/>
                <w:szCs w:val="20"/>
                <w:color w:val="auto"/>
              </w:rPr>
            </w:pPr>
            <w:r>
              <w:rPr>
                <w:rFonts w:ascii="Arial" w:cs="Arial" w:eastAsia="Arial" w:hAnsi="Arial"/>
                <w:sz w:val="18"/>
                <w:szCs w:val="18"/>
                <w:color w:val="auto"/>
              </w:rPr>
              <w:t>offering</w:t>
            </w:r>
          </w:p>
        </w:tc>
        <w:tc>
          <w:tcPr>
            <w:tcW w:w="380" w:type="dxa"/>
            <w:vAlign w:val="bottom"/>
          </w:tcPr>
          <w:p>
            <w:pPr>
              <w:spacing w:after="0"/>
              <w:rPr>
                <w:sz w:val="17"/>
                <w:szCs w:val="17"/>
                <w:color w:val="auto"/>
              </w:rPr>
            </w:pPr>
          </w:p>
        </w:tc>
        <w:tc>
          <w:tcPr>
            <w:tcW w:w="7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0"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 purchasing our common stock in this offering</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74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1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the underwriters fully exercise their option to purchase additional shares, as adjusted net tangible book value after this offering would increase to approximately $3.18 per share, and there would be an immediate dilution of approximately $2.62 per share to new investors.</w:t>
      </w:r>
    </w:p>
    <w:p>
      <w:pPr>
        <w:spacing w:after="0" w:line="2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Assuming an issuance of 8,620,689 shares of common stock in this offering, a $1.00 increase (decrease) in the assumed public offering price would increase (decrease) the as adjusted net tangible book value by approximately $8.1 million, or approximately $0.14 per share, and increase (decrease) the dilution per share to new investors by approximately $0.86 per share (based on the assumed public offering price of $5.80 per share) after deducting the estimated underwriting discounts and commissions and estimated offering expenses payable by us. An increase (decrease) of 1,000,000 shares in the number of shares offered by us would increase (decrease) the as adjusted net tangible book value by approximately $5.5 million, or $0.04 per share, and would decrease (increase) the dilution per share to new investors by approximately $0.04 per share, assuming that the assumed public offering price remains the same and after deducting the estimated underwriting discounts and commissions and estimated offering expenses payable by us. The as adjusted information discussed above is illustrative only and will adjust based on the actual public offering price and other terms of this offering determined at pricing.</w:t>
      </w:r>
    </w:p>
    <w:p>
      <w:pPr>
        <w:spacing w:after="0" w:line="21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To the extent that outstanding options or warrants are exercised,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to be outstanding after this offering is based on 47,603,568 shares of common stock outstanding as of</w:t>
      </w:r>
    </w:p>
    <w:p>
      <w:pPr>
        <w:spacing w:after="0"/>
        <w:rPr>
          <w:sz w:val="20"/>
          <w:szCs w:val="20"/>
          <w:color w:val="auto"/>
        </w:rPr>
      </w:pPr>
      <w:r>
        <w:rPr>
          <w:rFonts w:ascii="Arial" w:cs="Arial" w:eastAsia="Arial" w:hAnsi="Arial"/>
          <w:sz w:val="18"/>
          <w:szCs w:val="18"/>
          <w:color w:val="auto"/>
        </w:rPr>
        <w:t>March 31, 2018, and excludes the following, in each case as of such date:</w:t>
      </w:r>
    </w:p>
    <w:p>
      <w:pPr>
        <w:spacing w:after="0" w:line="212" w:lineRule="exact"/>
        <w:rPr>
          <w:sz w:val="20"/>
          <w:szCs w:val="20"/>
          <w:color w:val="auto"/>
        </w:rPr>
      </w:pPr>
    </w:p>
    <w:p>
      <w:pPr>
        <w:ind w:left="1080" w:right="340" w:hanging="532"/>
        <w:spacing w:after="0" w:line="183" w:lineRule="auto"/>
        <w:tabs>
          <w:tab w:leader="none" w:pos="10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5,227,555 shares of common stock issuable upon the exercise of outstanding stock options having a weighted-average exercise price of $9.61 per share;</w:t>
      </w:r>
    </w:p>
    <w:p>
      <w:pPr>
        <w:spacing w:after="0" w:line="8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2,172,899 shares of common stock issuable upon the exercise of outstanding warrants having an exercise price of $13.91 per share;</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635,445 shares of common stock issuable upon the settlement of outstanding restricted stock units;</w:t>
      </w:r>
    </w:p>
    <w:p>
      <w:pPr>
        <w:spacing w:after="0" w:line="194"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195" w:lineRule="exact"/>
        <w:rPr>
          <w:rFonts w:ascii="Arial" w:cs="Arial" w:eastAsia="Arial" w:hAnsi="Arial"/>
          <w:sz w:val="29"/>
          <w:szCs w:val="29"/>
          <w:color w:val="auto"/>
          <w:vertAlign w:val="superscript"/>
        </w:rPr>
      </w:pPr>
    </w:p>
    <w:p>
      <w:pPr>
        <w:ind w:left="1080" w:right="40" w:hanging="532"/>
        <w:spacing w:after="0" w:line="191" w:lineRule="auto"/>
        <w:tabs>
          <w:tab w:leader="none" w:pos="108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1,718,410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95" w:lineRule="exact"/>
        <w:rPr>
          <w:rFonts w:ascii="Arial" w:cs="Arial" w:eastAsia="Arial" w:hAnsi="Arial"/>
          <w:sz w:val="28"/>
          <w:szCs w:val="28"/>
          <w:color w:val="auto"/>
          <w:vertAlign w:val="superscript"/>
        </w:rPr>
      </w:pPr>
    </w:p>
    <w:p>
      <w:pPr>
        <w:ind w:left="1080" w:right="160" w:hanging="532"/>
        <w:spacing w:after="0" w:line="183" w:lineRule="auto"/>
        <w:tabs>
          <w:tab w:leader="none" w:pos="10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110,080 shares of common stock reserved for future issuance under our Employee Stock Purchase Plan, as well as any automatic increases in the number of shares of our common stock reserved for future issuance under this plan.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Our common stock commenced trading on The Nasdaq Global Market under the symbol "ARDX" on June 19, 2014. Prior to that date, there was no public trading market for our common stock. The following table sets forth, for the periods indicated, the high and low reported sales prices of our common stock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3"/>
          </w:tcPr>
          <w:p>
            <w:pPr>
              <w:ind w:left="80"/>
              <w:spacing w:after="0"/>
              <w:rPr>
                <w:sz w:val="20"/>
                <w:szCs w:val="20"/>
                <w:color w:val="auto"/>
              </w:rPr>
            </w:pPr>
            <w:r>
              <w:rPr>
                <w:rFonts w:ascii="Arial" w:cs="Arial" w:eastAsia="Arial" w:hAnsi="Arial"/>
                <w:sz w:val="14"/>
                <w:szCs w:val="14"/>
                <w:b w:val="1"/>
                <w:bCs w:val="1"/>
                <w:color w:val="auto"/>
              </w:rPr>
              <w:t>Low</w:t>
            </w:r>
          </w:p>
        </w:tc>
      </w:tr>
      <w:tr>
        <w:trPr>
          <w:trHeight w:val="196"/>
        </w:trPr>
        <w:tc>
          <w:tcPr>
            <w:tcW w:w="17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ending December 31, 2016</w:t>
            </w:r>
          </w:p>
        </w:tc>
        <w:tc>
          <w:tcPr>
            <w:tcW w:w="14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First Quarter</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17.90</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6.84</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Second Quarter</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6.36</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Third Quarter</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13.29</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8.42</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Fourth Quarter</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16.30</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b w:val="1"/>
                <w:bCs w:val="1"/>
                <w:color w:val="auto"/>
              </w:rPr>
              <w:t>Year ending December 31, 2017</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First Quarter</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15.40</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10.95</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Second Quarter</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14.10</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4.05</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Third Quarter</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4.28</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Fourth Quarter</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8.65</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4.75</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ending December 31, 2018</w:t>
            </w: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First Quarter</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8.10</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5.02</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Second Quarter (through May 18, 2018)</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4.45</w:t>
            </w:r>
          </w:p>
        </w:tc>
        <w:tc>
          <w:tcPr>
            <w:tcW w:w="1740" w:type="dxa"/>
            <w:vAlign w:val="bottom"/>
          </w:tcPr>
          <w:p>
            <w:pPr>
              <w:spacing w:after="0"/>
              <w:rPr>
                <w:sz w:val="17"/>
                <w:szCs w:val="17"/>
                <w:color w:val="auto"/>
              </w:rPr>
            </w:pPr>
          </w:p>
        </w:tc>
      </w:tr>
      <w:tr>
        <w:trPr>
          <w:trHeight w:val="108"/>
        </w:trPr>
        <w:tc>
          <w:tcPr>
            <w:tcW w:w="1720" w:type="dxa"/>
            <w:vAlign w:val="bottom"/>
            <w:tcBorders>
              <w:bottom w:val="single" w:sz="8" w:color="auto"/>
            </w:tcBorders>
          </w:tcPr>
          <w:p>
            <w:pPr>
              <w:spacing w:after="0"/>
              <w:rPr>
                <w:sz w:val="9"/>
                <w:szCs w:val="9"/>
                <w:color w:val="auto"/>
              </w:rPr>
            </w:pPr>
          </w:p>
        </w:tc>
        <w:tc>
          <w:tcPr>
            <w:tcW w:w="47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r>
    </w:tbl>
    <w:p>
      <w:pPr>
        <w:spacing w:after="0" w:line="21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last reported sale price of our common stock on The Nasdaq Global Market on May 18, 2018 was $5.80 per share. As of May 18, 2018, there were approximately 36 holders of record of our common stock. This number does not include beneficial owners whose shares are held by nominees in street name.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In addition, unless waived, the terms of our credit facility generally prohibit us from declaring or paying any cash dividends and other distributions. Any future determination related to dividend policy will be made at the discretion of our board of directors.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1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86"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U.S. expatriates and former citizens or long-term residents of the United States;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persons subject to the alternative minimum tax;</w:t>
      </w:r>
    </w:p>
    <w:p>
      <w:pPr>
        <w:spacing w:after="0" w:line="194"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banks, insurance companies, and other financial institutions;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brokers, dealers or traders in securities;</w:t>
      </w:r>
    </w:p>
    <w:p>
      <w:pPr>
        <w:spacing w:after="0" w:line="194"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tax-exempt organizations or governmental organizations;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persons deemed to sell our common stock under the constructive sale provisions of the Code;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tax-qualified retirement plans.</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7"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b w:val="1"/>
          <w:bCs w:val="1"/>
          <w:color w:val="auto"/>
        </w:rPr>
        <w:t>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234"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85"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an individual who is a citizen or resident of the United States;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a corporation created or organized under the laws of the United States, any state thereof or the District of Columbia;</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an estate, the income of which is subject to U.S. federal income tax regardless of its source; or</w:t>
      </w:r>
    </w:p>
    <w:p>
      <w:pPr>
        <w:spacing w:after="0" w:line="194" w:lineRule="exact"/>
        <w:rPr>
          <w:rFonts w:ascii="Arial" w:cs="Arial" w:eastAsia="Arial" w:hAnsi="Arial"/>
          <w:sz w:val="29"/>
          <w:szCs w:val="29"/>
          <w:color w:val="auto"/>
          <w:vertAlign w:val="superscript"/>
        </w:rPr>
      </w:pPr>
    </w:p>
    <w:p>
      <w:pPr>
        <w:jc w:val="both"/>
        <w:ind w:left="1080" w:right="140" w:hanging="532"/>
        <w:spacing w:after="0" w:line="197"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described above in the section entitled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 Sale or Other Taxable Disposition."</w:t>
      </w:r>
    </w:p>
    <w:p>
      <w:pPr>
        <w:spacing w:after="0" w:line="21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10" w:lineRule="exact"/>
        <w:rPr>
          <w:sz w:val="20"/>
          <w:szCs w:val="20"/>
          <w:color w:val="auto"/>
        </w:rPr>
      </w:pPr>
    </w:p>
    <w:p>
      <w:pPr>
        <w:jc w:val="both"/>
        <w:ind w:right="80"/>
        <w:spacing w:after="0" w:line="23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1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Subject to the discussions below under "— Information Reporting and Backup Withholding" and "— Additional Withholding Tax on Payments Made to Foreign Accounts," a Non-U.S. Holder will not be subject to U.S. federal income or withholding tax on any gain realized upon the sale or other taxable disposition of our common stock unless:</w:t>
      </w:r>
    </w:p>
    <w:p>
      <w:pPr>
        <w:spacing w:after="0" w:line="208" w:lineRule="exact"/>
        <w:rPr>
          <w:sz w:val="20"/>
          <w:szCs w:val="20"/>
          <w:color w:val="auto"/>
        </w:rPr>
      </w:pPr>
    </w:p>
    <w:p>
      <w:pPr>
        <w:ind w:left="1080" w:right="120" w:hanging="532"/>
        <w:spacing w:after="0" w:line="197" w:lineRule="auto"/>
        <w:tabs>
          <w:tab w:leader="none" w:pos="10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96" w:lineRule="exact"/>
        <w:rPr>
          <w:rFonts w:ascii="Arial" w:cs="Arial" w:eastAsia="Arial" w:hAnsi="Arial"/>
          <w:sz w:val="29"/>
          <w:szCs w:val="29"/>
          <w:color w:val="auto"/>
          <w:vertAlign w:val="superscript"/>
        </w:rPr>
      </w:pPr>
    </w:p>
    <w:p>
      <w:pPr>
        <w:ind w:left="1080" w:right="20" w:hanging="532"/>
        <w:spacing w:after="0" w:line="183" w:lineRule="auto"/>
        <w:tabs>
          <w:tab w:leader="none" w:pos="10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5" w:lineRule="exact"/>
        <w:rPr>
          <w:rFonts w:ascii="Arial" w:cs="Arial" w:eastAsia="Arial" w:hAnsi="Arial"/>
          <w:sz w:val="29"/>
          <w:szCs w:val="29"/>
          <w:color w:val="auto"/>
          <w:vertAlign w:val="superscript"/>
        </w:rPr>
      </w:pPr>
    </w:p>
    <w:p>
      <w:pPr>
        <w:ind w:left="1080" w:right="640" w:hanging="532"/>
        <w:spacing w:after="0" w:line="183" w:lineRule="auto"/>
        <w:tabs>
          <w:tab w:leader="none" w:pos="10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20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20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non-U.S. broker that does not have certain enumerated relationships with the United States generally will not be subject to backup withholding or information reporting.</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20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3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obligations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396"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w:t>
      </w:r>
    </w:p>
    <w:p>
      <w:pPr>
        <w:spacing w:after="0" w:line="16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Subject to the terms and conditions set forth in the underwriting agreement, to be entered into among us, Jefferies LLC and Leerink Partners LLC,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72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206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jc w:val="center"/>
        <w:ind w:right="206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-1905</wp:posOffset>
            </wp:positionV>
            <wp:extent cx="506857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7840" w:space="720"/>
            <w:col w:w="2780"/>
          </w:cols>
          <w:pgMar w:left="240" w:top="143" w:right="319"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Jefferies LLC</w:t>
      </w:r>
    </w:p>
    <w:p>
      <w:pPr>
        <w:ind w:left="172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-4445</wp:posOffset>
            </wp:positionV>
            <wp:extent cx="50685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-4445</wp:posOffset>
            </wp:positionV>
            <wp:extent cx="7804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12065</wp:posOffset>
            </wp:positionV>
            <wp:extent cx="7804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5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21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 $ per share of common stock. The underwriters may allow, and certain dealers may reallow, a discount from the concession not in excess of $ 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 supplement.</w:t>
      </w:r>
    </w:p>
    <w:p>
      <w:pPr>
        <w:spacing w:after="0" w:line="210"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4" w:lineRule="exact"/>
        <w:rPr>
          <w:sz w:val="20"/>
          <w:szCs w:val="20"/>
          <w:color w:val="auto"/>
        </w:rPr>
      </w:pPr>
    </w:p>
    <w:tbl>
      <w:tblPr>
        <w:tblLayout w:type="fixed"/>
        <w:tblInd w:w="6620" w:type="dxa"/>
        <w:tblCellMar>
          <w:top w:w="0" w:type="dxa"/>
          <w:left w:w="0" w:type="dxa"/>
          <w:bottom w:w="0" w:type="dxa"/>
          <w:right w:w="0" w:type="dxa"/>
        </w:tblCellMar>
      </w:tblPr>
      <w:tr>
        <w:trPr>
          <w:trHeight w:val="175"/>
        </w:trPr>
        <w:tc>
          <w:tcPr>
            <w:tcW w:w="16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16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Total</w:t>
            </w:r>
          </w:p>
        </w:tc>
      </w:tr>
      <w:tr>
        <w:trPr>
          <w:trHeight w:val="142"/>
        </w:trPr>
        <w:tc>
          <w:tcPr>
            <w:tcW w:w="82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rPr>
              <w:t>Without</w:t>
            </w:r>
          </w:p>
        </w:tc>
        <w:tc>
          <w:tcPr>
            <w:tcW w:w="840" w:type="dxa"/>
            <w:vAlign w:val="bottom"/>
          </w:tcPr>
          <w:p>
            <w:pPr>
              <w:jc w:val="center"/>
              <w:ind w:left="8"/>
              <w:spacing w:after="0" w:line="143" w:lineRule="exact"/>
              <w:rPr>
                <w:sz w:val="20"/>
                <w:szCs w:val="20"/>
                <w:color w:val="auto"/>
              </w:rPr>
            </w:pPr>
            <w:r>
              <w:rPr>
                <w:rFonts w:ascii="Arial" w:cs="Arial" w:eastAsia="Arial" w:hAnsi="Arial"/>
                <w:sz w:val="14"/>
                <w:szCs w:val="14"/>
                <w:b w:val="1"/>
                <w:bCs w:val="1"/>
                <w:color w:val="auto"/>
              </w:rPr>
              <w:t>With</w:t>
            </w:r>
          </w:p>
        </w:tc>
        <w:tc>
          <w:tcPr>
            <w:tcW w:w="160" w:type="dxa"/>
            <w:vAlign w:val="bottom"/>
          </w:tcPr>
          <w:p>
            <w:pPr>
              <w:spacing w:after="0"/>
              <w:rPr>
                <w:sz w:val="12"/>
                <w:szCs w:val="12"/>
                <w:color w:val="auto"/>
              </w:rPr>
            </w:pPr>
          </w:p>
        </w:tc>
        <w:tc>
          <w:tcPr>
            <w:tcW w:w="84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w w:val="99"/>
              </w:rPr>
              <w:t>Without</w:t>
            </w:r>
          </w:p>
        </w:tc>
        <w:tc>
          <w:tcPr>
            <w:tcW w:w="840" w:type="dxa"/>
            <w:vAlign w:val="bottom"/>
          </w:tcPr>
          <w:p>
            <w:pPr>
              <w:jc w:val="center"/>
              <w:ind w:left="8"/>
              <w:spacing w:after="0" w:line="143" w:lineRule="exact"/>
              <w:rPr>
                <w:sz w:val="20"/>
                <w:szCs w:val="20"/>
                <w:color w:val="auto"/>
              </w:rPr>
            </w:pPr>
            <w:r>
              <w:rPr>
                <w:rFonts w:ascii="Arial" w:cs="Arial" w:eastAsia="Arial" w:hAnsi="Arial"/>
                <w:sz w:val="14"/>
                <w:szCs w:val="14"/>
                <w:b w:val="1"/>
                <w:bCs w:val="1"/>
                <w:color w:val="auto"/>
              </w:rPr>
              <w:t>With</w:t>
            </w:r>
          </w:p>
        </w:tc>
      </w:tr>
      <w:tr>
        <w:trPr>
          <w:trHeight w:val="162"/>
        </w:trPr>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Option to</w:t>
            </w: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rPr>
              <w:t>Option to</w:t>
            </w:r>
          </w:p>
        </w:tc>
        <w:tc>
          <w:tcPr>
            <w:tcW w:w="16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rPr>
              <w:t>Option to</w:t>
            </w: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Purchase</w:t>
            </w: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rPr>
              <w:t>Purchase</w:t>
            </w: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rPr>
              <w:t>Additional</w:t>
            </w:r>
          </w:p>
        </w:tc>
        <w:tc>
          <w:tcPr>
            <w:tcW w:w="840" w:type="dxa"/>
            <w:vAlign w:val="bottom"/>
          </w:tcPr>
          <w:p>
            <w:pPr>
              <w:jc w:val="center"/>
              <w:ind w:left="28"/>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rPr>
              <w:t>Additional</w:t>
            </w: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rPr>
              <w:t>Additional</w:t>
            </w:r>
          </w:p>
        </w:tc>
      </w:tr>
      <w:tr>
        <w:trPr>
          <w:trHeight w:val="190"/>
        </w:trPr>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auto"/>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-8890</wp:posOffset>
            </wp:positionV>
            <wp:extent cx="57975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line="236" w:lineRule="auto"/>
        <w:rPr>
          <w:sz w:val="20"/>
          <w:szCs w:val="20"/>
          <w:color w:val="auto"/>
        </w:rPr>
      </w:pPr>
      <w:r>
        <w:rPr>
          <w:rFonts w:ascii="Arial" w:cs="Arial" w:eastAsia="Arial" w:hAnsi="Arial"/>
          <w:sz w:val="18"/>
          <w:szCs w:val="18"/>
          <w:color w:val="auto"/>
        </w:rPr>
        <w:t>Public offering price</w:t>
      </w:r>
    </w:p>
    <w:p>
      <w:pPr>
        <w:ind w:left="1140"/>
        <w:spacing w:after="0" w:line="235" w:lineRule="auto"/>
        <w:rPr>
          <w:sz w:val="20"/>
          <w:szCs w:val="20"/>
          <w:color w:val="auto"/>
        </w:rPr>
      </w:pPr>
      <w:r>
        <w:rPr>
          <w:rFonts w:ascii="Arial" w:cs="Arial" w:eastAsia="Arial" w:hAnsi="Arial"/>
          <w:sz w:val="18"/>
          <w:szCs w:val="18"/>
          <w:color w:val="auto"/>
        </w:rPr>
        <w:t>Underwriting discounts and commissions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Proceeds to us, before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$380,000.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trading symbol "ARDX."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from time to time, in whole or</w:t>
      </w:r>
    </w:p>
    <w:p>
      <w:pPr>
        <w:spacing w:after="0" w:line="1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our officers and directors (for the avoidance of doubt, not including any entities affiliated with New Enterprise Associates) have agreed, subject to specified exceptions, not to directly or indirectly:</w:t>
      </w:r>
    </w:p>
    <w:p>
      <w:pPr>
        <w:spacing w:after="0" w:line="209" w:lineRule="exact"/>
        <w:rPr>
          <w:sz w:val="20"/>
          <w:szCs w:val="20"/>
          <w:color w:val="auto"/>
        </w:rPr>
      </w:pPr>
    </w:p>
    <w:p>
      <w:pPr>
        <w:ind w:left="1080" w:right="240" w:hanging="532"/>
        <w:spacing w:after="0" w:line="211"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or otherwise transfer or dispose of, directly or indirectly, or file with the Securities and Exchange Commission a registration statement under the Securities Act relating to, any shares of our common stock or any securities convertible into or exercisable or exchangeable for our common stock, or publicly disclose the intention to make any offer, sale, pledge, disposition or filing, or</w:t>
      </w:r>
    </w:p>
    <w:p>
      <w:pPr>
        <w:spacing w:after="0" w:line="194" w:lineRule="exact"/>
        <w:rPr>
          <w:rFonts w:ascii="Arial" w:cs="Arial" w:eastAsia="Arial" w:hAnsi="Arial"/>
          <w:sz w:val="29"/>
          <w:szCs w:val="29"/>
          <w:color w:val="auto"/>
          <w:vertAlign w:val="superscript"/>
        </w:rPr>
      </w:pPr>
    </w:p>
    <w:p>
      <w:pPr>
        <w:ind w:left="1080" w:right="620" w:hanging="532"/>
        <w:spacing w:after="0" w:line="183"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enter into any swap or other agreement that transfers, in whole or in part, any of the economic consequences of ownership of common stock or any such other securities, or</w:t>
      </w:r>
    </w:p>
    <w:p>
      <w:pPr>
        <w:spacing w:after="0" w:line="195" w:lineRule="exact"/>
        <w:rPr>
          <w:rFonts w:ascii="Arial" w:cs="Arial" w:eastAsia="Arial" w:hAnsi="Arial"/>
          <w:sz w:val="29"/>
          <w:szCs w:val="29"/>
          <w:color w:val="auto"/>
          <w:vertAlign w:val="superscript"/>
        </w:rPr>
      </w:pPr>
    </w:p>
    <w:p>
      <w:pPr>
        <w:ind w:left="1080" w:right="480" w:hanging="532"/>
        <w:spacing w:after="0" w:line="216" w:lineRule="auto"/>
        <w:tabs>
          <w:tab w:leader="none" w:pos="108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make any demand for, or exercise any right with respect to, the registration under the Securities Act of the offer and sale of any shares or any of the economic consequences of ownership of common stock or any such other securities currently or hereafter owned either of record or beneficially by the undersigned or such family member, or cause to be filed a registration statement, prospectus or prospectus supplement (or an amendment or supplement thereto) with respect to any such registration, or</w:t>
      </w:r>
    </w:p>
    <w:p>
      <w:pPr>
        <w:spacing w:after="0" w:line="195" w:lineRule="exact"/>
        <w:rPr>
          <w:rFonts w:ascii="Arial" w:cs="Arial" w:eastAsia="Arial" w:hAnsi="Arial"/>
          <w:sz w:val="28"/>
          <w:szCs w:val="28"/>
          <w:color w:val="auto"/>
          <w:vertAlign w:val="superscript"/>
        </w:rPr>
      </w:pPr>
    </w:p>
    <w:p>
      <w:pPr>
        <w:ind w:left="1080" w:right="60" w:hanging="532"/>
        <w:spacing w:after="0" w:line="183"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publicly announce an intention to do any of the foregoing for a period of 60 days after the date of this prospectus supplement without the prior written consent of the representatives.</w:t>
      </w:r>
    </w:p>
    <w:p>
      <w:pPr>
        <w:spacing w:after="0" w:line="209" w:lineRule="exact"/>
        <w:rPr>
          <w:sz w:val="20"/>
          <w:szCs w:val="20"/>
          <w:color w:val="auto"/>
        </w:rPr>
      </w:pPr>
    </w:p>
    <w:p>
      <w:pPr>
        <w:ind w:right="980"/>
        <w:spacing w:after="0" w:line="201" w:lineRule="auto"/>
        <w:rPr>
          <w:sz w:val="20"/>
          <w:szCs w:val="20"/>
          <w:color w:val="auto"/>
        </w:rPr>
      </w:pPr>
      <w:r>
        <w:rPr>
          <w:rFonts w:ascii="Arial" w:cs="Arial" w:eastAsia="Arial" w:hAnsi="Arial"/>
          <w:sz w:val="18"/>
          <w:szCs w:val="18"/>
          <w:color w:val="auto"/>
        </w:rPr>
        <w:t>This restriction terminates after the close of trading of the common stock on and including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date of this prospectus supplement.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foregoing restrictions shall not apply to us with respect to (a) the shares of our common stock to be sold hereunder, (b) the issuance by us of shares of common stock upon the exercise of an option or warrant (whether by cash exercise or "net" or "cashless exercise") or the conversion of outstanding securities, in each case that is described in or issued pursuant to our equity incentive award plans, (c) the issuance of equity-based awards pursuant to the our equity incentive award plans, (d) the filing of a registration statement on Form S-8 relating to the shares of common stock granted, or options to purchase, pursuant to or reserved for issuance under our equity incentive award plans and (e) the sale or issuance of or entry into an agreement to sell or issue shares of common stock or securities convertible into or exercisable or exchangeable for common stock in connection with (1) an equipment leasing arrangement or debt financing facility, (2) mergers, (3) acquisition of securities, businesses, proper or other assets, (4) joint ventures or (5) strategic alliances; provided, that the aggregate number of shares of common stock or securities convertible into or exercisable for common stock (on an as-converted or as-exercised basis, as the case may be) that we may sell or issue or agree to sell or issue pursuant to this clause (e) shall not exceed 5.0% of the total number of shares of common stock issued and outstanding immediately following the completion of this offering; and provided further, that each recipient of shares of common stock or securities convertible into or exercisable for common stock pursuant to this clause (e) shall execute a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restrictions shall not apply to our officers and directors with respect to (a) the shares of our common stock to be sold hereunder;</w:t>
      </w:r>
    </w:p>
    <w:p>
      <w:pPr>
        <w:ind w:left="280" w:hanging="272"/>
        <w:spacing w:after="0"/>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transfer of shares or related securities (i) by bona fide gift or gifts, will or intestacy, (ii) to a family member or any trust or entity formed for</w:t>
      </w:r>
    </w:p>
    <w:p>
      <w:pPr>
        <w:spacing w:after="0" w:line="18" w:lineRule="exact"/>
        <w:rPr>
          <w:rFonts w:ascii="Arial" w:cs="Arial" w:eastAsia="Arial" w:hAnsi="Arial"/>
          <w:sz w:val="16"/>
          <w:szCs w:val="16"/>
          <w:color w:val="auto"/>
        </w:rPr>
      </w:pPr>
    </w:p>
    <w:p>
      <w:pPr>
        <w:spacing w:after="0" w:line="264" w:lineRule="auto"/>
        <w:rPr>
          <w:rFonts w:ascii="Arial" w:cs="Arial" w:eastAsia="Arial" w:hAnsi="Arial"/>
          <w:sz w:val="16"/>
          <w:szCs w:val="16"/>
          <w:color w:val="auto"/>
        </w:rPr>
      </w:pPr>
      <w:r>
        <w:rPr>
          <w:rFonts w:ascii="Arial" w:cs="Arial" w:eastAsia="Arial" w:hAnsi="Arial"/>
          <w:sz w:val="16"/>
          <w:szCs w:val="16"/>
          <w:color w:val="auto"/>
        </w:rPr>
        <w:t>estate planning purposes, (iii) where the stockholder is a corporation, partnership or other business entity, as a distribution to partners, members or stockholders or a transfer to affiliates, or (iv) where the stockholder is a trust, to a trustor or beneficiary of the trust; (c) the transfer of shares or related securities upon a vesting event or upon the exercise or conversion of options or warrants to purchase the Company's securities, in each case, on a "cashless" or "net exercise" basis or to cover tax withholding obligations of the undersigned in connection with such vesting or exercise;</w:t>
      </w:r>
    </w:p>
    <w:p>
      <w:pPr>
        <w:ind w:right="160" w:firstLine="8"/>
        <w:spacing w:after="0" w:line="264" w:lineRule="auto"/>
        <w:tabs>
          <w:tab w:leader="none" w:pos="2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transfer of shares or related securities by operation of law; (e) the transfer of shares or related securities pursuant to agreements under which the Company has either the option to repurchase or a right of first refusal with respect to such shares or related securities of the Company;</w:t>
      </w:r>
    </w:p>
    <w:p>
      <w:pPr>
        <w:ind w:right="60" w:firstLine="8"/>
        <w:spacing w:after="0" w:line="237"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transfer of shares or related securities pursuant to a bona fide third party tender offer, merger, consolidation or other similar transaction made to all holders of shares or related securities involving a change of control of the Company; (g) selling shares or related securities pursuant to an existing 10b5-1 trading plan; and (h) establishing a 10b5-1 trading plan, provided that such plan does not allow for the sale of any shares or related securities during the lock-up period.</w:t>
      </w:r>
    </w:p>
    <w:p>
      <w:pPr>
        <w:spacing w:after="0" w:line="20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representatives may, in their discretion and at any time or from time to time before the termination of the 60-day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underwriters have advised us that they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purchase in the open market as compared to the price at which they may purchase shares through the option to purchase additional shares.</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None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4"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A prospectus in electronic format may be made available by e-mail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in any jurisdiction in which such an offer or a solicitation is unlawful.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w:t>
      </w:r>
      <w:r>
        <w:rPr>
          <w:rFonts w:ascii="Arial" w:cs="Arial" w:eastAsia="Arial" w:hAnsi="Arial"/>
          <w:sz w:val="18"/>
          <w:szCs w:val="18"/>
          <w:b w:val="1"/>
          <w:bCs w:val="1"/>
          <w:color w:val="auto"/>
        </w:rPr>
        <w:t>Relevant Member</w:t>
      </w:r>
      <w:r>
        <w:rPr>
          <w:rFonts w:ascii="Arial" w:cs="Arial" w:eastAsia="Arial" w:hAnsi="Arial"/>
          <w:sz w:val="18"/>
          <w:szCs w:val="18"/>
          <w:color w:val="auto"/>
        </w:rPr>
        <w:t xml:space="preserve"> </w:t>
      </w:r>
      <w:r>
        <w:rPr>
          <w:rFonts w:ascii="Arial" w:cs="Arial" w:eastAsia="Arial" w:hAnsi="Arial"/>
          <w:sz w:val="18"/>
          <w:szCs w:val="18"/>
          <w:b w:val="1"/>
          <w:bCs w:val="1"/>
          <w:color w:val="auto"/>
        </w:rPr>
        <w:t>State</w:t>
      </w:r>
      <w:r>
        <w:rPr>
          <w:rFonts w:ascii="Arial" w:cs="Arial" w:eastAsia="Arial" w:hAnsi="Arial"/>
          <w:sz w:val="18"/>
          <w:szCs w:val="18"/>
          <w:color w:val="auto"/>
        </w:rPr>
        <w:t>"), with effect from and including the date on which the Prospectus Directive is implemented in that Relevant Member State, no offer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made to the public in that Relevant Member State other than:</w:t>
      </w:r>
    </w:p>
    <w:p>
      <w:pPr>
        <w:spacing w:after="0" w:line="20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left="1080" w:right="80" w:hanging="532"/>
        <w:spacing w:after="0" w:line="23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underwriters;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183"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8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For the purposes of this provision, the expression an "</w:t>
      </w:r>
      <w:r>
        <w:rPr>
          <w:rFonts w:ascii="Arial" w:cs="Arial" w:eastAsia="Arial" w:hAnsi="Arial"/>
          <w:sz w:val="18"/>
          <w:szCs w:val="18"/>
          <w:b w:val="1"/>
          <w:bCs w:val="1"/>
          <w:color w:val="auto"/>
        </w:rPr>
        <w:t>offer of shares to the public</w:t>
      </w:r>
      <w:r>
        <w:rPr>
          <w:rFonts w:ascii="Arial" w:cs="Arial" w:eastAsia="Arial" w:hAnsi="Arial"/>
          <w:sz w:val="18"/>
          <w:szCs w:val="18"/>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4"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1"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20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document:</w:t>
      </w:r>
    </w:p>
    <w:p>
      <w:pPr>
        <w:spacing w:after="0" w:line="212" w:lineRule="exact"/>
        <w:rPr>
          <w:sz w:val="20"/>
          <w:szCs w:val="20"/>
          <w:color w:val="auto"/>
        </w:rPr>
      </w:pPr>
    </w:p>
    <w:p>
      <w:pPr>
        <w:ind w:left="1080" w:right="48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195"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196" w:lineRule="exact"/>
        <w:rPr>
          <w:rFonts w:ascii="Arial" w:cs="Arial" w:eastAsia="Arial" w:hAnsi="Arial"/>
          <w:sz w:val="29"/>
          <w:szCs w:val="29"/>
          <w:color w:val="auto"/>
          <w:vertAlign w:val="superscript"/>
        </w:rPr>
      </w:pPr>
    </w:p>
    <w:p>
      <w:pPr>
        <w:ind w:left="1080" w:right="20" w:hanging="532"/>
        <w:spacing w:after="0" w:line="197"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96"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0"/>
        <w:spacing w:after="0" w:line="299" w:lineRule="auto"/>
        <w:rPr>
          <w:sz w:val="20"/>
          <w:szCs w:val="20"/>
          <w:color w:val="auto"/>
        </w:rPr>
      </w:pPr>
      <w:r>
        <w:rPr>
          <w:rFonts w:ascii="Arial" w:cs="Arial" w:eastAsia="Arial" w:hAnsi="Arial"/>
          <w:sz w:val="16"/>
          <w:szCs w:val="16"/>
          <w:color w:val="auto"/>
        </w:rPr>
        <w:t>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w:t>
      </w:r>
    </w:p>
    <w:p>
      <w:pPr>
        <w:spacing w:after="0" w:line="1" w:lineRule="exact"/>
        <w:rPr>
          <w:sz w:val="20"/>
          <w:szCs w:val="20"/>
          <w:color w:val="auto"/>
        </w:rPr>
      </w:pPr>
    </w:p>
    <w:p>
      <w:pPr>
        <w:ind w:right="120" w:firstLine="8"/>
        <w:spacing w:after="0" w:line="299" w:lineRule="auto"/>
        <w:tabs>
          <w:tab w:leader="none" w:pos="2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12" w:lineRule="exact"/>
        <w:rPr>
          <w:sz w:val="20"/>
          <w:szCs w:val="20"/>
          <w:color w:val="auto"/>
        </w:rPr>
      </w:pPr>
    </w:p>
    <w:p>
      <w:pPr>
        <w:ind w:left="1080" w:right="300" w:hanging="532"/>
        <w:spacing w:after="0" w:line="299"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2" w:lineRule="exact"/>
        <w:rPr>
          <w:rFonts w:ascii="Arial" w:cs="Arial" w:eastAsia="Arial" w:hAnsi="Arial"/>
          <w:sz w:val="16"/>
          <w:szCs w:val="16"/>
          <w:color w:val="auto"/>
        </w:rPr>
      </w:pPr>
    </w:p>
    <w:p>
      <w:pPr>
        <w:ind w:left="1080" w:hanging="532"/>
        <w:spacing w:after="0" w:line="23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209"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8" w:lineRule="exact"/>
        <w:rPr>
          <w:sz w:val="20"/>
          <w:szCs w:val="20"/>
          <w:color w:val="auto"/>
        </w:rPr>
      </w:pPr>
    </w:p>
    <w:p>
      <w:pPr>
        <w:ind w:left="1080" w:right="2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98" w:lineRule="exact"/>
        <w:rPr>
          <w:rFonts w:ascii="Arial" w:cs="Arial" w:eastAsia="Arial" w:hAnsi="Arial"/>
          <w:sz w:val="18"/>
          <w:szCs w:val="18"/>
          <w:color w:val="auto"/>
        </w:rPr>
      </w:pPr>
    </w:p>
    <w:p>
      <w:pPr>
        <w:ind w:left="1080" w:right="32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issuance of our common stock offered hereby will be passed upon for us by Latham &amp; Watkins LLP, Menlo Park, California.</w:t>
      </w:r>
    </w:p>
    <w:p>
      <w:pPr>
        <w:spacing w:after="0"/>
        <w:rPr>
          <w:sz w:val="20"/>
          <w:szCs w:val="20"/>
          <w:color w:val="auto"/>
        </w:rPr>
      </w:pPr>
      <w:r>
        <w:rPr>
          <w:rFonts w:ascii="Arial" w:cs="Arial" w:eastAsia="Arial" w:hAnsi="Arial"/>
          <w:sz w:val="18"/>
          <w:szCs w:val="18"/>
          <w:color w:val="auto"/>
        </w:rPr>
        <w:t>Davis Polk &amp; Wardwell LLP is acting as counsel for the underwriters in connection with this offering.</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2017,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the securities we are offering under this prospectus,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21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We file reports, proxy statements and other information with the SEC under the Exchange Act. You may read and copy this information from the Public Reference Room of the SEC, 100 F Street, N.E., Room 1580, Washington, D.C. 20549, at prescribed rates.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information filed (rather than furnished) with the SEC under</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Sections 13(a), 13(c), 14, or 15(d) of the Exchange Act between the date of this prospectus and the termination of this offering, provided, however, that we are not incorporating any information furnished under Item 2.02 or Item 7.01 of any current report on Form 8-K:</w:t>
      </w:r>
    </w:p>
    <w:p>
      <w:pPr>
        <w:spacing w:after="0" w:line="8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our Annual Report on Form 10-K for the year ended December 31, 2017, filed with the SEC on March 14, 2018;</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our Quarterly Report on Form 10-Q for the quarter ended March 31, 2018, filed with the SEC on May 8, 2018;</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our Current Reports on Form 8-K filed with the SEC on February 12, 2018 and May 21, 2018; and</w:t>
      </w:r>
    </w:p>
    <w:p>
      <w:pPr>
        <w:spacing w:after="0" w:line="194" w:lineRule="exact"/>
        <w:rPr>
          <w:rFonts w:ascii="Arial" w:cs="Arial" w:eastAsia="Arial" w:hAnsi="Arial"/>
          <w:sz w:val="29"/>
          <w:szCs w:val="29"/>
          <w:color w:val="auto"/>
          <w:vertAlign w:val="superscript"/>
        </w:rPr>
      </w:pPr>
    </w:p>
    <w:p>
      <w:pPr>
        <w:ind w:left="1080" w:right="64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description of our common stock contained in our registration statement on Form 8-A filed with the SEC on June 9, 2014, including any amendments or reports filed for the purpose of updating such description.</w:t>
      </w:r>
    </w:p>
    <w:p>
      <w:pPr>
        <w:spacing w:after="0" w:line="191"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 xml:space="preserve">These documents may also be accessed on our website at </w:t>
      </w:r>
      <w:r>
        <w:rPr>
          <w:rFonts w:ascii="Arial" w:cs="Arial" w:eastAsia="Arial" w:hAnsi="Arial"/>
          <w:sz w:val="18"/>
          <w:szCs w:val="18"/>
          <w:i w:val="1"/>
          <w:iCs w:val="1"/>
          <w:color w:val="auto"/>
        </w:rPr>
        <w:t>www.ardelyx.com</w:t>
      </w:r>
      <w:r>
        <w:rPr>
          <w:rFonts w:ascii="Arial" w:cs="Arial" w:eastAsia="Arial" w:hAnsi="Arial"/>
          <w:sz w:val="18"/>
          <w:szCs w:val="18"/>
          <w:color w:val="auto"/>
        </w:rPr>
        <w:t>. Except as otherwise specifically incorporated by reference in this prospectus, information contained in, or accessible through, our website is not a part of this prospectus.</w:t>
      </w:r>
    </w:p>
    <w:p>
      <w:pPr>
        <w:spacing w:after="0" w:line="191"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by writing or telephoning us at the following address: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Ardelyx, Inc.</w:t>
      </w:r>
    </w:p>
    <w:p>
      <w:pPr>
        <w:jc w:val="center"/>
        <w:ind w:right="-19"/>
        <w:spacing w:after="0" w:line="234" w:lineRule="auto"/>
        <w:rPr>
          <w:sz w:val="20"/>
          <w:szCs w:val="20"/>
          <w:color w:val="auto"/>
        </w:rPr>
      </w:pPr>
      <w:r>
        <w:rPr>
          <w:rFonts w:ascii="Arial" w:cs="Arial" w:eastAsia="Arial" w:hAnsi="Arial"/>
          <w:sz w:val="18"/>
          <w:szCs w:val="18"/>
          <w:color w:val="auto"/>
        </w:rPr>
        <w:t>34175 Ardenwood Blvd., Suite 200</w:t>
      </w:r>
    </w:p>
    <w:p>
      <w:pPr>
        <w:jc w:val="center"/>
        <w:ind w:right="-19"/>
        <w:spacing w:after="0" w:line="235" w:lineRule="auto"/>
        <w:rPr>
          <w:sz w:val="20"/>
          <w:szCs w:val="20"/>
          <w:color w:val="auto"/>
        </w:rPr>
      </w:pPr>
      <w:r>
        <w:rPr>
          <w:rFonts w:ascii="Arial" w:cs="Arial" w:eastAsia="Arial" w:hAnsi="Arial"/>
          <w:sz w:val="18"/>
          <w:szCs w:val="18"/>
          <w:color w:val="auto"/>
        </w:rPr>
        <w:t>Fremont, CA 94555</w:t>
      </w:r>
    </w:p>
    <w:p>
      <w:pPr>
        <w:ind w:left="5580" w:hanging="466"/>
        <w:spacing w:after="0" w:line="235" w:lineRule="auto"/>
        <w:tabs>
          <w:tab w:leader="none" w:pos="5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745-1700</w:t>
      </w:r>
    </w:p>
    <w:p>
      <w:pPr>
        <w:ind w:left="4660"/>
        <w:spacing w:after="0"/>
        <w:rPr>
          <w:rFonts w:ascii="Arial" w:cs="Arial" w:eastAsia="Arial" w:hAnsi="Arial"/>
          <w:sz w:val="18"/>
          <w:szCs w:val="18"/>
          <w:color w:val="auto"/>
        </w:rPr>
      </w:pPr>
      <w:r>
        <w:rPr>
          <w:rFonts w:ascii="Arial" w:cs="Arial" w:eastAsia="Arial" w:hAnsi="Arial"/>
          <w:sz w:val="18"/>
          <w:szCs w:val="18"/>
          <w:color w:val="auto"/>
        </w:rPr>
        <w:t>Attention: General Counsel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160020</wp:posOffset>
            </wp:positionV>
            <wp:extent cx="2933065" cy="702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330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 Preferred Stock, Debt Securities,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 Purchase Contracts,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may offer and sell up to $200,000,000 in the aggregate of the securities identified above from time to time in one or more offerings. This prospectus provides you with a general description of the securities.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6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SEE THE "</w:t>
      </w:r>
      <w:r>
        <w:rPr>
          <w:rFonts w:ascii="Arial" w:cs="Arial" w:eastAsia="Arial" w:hAnsi="Arial"/>
          <w:sz w:val="21"/>
          <w:szCs w:val="21"/>
          <w:b w:val="1"/>
          <w:bCs w:val="1"/>
          <w:i w:val="1"/>
          <w:iCs w:val="1"/>
          <w:color w:val="auto"/>
        </w:rPr>
        <w:t>RISK FACTORS</w:t>
      </w:r>
      <w:r>
        <w:rPr>
          <w:rFonts w:ascii="Arial" w:cs="Arial" w:eastAsia="Arial" w:hAnsi="Arial"/>
          <w:sz w:val="21"/>
          <w:szCs w:val="21"/>
          <w:b w:val="1"/>
          <w:bCs w:val="1"/>
          <w:color w:val="auto"/>
        </w:rPr>
        <w:t>" ON PAGE 5 OF THIS PROSPECTUS AND ANY SIMILAR SECTION CONTAINED IN THE APPLICABLE PROSPECTUS SUPPLEMENT CONCERNING FACTORS YOU SHOULD CONSIDER BEFORE INVESTING IN OUR SECURITIES.</w:t>
      </w:r>
    </w:p>
    <w:p>
      <w:pPr>
        <w:spacing w:after="0" w:line="17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"ARDX." On July 9, 2015, the last reported sale price of our common stock on The NASDAQ Global Market was $16.46 per share.</w:t>
      </w:r>
    </w:p>
    <w:p>
      <w:pPr>
        <w:spacing w:after="0" w:line="180"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July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772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Table of Contents</w:t>
              </w:r>
            </w:hyperlink>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2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3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WHERE YOU CAN FIND MORE INFORMATION; INCORPORATION BY REFERENCE</w:t>
              </w:r>
            </w:hyperlink>
          </w:p>
        </w:tc>
        <w:tc>
          <w:tcPr>
            <w:tcW w:w="2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2</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48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ABOUT ARDELYX</w:t>
              </w:r>
            </w:hyperlink>
          </w:p>
        </w:tc>
        <w:tc>
          <w:tcPr>
            <w:tcW w:w="5100" w:type="dxa"/>
            <w:vAlign w:val="bottom"/>
            <w:gridSpan w:val="11"/>
          </w:tcPr>
          <w:p>
            <w:pPr>
              <w:spacing w:after="0"/>
              <w:rPr>
                <w:sz w:val="24"/>
                <w:szCs w:val="24"/>
                <w:color w:val="auto"/>
              </w:rPr>
            </w:pPr>
          </w:p>
        </w:tc>
        <w:tc>
          <w:tcPr>
            <w:tcW w:w="2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41">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USE OF PROCEEDS</w:t>
              </w:r>
            </w:hyperlink>
          </w:p>
        </w:tc>
        <w:tc>
          <w:tcPr>
            <w:tcW w:w="5020" w:type="dxa"/>
            <w:vAlign w:val="bottom"/>
            <w:gridSpan w:val="10"/>
          </w:tcPr>
          <w:p>
            <w:pPr>
              <w:spacing w:after="0"/>
              <w:rPr>
                <w:sz w:val="24"/>
                <w:szCs w:val="24"/>
                <w:color w:val="auto"/>
              </w:rPr>
            </w:pPr>
          </w:p>
        </w:tc>
        <w:tc>
          <w:tcPr>
            <w:tcW w:w="2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00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RATIO OF EARNINGS TO FIXED CHARGES AND PREFERENCE DIVIDENDS</w:t>
              </w:r>
            </w:hyperlink>
          </w:p>
        </w:tc>
        <w:tc>
          <w:tcPr>
            <w:tcW w:w="580" w:type="dxa"/>
            <w:vAlign w:val="bottom"/>
          </w:tcPr>
          <w:p>
            <w:pPr>
              <w:spacing w:after="0"/>
              <w:rPr>
                <w:sz w:val="24"/>
                <w:szCs w:val="24"/>
                <w:color w:val="auto"/>
              </w:rPr>
            </w:pPr>
          </w:p>
        </w:tc>
        <w:tc>
          <w:tcPr>
            <w:tcW w:w="2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DESCRIPTION OF DEBT SECURITIES</w:t>
              </w:r>
            </w:hyperlink>
          </w:p>
        </w:tc>
        <w:tc>
          <w:tcPr>
            <w:tcW w:w="3620" w:type="dxa"/>
            <w:vAlign w:val="bottom"/>
            <w:gridSpan w:val="3"/>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13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DESCRIPTION OF WARRANTS</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57">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DESCRIPTION OF PURCHASE CONTRACTS</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59">
              <w:r>
                <w:rPr>
                  <w:rFonts w:ascii="Arial" w:cs="Arial" w:eastAsia="Arial" w:hAnsi="Arial"/>
                  <w:sz w:val="18"/>
                  <w:szCs w:val="18"/>
                  <w:color w:val="0000EE"/>
                </w:rPr>
                <w:t>23</w:t>
              </w:r>
            </w:hyperlink>
          </w:p>
        </w:tc>
      </w:tr>
      <w:tr>
        <w:trPr>
          <w:trHeight w:val="412"/>
        </w:trPr>
        <w:tc>
          <w:tcPr>
            <w:tcW w:w="1140" w:type="dxa"/>
            <w:vAlign w:val="bottom"/>
          </w:tcPr>
          <w:p>
            <w:pPr>
              <w:spacing w:after="0"/>
              <w:rPr>
                <w:sz w:val="24"/>
                <w:szCs w:val="24"/>
                <w:color w:val="auto"/>
              </w:rPr>
            </w:pPr>
          </w:p>
        </w:tc>
        <w:tc>
          <w:tcPr>
            <w:tcW w:w="19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DESCRIPTION OF UNITS</w:t>
              </w:r>
            </w:hyperlink>
          </w:p>
        </w:tc>
        <w:tc>
          <w:tcPr>
            <w:tcW w:w="1480" w:type="dxa"/>
            <w:vAlign w:val="bottom"/>
            <w:tcBorders>
              <w:top w:val="single" w:sz="8" w:color="0000EE"/>
            </w:tcBorders>
            <w:gridSpan w:val="6"/>
          </w:tcPr>
          <w:p>
            <w:pPr>
              <w:spacing w:after="0"/>
              <w:rPr>
                <w:sz w:val="24"/>
                <w:szCs w:val="24"/>
                <w:color w:val="auto"/>
              </w:rPr>
            </w:pPr>
          </w:p>
        </w:tc>
        <w:tc>
          <w:tcPr>
            <w:tcW w:w="3120" w:type="dxa"/>
            <w:vAlign w:val="bottom"/>
            <w:gridSpan w:val="2"/>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24</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GLOBAL SECURITIES</w:t>
              </w:r>
            </w:hyperlink>
          </w:p>
        </w:tc>
        <w:tc>
          <w:tcPr>
            <w:tcW w:w="4820" w:type="dxa"/>
            <w:vAlign w:val="bottom"/>
            <w:gridSpan w:val="9"/>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25</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PLAN OF DISTRIBUTION</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64">
              <w:r>
                <w:rPr>
                  <w:rFonts w:ascii="Arial" w:cs="Arial" w:eastAsia="Arial" w:hAnsi="Arial"/>
                  <w:sz w:val="18"/>
                  <w:szCs w:val="18"/>
                  <w:color w:val="0000EE"/>
                </w:rPr>
                <w:t>28</w:t>
              </w:r>
            </w:hyperlink>
          </w:p>
        </w:tc>
      </w:tr>
      <w:tr>
        <w:trPr>
          <w:trHeight w:val="412"/>
        </w:trPr>
        <w:tc>
          <w:tcPr>
            <w:tcW w:w="1140" w:type="dxa"/>
            <w:vAlign w:val="bottom"/>
          </w:tcPr>
          <w:p>
            <w:pPr>
              <w:spacing w:after="0"/>
              <w:rPr>
                <w:sz w:val="24"/>
                <w:szCs w:val="24"/>
                <w:color w:val="auto"/>
              </w:rPr>
            </w:pP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LEGAL MATTERS</w:t>
              </w:r>
            </w:hyperlink>
          </w:p>
        </w:tc>
        <w:tc>
          <w:tcPr>
            <w:tcW w:w="4580" w:type="dxa"/>
            <w:vAlign w:val="bottom"/>
            <w:gridSpan w:val="7"/>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30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EXPERTS</w:t>
              </w:r>
            </w:hyperlink>
          </w:p>
        </w:tc>
        <w:tc>
          <w:tcPr>
            <w:tcW w:w="5160" w:type="dxa"/>
            <w:vAlign w:val="bottom"/>
            <w:gridSpan w:val="12"/>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30</w:t>
              </w:r>
            </w:hyperlink>
          </w:p>
        </w:tc>
        <w:tc>
          <w:tcPr>
            <w:tcW w:w="1300" w:type="dxa"/>
            <w:vAlign w:val="bottom"/>
          </w:tcPr>
          <w:p>
            <w:pPr>
              <w:spacing w:after="0"/>
              <w:rPr>
                <w:sz w:val="24"/>
                <w:szCs w:val="24"/>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640" w:type="dxa"/>
            <w:vAlign w:val="bottom"/>
            <w:tcBorders>
              <w:top w:val="single" w:sz="8" w:color="0000EE"/>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54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22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 Each time that we offer and sell securities, we will provide a prospectus supplement to this prospectus that contains specific information about the securities being offered and sold and the specific terms of that offering.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Neither we nor any underwriter has authorized any other person to provide you with any information or to make any representations other than those contained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8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the applicable series of securities.</w:t>
      </w:r>
    </w:p>
    <w:p>
      <w:pPr>
        <w:spacing w:after="0" w:line="186"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Ardelxy® and our logo are some of our trademarks used in this prospectus. This prospectus also includes trademarks, tradenames, and service marks that are the property of other organizations. Solely for convenience, our trademarks and tradenames referred to in this prospectus appear without the ® and ™ symbol, but those references are not intended to indicate, in any way, that we will not assert, to the fullest extent under applicable law, our rights, or the right of the applicable licensor to these trademarks and tradenames.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0"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www.ardelyx.com</w:t>
      </w:r>
      <w:r>
        <w:rPr>
          <w:rFonts w:ascii="Arial" w:cs="Arial" w:eastAsia="Arial" w:hAnsi="Arial"/>
          <w:sz w:val="18"/>
          <w:szCs w:val="18"/>
          <w:color w:val="auto"/>
        </w:rPr>
        <w:t>. The information on our website, however, is not, and should not be deemed to be, a part of this prospectus. We have included our website address as an inactive textual reference only.</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8-K or related exhibits furnished pursuant to Item 9.01 of Form 8-K.</w:t>
      </w:r>
    </w:p>
    <w:p>
      <w:pPr>
        <w:spacing w:after="0" w:line="17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right="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 filed with the SEC on March 5, 2015, as amended by Amendment No. 1 on Form 10-K/A filed with the SEC on March 11, 2015;</w:t>
      </w:r>
    </w:p>
    <w:p>
      <w:pPr>
        <w:spacing w:after="0" w:line="212" w:lineRule="exact"/>
        <w:rPr>
          <w:rFonts w:ascii="Arial" w:cs="Arial" w:eastAsia="Arial" w:hAnsi="Arial"/>
          <w:sz w:val="18"/>
          <w:szCs w:val="18"/>
          <w:color w:val="auto"/>
        </w:rPr>
      </w:pPr>
    </w:p>
    <w:p>
      <w:pPr>
        <w:ind w:left="1080" w:right="9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from our Definitive Proxy Statement on Schedule 14A filed with the SEC on April 24, 2015;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2015, filed with the SEC on May 12, 2015;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April 20, 2015, June 3, 2015 and June 12, 2015; and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9, 2014, including any amendments or reports filed for the purpose of updating such description.</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67" w:lineRule="exact"/>
        <w:rPr>
          <w:sz w:val="20"/>
          <w:szCs w:val="20"/>
          <w:color w:val="auto"/>
        </w:rPr>
      </w:pPr>
    </w:p>
    <w:p>
      <w:pPr>
        <w:ind w:right="740" w:firstLine="345"/>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Ardelyx,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34175 Ardenwood Blvd.,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Fremont, CA 94555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(510)745-1700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ARDELYX</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a clinical-stage biopharmaceutical company focused on the discovery, development and commercialization of innovative, minimally-systemic therapeutic drugs that work exclusively in the gastrointestinal, or GI, tract to treat cardio-renal, GI and metabolic diseases. We have developed a proprietary drug discovery and design platform enabling us, in a rapid and cost-efficient manner, to discover and design novel drug candidates.</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were founded in October 2007 as a Delaware corporation under the name Nteryx, Inc. Our principal executive offices are located at 34175 Ardenwood Blvd., Suite 200, Fremont, CA 94555, and our telephone number is (510) 745-1700. Our website address is www.ardelyx.com. The information on, or that can be accessed through, our website is not part of this prospectus. We have included our website address as an inactive textual reference only. References in this prospectus to "we," "us," "our," "our company" or "Ardelyx" refer to Ardelyx, Inc.</w:t>
      </w:r>
    </w:p>
    <w:p>
      <w:pPr>
        <w:spacing w:after="0" w:line="167" w:lineRule="exact"/>
        <w:rPr>
          <w:sz w:val="20"/>
          <w:szCs w:val="20"/>
          <w:color w:val="auto"/>
        </w:rPr>
      </w:pPr>
    </w:p>
    <w:p>
      <w:pPr>
        <w:ind w:right="120" w:firstLine="348"/>
        <w:spacing w:after="0" w:line="283" w:lineRule="auto"/>
        <w:rPr>
          <w:sz w:val="20"/>
          <w:szCs w:val="20"/>
          <w:color w:val="auto"/>
        </w:rPr>
      </w:pPr>
      <w:r>
        <w:rPr>
          <w:rFonts w:ascii="Arial" w:cs="Arial" w:eastAsia="Arial" w:hAnsi="Arial"/>
          <w:sz w:val="16"/>
          <w:szCs w:val="16"/>
          <w:color w:val="auto"/>
        </w:rPr>
        <w:t>We are an "emerging growth company," as defined in the Jumpstart Our Business Startups Act of 2012. We will remain an emerging growth company until the earlier of (1) the last day of the fiscal year following the fifth anniversary of the completion of our initial public offering of common stock (December 31, 2019), (2) the last day of the fiscal year in which we have total annual gross revenue of at least $1.0 billion, (3) the last day of the fiscal year in which we are deemed to be a large accelerated filer, which means the market value of our common stock that is held by non-affiliates exceeds $700 million as of the prior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June 30</w:t>
      </w:r>
      <w:r>
        <w:rPr>
          <w:rFonts w:ascii="Arial" w:cs="Arial" w:eastAsia="Arial" w:hAnsi="Arial"/>
          <w:sz w:val="29"/>
          <w:szCs w:val="29"/>
          <w:color w:val="auto"/>
          <w:vertAlign w:val="superscript"/>
        </w:rPr>
        <w:t>th</w:t>
      </w:r>
      <w:r>
        <w:rPr>
          <w:rFonts w:ascii="Arial" w:cs="Arial" w:eastAsia="Arial" w:hAnsi="Arial"/>
          <w:sz w:val="18"/>
          <w:szCs w:val="18"/>
          <w:color w:val="auto"/>
        </w:rPr>
        <w:t>, and (4) the date on which we have issued more than $1.0 billion in non-convertible debt during the prior three-year period.</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Investment in any securities offered pursuant to this prospectus and the applicable prospectus supplement involves risks. You should carefully consider the risk factors incorporated by reference to our most recent Quarterly Report on 10-Q and any subsequent Annual Reports on Form 10-K,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 AND PREFERENCE DIVIDENDS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table sets forth our ratio of earnings to fixed charges for the periods indicated (in thousands). The ratio of earnings to fixed charges is computed by dividing fixed charges into earnings before income taxes plus fixed charges. Fixed charges consist of interest expense and that portion of rental expense deemed representative of interest. We do not have any shares of preferred stock outstanding, so our ratio of earnings to fixed charges and preferred stock dividends for any given period is equivalent to our ratio of earnings to fixed charges. Our earnings have been inadequate to cover fixed charges and preference dividends. The following table sets forth the dollar amount of the deficiency to cover fixed charges for the three-month period ended March 31, 2015 and each of the years ended December 31, 2014, 2013 and 2012. We have derived the deficiency of earnings to cover fixed charges from our historical financial statements. The following should be read in conjunction with our financial statements, including the notes thereto, and the other financial information included or incorporated by reference herein. See Exhibit 12.1 hereto for additional detail regarding the computation of the deficiency of earnings to cover fixed charges.</w:t>
      </w:r>
    </w:p>
    <w:p>
      <w:pPr>
        <w:spacing w:after="0" w:line="168"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Three</w:t>
      </w:r>
    </w:p>
    <w:p>
      <w:pPr>
        <w:ind w:left="6960"/>
        <w:spacing w:after="0" w:line="223" w:lineRule="auto"/>
        <w:rPr>
          <w:sz w:val="20"/>
          <w:szCs w:val="20"/>
          <w:color w:val="auto"/>
        </w:rPr>
      </w:pPr>
      <w:r>
        <w:rPr>
          <w:rFonts w:ascii="Arial" w:cs="Arial" w:eastAsia="Arial" w:hAnsi="Arial"/>
          <w:sz w:val="14"/>
          <w:szCs w:val="14"/>
          <w:b w:val="1"/>
          <w:bCs w:val="1"/>
          <w:color w:val="auto"/>
        </w:rPr>
        <w:t>Months</w:t>
      </w:r>
    </w:p>
    <w:p>
      <w:pPr>
        <w:ind w:left="7000"/>
        <w:spacing w:after="0" w:line="222" w:lineRule="auto"/>
        <w:rPr>
          <w:sz w:val="20"/>
          <w:szCs w:val="20"/>
          <w:color w:val="auto"/>
        </w:rPr>
      </w:pPr>
      <w:r>
        <w:rPr>
          <w:rFonts w:ascii="Arial" w:cs="Arial" w:eastAsia="Arial" w:hAnsi="Arial"/>
          <w:sz w:val="14"/>
          <w:szCs w:val="14"/>
          <w:b w:val="1"/>
          <w:bCs w:val="1"/>
          <w:color w:val="auto"/>
        </w:rPr>
        <w:t>Ended</w:t>
      </w:r>
    </w:p>
    <w:p>
      <w:pPr>
        <w:ind w:left="6900"/>
        <w:spacing w:after="0"/>
        <w:tabs>
          <w:tab w:leader="none" w:pos="816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-7620</wp:posOffset>
            </wp:positionV>
            <wp:extent cx="21012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ind w:left="7060"/>
        <w:spacing w:after="0"/>
        <w:tabs>
          <w:tab w:leader="none" w:pos="7920" w:val="left"/>
          <w:tab w:leader="none" w:pos="8760" w:val="left"/>
          <w:tab w:leader="none" w:pos="96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1"/>
          <w:szCs w:val="11"/>
          <w:b w:val="1"/>
          <w:bCs w:val="1"/>
          <w:color w:val="auto"/>
        </w:rPr>
        <w:t>2012</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Deficiency of earnings available to cover fixed charges</w:t>
            </w:r>
          </w:p>
        </w:tc>
        <w:tc>
          <w:tcPr>
            <w:tcW w:w="17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   (3,502)</w:t>
            </w:r>
          </w:p>
        </w:tc>
        <w:tc>
          <w:tcPr>
            <w:tcW w:w="8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  (3,281)</w:t>
            </w:r>
          </w:p>
        </w:tc>
        <w:tc>
          <w:tcPr>
            <w:tcW w:w="8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  (6,705)</w:t>
            </w:r>
          </w:p>
        </w:tc>
        <w:tc>
          <w:tcPr>
            <w:tcW w:w="9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  (9,785)</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periods indicated above, we had no outstanding shares of preferred stock with required dividend payments.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our investor rights agreement and registration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amended and restated investor rights agreement, and registration rights agreement, copies of which are incorporated by reference as exhibits to the registration statement of which this prospectus is a part.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60" w:firstLine="351"/>
        <w:spacing w:after="0" w:line="286"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w:t>
      </w:r>
    </w:p>
    <w:p>
      <w:pPr>
        <w:jc w:val="both"/>
        <w:ind w:right="160"/>
        <w:spacing w:after="0" w:line="221" w:lineRule="auto"/>
        <w:rPr>
          <w:sz w:val="20"/>
          <w:szCs w:val="20"/>
          <w:color w:val="auto"/>
        </w:rPr>
      </w:pPr>
      <w:r>
        <w:rPr>
          <w:rFonts w:ascii="Arial" w:cs="Arial" w:eastAsia="Arial" w:hAnsi="Arial"/>
          <w:sz w:val="18"/>
          <w:szCs w:val="18"/>
          <w:color w:val="auto"/>
        </w:rPr>
        <w:t>elect all of the directors. In addition, the affirmative vote of holders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r>
        <w:rPr>
          <w:rFonts w:ascii="Arial" w:cs="Arial" w:eastAsia="Arial" w:hAnsi="Arial"/>
          <w:sz w:val="18"/>
          <w:szCs w:val="18"/>
          <w:color w:val="auto"/>
        </w:rPr>
        <w: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All of our outstanding shares of common stock are, and the shares of common stock to be issued in this offering will be, fully paid and nonassessable.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Based on the number of shares outstanding as of June 30, 2015, under our amended and restated investor rights agreement, the holders of approximately 9.7 million shares of common stock, or their transferees have the right to require us to register their shares under the Securities Act of 1933, as amended, or the Securities Act, so that those shares may be publicly resold, or to include their shares in any registration statement we file, in each case as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Based on the number of shares outstanding as of June 30, 2015, the holders of approximately 9.7 million shares of our common stock, or their transferees, will be entitled to certain demand registration rights. The holders of at least 25% of these shares can, on not more than two occasions, request that we register all or a portion of their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Based on the number of shares outstanding as of June 30, 2015, in the event that we determine to register any of our securities under the Securities Act (subject to certain exceptions), either for our own account or for the account of other security holders, the holders of approximately 9.7 million shares of our common stock,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limit the number of shares such holders may include.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Based on the number of shares outstanding as of June 30, 2015, the holders of approximately 9.7 million shares of our common stock, or their transferees, are entitled to certain Form S-3 registration rights. The holders of these shares can make a written request that we register their shares on Form S-3 if we are eligible to file a registration statement on Form S-3 and if the aggregate price to the public of the shares offered is at least $1.0 million. These stockholders may make an unlimited number of requests for registration on Form S-3. In addition, to fulfill our obligation to file a Form S-3 registration statement on behalf of the holders of 9,415,891 million shares of our common stock, including shares issuable upon exercise of warrants, on or prior to July 20, 2015, we filed a registration statement on Form S-3 for the resale of 9,415,891 shares of our common stock on July 13, 2015.</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jc w:val="both"/>
        <w:ind w:right="220" w:firstLine="348"/>
        <w:spacing w:after="0" w:line="268" w:lineRule="auto"/>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 rights described above including reasonable fees (up to a maximum of $35,000) for one counsel for the selling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225"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demand, piggyback and Form S-3 registration rights described above (other than with respect to the Form S-3 registration statement filed on July 13, 2015) will expire, with respect to any particular stockholder, upon the earlier of five years after the consummation of our initial public offering in June 2014 or when that stockholder can sell all of its shares under Rule 144 of the Securities Act during any 90 day period.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Effects of Provisions of our Amended and Restated Certificate of Incorporation, our Amended and Restated Bylaws and Delaware Law</w:t>
      </w:r>
    </w:p>
    <w:p>
      <w:pPr>
        <w:spacing w:after="0" w:line="25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amended and restated certificate of incorporation eliminates the right of stockholders to act by written consent without a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25" w:lineRule="exact"/>
        <w:rPr>
          <w:sz w:val="20"/>
          <w:szCs w:val="20"/>
          <w:color w:val="auto"/>
        </w:rPr>
      </w:pPr>
    </w:p>
    <w:p>
      <w:pPr>
        <w:ind w:right="220" w:firstLine="351"/>
        <w:spacing w:after="0" w:line="283"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w:t>
      </w:r>
    </w:p>
    <w:p>
      <w:pPr>
        <w:spacing w:after="0" w:line="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removal of any of our directors only for cause and requires at least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ind w:right="80" w:firstLine="348"/>
        <w:spacing w:after="0" w:line="282"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then outstanding voting stock.</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20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74"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Market 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Market under the symbol "ARDX."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9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debt securities will be issued under an indenture between us and a third party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6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4"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5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210"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275" w:lineRule="exact"/>
        <w:rPr>
          <w:rFonts w:ascii="Arial" w:cs="Arial" w:eastAsia="Arial" w:hAnsi="Arial"/>
          <w:sz w:val="16"/>
          <w:szCs w:val="16"/>
          <w:color w:val="auto"/>
        </w:rPr>
      </w:pPr>
    </w:p>
    <w:p>
      <w:pPr>
        <w:jc w:val="both"/>
        <w:ind w:left="1080" w:right="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207"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denominations in which the debt securities will be issued, if other than denominations of $1,000 and any integral multiple thereof;</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99" w:lineRule="exact"/>
        <w:rPr>
          <w:rFonts w:ascii="Arial" w:cs="Arial" w:eastAsia="Arial" w:hAnsi="Arial"/>
          <w:sz w:val="18"/>
          <w:szCs w:val="18"/>
          <w:color w:val="auto"/>
        </w:rPr>
      </w:pPr>
    </w:p>
    <w:p>
      <w:pPr>
        <w:ind w:left="1080" w:right="6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99"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52"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38"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261"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221"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Certificated Debt Securities. </w:t>
      </w:r>
      <w:r>
        <w:rPr>
          <w:rFonts w:ascii="Arial" w:cs="Arial" w:eastAsia="Arial" w:hAnsi="Arial"/>
          <w:sz w:val="16"/>
          <w:szCs w:val="16"/>
          <w:color w:val="auto"/>
        </w:rPr>
        <w:t>You may transfer or exchange certificated debt securities at any office we maintain for this purpose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61" w:lineRule="exact"/>
        <w:rPr>
          <w:sz w:val="20"/>
          <w:szCs w:val="20"/>
          <w:color w:val="auto"/>
        </w:rPr>
      </w:pPr>
    </w:p>
    <w:p>
      <w:pPr>
        <w:ind w:right="20" w:firstLine="345"/>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Global Debt Securities and Book-Entry System. </w:t>
      </w:r>
      <w:r>
        <w:rPr>
          <w:rFonts w:ascii="Arial" w:cs="Arial" w:eastAsia="Arial" w:hAnsi="Arial"/>
          <w:sz w:val="18"/>
          <w:szCs w:val="18"/>
          <w:color w:val="auto"/>
        </w:rPr>
        <w:t>Each global debt security representing book-entry debt securities will be deposited with, or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and registered in the name of the Depositary or a nominee of the Depositary. Please see "Global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99" w:lineRule="exact"/>
        <w:rPr>
          <w:sz w:val="20"/>
          <w:szCs w:val="20"/>
          <w:color w:val="auto"/>
        </w:rPr>
      </w:pPr>
    </w:p>
    <w:p>
      <w:pPr>
        <w:ind w:left="1080" w:right="18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Ardelyx) is a corporation organized and validly existing under the laws of any U.S. domestic jurisdiction and expressly assumes our obligations on the debt securities and under the indenture;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above, any of our subsidiaries may consolidate with, merge into or transfer all or part of its properties to us. (Section 5.1)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39" w:lineRule="exact"/>
        <w:rPr>
          <w:sz w:val="20"/>
          <w:szCs w:val="20"/>
          <w:color w:val="auto"/>
        </w:rPr>
      </w:pPr>
    </w:p>
    <w:p>
      <w:pPr>
        <w:ind w:left="1080" w:right="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252" w:lineRule="exact"/>
        <w:rPr>
          <w:rFonts w:ascii="Arial" w:cs="Arial" w:eastAsia="Arial" w:hAnsi="Arial"/>
          <w:sz w:val="18"/>
          <w:szCs w:val="18"/>
          <w:color w:val="auto"/>
        </w:rPr>
      </w:pPr>
    </w:p>
    <w:p>
      <w:pPr>
        <w:ind w:left="1080" w:right="100" w:hanging="532"/>
        <w:spacing w:after="0" w:line="298"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Ardelyx and the trustee receive written notice from the holders of not less than 25% in principal amount of the outstanding debt securities of that series as provided in the indenture;</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Ardelyx; and</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94"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0"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275"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9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and the trustee may modify, amend or supplement the indenture or the debt securities of any series without the consent of any holder of any debt security:</w:t>
      </w:r>
    </w:p>
    <w:p>
      <w:pPr>
        <w:spacing w:after="0" w:line="273"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212"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86"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5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those debt securities and to institute suit for the enforcement of any such payment and to waivers or amendments; or</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213" w:lineRule="exact"/>
        <w:rPr>
          <w:sz w:val="20"/>
          <w:szCs w:val="20"/>
          <w:color w:val="auto"/>
        </w:rPr>
      </w:pPr>
    </w:p>
    <w:p>
      <w:pPr>
        <w:ind w:left="1080" w:right="20" w:hanging="532"/>
        <w:spacing w:after="0" w:line="33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include: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40"/>
        <w:spacing w:after="0" w:line="306" w:lineRule="auto"/>
        <w:rPr>
          <w:sz w:val="20"/>
          <w:szCs w:val="20"/>
          <w:color w:val="auto"/>
        </w:rPr>
      </w:pPr>
      <w:r>
        <w:rPr>
          <w:rFonts w:ascii="Arial" w:cs="Arial" w:eastAsia="Arial" w:hAnsi="Arial"/>
          <w:sz w:val="16"/>
          <w:szCs w:val="16"/>
          <w:color w:val="auto"/>
        </w:rPr>
        <w:t>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74" w:lineRule="exact"/>
        <w:rPr>
          <w:sz w:val="20"/>
          <w:szCs w:val="20"/>
          <w:color w:val="auto"/>
        </w:rPr>
      </w:pPr>
    </w:p>
    <w:p>
      <w:pPr>
        <w:ind w:left="1080" w:hanging="532"/>
        <w:spacing w:after="0" w:line="29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 (Section 10.10)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particular terms of any issue of warrants will be described in the prospectus supplement relating to the issue. Those terms may include:</w:t>
      </w:r>
    </w:p>
    <w:p>
      <w:pPr>
        <w:spacing w:after="0" w:line="262" w:lineRule="exact"/>
        <w:rPr>
          <w:sz w:val="20"/>
          <w:szCs w:val="20"/>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252" w:lineRule="exact"/>
        <w:rPr>
          <w:rFonts w:ascii="Arial" w:cs="Arial" w:eastAsia="Arial" w:hAnsi="Arial"/>
          <w:sz w:val="18"/>
          <w:szCs w:val="18"/>
          <w:color w:val="auto"/>
        </w:rPr>
      </w:pPr>
    </w:p>
    <w:p>
      <w:pPr>
        <w:ind w:left="360" w:firstLine="188"/>
        <w:spacing w:after="0" w:line="501" w:lineRule="auto"/>
        <w:tabs>
          <w:tab w:leader="none" w:pos="10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 Holders of equity warrants will not be entitled to:</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exercise any rights as stockholders of Ardelyx.</w:t>
      </w:r>
    </w:p>
    <w:p>
      <w:pPr>
        <w:spacing w:after="0" w:line="225"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DESCRIPTION OF PURCHASE CONTRACTS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239" w:lineRule="exact"/>
        <w:rPr>
          <w:sz w:val="20"/>
          <w:szCs w:val="20"/>
          <w:color w:val="auto"/>
        </w:rPr>
      </w:pPr>
    </w:p>
    <w:p>
      <w:pPr>
        <w:ind w:left="1080" w:right="6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or equity securities issued by us or securities of third parties, a basket of such securities, an index or indices of such securities or any combination of the above as specified in the applicable prospectus supplement;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applicable indenture.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70"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Unless we indicate differently in a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which may or may not be the beneficial owners. The participants are responsible for keeping account of their holdings on behalf of their customers.</w:t>
      </w:r>
    </w:p>
    <w:p>
      <w:pPr>
        <w:spacing w:after="0" w:line="24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39"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99" w:lineRule="exact"/>
        <w:rPr>
          <w:sz w:val="20"/>
          <w:szCs w:val="20"/>
          <w:color w:val="auto"/>
        </w:rPr>
      </w:pPr>
    </w:p>
    <w:p>
      <w:pPr>
        <w:ind w:left="1080" w:right="4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9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9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74"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Any common stock or preferred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20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Latham &amp; Watkins LLP will pass upon certain legal matters relating to the issuance and sale of the securities offered hereby on behalf of Ardelyx,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Ernst &amp; Young LLP, independent registered public accounting firm, has audited our financial statements included in our Annual Report on Form 10-K for the year ended December 31, 2014,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163830</wp:posOffset>
            </wp:positionV>
            <wp:extent cx="2778760" cy="4718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787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Arial" w:cs="Arial" w:eastAsia="Arial" w:hAnsi="Arial"/>
          <w:sz w:val="32"/>
          <w:szCs w:val="32"/>
          <w:b w:val="1"/>
          <w:bCs w:val="1"/>
          <w:color w:val="auto"/>
        </w:rPr>
        <w:t>Ardelyx, Inc.</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163830</wp:posOffset>
            </wp:positionV>
            <wp:extent cx="20497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151765</wp:posOffset>
            </wp:positionV>
            <wp:extent cx="20497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Joint Book-Running Managers</w:t>
      </w:r>
    </w:p>
    <w:p>
      <w:pPr>
        <w:spacing w:after="0" w:line="193" w:lineRule="exact"/>
        <w:rPr>
          <w:sz w:val="20"/>
          <w:szCs w:val="20"/>
          <w:color w:val="auto"/>
        </w:rPr>
      </w:pPr>
    </w:p>
    <w:p>
      <w:pPr>
        <w:jc w:val="both"/>
        <w:ind w:left="2240"/>
        <w:spacing w:after="0"/>
        <w:tabs>
          <w:tab w:leader="none" w:pos="7700" w:val="left"/>
        </w:tabs>
        <w:rPr>
          <w:sz w:val="20"/>
          <w:szCs w:val="20"/>
          <w:color w:val="auto"/>
        </w:rPr>
      </w:pPr>
      <w:r>
        <w:rPr>
          <w:rFonts w:ascii="Arial" w:cs="Arial" w:eastAsia="Arial" w:hAnsi="Arial"/>
          <w:sz w:val="24"/>
          <w:szCs w:val="24"/>
          <w:b w:val="1"/>
          <w:bCs w:val="1"/>
          <w:color w:val="auto"/>
        </w:rPr>
        <w:t>Jefferies</w:t>
      </w:r>
      <w:r>
        <w:rPr>
          <w:sz w:val="20"/>
          <w:szCs w:val="20"/>
          <w:color w:val="auto"/>
        </w:rPr>
        <w:tab/>
      </w:r>
      <w:r>
        <w:rPr>
          <w:rFonts w:ascii="Arial" w:cs="Arial" w:eastAsia="Arial" w:hAnsi="Arial"/>
          <w:sz w:val="24"/>
          <w:szCs w:val="24"/>
          <w:b w:val="1"/>
          <w:bCs w:val="1"/>
          <w:color w:val="auto"/>
        </w:rPr>
        <w:t>Leerink Partners</w:t>
      </w:r>
    </w:p>
    <w:p>
      <w:pPr>
        <w:spacing w:after="0" w:line="26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Letter"/>
      <w:start w:val="2"/>
    </w:lvl>
  </w:abstractNum>
  <w:abstractNum w:abstractNumId="16">
    <w:nsid w:val="737B8DDC"/>
    <w:multiLevelType w:val="hybridMultilevel"/>
    <w:lvl w:ilvl="0">
      <w:lvlJc w:val="left"/>
      <w:lvlText w:val="(%1)"/>
      <w:numFmt w:val="lowerLetter"/>
      <w:start w:val="4"/>
    </w:lvl>
  </w:abstractNum>
  <w:abstractNum w:abstractNumId="17">
    <w:nsid w:val="6CEAF087"/>
    <w:multiLevelType w:val="hybridMultilevel"/>
    <w:lvl w:ilvl="0">
      <w:lvlJc w:val="left"/>
      <w:lvlText w:val="(%1)"/>
      <w:numFmt w:val="lowerLetter"/>
      <w:start w:val="6"/>
    </w:lvl>
  </w:abstractNum>
  <w:abstractNum w:abstractNumId="18">
    <w:nsid w:val="22221A70"/>
    <w:multiLevelType w:val="hybridMultilevel"/>
    <w:lvl w:ilvl="0">
      <w:lvlJc w:val="left"/>
      <w:lvlText w:val="%1."/>
      <w:numFmt w:val="upperLetter"/>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Roman"/>
      <w:start w:val="2"/>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3"/>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510"/>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2019-12-07T13:46:30Z</dcterms:created>
  <dcterms:modified xsi:type="dcterms:W3CDTF">2019-12-07T13:46:30Z</dcterms:modified>
</cp:coreProperties>
</file>