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81915</wp:posOffset>
            </wp:positionV>
            <wp:extent cx="1663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97790</wp:posOffset>
            </wp:positionV>
            <wp:extent cx="16630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Arial" w:cs="Arial" w:eastAsia="Arial" w:hAnsi="Arial"/>
          <w:sz w:val="11"/>
          <w:szCs w:val="11"/>
          <w:color w:val="auto"/>
        </w:rPr>
        <w:t>(Mark One)</w:t>
      </w:r>
    </w:p>
    <w:p>
      <w:pPr>
        <w:spacing w:after="0" w:line="40"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4040" w:type="dxa"/>
        <w:tblCellMar>
          <w:top w:w="0" w:type="dxa"/>
          <w:left w:w="0" w:type="dxa"/>
          <w:bottom w:w="0" w:type="dxa"/>
          <w:right w:w="0" w:type="dxa"/>
        </w:tblCellMar>
      </w:tblPr>
      <w:tr>
        <w:trPr>
          <w:trHeight w:val="216"/>
        </w:trPr>
        <w:tc>
          <w:tcPr>
            <w:tcW w:w="3000" w:type="dxa"/>
            <w:vAlign w:val="bottom"/>
            <w:gridSpan w:val="3"/>
          </w:tcPr>
          <w:p>
            <w:pPr>
              <w:spacing w:after="0"/>
              <w:rPr>
                <w:sz w:val="20"/>
                <w:szCs w:val="20"/>
                <w:color w:val="auto"/>
              </w:rPr>
            </w:pPr>
            <w:r>
              <w:rPr>
                <w:rFonts w:ascii="Arial" w:cs="Arial" w:eastAsia="Arial" w:hAnsi="Arial"/>
                <w:sz w:val="18"/>
                <w:szCs w:val="18"/>
                <w:b w:val="1"/>
                <w:bCs w:val="1"/>
                <w:color w:val="auto"/>
              </w:rPr>
              <w:t>For the transition period from</w:t>
            </w:r>
          </w:p>
        </w:tc>
        <w:tc>
          <w:tcPr>
            <w:tcW w:w="160" w:type="dxa"/>
            <w:vAlign w:val="bottom"/>
          </w:tcPr>
          <w:p>
            <w:pPr>
              <w:spacing w:after="0"/>
              <w:rPr>
                <w:sz w:val="20"/>
                <w:szCs w:val="20"/>
                <w:color w:val="auto"/>
              </w:rPr>
            </w:pPr>
            <w:r>
              <w:rPr>
                <w:rFonts w:ascii="Arial" w:cs="Arial" w:eastAsia="Arial" w:hAnsi="Arial"/>
                <w:sz w:val="18"/>
                <w:szCs w:val="18"/>
                <w:b w:val="1"/>
                <w:bCs w:val="1"/>
                <w:color w:val="auto"/>
                <w:w w:val="82"/>
              </w:rPr>
              <w:t>to</w:t>
            </w:r>
          </w:p>
        </w:tc>
      </w:tr>
      <w:tr>
        <w:trPr>
          <w:trHeight w:val="234"/>
        </w:trPr>
        <w:tc>
          <w:tcPr>
            <w:tcW w:w="300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Commission file number: 001-36485</w:t>
            </w:r>
          </w:p>
        </w:tc>
        <w:tc>
          <w:tcPr>
            <w:tcW w:w="160" w:type="dxa"/>
            <w:vAlign w:val="bottom"/>
          </w:tcPr>
          <w:p>
            <w:pPr>
              <w:spacing w:after="0"/>
              <w:rPr>
                <w:sz w:val="20"/>
                <w:szCs w:val="20"/>
                <w:color w:val="auto"/>
              </w:rPr>
            </w:pPr>
          </w:p>
        </w:tc>
      </w:tr>
      <w:tr>
        <w:trPr>
          <w:trHeight w:val="121"/>
        </w:trPr>
        <w:tc>
          <w:tcPr>
            <w:tcW w:w="280" w:type="dxa"/>
            <w:vAlign w:val="bottom"/>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ARDELYX,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90805</wp:posOffset>
            </wp:positionV>
            <wp:extent cx="1663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3320" w:type="dxa"/>
            <w:vAlign w:val="bottom"/>
          </w:tcPr>
          <w:p>
            <w:pPr>
              <w:jc w:val="center"/>
              <w:ind w:left="2201"/>
              <w:spacing w:after="0"/>
              <w:rPr>
                <w:sz w:val="20"/>
                <w:szCs w:val="20"/>
                <w:color w:val="auto"/>
              </w:rPr>
            </w:pPr>
            <w:r>
              <w:rPr>
                <w:rFonts w:ascii="Arial" w:cs="Arial" w:eastAsia="Arial" w:hAnsi="Arial"/>
                <w:sz w:val="18"/>
                <w:szCs w:val="18"/>
                <w:b w:val="1"/>
                <w:bCs w:val="1"/>
                <w:color w:val="auto"/>
                <w:w w:val="91"/>
              </w:rPr>
              <w:t>Delaware</w:t>
            </w: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00" w:type="dxa"/>
            <w:vAlign w:val="bottom"/>
            <w:gridSpan w:val="2"/>
          </w:tcPr>
          <w:p>
            <w:pPr>
              <w:jc w:val="right"/>
              <w:ind w:right="2328"/>
              <w:spacing w:after="0"/>
              <w:rPr>
                <w:sz w:val="20"/>
                <w:szCs w:val="20"/>
                <w:color w:val="auto"/>
              </w:rPr>
            </w:pPr>
            <w:r>
              <w:rPr>
                <w:rFonts w:ascii="Arial" w:cs="Arial" w:eastAsia="Arial" w:hAnsi="Arial"/>
                <w:sz w:val="18"/>
                <w:szCs w:val="18"/>
                <w:b w:val="1"/>
                <w:bCs w:val="1"/>
                <w:color w:val="auto"/>
              </w:rPr>
              <w:t>26-1303944</w:t>
            </w:r>
          </w:p>
        </w:tc>
        <w:tc>
          <w:tcPr>
            <w:tcW w:w="0" w:type="dxa"/>
            <w:vAlign w:val="bottom"/>
          </w:tcPr>
          <w:p>
            <w:pPr>
              <w:spacing w:after="0"/>
              <w:rPr>
                <w:sz w:val="1"/>
                <w:szCs w:val="1"/>
                <w:color w:val="auto"/>
              </w:rPr>
            </w:pPr>
          </w:p>
        </w:tc>
      </w:tr>
      <w:tr>
        <w:trPr>
          <w:trHeight w:val="230"/>
        </w:trPr>
        <w:tc>
          <w:tcPr>
            <w:tcW w:w="6940" w:type="dxa"/>
            <w:vAlign w:val="bottom"/>
            <w:gridSpan w:val="6"/>
          </w:tcPr>
          <w:p>
            <w:pPr>
              <w:jc w:val="center"/>
              <w:ind w:right="134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300" w:type="dxa"/>
            <w:vAlign w:val="bottom"/>
            <w:gridSpan w:val="2"/>
          </w:tcPr>
          <w:p>
            <w:pPr>
              <w:jc w:val="center"/>
              <w:ind w:right="1308"/>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535"/>
        </w:trPr>
        <w:tc>
          <w:tcPr>
            <w:tcW w:w="3320" w:type="dxa"/>
            <w:vAlign w:val="bottom"/>
          </w:tcPr>
          <w:p>
            <w:pPr>
              <w:spacing w:after="0"/>
              <w:rPr>
                <w:sz w:val="24"/>
                <w:szCs w:val="24"/>
                <w:color w:val="auto"/>
              </w:rPr>
            </w:pPr>
          </w:p>
        </w:tc>
        <w:tc>
          <w:tcPr>
            <w:tcW w:w="7920" w:type="dxa"/>
            <w:vAlign w:val="bottom"/>
            <w:gridSpan w:val="7"/>
          </w:tcPr>
          <w:p>
            <w:pPr>
              <w:jc w:val="center"/>
              <w:ind w:right="3248"/>
              <w:spacing w:after="0"/>
              <w:rPr>
                <w:sz w:val="20"/>
                <w:szCs w:val="20"/>
                <w:color w:val="auto"/>
              </w:rPr>
            </w:pPr>
            <w:r>
              <w:rPr>
                <w:rFonts w:ascii="Arial" w:cs="Arial" w:eastAsia="Arial" w:hAnsi="Arial"/>
                <w:sz w:val="18"/>
                <w:szCs w:val="18"/>
                <w:b w:val="1"/>
                <w:bCs w:val="1"/>
                <w:color w:val="auto"/>
                <w:w w:val="89"/>
              </w:rPr>
              <w:t>400 Fifth Avenue, Suite 210, Waltham, Massachusetts 02451</w:t>
            </w:r>
          </w:p>
        </w:tc>
        <w:tc>
          <w:tcPr>
            <w:tcW w:w="0" w:type="dxa"/>
            <w:vAlign w:val="bottom"/>
          </w:tcPr>
          <w:p>
            <w:pPr>
              <w:spacing w:after="0"/>
              <w:rPr>
                <w:sz w:val="1"/>
                <w:szCs w:val="1"/>
                <w:color w:val="auto"/>
              </w:rPr>
            </w:pPr>
          </w:p>
        </w:tc>
      </w:tr>
      <w:tr>
        <w:trPr>
          <w:trHeight w:val="182"/>
        </w:trPr>
        <w:tc>
          <w:tcPr>
            <w:tcW w:w="3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320" w:type="dxa"/>
            <w:vAlign w:val="bottom"/>
            <w:gridSpan w:val="6"/>
          </w:tcPr>
          <w:p>
            <w:pPr>
              <w:jc w:val="center"/>
              <w:ind w:right="3828"/>
              <w:spacing w:after="0"/>
              <w:rPr>
                <w:sz w:val="20"/>
                <w:szCs w:val="20"/>
                <w:color w:val="auto"/>
              </w:rPr>
            </w:pPr>
            <w:r>
              <w:rPr>
                <w:rFonts w:ascii="Arial" w:cs="Arial" w:eastAsia="Arial" w:hAnsi="Arial"/>
                <w:sz w:val="14"/>
                <w:szCs w:val="14"/>
                <w:color w:val="auto"/>
                <w:w w:val="95"/>
              </w:rPr>
              <w:t>(Address of Principal Executive Offices) (Zip Code)</w:t>
            </w:r>
          </w:p>
        </w:tc>
        <w:tc>
          <w:tcPr>
            <w:tcW w:w="0" w:type="dxa"/>
            <w:vAlign w:val="bottom"/>
          </w:tcPr>
          <w:p>
            <w:pPr>
              <w:spacing w:after="0"/>
              <w:rPr>
                <w:sz w:val="1"/>
                <w:szCs w:val="1"/>
                <w:color w:val="auto"/>
              </w:rPr>
            </w:pPr>
          </w:p>
        </w:tc>
      </w:tr>
      <w:tr>
        <w:trPr>
          <w:trHeight w:val="425"/>
        </w:trPr>
        <w:tc>
          <w:tcPr>
            <w:tcW w:w="3320" w:type="dxa"/>
            <w:vAlign w:val="bottom"/>
          </w:tcPr>
          <w:p>
            <w:pPr>
              <w:spacing w:after="0"/>
              <w:rPr>
                <w:sz w:val="24"/>
                <w:szCs w:val="24"/>
                <w:color w:val="auto"/>
              </w:rPr>
            </w:pPr>
          </w:p>
        </w:tc>
        <w:tc>
          <w:tcPr>
            <w:tcW w:w="3500" w:type="dxa"/>
            <w:vAlign w:val="bottom"/>
            <w:gridSpan w:val="4"/>
          </w:tcPr>
          <w:p>
            <w:pPr>
              <w:jc w:val="center"/>
              <w:ind w:left="1010"/>
              <w:spacing w:after="0"/>
              <w:rPr>
                <w:sz w:val="20"/>
                <w:szCs w:val="20"/>
                <w:color w:val="auto"/>
              </w:rPr>
            </w:pPr>
            <w:r>
              <w:rPr>
                <w:rFonts w:ascii="Arial" w:cs="Arial" w:eastAsia="Arial" w:hAnsi="Arial"/>
                <w:sz w:val="18"/>
                <w:szCs w:val="18"/>
                <w:b w:val="1"/>
                <w:bCs w:val="1"/>
                <w:color w:val="auto"/>
                <w:w w:val="90"/>
              </w:rPr>
              <w:t>(510) 745-1700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320" w:type="dxa"/>
            <w:vAlign w:val="bottom"/>
            <w:gridSpan w:val="6"/>
          </w:tcPr>
          <w:p>
            <w:pPr>
              <w:jc w:val="center"/>
              <w:ind w:right="3848"/>
              <w:spacing w:after="0"/>
              <w:rPr>
                <w:sz w:val="20"/>
                <w:szCs w:val="20"/>
                <w:color w:val="auto"/>
              </w:rPr>
            </w:pPr>
            <w:r>
              <w:rPr>
                <w:rFonts w:ascii="Arial" w:cs="Arial" w:eastAsia="Arial" w:hAnsi="Arial"/>
                <w:sz w:val="14"/>
                <w:szCs w:val="14"/>
                <w:color w:val="auto"/>
                <w:w w:val="93"/>
              </w:rPr>
              <w:t>(Registrant’s Telephone Number, Including Area Code)</w:t>
            </w:r>
          </w:p>
        </w:tc>
        <w:tc>
          <w:tcPr>
            <w:tcW w:w="0" w:type="dxa"/>
            <w:vAlign w:val="bottom"/>
          </w:tcPr>
          <w:p>
            <w:pPr>
              <w:spacing w:after="0"/>
              <w:rPr>
                <w:sz w:val="1"/>
                <w:szCs w:val="1"/>
                <w:color w:val="auto"/>
              </w:rPr>
            </w:pPr>
          </w:p>
        </w:tc>
      </w:tr>
      <w:tr>
        <w:trPr>
          <w:trHeight w:val="39"/>
        </w:trPr>
        <w:tc>
          <w:tcPr>
            <w:tcW w:w="3320" w:type="dxa"/>
            <w:vAlign w:val="bottom"/>
            <w:vMerge w:val="restart"/>
          </w:tcPr>
          <w:p>
            <w:pPr>
              <w:spacing w:after="0"/>
              <w:rPr>
                <w:sz w:val="20"/>
                <w:szCs w:val="20"/>
                <w:color w:val="auto"/>
              </w:rPr>
            </w:pPr>
            <w:r>
              <w:rPr>
                <w:rFonts w:ascii="Arial" w:cs="Arial" w:eastAsia="Arial" w:hAnsi="Arial"/>
                <w:sz w:val="14"/>
                <w:szCs w:val="14"/>
                <w:color w:val="auto"/>
                <w:w w:val="92"/>
              </w:rPr>
              <w:t>Securities registered pursuant to Section 12(b) of the Act:</w:t>
            </w: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3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33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20" w:type="dxa"/>
            <w:vAlign w:val="bottom"/>
          </w:tcPr>
          <w:p>
            <w:pPr>
              <w:jc w:val="center"/>
              <w:ind w:left="521"/>
              <w:spacing w:after="0"/>
              <w:rPr>
                <w:sz w:val="20"/>
                <w:szCs w:val="20"/>
                <w:color w:val="auto"/>
              </w:rPr>
            </w:pPr>
            <w:r>
              <w:rPr>
                <w:rFonts w:ascii="Arial" w:cs="Arial" w:eastAsia="Arial" w:hAnsi="Arial"/>
                <w:sz w:val="14"/>
                <w:szCs w:val="14"/>
                <w:b w:val="1"/>
                <w:bCs w:val="1"/>
                <w:color w:val="auto"/>
                <w:w w:val="89"/>
              </w:rPr>
              <w:t>Title of each class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36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5"/>
        </w:trPr>
        <w:tc>
          <w:tcPr>
            <w:tcW w:w="3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320" w:type="dxa"/>
            <w:vAlign w:val="bottom"/>
          </w:tcPr>
          <w:p>
            <w:pPr>
              <w:jc w:val="center"/>
              <w:ind w:left="521"/>
              <w:spacing w:after="0"/>
              <w:rPr>
                <w:sz w:val="20"/>
                <w:szCs w:val="20"/>
                <w:color w:val="auto"/>
              </w:rPr>
            </w:pPr>
            <w:r>
              <w:rPr>
                <w:rFonts w:ascii="Arial" w:cs="Arial" w:eastAsia="Arial" w:hAnsi="Arial"/>
                <w:sz w:val="14"/>
                <w:szCs w:val="14"/>
                <w:color w:val="auto"/>
                <w:w w:val="92"/>
              </w:rPr>
              <w:t>Common Stock, par value $0.0001</w:t>
            </w: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rPr>
              <w:t>ARDX</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940" w:type="dxa"/>
            <w:vAlign w:val="bottom"/>
          </w:tcPr>
          <w:p>
            <w:pPr>
              <w:jc w:val="center"/>
              <w:spacing w:after="0"/>
              <w:rPr>
                <w:sz w:val="20"/>
                <w:szCs w:val="20"/>
                <w:color w:val="auto"/>
              </w:rPr>
            </w:pPr>
            <w:r>
              <w:rPr>
                <w:rFonts w:ascii="Arial" w:cs="Arial" w:eastAsia="Arial" w:hAnsi="Arial"/>
                <w:sz w:val="14"/>
                <w:szCs w:val="14"/>
                <w:color w:val="auto"/>
                <w:w w:val="94"/>
              </w:rPr>
              <w:t>The Nasdaq Global Market</w:t>
            </w:r>
          </w:p>
        </w:tc>
        <w:tc>
          <w:tcPr>
            <w:tcW w:w="0" w:type="dxa"/>
            <w:vAlign w:val="bottom"/>
          </w:tcPr>
          <w:p>
            <w:pPr>
              <w:spacing w:after="0"/>
              <w:rPr>
                <w:sz w:val="1"/>
                <w:szCs w:val="1"/>
                <w:color w:val="auto"/>
              </w:rPr>
            </w:pPr>
          </w:p>
        </w:tc>
      </w:tr>
    </w:tbl>
    <w:p>
      <w:pPr>
        <w:spacing w:after="0" w:line="272" w:lineRule="exact"/>
        <w:rPr>
          <w:sz w:val="24"/>
          <w:szCs w:val="24"/>
          <w:color w:val="auto"/>
        </w:rPr>
      </w:pPr>
    </w:p>
    <w:p>
      <w:pPr>
        <w:ind w:right="220"/>
        <w:spacing w:after="0" w:line="21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38" w:lineRule="exact"/>
        <w:rPr>
          <w:sz w:val="24"/>
          <w:szCs w:val="24"/>
          <w:color w:val="auto"/>
        </w:rPr>
      </w:pPr>
    </w:p>
    <w:p>
      <w:pPr>
        <w:ind w:right="60"/>
        <w:spacing w:after="0" w:line="21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38" w:lineRule="exact"/>
        <w:rPr>
          <w:sz w:val="24"/>
          <w:szCs w:val="24"/>
          <w:color w:val="auto"/>
        </w:rPr>
      </w:pPr>
    </w:p>
    <w:p>
      <w:pPr>
        <w:ind w:right="280"/>
        <w:spacing w:after="0" w:line="27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320" w:type="dxa"/>
        <w:tblCellMar>
          <w:top w:w="0" w:type="dxa"/>
          <w:left w:w="0" w:type="dxa"/>
          <w:bottom w:w="0" w:type="dxa"/>
          <w:right w:w="0" w:type="dxa"/>
        </w:tblCellMar>
      </w:tblPr>
      <w:tr>
        <w:trPr>
          <w:trHeight w:val="283"/>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84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24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84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1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720" w:type="dxa"/>
            <w:vAlign w:val="bottom"/>
          </w:tcPr>
          <w:p>
            <w:pPr>
              <w:ind w:left="184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56" w:lineRule="exact"/>
        <w:rPr>
          <w:sz w:val="24"/>
          <w:szCs w:val="24"/>
          <w:color w:val="auto"/>
        </w:rPr>
      </w:pPr>
    </w:p>
    <w:p>
      <w:pPr>
        <w:ind w:right="560"/>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23" w:lineRule="exact"/>
        <w:rPr>
          <w:sz w:val="24"/>
          <w:szCs w:val="24"/>
          <w:color w:val="auto"/>
        </w:rPr>
      </w:pPr>
    </w:p>
    <w:p>
      <w:pPr>
        <w:spacing w:after="0" w:line="196"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6"/>
          <w:szCs w:val="16"/>
          <w:color w:val="auto"/>
        </w:rPr>
        <w:t>☒</w:t>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color w:val="auto"/>
        </w:rPr>
        <w:t>The number of issued and outstanding shares of the registrant’s Common Stock, $0.0001 par value per share, as of October 31, 2022, was 187,459,645.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151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the context requires otherwise, in this Quarterly Report on Form 10-Q the terms “Ardelyx”, “we,” “us,” “our” and “the Company” refer to Ardelyx, Inc.</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risks and uncertainties.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219" w:lineRule="exact"/>
        <w:rPr>
          <w:sz w:val="20"/>
          <w:szCs w:val="20"/>
          <w:color w:val="auto"/>
        </w:rPr>
      </w:pPr>
    </w:p>
    <w:p>
      <w:pPr>
        <w:jc w:val="both"/>
        <w:ind w:left="340" w:hanging="332"/>
        <w:spacing w:after="0" w:line="255"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participation in a Cardiovascular and Renal Drugs Advisory Committee on November 16, 2022 (“Advisory Committee”) meeting in connection with the formal dispute resolution (“FDR”) process commenced in response to the Complete Response Letter (“CRL”) received from the U.S. Food and Drug Administration (“FDA”) relating to our new drug application (“NDA”) for XPHOZAH</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(tenapanor) for the control of serum phosphorus in adult patients with chronic kidney disease on dialysis (“CKD”) (the “Hyperphosphatemia Indication”);</w:t>
      </w:r>
    </w:p>
    <w:p>
      <w:pPr>
        <w:spacing w:after="0" w:line="74" w:lineRule="exact"/>
        <w:rPr>
          <w:rFonts w:ascii="Arial" w:cs="Arial" w:eastAsia="Arial" w:hAnsi="Arial"/>
          <w:sz w:val="17"/>
          <w:szCs w:val="17"/>
          <w:color w:val="auto"/>
        </w:rPr>
      </w:pPr>
    </w:p>
    <w:p>
      <w:pPr>
        <w:jc w:val="both"/>
        <w:ind w:left="340" w:hanging="332"/>
        <w:spacing w:after="0" w:line="239"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address our operating cash flow requirements with our current cash and investments, cash generated from the sales of IBSRELA</w:t>
      </w:r>
      <w:r>
        <w:rPr>
          <w:rFonts w:ascii="Arial" w:cs="Arial" w:eastAsia="Arial" w:hAnsi="Arial"/>
          <w:sz w:val="23"/>
          <w:szCs w:val="23"/>
          <w:color w:val="auto"/>
          <w:vertAlign w:val="superscript"/>
        </w:rPr>
        <w:t>®</w:t>
      </w:r>
      <w:r>
        <w:rPr>
          <w:rFonts w:ascii="Arial" w:cs="Arial" w:eastAsia="Arial" w:hAnsi="Arial"/>
          <w:sz w:val="18"/>
          <w:szCs w:val="18"/>
          <w:color w:val="auto"/>
        </w:rPr>
        <w:t>, our potential receipt of anticipated milestones from our collaboration partners, our potential receipt of anticipated payments from our Japanese collaboration partner under the second amendment to our License Agreement; our ability to access the capital markets, as well as through the implementation of cash preservation activities to reduce or defer discretionary spending;</w:t>
      </w:r>
    </w:p>
    <w:p>
      <w:pPr>
        <w:spacing w:after="0" w:line="95"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with respect to RDX013 and RDX020;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of our expenses, future revenue, capital requirements, our needs for additional financing and our ability to obtain additional capital.</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Factors that could cause actual results or conditions to differ from those anticipated by these and other forward-looking statements include those more fully described in the “ITEM 1A. RISK FACTORS” section and elsewhere in this Quarterly Report on Form 10-Q. Except as required by law, we assume no obligation to update any forward-looking statement publicly, or to revise any forward-looking statement to reflect events or developments occurring after the date of this Quarterly Report on Form 10-Q, even if new information becomes available in the future. Thus, you should not assume that our silence over time means that actual events are bearing out as expressed or implied in any such forward-looking statement.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PRINCIPAL RISKS ASSOCIATED WITH OUR BUSINESS</w:t>
      </w:r>
    </w:p>
    <w:p>
      <w:pPr>
        <w:spacing w:after="0" w:line="256" w:lineRule="exact"/>
        <w:rPr>
          <w:sz w:val="20"/>
          <w:szCs w:val="20"/>
          <w:color w:val="auto"/>
        </w:rPr>
      </w:pPr>
    </w:p>
    <w:p>
      <w:pPr>
        <w:jc w:val="both"/>
        <w:ind w:left="340" w:hanging="332"/>
        <w:spacing w:after="0" w:line="286" w:lineRule="auto"/>
        <w:tabs>
          <w:tab w:leader="none" w:pos="33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incurred significant losses since our inception and will incur losses in the future, which makes it difficult for us to assess our future viability; although our financial statements have been prepared on a going concern basis, our current level of cash and investments alone is not sufficient to meet our operating plans for the next twelve months, raising substantial doubt regarding our ability to continue as a going concern.</w:t>
      </w:r>
    </w:p>
    <w:p>
      <w:pPr>
        <w:spacing w:after="0" w:line="97" w:lineRule="exact"/>
        <w:rPr>
          <w:rFonts w:ascii="Arial" w:cs="Arial" w:eastAsia="Arial" w:hAnsi="Arial"/>
          <w:sz w:val="17"/>
          <w:szCs w:val="17"/>
          <w:color w:val="auto"/>
        </w:rPr>
      </w:pPr>
    </w:p>
    <w:p>
      <w:pPr>
        <w:jc w:val="both"/>
        <w:ind w:left="340" w:hanging="332"/>
        <w:spacing w:after="0" w:line="246"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will require substantial additional financing for the foreseeable future as we invest in the commercialization of IBSRELA and prepare for and participate in a Cardiovascular and Renal Drugs Advisory Committee (“Advisory Committee”) meeting scheduled for November 16, 2022. The Advisory Committee meeting is being convened in connection with the formal dispute resolution (“FDR”) process we commenced in response to the Complete Response Letter (“CRL”) received from the U.S. Food and Drug Administration (“FDA”) relating to our new drug application (“NDA”) for XPHOZAH (tenapanor) for the control of serum phosphorus in adult patients with chronic kidney disease (“CKD”) on dialysis (“Hyperphosphatemia Indication”). The inability to access necessary capital when needed on acceptable terms, or at all, could force us to reduce our efforts to commercialize IBSRELA or, delay, limit, reduce or terminate our efforts to seek and obtain approval for XPHOZAH for the Hyperphosphatemia Indication, or if approved, the commercialization of XPHOZAH. .</w:t>
      </w:r>
    </w:p>
    <w:p>
      <w:pPr>
        <w:spacing w:after="0" w:line="226" w:lineRule="exact"/>
        <w:rPr>
          <w:rFonts w:ascii="Arial" w:cs="Arial" w:eastAsia="Arial" w:hAnsi="Arial"/>
          <w:sz w:val="22"/>
          <w:szCs w:val="22"/>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failure to meet the continued listing requirements of The Nasdaq Global Market ("Nasdaq") could result in a de-listing of our common stock.</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generated limited revenue from product sales and may never be profitable.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left="340" w:hanging="332"/>
        <w:spacing w:after="0" w:line="263"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substantially dependent on the successful launch and commercialization of IBSRELA for IBS-C, and there is no guarantee that we will achieve sufficient market acceptance for IBSRELA; secure adequate coverage and reimbursement for IBSRELA; or generate sufficient revenue from product sales of IBSRELA.</w:t>
      </w:r>
    </w:p>
    <w:p>
      <w:pPr>
        <w:spacing w:after="0" w:line="7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pursuing regulatory approval for tenapanor for the Hyperphosphatemia Indication. There can be no assurances that we will be successful in obtaining such regulatory approval.</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we are successful in obtaining regulatory approval for tenapanor for the Hyperphosphatemia Indication, the expense and time required to do so could adversely impact our ability to successfully commercialize XPHOZAH for the Hyperphosphatemia Indication.</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IBSRELA, and/or, if approved and commercialized, XPHOZAH, may cause undesirable side effects or have other properties that could limit the commercial success of the product.</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company, we have limited experience in the marketing, sale and distribution of pharmaceutical products; and there are significant risks in building and managing a commercial organization.</w:t>
      </w:r>
    </w:p>
    <w:p>
      <w:pPr>
        <w:spacing w:after="0" w:line="62" w:lineRule="exact"/>
        <w:rPr>
          <w:rFonts w:ascii="Arial" w:cs="Arial" w:eastAsia="Arial" w:hAnsi="Arial"/>
          <w:sz w:val="18"/>
          <w:szCs w:val="18"/>
          <w:color w:val="auto"/>
        </w:rPr>
      </w:pPr>
    </w:p>
    <w:p>
      <w:pPr>
        <w:jc w:val="both"/>
        <w:ind w:left="340" w:right="20" w:hanging="332"/>
        <w:spacing w:after="0" w:line="263"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Third-party payor coverage and reimbursement status of newly-commercialized products are uncertain. Failure to obtain or maintain adequate coverage and reimbursement for IBSRELA and, if approved, for XPHOZAH could limit our ability to market those products and decrease our ability to generate revenue.</w:t>
      </w:r>
    </w:p>
    <w:p>
      <w:pPr>
        <w:spacing w:after="0" w:line="75"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completely on third parties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if approved and commercialized, of XPHOZAH, and our future development efforts for tenapanor may be materially harmed.</w:t>
      </w:r>
    </w:p>
    <w:p>
      <w:pPr>
        <w:spacing w:after="0" w:line="78"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w:t>
      </w:r>
    </w:p>
    <w:p>
      <w:pPr>
        <w:spacing w:after="0" w:line="249"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color w:val="auto"/>
        </w:rPr>
        <w:t>ARDELYX</w:t>
      </w:r>
      <w:r>
        <w:rPr>
          <w:rFonts w:ascii="Arial" w:cs="Arial" w:eastAsia="Arial" w:hAnsi="Arial"/>
          <w:sz w:val="23"/>
          <w:szCs w:val="23"/>
          <w:color w:val="auto"/>
          <w:vertAlign w:val="superscript"/>
        </w:rPr>
        <w:t>®</w:t>
      </w:r>
      <w:r>
        <w:rPr>
          <w:rFonts w:ascii="Arial" w:cs="Arial" w:eastAsia="Arial" w:hAnsi="Arial"/>
          <w:sz w:val="18"/>
          <w:szCs w:val="18"/>
          <w:color w:val="auto"/>
        </w:rPr>
        <w:t>, IBSRELA</w:t>
      </w:r>
      <w:r>
        <w:rPr>
          <w:rFonts w:ascii="Arial" w:cs="Arial" w:eastAsia="Arial" w:hAnsi="Arial"/>
          <w:sz w:val="23"/>
          <w:szCs w:val="23"/>
          <w:color w:val="auto"/>
          <w:vertAlign w:val="superscript"/>
        </w:rPr>
        <w:t>®</w:t>
      </w:r>
      <w:r>
        <w:rPr>
          <w:rFonts w:ascii="Arial" w:cs="Arial" w:eastAsia="Arial" w:hAnsi="Arial"/>
          <w:sz w:val="18"/>
          <w:szCs w:val="18"/>
          <w:color w:val="auto"/>
        </w:rPr>
        <w:t>, and XPHOZAH</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are trademarks of Ardelyx. All other trademarks, trade names and service marks appearing in this Quarterly Report on Form 10-Q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0" w:type="dxa"/>
            <w:vAlign w:val="bottom"/>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56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56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3080" w:type="dxa"/>
            <w:vAlign w:val="bottom"/>
            <w:gridSpan w:val="8"/>
            <w:vMerge w:val="restart"/>
          </w:tcPr>
          <w:p>
            <w:pPr>
              <w:jc w:val="center"/>
              <w:spacing w:after="0"/>
              <w:rPr>
                <w:sz w:val="20"/>
                <w:szCs w:val="20"/>
                <w:color w:val="auto"/>
              </w:rPr>
            </w:pPr>
            <w:r>
              <w:rPr>
                <w:rFonts w:ascii="Arial" w:cs="Arial" w:eastAsia="Arial" w:hAnsi="Arial"/>
                <w:sz w:val="18"/>
                <w:szCs w:val="18"/>
                <w:b w:val="1"/>
                <w:bCs w:val="1"/>
                <w:color w:val="0000FF"/>
              </w:rPr>
              <w:t>PART I. FINANCIAL INFORMATION</w:t>
            </w:r>
          </w:p>
        </w:tc>
        <w:tc>
          <w:tcPr>
            <w:tcW w:w="3560" w:type="dxa"/>
            <w:vAlign w:val="bottom"/>
            <w:gridSpan w:val="2"/>
            <w:vMerge w:val="restart"/>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3080" w:type="dxa"/>
            <w:vAlign w:val="bottom"/>
            <w:tcBorders>
              <w:bottom w:val="single" w:sz="8" w:color="0000FF"/>
            </w:tcBorders>
            <w:gridSpan w:val="8"/>
            <w:vMerge w:val="continue"/>
          </w:tcPr>
          <w:p>
            <w:pPr>
              <w:spacing w:after="0"/>
              <w:rPr>
                <w:sz w:val="14"/>
                <w:szCs w:val="14"/>
                <w:color w:val="auto"/>
              </w:rPr>
            </w:pPr>
          </w:p>
        </w:tc>
        <w:tc>
          <w:tcPr>
            <w:tcW w:w="35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21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0"/>
              </w:rPr>
              <w:t>Item 1. Financial Statements:</w:t>
            </w:r>
          </w:p>
        </w:tc>
        <w:tc>
          <w:tcPr>
            <w:tcW w:w="8080" w:type="dxa"/>
            <w:vAlign w:val="bottom"/>
            <w:gridSpan w:val="14"/>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9640" w:type="dxa"/>
            <w:vAlign w:val="bottom"/>
            <w:gridSpan w:val="20"/>
          </w:tcPr>
          <w:p>
            <w:pPr>
              <w:spacing w:after="0"/>
              <w:rPr>
                <w:sz w:val="20"/>
                <w:szCs w:val="20"/>
                <w:color w:val="auto"/>
              </w:rPr>
            </w:pPr>
            <w:r>
              <w:rPr>
                <w:rFonts w:ascii="Arial" w:cs="Arial" w:eastAsia="Arial" w:hAnsi="Arial"/>
                <w:sz w:val="18"/>
                <w:szCs w:val="18"/>
                <w:color w:val="0000FF"/>
              </w:rPr>
              <w:t>Condensed Balance Sheets (unaudited)</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538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8"/>
              </w:rPr>
              <w:t>Condensed Statements of Operations and Comprehensive Loss (unaudited)</w:t>
            </w:r>
          </w:p>
        </w:tc>
        <w:tc>
          <w:tcPr>
            <w:tcW w:w="4260" w:type="dxa"/>
            <w:vAlign w:val="bottom"/>
            <w:gridSpan w:val="4"/>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9640" w:type="dxa"/>
            <w:vAlign w:val="bottom"/>
            <w:gridSpan w:val="20"/>
          </w:tcPr>
          <w:p>
            <w:pPr>
              <w:spacing w:after="0"/>
              <w:rPr>
                <w:sz w:val="20"/>
                <w:szCs w:val="20"/>
                <w:color w:val="auto"/>
              </w:rPr>
            </w:pPr>
            <w:r>
              <w:rPr>
                <w:rFonts w:ascii="Arial" w:cs="Arial" w:eastAsia="Arial" w:hAnsi="Arial"/>
                <w:sz w:val="18"/>
                <w:szCs w:val="18"/>
                <w:color w:val="0000FF"/>
              </w:rPr>
              <w:t>Condensed Statements of Changes in Stockholders' Equity (unaudited)</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506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Condensed Statements of Cash Flows (unaudited)</w:t>
            </w:r>
          </w:p>
        </w:tc>
        <w:tc>
          <w:tcPr>
            <w:tcW w:w="4580" w:type="dxa"/>
            <w:vAlign w:val="bottom"/>
            <w:gridSpan w:val="5"/>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9640" w:type="dxa"/>
            <w:vAlign w:val="bottom"/>
            <w:gridSpan w:val="20"/>
          </w:tcPr>
          <w:p>
            <w:pPr>
              <w:spacing w:after="0"/>
              <w:rPr>
                <w:sz w:val="20"/>
                <w:szCs w:val="20"/>
                <w:color w:val="auto"/>
              </w:rPr>
            </w:pPr>
            <w:r>
              <w:rPr>
                <w:rFonts w:ascii="Arial" w:cs="Arial" w:eastAsia="Arial" w:hAnsi="Arial"/>
                <w:sz w:val="18"/>
                <w:szCs w:val="18"/>
                <w:color w:val="0000FF"/>
              </w:rPr>
              <w:t>Notes to Condensed Financial Statements (unaudited)</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1"/>
              </w:rPr>
              <w:t>Item 2. Management’s Discussion and Analysis of Financial Condition and Results of Operations</w:t>
            </w:r>
          </w:p>
        </w:tc>
        <w:tc>
          <w:tcPr>
            <w:tcW w:w="3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9"/>
        </w:trPr>
        <w:tc>
          <w:tcPr>
            <w:tcW w:w="10200" w:type="dxa"/>
            <w:vAlign w:val="bottom"/>
            <w:gridSpan w:val="21"/>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10200" w:type="dxa"/>
            <w:vAlign w:val="bottom"/>
            <w:gridSpan w:val="21"/>
          </w:tcPr>
          <w:p>
            <w:pPr>
              <w:spacing w:after="0"/>
              <w:rPr>
                <w:sz w:val="20"/>
                <w:szCs w:val="20"/>
                <w:color w:val="auto"/>
              </w:rPr>
            </w:pPr>
            <w:r>
              <w:rPr>
                <w:rFonts w:ascii="Arial" w:cs="Arial" w:eastAsia="Arial" w:hAnsi="Arial"/>
                <w:sz w:val="18"/>
                <w:szCs w:val="18"/>
                <w:color w:val="0000FF"/>
              </w:rPr>
              <w:t>Item 4. Controls and Procedures</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46"/>
        </w:trPr>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40" w:type="dxa"/>
            <w:vAlign w:val="bottom"/>
            <w:gridSpan w:val="10"/>
          </w:tcPr>
          <w:p>
            <w:pPr>
              <w:jc w:val="center"/>
              <w:ind w:right="3560"/>
              <w:spacing w:after="0"/>
              <w:rPr>
                <w:sz w:val="20"/>
                <w:szCs w:val="20"/>
                <w:color w:val="auto"/>
              </w:rPr>
            </w:pPr>
            <w:r>
              <w:rPr>
                <w:rFonts w:ascii="Arial" w:cs="Arial" w:eastAsia="Arial" w:hAnsi="Arial"/>
                <w:sz w:val="18"/>
                <w:szCs w:val="18"/>
                <w:b w:val="1"/>
                <w:bCs w:val="1"/>
                <w:color w:val="0000FF"/>
              </w:rPr>
              <w:t>PART II. OTHER INFORMATION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9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Item 1. Legal Proceedings</w:t>
            </w:r>
          </w:p>
        </w:tc>
        <w:tc>
          <w:tcPr>
            <w:tcW w:w="1820" w:type="dxa"/>
            <w:vAlign w:val="bottom"/>
            <w:gridSpan w:val="6"/>
          </w:tcPr>
          <w:p>
            <w:pPr>
              <w:spacing w:after="0"/>
              <w:rPr>
                <w:sz w:val="24"/>
                <w:szCs w:val="24"/>
                <w:color w:val="auto"/>
              </w:rPr>
            </w:pPr>
          </w:p>
        </w:tc>
        <w:tc>
          <w:tcPr>
            <w:tcW w:w="2760" w:type="dxa"/>
            <w:vAlign w:val="bottom"/>
            <w:tcBorders>
              <w:top w:val="single" w:sz="8" w:color="0000FF"/>
            </w:tcBorders>
            <w:gridSpan w:val="6"/>
          </w:tcPr>
          <w:p>
            <w:pPr>
              <w:spacing w:after="0"/>
              <w:rPr>
                <w:sz w:val="24"/>
                <w:szCs w:val="24"/>
                <w:color w:val="auto"/>
              </w:rPr>
            </w:pPr>
          </w:p>
        </w:tc>
        <w:tc>
          <w:tcPr>
            <w:tcW w:w="3720" w:type="dxa"/>
            <w:vAlign w:val="bottom"/>
            <w:gridSpan w:val="3"/>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16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Item 1A. Risk Factors</w:t>
            </w:r>
          </w:p>
        </w:tc>
        <w:tc>
          <w:tcPr>
            <w:tcW w:w="8600" w:type="dxa"/>
            <w:vAlign w:val="bottom"/>
            <w:gridSpan w:val="17"/>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10200" w:type="dxa"/>
            <w:vAlign w:val="bottom"/>
            <w:gridSpan w:val="21"/>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9"/>
        </w:trPr>
        <w:tc>
          <w:tcPr>
            <w:tcW w:w="49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Item 3. Defaults Upon Senior Securities</w:t>
            </w:r>
          </w:p>
        </w:tc>
        <w:tc>
          <w:tcPr>
            <w:tcW w:w="5300" w:type="dxa"/>
            <w:vAlign w:val="bottom"/>
            <w:gridSpan w:val="6"/>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9"/>
        </w:trPr>
        <w:tc>
          <w:tcPr>
            <w:tcW w:w="288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Item 4. Mine Safety Disclosures</w:t>
            </w:r>
          </w:p>
        </w:tc>
        <w:tc>
          <w:tcPr>
            <w:tcW w:w="7320" w:type="dxa"/>
            <w:vAlign w:val="bottom"/>
            <w:gridSpan w:val="12"/>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18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Item 5. Other Information</w:t>
            </w:r>
          </w:p>
        </w:tc>
        <w:tc>
          <w:tcPr>
            <w:tcW w:w="440" w:type="dxa"/>
            <w:vAlign w:val="bottom"/>
            <w:tcBorders>
              <w:top w:val="single" w:sz="8" w:color="0000FF"/>
            </w:tcBorders>
            <w:gridSpan w:val="3"/>
          </w:tcPr>
          <w:p>
            <w:pPr>
              <w:spacing w:after="0"/>
              <w:rPr>
                <w:sz w:val="18"/>
                <w:szCs w:val="18"/>
                <w:color w:val="auto"/>
              </w:rPr>
            </w:pPr>
          </w:p>
        </w:tc>
        <w:tc>
          <w:tcPr>
            <w:tcW w:w="7880" w:type="dxa"/>
            <w:vAlign w:val="bottom"/>
            <w:gridSpan w:val="13"/>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9"/>
        </w:trPr>
        <w:tc>
          <w:tcPr>
            <w:tcW w:w="10200" w:type="dxa"/>
            <w:vAlign w:val="bottom"/>
            <w:gridSpan w:val="21"/>
          </w:tcPr>
          <w:p>
            <w:pPr>
              <w:spacing w:after="0"/>
              <w:rPr>
                <w:sz w:val="20"/>
                <w:szCs w:val="20"/>
                <w:color w:val="auto"/>
              </w:rPr>
            </w:pPr>
            <w:r>
              <w:rPr>
                <w:rFonts w:ascii="Arial" w:cs="Arial" w:eastAsia="Arial" w:hAnsi="Arial"/>
                <w:sz w:val="18"/>
                <w:szCs w:val="18"/>
                <w:color w:val="0000FF"/>
              </w:rPr>
              <w:t>Item 6. Exhibits</w:t>
            </w: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9"/>
        </w:trPr>
        <w:tc>
          <w:tcPr>
            <w:tcW w:w="11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Signatures</w:t>
            </w:r>
          </w:p>
        </w:tc>
        <w:tc>
          <w:tcPr>
            <w:tcW w:w="9040" w:type="dxa"/>
            <w:vAlign w:val="bottom"/>
            <w:gridSpan w:val="18"/>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7120" w:type="dxa"/>
            <w:vAlign w:val="bottom"/>
          </w:tcPr>
          <w:p>
            <w:pPr>
              <w:ind w:left="40"/>
              <w:spacing w:after="0"/>
              <w:rPr>
                <w:sz w:val="20"/>
                <w:szCs w:val="20"/>
                <w:color w:val="auto"/>
              </w:rPr>
            </w:pPr>
            <w:r>
              <w:rPr>
                <w:rFonts w:ascii="Arial" w:cs="Arial" w:eastAsia="Arial" w:hAnsi="Arial"/>
                <w:sz w:val="18"/>
                <w:szCs w:val="18"/>
                <w:b w:val="1"/>
                <w:bCs w:val="1"/>
                <w:color w:val="auto"/>
              </w:rPr>
              <w:t>FINANCIAL INFORMATION</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675"/>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12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20" w:type="dxa"/>
            <w:vAlign w:val="bottom"/>
          </w:tcPr>
          <w:p>
            <w:pPr>
              <w:jc w:val="center"/>
              <w:ind w:left="1770"/>
              <w:spacing w:after="0"/>
              <w:rPr>
                <w:sz w:val="20"/>
                <w:szCs w:val="20"/>
                <w:color w:val="auto"/>
              </w:rPr>
            </w:pPr>
            <w:r>
              <w:rPr>
                <w:rFonts w:ascii="Arial" w:cs="Arial" w:eastAsia="Arial" w:hAnsi="Arial"/>
                <w:sz w:val="18"/>
                <w:szCs w:val="18"/>
                <w:b w:val="1"/>
                <w:bCs w:val="1"/>
                <w:color w:val="auto"/>
              </w:rPr>
              <w:t>ARDELYX, INC.</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120" w:type="dxa"/>
            <w:vAlign w:val="bottom"/>
          </w:tcPr>
          <w:p>
            <w:pPr>
              <w:jc w:val="center"/>
              <w:ind w:left="1750"/>
              <w:spacing w:after="0"/>
              <w:rPr>
                <w:sz w:val="20"/>
                <w:szCs w:val="20"/>
                <w:color w:val="auto"/>
              </w:rPr>
            </w:pPr>
            <w:r>
              <w:rPr>
                <w:rFonts w:ascii="Arial" w:cs="Arial" w:eastAsia="Arial" w:hAnsi="Arial"/>
                <w:sz w:val="18"/>
                <w:szCs w:val="18"/>
                <w:b w:val="1"/>
                <w:bCs w:val="1"/>
                <w:color w:val="auto"/>
                <w:w w:val="98"/>
              </w:rPr>
              <w:t>CONDENSED BALANCE SHEETS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120" w:type="dxa"/>
            <w:vAlign w:val="bottom"/>
          </w:tcPr>
          <w:p>
            <w:pPr>
              <w:jc w:val="center"/>
              <w:ind w:left="177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66"/>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20" w:type="dxa"/>
            <w:vAlign w:val="bottom"/>
          </w:tcPr>
          <w:p>
            <w:pPr>
              <w:jc w:val="right"/>
              <w:ind w:right="19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20" w:type="dxa"/>
            <w:vAlign w:val="bottom"/>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7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r>
      <w:tr>
        <w:trPr>
          <w:trHeight w:val="229"/>
        </w:trPr>
        <w:tc>
          <w:tcPr>
            <w:tcW w:w="2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1"/>
              </w:rPr>
              <w:t>(Unaudited)</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7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Current assets:</w:t>
            </w:r>
          </w:p>
        </w:tc>
        <w:tc>
          <w:tcPr>
            <w:tcW w:w="7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61,628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72,428</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44,261</w:t>
            </w:r>
          </w:p>
        </w:tc>
      </w:tr>
      <w:tr>
        <w:trPr>
          <w:trHeight w:val="229"/>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30"/>
        </w:trPr>
        <w:tc>
          <w:tcPr>
            <w:tcW w:w="20" w:type="dxa"/>
            <w:vAlign w:val="bottom"/>
          </w:tcPr>
          <w:p>
            <w:pPr>
              <w:spacing w:after="0"/>
              <w:rPr>
                <w:sz w:val="19"/>
                <w:szCs w:val="19"/>
                <w:color w:val="auto"/>
              </w:rPr>
            </w:pPr>
          </w:p>
        </w:tc>
        <w:tc>
          <w:tcPr>
            <w:tcW w:w="1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7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Prepaid commercial manufacturing</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9,406</w:t>
            </w: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7,052</w:t>
            </w:r>
          </w:p>
        </w:tc>
      </w:tr>
      <w:tr>
        <w:trPr>
          <w:trHeight w:val="223"/>
        </w:trPr>
        <w:tc>
          <w:tcPr>
            <w:tcW w:w="20" w:type="dxa"/>
            <w:vAlign w:val="bottom"/>
          </w:tcPr>
          <w:p>
            <w:pPr>
              <w:spacing w:after="0"/>
              <w:rPr>
                <w:sz w:val="19"/>
                <w:szCs w:val="19"/>
                <w:color w:val="auto"/>
              </w:rPr>
            </w:pPr>
          </w:p>
        </w:tc>
        <w:tc>
          <w:tcPr>
            <w:tcW w:w="824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119,875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133,649</w:t>
            </w: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12,752</w:t>
            </w:r>
          </w:p>
        </w:tc>
      </w:tr>
      <w:tr>
        <w:trPr>
          <w:trHeight w:val="230"/>
        </w:trPr>
        <w:tc>
          <w:tcPr>
            <w:tcW w:w="20" w:type="dxa"/>
            <w:vAlign w:val="bottom"/>
          </w:tcPr>
          <w:p>
            <w:pPr>
              <w:spacing w:after="0"/>
              <w:rPr>
                <w:sz w:val="19"/>
                <w:szCs w:val="19"/>
                <w:color w:val="auto"/>
              </w:rPr>
            </w:pP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2,362</w:t>
            </w:r>
          </w:p>
        </w:tc>
      </w:tr>
      <w:tr>
        <w:trPr>
          <w:trHeight w:val="229"/>
        </w:trPr>
        <w:tc>
          <w:tcPr>
            <w:tcW w:w="20" w:type="dxa"/>
            <w:vAlign w:val="bottom"/>
          </w:tcPr>
          <w:p>
            <w:pPr>
              <w:spacing w:after="0"/>
              <w:rPr>
                <w:sz w:val="19"/>
                <w:szCs w:val="19"/>
                <w:color w:val="auto"/>
              </w:rPr>
            </w:pP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7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r>
      <w:tr>
        <w:trPr>
          <w:trHeight w:val="223"/>
        </w:trPr>
        <w:tc>
          <w:tcPr>
            <w:tcW w:w="20" w:type="dxa"/>
            <w:vAlign w:val="bottom"/>
          </w:tcPr>
          <w:p>
            <w:pPr>
              <w:spacing w:after="0"/>
              <w:rPr>
                <w:sz w:val="19"/>
                <w:szCs w:val="19"/>
                <w:color w:val="auto"/>
              </w:rPr>
            </w:pPr>
          </w:p>
        </w:tc>
        <w:tc>
          <w:tcPr>
            <w:tcW w:w="8240" w:type="dxa"/>
            <w:vAlign w:val="bottom"/>
            <w:gridSpan w:val="2"/>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144,672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149,913</w:t>
            </w: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2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r>
      <w:tr>
        <w:trPr>
          <w:trHeight w:val="230"/>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5,422</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32,264</w:t>
            </w:r>
          </w:p>
        </w:tc>
      </w:tr>
      <w:tr>
        <w:trPr>
          <w:trHeight w:val="230"/>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3,492</w:t>
            </w: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8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w:t>
            </w:r>
          </w:p>
        </w:tc>
      </w:tr>
      <w:tr>
        <w:trPr>
          <w:trHeight w:val="223"/>
        </w:trPr>
        <w:tc>
          <w:tcPr>
            <w:tcW w:w="20" w:type="dxa"/>
            <w:vAlign w:val="bottom"/>
          </w:tcPr>
          <w:p>
            <w:pPr>
              <w:spacing w:after="0"/>
              <w:rPr>
                <w:sz w:val="19"/>
                <w:szCs w:val="19"/>
                <w:color w:val="auto"/>
              </w:rPr>
            </w:pP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52,821</w:t>
            </w:r>
          </w:p>
        </w:tc>
      </w:tr>
      <w:tr>
        <w:trPr>
          <w:trHeight w:val="230"/>
        </w:trPr>
        <w:tc>
          <w:tcPr>
            <w:tcW w:w="20" w:type="dxa"/>
            <w:vAlign w:val="bottom"/>
          </w:tcPr>
          <w:p>
            <w:pPr>
              <w:spacing w:after="0"/>
              <w:rPr>
                <w:sz w:val="19"/>
                <w:szCs w:val="19"/>
                <w:color w:val="auto"/>
              </w:rPr>
            </w:pP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liability, net of current portion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9,748</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 non-current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r>
      <w:tr>
        <w:trPr>
          <w:trHeight w:val="230"/>
        </w:trPr>
        <w:tc>
          <w:tcPr>
            <w:tcW w:w="20" w:type="dxa"/>
            <w:vAlign w:val="bottom"/>
          </w:tcPr>
          <w:p>
            <w:pPr>
              <w:spacing w:after="0"/>
              <w:rPr>
                <w:sz w:val="19"/>
                <w:szCs w:val="19"/>
                <w:color w:val="auto"/>
              </w:rPr>
            </w:pPr>
          </w:p>
        </w:tc>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royalty obligation related to the sale of future royalties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67,296</w:t>
            </w:r>
          </w:p>
        </w:tc>
      </w:tr>
      <w:tr>
        <w:trPr>
          <w:trHeight w:val="209"/>
        </w:trPr>
        <w:tc>
          <w:tcPr>
            <w:tcW w:w="20" w:type="dxa"/>
            <w:vAlign w:val="bottom"/>
          </w:tcPr>
          <w:p>
            <w:pPr>
              <w:spacing w:after="0"/>
              <w:rPr>
                <w:sz w:val="18"/>
                <w:szCs w:val="18"/>
                <w:color w:val="auto"/>
              </w:rPr>
            </w:pP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(Note 15)</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8240" w:type="dxa"/>
            <w:vAlign w:val="bottom"/>
            <w:gridSpan w:val="2"/>
          </w:tcPr>
          <w:p>
            <w:pPr>
              <w:ind w:left="40"/>
              <w:spacing w:after="0" w:line="176" w:lineRule="exact"/>
              <w:rPr>
                <w:sz w:val="20"/>
                <w:szCs w:val="20"/>
                <w:color w:val="auto"/>
              </w:rPr>
            </w:pPr>
            <w:r>
              <w:rPr>
                <w:rFonts w:ascii="Arial" w:cs="Arial" w:eastAsia="Arial" w:hAnsi="Arial"/>
                <w:sz w:val="18"/>
                <w:szCs w:val="18"/>
                <w:color w:val="auto"/>
                <w:w w:val="97"/>
              </w:rPr>
              <w:t>Preferred stock, $0.0001 par value; 5,000,000 shares authorized; no shares issued and outstanding as of</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240" w:type="dxa"/>
            <w:vAlign w:val="bottom"/>
            <w:gridSpan w:val="2"/>
          </w:tcPr>
          <w:p>
            <w:pPr>
              <w:ind w:left="40"/>
              <w:spacing w:after="0"/>
              <w:rPr>
                <w:sz w:val="20"/>
                <w:szCs w:val="20"/>
                <w:color w:val="auto"/>
              </w:rPr>
            </w:pPr>
            <w:r>
              <w:rPr>
                <w:rFonts w:ascii="Arial" w:cs="Arial" w:eastAsia="Arial" w:hAnsi="Arial"/>
                <w:sz w:val="18"/>
                <w:szCs w:val="18"/>
                <w:color w:val="auto"/>
              </w:rPr>
              <w:t>September 30, 2022 and December 31, 2021, respectively.</w:t>
            </w:r>
          </w:p>
        </w:tc>
        <w:tc>
          <w:tcPr>
            <w:tcW w:w="18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20" w:type="dxa"/>
            <w:vAlign w:val="bottom"/>
          </w:tcPr>
          <w:p>
            <w:pPr>
              <w:spacing w:after="0"/>
              <w:rPr>
                <w:sz w:val="15"/>
                <w:szCs w:val="15"/>
                <w:color w:val="auto"/>
              </w:rPr>
            </w:pPr>
          </w:p>
        </w:tc>
        <w:tc>
          <w:tcPr>
            <w:tcW w:w="8240" w:type="dxa"/>
            <w:vAlign w:val="bottom"/>
            <w:gridSpan w:val="2"/>
            <w:shd w:val="clear" w:color="auto" w:fill="CCEEFF"/>
          </w:tcPr>
          <w:p>
            <w:pPr>
              <w:ind w:left="40"/>
              <w:spacing w:after="0" w:line="176" w:lineRule="exact"/>
              <w:rPr>
                <w:sz w:val="20"/>
                <w:szCs w:val="20"/>
                <w:color w:val="auto"/>
              </w:rPr>
            </w:pPr>
            <w:r>
              <w:rPr>
                <w:rFonts w:ascii="Arial" w:cs="Arial" w:eastAsia="Arial" w:hAnsi="Arial"/>
                <w:sz w:val="18"/>
                <w:szCs w:val="18"/>
                <w:color w:val="auto"/>
                <w:w w:val="91"/>
              </w:rPr>
              <w:t>Common stock, $0.0001 par value; 300,000,000 shares authorized; 187,399,645 and 130,182,535 shares issued</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and outstanding as of September 30, 2022 and December 31, 2021, respectively.</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20" w:type="dxa"/>
            <w:vAlign w:val="bottom"/>
          </w:tcPr>
          <w:p>
            <w:pPr>
              <w:spacing w:after="0"/>
              <w:rPr>
                <w:sz w:val="19"/>
                <w:szCs w:val="19"/>
                <w:color w:val="auto"/>
              </w:rPr>
            </w:pPr>
          </w:p>
        </w:tc>
        <w:tc>
          <w:tcPr>
            <w:tcW w:w="8240" w:type="dxa"/>
            <w:vAlign w:val="bottom"/>
            <w:gridSpan w:val="2"/>
          </w:tcPr>
          <w:p>
            <w:pPr>
              <w:ind w:left="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857,788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795,540</w:t>
            </w: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(712,930)</w:t>
            </w:r>
          </w:p>
        </w:tc>
      </w:tr>
      <w:tr>
        <w:trPr>
          <w:trHeight w:val="230"/>
        </w:trPr>
        <w:tc>
          <w:tcPr>
            <w:tcW w:w="20" w:type="dxa"/>
            <w:vAlign w:val="bottom"/>
          </w:tcPr>
          <w:p>
            <w:pPr>
              <w:spacing w:after="0"/>
              <w:rPr>
                <w:sz w:val="19"/>
                <w:szCs w:val="19"/>
                <w:color w:val="auto"/>
              </w:rPr>
            </w:pPr>
          </w:p>
        </w:tc>
        <w:tc>
          <w:tcPr>
            <w:tcW w:w="82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20" w:type="dxa"/>
            <w:vAlign w:val="bottom"/>
          </w:tcPr>
          <w:p>
            <w:pPr>
              <w:spacing w:after="0"/>
              <w:rPr>
                <w:sz w:val="19"/>
                <w:szCs w:val="19"/>
                <w:color w:val="auto"/>
              </w:rPr>
            </w:pPr>
          </w:p>
        </w:tc>
        <w:tc>
          <w:tcPr>
            <w:tcW w:w="8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66,861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82,617</w:t>
            </w:r>
          </w:p>
        </w:tc>
      </w:tr>
      <w:tr>
        <w:trPr>
          <w:trHeight w:val="223"/>
        </w:trPr>
        <w:tc>
          <w:tcPr>
            <w:tcW w:w="20" w:type="dxa"/>
            <w:vAlign w:val="bottom"/>
          </w:tcPr>
          <w:p>
            <w:pPr>
              <w:spacing w:after="0"/>
              <w:rPr>
                <w:sz w:val="19"/>
                <w:szCs w:val="19"/>
                <w:color w:val="auto"/>
              </w:rPr>
            </w:pPr>
          </w:p>
        </w:tc>
        <w:tc>
          <w:tcPr>
            <w:tcW w:w="8240" w:type="dxa"/>
            <w:vAlign w:val="bottom"/>
            <w:gridSpan w:val="2"/>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144,672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149,913</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54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
        </w:trPr>
        <w:tc>
          <w:tcPr>
            <w:tcW w:w="5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56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4,885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6,899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supply revenue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Licensing revenue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5,007</w:t>
            </w: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Collaborative development revenue</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r>
      <w:tr>
        <w:trPr>
          <w:trHeight w:val="223"/>
        </w:trPr>
        <w:tc>
          <w:tcPr>
            <w:tcW w:w="5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9,068</w:t>
            </w:r>
          </w:p>
        </w:tc>
      </w:tr>
      <w:tr>
        <w:trPr>
          <w:trHeight w:val="20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70,172</w:t>
            </w:r>
          </w:p>
        </w:tc>
      </w:tr>
      <w:tr>
        <w:trPr>
          <w:trHeight w:val="229"/>
        </w:trPr>
        <w:tc>
          <w:tcPr>
            <w:tcW w:w="5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56,969</w:t>
            </w:r>
          </w:p>
        </w:tc>
      </w:tr>
      <w:tr>
        <w:trPr>
          <w:trHeight w:val="223"/>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128,141</w:t>
            </w:r>
          </w:p>
        </w:tc>
      </w:tr>
      <w:tr>
        <w:trPr>
          <w:trHeight w:val="223"/>
        </w:trPr>
        <w:tc>
          <w:tcPr>
            <w:tcW w:w="5660" w:type="dxa"/>
            <w:vAlign w:val="bottom"/>
          </w:tcPr>
          <w:p>
            <w:pPr>
              <w:ind w:left="14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(42,236)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(75,902)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(119,073)</w:t>
            </w: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Non-cash interest expense related to the sale of future royalties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(43,586)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(77,894)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(121,927)</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(43,587)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(77,902)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(121,931)</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660" w:type="dxa"/>
            <w:vAlign w:val="bottom"/>
          </w:tcPr>
          <w:p>
            <w:pPr>
              <w:ind w:left="20"/>
              <w:spacing w:after="0" w:line="203" w:lineRule="exact"/>
              <w:rPr>
                <w:sz w:val="20"/>
                <w:szCs w:val="20"/>
                <w:color w:val="auto"/>
              </w:rPr>
            </w:pPr>
            <w:r>
              <w:rPr>
                <w:rFonts w:ascii="Arial" w:cs="Arial" w:eastAsia="Arial" w:hAnsi="Arial"/>
                <w:sz w:val="18"/>
                <w:szCs w:val="18"/>
                <w:color w:val="auto"/>
              </w:rPr>
              <w:t>Shares used in computing net loss per share - basic and diluted</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165,104,789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104,144,606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147,319,818</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100,480,156</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5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Comprehensive loss: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(22,893)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(43,587)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(77,902)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(121,931)</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gains on available-for-sale securities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(78,010)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(121,924)</w:t>
            </w:r>
          </w:p>
        </w:tc>
      </w:tr>
      <w:tr>
        <w:trPr>
          <w:trHeight w:val="21"/>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and Nine Months ended September 30, 2022 and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w w:val="92"/>
              </w:rPr>
              <w:t>Three Months Ended September 30, 2022</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40" w:type="dxa"/>
            <w:vAlign w:val="bottom"/>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200" w:type="dxa"/>
            <w:vAlign w:val="bottom"/>
            <w:gridSpan w:val="3"/>
          </w:tcPr>
          <w:p>
            <w:pPr>
              <w:jc w:val="right"/>
              <w:ind w:right="396"/>
              <w:spacing w:after="0" w:line="142" w:lineRule="exact"/>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14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5"/>
                <w:szCs w:val="5"/>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5"/>
                <w:szCs w:val="5"/>
                <w:color w:val="auto"/>
              </w:rPr>
            </w:pPr>
          </w:p>
        </w:tc>
        <w:tc>
          <w:tcPr>
            <w:tcW w:w="142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5"/>
                <w:szCs w:val="5"/>
                <w:color w:val="auto"/>
              </w:rPr>
            </w:pPr>
          </w:p>
        </w:tc>
        <w:tc>
          <w:tcPr>
            <w:tcW w:w="1060" w:type="dxa"/>
            <w:vAlign w:val="bottom"/>
            <w:vMerge w:val="restart"/>
          </w:tcPr>
          <w:p>
            <w:pPr>
              <w:jc w:val="center"/>
              <w:ind w:right="55"/>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48"/>
        </w:trPr>
        <w:tc>
          <w:tcPr>
            <w:tcW w:w="3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3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0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7"/>
        </w:trPr>
        <w:tc>
          <w:tcPr>
            <w:tcW w:w="31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Deficit</w:t>
            </w: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7"/>
                <w:szCs w:val="17"/>
                <w:color w:val="auto"/>
              </w:rPr>
            </w:pPr>
          </w:p>
        </w:tc>
        <w:tc>
          <w:tcPr>
            <w:tcW w:w="1060" w:type="dxa"/>
            <w:vAlign w:val="bottom"/>
          </w:tcPr>
          <w:p>
            <w:pPr>
              <w:jc w:val="center"/>
              <w:ind w:right="3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153,797,834</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(767,939)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53,042</w:t>
            </w:r>
          </w:p>
        </w:tc>
        <w:tc>
          <w:tcPr>
            <w:tcW w:w="0" w:type="dxa"/>
            <w:vAlign w:val="bottom"/>
          </w:tcPr>
          <w:p>
            <w:pPr>
              <w:spacing w:after="0"/>
              <w:rPr>
                <w:sz w:val="1"/>
                <w:szCs w:val="1"/>
                <w:color w:val="auto"/>
              </w:rPr>
            </w:pPr>
          </w:p>
        </w:tc>
      </w:tr>
      <w:tr>
        <w:trPr>
          <w:trHeight w:val="176"/>
        </w:trPr>
        <w:tc>
          <w:tcPr>
            <w:tcW w:w="3140" w:type="dxa"/>
            <w:vAlign w:val="bottom"/>
          </w:tcPr>
          <w:p>
            <w:pPr>
              <w:ind w:left="140"/>
              <w:spacing w:after="0" w:line="176" w:lineRule="exact"/>
              <w:rPr>
                <w:sz w:val="20"/>
                <w:szCs w:val="20"/>
                <w:color w:val="auto"/>
              </w:rPr>
            </w:pPr>
            <w:r>
              <w:rPr>
                <w:rFonts w:ascii="Arial" w:cs="Arial" w:eastAsia="Arial" w:hAnsi="Arial"/>
                <w:sz w:val="18"/>
                <w:szCs w:val="18"/>
                <w:color w:val="auto"/>
              </w:rPr>
              <w:t>Issuance of common stock under</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200" w:type="dxa"/>
            <w:vAlign w:val="bottom"/>
          </w:tcPr>
          <w:p>
            <w:pPr>
              <w:jc w:val="right"/>
              <w:spacing w:after="0"/>
              <w:rPr>
                <w:sz w:val="20"/>
                <w:szCs w:val="20"/>
                <w:color w:val="auto"/>
              </w:rPr>
            </w:pPr>
            <w:r>
              <w:rPr>
                <w:rFonts w:ascii="Arial" w:cs="Arial" w:eastAsia="Arial" w:hAnsi="Arial"/>
                <w:sz w:val="18"/>
                <w:szCs w:val="18"/>
                <w:color w:val="auto"/>
              </w:rPr>
              <w:t>181,256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Issuance of common stock for services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711,675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175"/>
        </w:trPr>
        <w:tc>
          <w:tcPr>
            <w:tcW w:w="3140" w:type="dxa"/>
            <w:vAlign w:val="bottom"/>
          </w:tcPr>
          <w:p>
            <w:pPr>
              <w:ind w:left="140"/>
              <w:spacing w:after="0" w:line="176" w:lineRule="exact"/>
              <w:rPr>
                <w:sz w:val="20"/>
                <w:szCs w:val="20"/>
                <w:color w:val="auto"/>
              </w:rPr>
            </w:pPr>
            <w:r>
              <w:rPr>
                <w:rFonts w:ascii="Arial" w:cs="Arial" w:eastAsia="Arial" w:hAnsi="Arial"/>
                <w:sz w:val="18"/>
                <w:szCs w:val="18"/>
                <w:color w:val="auto"/>
                <w:w w:val="93"/>
              </w:rPr>
              <w:t>Issuance of common stock upon vesting</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140"/>
              <w:spacing w:after="0"/>
              <w:rPr>
                <w:sz w:val="20"/>
                <w:szCs w:val="20"/>
                <w:color w:val="auto"/>
              </w:rPr>
            </w:pPr>
            <w:r>
              <w:rPr>
                <w:rFonts w:ascii="Arial" w:cs="Arial" w:eastAsia="Arial" w:hAnsi="Arial"/>
                <w:sz w:val="18"/>
                <w:szCs w:val="18"/>
                <w:color w:val="auto"/>
              </w:rPr>
              <w:t>of restricted stock units</w:t>
            </w:r>
          </w:p>
        </w:tc>
        <w:tc>
          <w:tcPr>
            <w:tcW w:w="1200" w:type="dxa"/>
            <w:vAlign w:val="bottom"/>
          </w:tcPr>
          <w:p>
            <w:pPr>
              <w:jc w:val="right"/>
              <w:spacing w:after="0"/>
              <w:rPr>
                <w:sz w:val="20"/>
                <w:szCs w:val="20"/>
                <w:color w:val="auto"/>
              </w:rPr>
            </w:pPr>
            <w:r>
              <w:rPr>
                <w:rFonts w:ascii="Arial" w:cs="Arial" w:eastAsia="Arial" w:hAnsi="Arial"/>
                <w:sz w:val="18"/>
                <w:szCs w:val="18"/>
                <w:color w:val="auto"/>
              </w:rPr>
              <w:t>95,555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Issuance of common stock in at the</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offering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32,613,325</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34,367</w:t>
            </w:r>
          </w:p>
        </w:tc>
        <w:tc>
          <w:tcPr>
            <w:tcW w:w="0" w:type="dxa"/>
            <w:vAlign w:val="bottom"/>
          </w:tcPr>
          <w:p>
            <w:pPr>
              <w:spacing w:after="0"/>
              <w:rPr>
                <w:sz w:val="1"/>
                <w:szCs w:val="1"/>
                <w:color w:val="auto"/>
              </w:rPr>
            </w:pPr>
          </w:p>
        </w:tc>
      </w:tr>
      <w:tr>
        <w:trPr>
          <w:trHeight w:val="229"/>
        </w:trPr>
        <w:tc>
          <w:tcPr>
            <w:tcW w:w="31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176"/>
        </w:trPr>
        <w:tc>
          <w:tcPr>
            <w:tcW w:w="3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Unrealized losses on available-for-sale</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14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(22,893)</w:t>
            </w:r>
          </w:p>
        </w:tc>
        <w:tc>
          <w:tcPr>
            <w:tcW w:w="0" w:type="dxa"/>
            <w:vAlign w:val="bottom"/>
          </w:tcPr>
          <w:p>
            <w:pPr>
              <w:spacing w:after="0"/>
              <w:rPr>
                <w:sz w:val="1"/>
                <w:szCs w:val="1"/>
                <w:color w:val="auto"/>
              </w:rPr>
            </w:pPr>
          </w:p>
        </w:tc>
      </w:tr>
      <w:tr>
        <w:trPr>
          <w:trHeight w:val="248"/>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September 30,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187,399,645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857,788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(790,832)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66,861</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3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w w:val="94"/>
              </w:rPr>
              <w:t>Nine Months Ended September 30, 2022</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200" w:type="dxa"/>
            <w:vAlign w:val="bottom"/>
            <w:gridSpan w:val="3"/>
          </w:tcPr>
          <w:p>
            <w:pPr>
              <w:jc w:val="right"/>
              <w:ind w:right="396"/>
              <w:spacing w:after="0" w:line="142" w:lineRule="exact"/>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14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5"/>
                <w:szCs w:val="5"/>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5"/>
                <w:szCs w:val="5"/>
                <w:color w:val="auto"/>
              </w:rPr>
            </w:pPr>
          </w:p>
        </w:tc>
        <w:tc>
          <w:tcPr>
            <w:tcW w:w="142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5"/>
                <w:szCs w:val="5"/>
                <w:color w:val="auto"/>
              </w:rPr>
            </w:pPr>
          </w:p>
        </w:tc>
        <w:tc>
          <w:tcPr>
            <w:tcW w:w="1060" w:type="dxa"/>
            <w:vAlign w:val="bottom"/>
            <w:vMerge w:val="restart"/>
          </w:tcPr>
          <w:p>
            <w:pPr>
              <w:jc w:val="center"/>
              <w:ind w:right="55"/>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48"/>
        </w:trPr>
        <w:tc>
          <w:tcPr>
            <w:tcW w:w="3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3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0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Deficit</w:t>
            </w: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7"/>
                <w:szCs w:val="17"/>
                <w:color w:val="auto"/>
              </w:rPr>
            </w:pPr>
          </w:p>
        </w:tc>
        <w:tc>
          <w:tcPr>
            <w:tcW w:w="1060" w:type="dxa"/>
            <w:vAlign w:val="bottom"/>
          </w:tcPr>
          <w:p>
            <w:pPr>
              <w:jc w:val="center"/>
              <w:ind w:right="3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0"/>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130,182,535</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795,540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(712,930)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82,617</w:t>
            </w:r>
          </w:p>
        </w:tc>
        <w:tc>
          <w:tcPr>
            <w:tcW w:w="0" w:type="dxa"/>
            <w:vAlign w:val="bottom"/>
          </w:tcPr>
          <w:p>
            <w:pPr>
              <w:spacing w:after="0"/>
              <w:rPr>
                <w:sz w:val="1"/>
                <w:szCs w:val="1"/>
                <w:color w:val="auto"/>
              </w:rPr>
            </w:pPr>
          </w:p>
        </w:tc>
      </w:tr>
      <w:tr>
        <w:trPr>
          <w:trHeight w:val="175"/>
        </w:trPr>
        <w:tc>
          <w:tcPr>
            <w:tcW w:w="3140" w:type="dxa"/>
            <w:vAlign w:val="bottom"/>
          </w:tcPr>
          <w:p>
            <w:pPr>
              <w:ind w:left="140"/>
              <w:spacing w:after="0" w:line="176" w:lineRule="exact"/>
              <w:rPr>
                <w:sz w:val="20"/>
                <w:szCs w:val="20"/>
                <w:color w:val="auto"/>
              </w:rPr>
            </w:pPr>
            <w:r>
              <w:rPr>
                <w:rFonts w:ascii="Arial" w:cs="Arial" w:eastAsia="Arial" w:hAnsi="Arial"/>
                <w:sz w:val="18"/>
                <w:szCs w:val="18"/>
                <w:color w:val="auto"/>
              </w:rPr>
              <w:t>Issuance of common stock under</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200" w:type="dxa"/>
            <w:vAlign w:val="bottom"/>
          </w:tcPr>
          <w:p>
            <w:pPr>
              <w:jc w:val="right"/>
              <w:spacing w:after="0"/>
              <w:rPr>
                <w:sz w:val="20"/>
                <w:szCs w:val="20"/>
                <w:color w:val="auto"/>
              </w:rPr>
            </w:pPr>
            <w:r>
              <w:rPr>
                <w:rFonts w:ascii="Arial" w:cs="Arial" w:eastAsia="Arial" w:hAnsi="Arial"/>
                <w:sz w:val="18"/>
                <w:szCs w:val="18"/>
                <w:color w:val="auto"/>
              </w:rPr>
              <w:t>308,356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Issuance of common stock for services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711,675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175"/>
        </w:trPr>
        <w:tc>
          <w:tcPr>
            <w:tcW w:w="3140" w:type="dxa"/>
            <w:vAlign w:val="bottom"/>
          </w:tcPr>
          <w:p>
            <w:pPr>
              <w:ind w:left="140"/>
              <w:spacing w:after="0" w:line="176" w:lineRule="exact"/>
              <w:rPr>
                <w:sz w:val="20"/>
                <w:szCs w:val="20"/>
                <w:color w:val="auto"/>
              </w:rPr>
            </w:pPr>
            <w:r>
              <w:rPr>
                <w:rFonts w:ascii="Arial" w:cs="Arial" w:eastAsia="Arial" w:hAnsi="Arial"/>
                <w:sz w:val="18"/>
                <w:szCs w:val="18"/>
                <w:color w:val="auto"/>
                <w:w w:val="93"/>
              </w:rPr>
              <w:t>Issuance of common stock upon vesting</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140"/>
              <w:spacing w:after="0"/>
              <w:rPr>
                <w:sz w:val="20"/>
                <w:szCs w:val="20"/>
                <w:color w:val="auto"/>
              </w:rPr>
            </w:pPr>
            <w:r>
              <w:rPr>
                <w:rFonts w:ascii="Arial" w:cs="Arial" w:eastAsia="Arial" w:hAnsi="Arial"/>
                <w:sz w:val="18"/>
                <w:szCs w:val="18"/>
                <w:color w:val="auto"/>
              </w:rPr>
              <w:t>of restricted stock units</w:t>
            </w:r>
          </w:p>
        </w:tc>
        <w:tc>
          <w:tcPr>
            <w:tcW w:w="1200" w:type="dxa"/>
            <w:vAlign w:val="bottom"/>
          </w:tcPr>
          <w:p>
            <w:pPr>
              <w:jc w:val="right"/>
              <w:spacing w:after="0"/>
              <w:rPr>
                <w:sz w:val="20"/>
                <w:szCs w:val="20"/>
                <w:color w:val="auto"/>
              </w:rPr>
            </w:pPr>
            <w:r>
              <w:rPr>
                <w:rFonts w:ascii="Arial" w:cs="Arial" w:eastAsia="Arial" w:hAnsi="Arial"/>
                <w:sz w:val="18"/>
                <w:szCs w:val="18"/>
                <w:color w:val="auto"/>
              </w:rPr>
              <w:t>3,091,697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Issuance of common stock in at the</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offering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53,105,382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52,845</w:t>
            </w:r>
          </w:p>
        </w:tc>
        <w:tc>
          <w:tcPr>
            <w:tcW w:w="0" w:type="dxa"/>
            <w:vAlign w:val="bottom"/>
          </w:tcPr>
          <w:p>
            <w:pPr>
              <w:spacing w:after="0"/>
              <w:rPr>
                <w:sz w:val="1"/>
                <w:szCs w:val="1"/>
                <w:color w:val="auto"/>
              </w:rPr>
            </w:pPr>
          </w:p>
        </w:tc>
      </w:tr>
      <w:tr>
        <w:trPr>
          <w:trHeight w:val="230"/>
        </w:trPr>
        <w:tc>
          <w:tcPr>
            <w:tcW w:w="31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8,824</w:t>
            </w:r>
          </w:p>
        </w:tc>
        <w:tc>
          <w:tcPr>
            <w:tcW w:w="0" w:type="dxa"/>
            <w:vAlign w:val="bottom"/>
          </w:tcPr>
          <w:p>
            <w:pPr>
              <w:spacing w:after="0"/>
              <w:rPr>
                <w:sz w:val="1"/>
                <w:szCs w:val="1"/>
                <w:color w:val="auto"/>
              </w:rPr>
            </w:pPr>
          </w:p>
        </w:tc>
      </w:tr>
      <w:tr>
        <w:trPr>
          <w:trHeight w:val="175"/>
        </w:trPr>
        <w:tc>
          <w:tcPr>
            <w:tcW w:w="3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Unrealized losses on available-for-sale</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314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(77,902)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(77,902)</w:t>
            </w:r>
          </w:p>
        </w:tc>
        <w:tc>
          <w:tcPr>
            <w:tcW w:w="0" w:type="dxa"/>
            <w:vAlign w:val="bottom"/>
          </w:tcPr>
          <w:p>
            <w:pPr>
              <w:spacing w:after="0"/>
              <w:rPr>
                <w:sz w:val="1"/>
                <w:szCs w:val="1"/>
                <w:color w:val="auto"/>
              </w:rPr>
            </w:pPr>
          </w:p>
        </w:tc>
      </w:tr>
      <w:tr>
        <w:trPr>
          <w:trHeight w:val="248"/>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September 30,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187,399,645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857,788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(790,832)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66,861</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20" w:type="dxa"/>
            <w:vAlign w:val="bottom"/>
            <w:gridSpan w:val="9"/>
          </w:tcPr>
          <w:p>
            <w:pPr>
              <w:jc w:val="center"/>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gridSpan w:val="8"/>
          </w:tcPr>
          <w:p>
            <w:pPr>
              <w:ind w:left="640"/>
              <w:spacing w:after="0" w:line="142" w:lineRule="exact"/>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95"/>
              <w:spacing w:after="0" w:line="142"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0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3"/>
            <w:vMerge w:val="restart"/>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5"/>
                <w:szCs w:val="5"/>
                <w:color w:val="auto"/>
              </w:rPr>
            </w:pPr>
          </w:p>
        </w:tc>
        <w:tc>
          <w:tcPr>
            <w:tcW w:w="1300" w:type="dxa"/>
            <w:vAlign w:val="bottom"/>
            <w:vMerge w:val="restart"/>
          </w:tcPr>
          <w:p>
            <w:pPr>
              <w:jc w:val="center"/>
              <w:ind w:right="95"/>
              <w:spacing w:after="0" w:line="135"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restart"/>
          </w:tcPr>
          <w:p>
            <w:pPr>
              <w:jc w:val="center"/>
              <w:ind w:right="54"/>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48"/>
        </w:trPr>
        <w:tc>
          <w:tcPr>
            <w:tcW w:w="3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7"/>
        </w:trPr>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ind w:left="24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30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3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2021</w:t>
            </w: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102,967,017</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750,664</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(633,109)</w:t>
            </w: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117,569</w:t>
            </w:r>
          </w:p>
        </w:tc>
        <w:tc>
          <w:tcPr>
            <w:tcW w:w="0" w:type="dxa"/>
            <w:vAlign w:val="bottom"/>
          </w:tcPr>
          <w:p>
            <w:pPr>
              <w:spacing w:after="0"/>
              <w:rPr>
                <w:sz w:val="1"/>
                <w:szCs w:val="1"/>
                <w:color w:val="auto"/>
              </w:rPr>
            </w:pPr>
          </w:p>
        </w:tc>
      </w:tr>
      <w:tr>
        <w:trPr>
          <w:trHeight w:val="176"/>
        </w:trPr>
        <w:tc>
          <w:tcPr>
            <w:tcW w:w="31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Issuance of common stock under</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gridSpan w:val="2"/>
          </w:tcPr>
          <w:p>
            <w:pPr>
              <w:ind w:left="140"/>
              <w:spacing w:after="0"/>
              <w:rPr>
                <w:sz w:val="20"/>
                <w:szCs w:val="20"/>
                <w:color w:val="auto"/>
              </w:rPr>
            </w:pPr>
            <w:r>
              <w:rPr>
                <w:rFonts w:ascii="Arial" w:cs="Arial" w:eastAsia="Arial" w:hAnsi="Arial"/>
                <w:sz w:val="18"/>
                <w:szCs w:val="18"/>
                <w:color w:val="auto"/>
              </w:rPr>
              <w:t>employee stock purchase plan</w:t>
            </w:r>
          </w:p>
        </w:tc>
        <w:tc>
          <w:tcPr>
            <w:tcW w:w="1060" w:type="dxa"/>
            <w:vAlign w:val="bottom"/>
          </w:tcPr>
          <w:p>
            <w:pPr>
              <w:jc w:val="right"/>
              <w:spacing w:after="0"/>
              <w:rPr>
                <w:sz w:val="20"/>
                <w:szCs w:val="20"/>
                <w:color w:val="auto"/>
              </w:rPr>
            </w:pPr>
            <w:r>
              <w:rPr>
                <w:rFonts w:ascii="Arial" w:cs="Arial" w:eastAsia="Arial" w:hAnsi="Arial"/>
                <w:sz w:val="18"/>
                <w:szCs w:val="18"/>
                <w:color w:val="auto"/>
              </w:rPr>
              <w:t>284,456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6"/>
              </w:rPr>
              <w:t>Issuance of common stock for services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75"/>
        </w:trPr>
        <w:tc>
          <w:tcPr>
            <w:tcW w:w="31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Issuance of common stock upon</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gridSpan w:val="2"/>
          </w:tcPr>
          <w:p>
            <w:pPr>
              <w:ind w:left="140"/>
              <w:spacing w:after="0"/>
              <w:rPr>
                <w:sz w:val="20"/>
                <w:szCs w:val="20"/>
                <w:color w:val="auto"/>
              </w:rPr>
            </w:pPr>
            <w:r>
              <w:rPr>
                <w:rFonts w:ascii="Arial" w:cs="Arial" w:eastAsia="Arial" w:hAnsi="Arial"/>
                <w:sz w:val="18"/>
                <w:szCs w:val="18"/>
                <w:color w:val="auto"/>
              </w:rPr>
              <w:t>exercise of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126,004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75"/>
        </w:trPr>
        <w:tc>
          <w:tcPr>
            <w:tcW w:w="31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Issuance of common stock upon</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vesting of restricted stock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34,410</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1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8"/>
              </w:rPr>
              <w:t>Taxes paid for net share settlement of</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gridSpan w:val="2"/>
          </w:tcPr>
          <w:p>
            <w:pPr>
              <w:ind w:left="140"/>
              <w:spacing w:after="0"/>
              <w:rPr>
                <w:sz w:val="20"/>
                <w:szCs w:val="20"/>
                <w:color w:val="auto"/>
              </w:rPr>
            </w:pPr>
            <w:r>
              <w:rPr>
                <w:rFonts w:ascii="Arial" w:cs="Arial" w:eastAsia="Arial" w:hAnsi="Arial"/>
                <w:sz w:val="18"/>
                <w:szCs w:val="18"/>
                <w:color w:val="auto"/>
              </w:rPr>
              <w:t>equity awards</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76"/>
        </w:trPr>
        <w:tc>
          <w:tcPr>
            <w:tcW w:w="31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Issuance of common stock in at the</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 offering</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3,333,708</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30"/>
        </w:trPr>
        <w:tc>
          <w:tcPr>
            <w:tcW w:w="314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175"/>
        </w:trPr>
        <w:tc>
          <w:tcPr>
            <w:tcW w:w="31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Unrealized losses on available-for-sale</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(43,587)</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(43,587)</w:t>
            </w:r>
          </w:p>
        </w:tc>
        <w:tc>
          <w:tcPr>
            <w:tcW w:w="0" w:type="dxa"/>
            <w:vAlign w:val="bottom"/>
          </w:tcPr>
          <w:p>
            <w:pPr>
              <w:spacing w:after="0"/>
              <w:rPr>
                <w:sz w:val="1"/>
                <w:szCs w:val="1"/>
                <w:color w:val="auto"/>
              </w:rPr>
            </w:pPr>
          </w:p>
        </w:tc>
      </w:tr>
      <w:tr>
        <w:trPr>
          <w:trHeight w:val="243"/>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September 30, 2021</w:t>
            </w: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106,771,584</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758,114</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(676,696)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81,432</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9"/>
          </w:tcPr>
          <w:p>
            <w:pPr>
              <w:jc w:val="right"/>
              <w:ind w:right="50"/>
              <w:spacing w:after="0"/>
              <w:rPr>
                <w:sz w:val="20"/>
                <w:szCs w:val="20"/>
                <w:color w:val="auto"/>
              </w:rPr>
            </w:pPr>
            <w:r>
              <w:rPr>
                <w:rFonts w:ascii="Arial" w:cs="Arial" w:eastAsia="Arial" w:hAnsi="Arial"/>
                <w:sz w:val="14"/>
                <w:szCs w:val="14"/>
                <w:b w:val="1"/>
                <w:bCs w:val="1"/>
                <w:color w:val="auto"/>
                <w:w w:val="93"/>
              </w:rPr>
              <w:t>Nine Months Ended September 30, 2021</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gridSpan w:val="8"/>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gridSpan w:val="8"/>
          </w:tcPr>
          <w:p>
            <w:pPr>
              <w:ind w:left="760"/>
              <w:spacing w:after="0" w:line="142" w:lineRule="exact"/>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75"/>
              <w:spacing w:after="0" w:line="142"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3"/>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5"/>
                <w:szCs w:val="5"/>
                <w:color w:val="auto"/>
              </w:rPr>
            </w:pPr>
          </w:p>
        </w:tc>
        <w:tc>
          <w:tcPr>
            <w:tcW w:w="1300" w:type="dxa"/>
            <w:vAlign w:val="bottom"/>
            <w:vMerge w:val="restart"/>
          </w:tcPr>
          <w:p>
            <w:pPr>
              <w:jc w:val="center"/>
              <w:ind w:right="55"/>
              <w:spacing w:after="0" w:line="135"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restart"/>
          </w:tcPr>
          <w:p>
            <w:pPr>
              <w:jc w:val="center"/>
              <w:ind w:right="74"/>
              <w:spacing w:after="0" w:line="13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48"/>
        </w:trPr>
        <w:tc>
          <w:tcPr>
            <w:tcW w:w="3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ind w:left="2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30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0"/>
        </w:trPr>
        <w:tc>
          <w:tcPr>
            <w:tcW w:w="3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2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93,599,975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680,872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(554,765)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126,112</w:t>
            </w:r>
          </w:p>
        </w:tc>
        <w:tc>
          <w:tcPr>
            <w:tcW w:w="0" w:type="dxa"/>
            <w:vAlign w:val="bottom"/>
          </w:tcPr>
          <w:p>
            <w:pPr>
              <w:spacing w:after="0"/>
              <w:rPr>
                <w:sz w:val="1"/>
                <w:szCs w:val="1"/>
                <w:color w:val="auto"/>
              </w:rPr>
            </w:pPr>
          </w:p>
        </w:tc>
      </w:tr>
      <w:tr>
        <w:trPr>
          <w:trHeight w:val="175"/>
        </w:trPr>
        <w:tc>
          <w:tcPr>
            <w:tcW w:w="31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Issuance of common stock under</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gridSpan w:val="2"/>
          </w:tcPr>
          <w:p>
            <w:pPr>
              <w:ind w:left="120"/>
              <w:spacing w:after="0"/>
              <w:rPr>
                <w:sz w:val="20"/>
                <w:szCs w:val="20"/>
                <w:color w:val="auto"/>
              </w:rPr>
            </w:pPr>
            <w:r>
              <w:rPr>
                <w:rFonts w:ascii="Arial" w:cs="Arial" w:eastAsia="Arial" w:hAnsi="Arial"/>
                <w:sz w:val="18"/>
                <w:szCs w:val="18"/>
                <w:color w:val="auto"/>
              </w:rPr>
              <w:t>employee stock purchase plan</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386,664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819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Issuance of common stock for services</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76"/>
        </w:trPr>
        <w:tc>
          <w:tcPr>
            <w:tcW w:w="314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0"/>
              </w:rPr>
              <w:t>Issuance of common stock upon exercise</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gridSpan w:val="2"/>
          </w:tcPr>
          <w:p>
            <w:pPr>
              <w:ind w:left="120"/>
              <w:spacing w:after="0"/>
              <w:rPr>
                <w:sz w:val="20"/>
                <w:szCs w:val="20"/>
                <w:color w:val="auto"/>
              </w:rPr>
            </w:pPr>
            <w:r>
              <w:rPr>
                <w:rFonts w:ascii="Arial" w:cs="Arial" w:eastAsia="Arial" w:hAnsi="Arial"/>
                <w:sz w:val="18"/>
                <w:szCs w:val="18"/>
                <w:color w:val="auto"/>
              </w:rPr>
              <w:t>of options</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331,310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175"/>
        </w:trPr>
        <w:tc>
          <w:tcPr>
            <w:tcW w:w="31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3"/>
              </w:rPr>
              <w:t>Issuance of common stock upon vesting</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of restricted stock units</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114,194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14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9"/>
              </w:rPr>
              <w:t>Taxes paid for net share settlement of</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gridSpan w:val="2"/>
          </w:tcPr>
          <w:p>
            <w:pPr>
              <w:ind w:left="120"/>
              <w:spacing w:after="0"/>
              <w:rPr>
                <w:sz w:val="20"/>
                <w:szCs w:val="20"/>
                <w:color w:val="auto"/>
              </w:rPr>
            </w:pPr>
            <w:r>
              <w:rPr>
                <w:rFonts w:ascii="Arial" w:cs="Arial" w:eastAsia="Arial" w:hAnsi="Arial"/>
                <w:sz w:val="18"/>
                <w:szCs w:val="18"/>
                <w:color w:val="auto"/>
              </w:rPr>
              <w:t>equity awards</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75"/>
        </w:trPr>
        <w:tc>
          <w:tcPr>
            <w:tcW w:w="31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Issuance of common stock in at the</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market offering</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12,313,452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67,187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67,189</w:t>
            </w:r>
          </w:p>
        </w:tc>
        <w:tc>
          <w:tcPr>
            <w:tcW w:w="0" w:type="dxa"/>
            <w:vAlign w:val="bottom"/>
          </w:tcPr>
          <w:p>
            <w:pPr>
              <w:spacing w:after="0"/>
              <w:rPr>
                <w:sz w:val="1"/>
                <w:szCs w:val="1"/>
                <w:color w:val="auto"/>
              </w:rPr>
            </w:pPr>
          </w:p>
        </w:tc>
      </w:tr>
      <w:tr>
        <w:trPr>
          <w:trHeight w:val="229"/>
        </w:trPr>
        <w:tc>
          <w:tcPr>
            <w:tcW w:w="3140" w:type="dxa"/>
            <w:vAlign w:val="bottom"/>
            <w:gridSpan w:val="2"/>
          </w:tcPr>
          <w:p>
            <w:pPr>
              <w:ind w:left="120"/>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8,568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8,568</w:t>
            </w:r>
          </w:p>
        </w:tc>
        <w:tc>
          <w:tcPr>
            <w:tcW w:w="0" w:type="dxa"/>
            <w:vAlign w:val="bottom"/>
          </w:tcPr>
          <w:p>
            <w:pPr>
              <w:spacing w:after="0"/>
              <w:rPr>
                <w:sz w:val="1"/>
                <w:szCs w:val="1"/>
                <w:color w:val="auto"/>
              </w:rPr>
            </w:pPr>
          </w:p>
        </w:tc>
      </w:tr>
      <w:tr>
        <w:trPr>
          <w:trHeight w:val="176"/>
        </w:trPr>
        <w:tc>
          <w:tcPr>
            <w:tcW w:w="31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9"/>
              </w:rPr>
              <w:t>Unrealized gains on available-for-sale</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securities</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140" w:type="dxa"/>
            <w:vAlign w:val="bottom"/>
            <w:gridSpan w:val="2"/>
          </w:tcPr>
          <w:p>
            <w:pPr>
              <w:ind w:left="120"/>
              <w:spacing w:after="0"/>
              <w:rPr>
                <w:sz w:val="20"/>
                <w:szCs w:val="20"/>
                <w:color w:val="auto"/>
              </w:rPr>
            </w:pPr>
            <w:r>
              <w:rPr>
                <w:rFonts w:ascii="Arial" w:cs="Arial" w:eastAsia="Arial" w:hAnsi="Arial"/>
                <w:sz w:val="18"/>
                <w:szCs w:val="18"/>
                <w:color w:val="auto"/>
              </w:rPr>
              <w:t>Net loss</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(121,931)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(121,931)</w:t>
            </w:r>
          </w:p>
        </w:tc>
        <w:tc>
          <w:tcPr>
            <w:tcW w:w="0" w:type="dxa"/>
            <w:vAlign w:val="bottom"/>
          </w:tcPr>
          <w:p>
            <w:pPr>
              <w:spacing w:after="0"/>
              <w:rPr>
                <w:sz w:val="1"/>
                <w:szCs w:val="1"/>
                <w:color w:val="auto"/>
              </w:rPr>
            </w:pPr>
          </w:p>
        </w:tc>
      </w:tr>
      <w:tr>
        <w:trPr>
          <w:trHeight w:val="248"/>
        </w:trPr>
        <w:tc>
          <w:tcPr>
            <w:tcW w:w="3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September 30, 2021</w:t>
            </w:r>
          </w:p>
        </w:tc>
        <w:tc>
          <w:tcPr>
            <w:tcW w:w="12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106,771,584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758,114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(676,696)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81,432</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CONDENSED STATEMENTS OF CASH FLOWS</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4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8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(77,902)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(121,931)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Non-cash lease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8,568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derivative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color w:val="auto"/>
              </w:rPr>
              <w:t>Debt refinancing costs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sale of equipment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Non-cash interest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Prepaid commercial manufacturing</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and other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(113,082)</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maturities and redemptions of investments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103,550</w:t>
            </w:r>
          </w:p>
        </w:tc>
        <w:tc>
          <w:tcPr>
            <w:tcW w:w="0" w:type="dxa"/>
            <w:vAlign w:val="bottom"/>
          </w:tcPr>
          <w:p>
            <w:pPr>
              <w:spacing w:after="0"/>
              <w:rPr>
                <w:sz w:val="1"/>
                <w:szCs w:val="1"/>
                <w:color w:val="auto"/>
              </w:rPr>
            </w:pPr>
          </w:p>
        </w:tc>
      </w:tr>
      <w:tr>
        <w:trPr>
          <w:trHeight w:val="229"/>
        </w:trPr>
        <w:tc>
          <w:tcPr>
            <w:tcW w:w="8240" w:type="dxa"/>
            <w:vAlign w:val="bottom"/>
          </w:tcPr>
          <w:p>
            <w:pPr>
              <w:ind w:left="120"/>
              <w:spacing w:after="0"/>
              <w:rPr>
                <w:sz w:val="20"/>
                <w:szCs w:val="20"/>
                <w:color w:val="auto"/>
              </w:rPr>
            </w:pPr>
            <w:r>
              <w:rPr>
                <w:rFonts w:ascii="Arial" w:cs="Arial" w:eastAsia="Arial" w:hAnsi="Arial"/>
                <w:sz w:val="18"/>
                <w:szCs w:val="18"/>
                <w:color w:val="auto"/>
              </w:rPr>
              <w:t>Purchases of investments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(43,824)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(72,736)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28,852</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2022 Loan, net of issuance costs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Arial" w:cs="Arial" w:eastAsia="Arial" w:hAnsi="Arial"/>
                <w:sz w:val="18"/>
                <w:szCs w:val="18"/>
                <w:color w:val="auto"/>
              </w:rPr>
              <w:t>Repayment of 2018 Loan, net of settlement costs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the sale of future royalties, net of issuance costs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Arial" w:cs="Arial" w:eastAsia="Arial" w:hAnsi="Arial"/>
                <w:sz w:val="18"/>
                <w:szCs w:val="18"/>
                <w:color w:val="auto"/>
              </w:rPr>
              <w:t>Proceeds from issuance of common stock in at the market offering, net of issuance costs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52,845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67,189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issuance of common stock under equity incentive and stock purchase plans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29"/>
        </w:trPr>
        <w:tc>
          <w:tcPr>
            <w:tcW w:w="8240" w:type="dxa"/>
            <w:vAlign w:val="bottom"/>
          </w:tcPr>
          <w:p>
            <w:pPr>
              <w:ind w:left="120"/>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56,554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68,486</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(15,744)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91,032</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75,288</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Supplementary disclosure of cash flow information:</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Arial" w:cs="Arial" w:eastAsia="Arial" w:hAnsi="Arial"/>
                <w:sz w:val="18"/>
                <w:szCs w:val="18"/>
                <w:color w:val="auto"/>
              </w:rPr>
              <w:t>Cash paid for interest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paid for income taxes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Supplementary disclosure of non-cash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Right-of-use assets obtained in exchange for lease obligations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40" w:type="dxa"/>
            <w:vAlign w:val="bottom"/>
          </w:tcPr>
          <w:p>
            <w:pPr>
              <w:ind w:left="120"/>
              <w:spacing w:after="0" w:line="203" w:lineRule="exact"/>
              <w:rPr>
                <w:sz w:val="20"/>
                <w:szCs w:val="20"/>
                <w:color w:val="auto"/>
              </w:rPr>
            </w:pPr>
            <w:r>
              <w:rPr>
                <w:rFonts w:ascii="Arial" w:cs="Arial" w:eastAsia="Arial" w:hAnsi="Arial"/>
                <w:sz w:val="18"/>
                <w:szCs w:val="18"/>
                <w:color w:val="auto"/>
              </w:rPr>
              <w:t>Issuance of common stock for services</w:t>
            </w: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390</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Issuance of derivative in connection with issuance of loan payable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ectPr>
          <w:pgSz w:w="11900" w:h="16838" w:orient="portrait"/>
          <w:cols w:equalWidth="0" w:num="1">
            <w:col w:w="11220"/>
          </w:cols>
          <w:pgMar w:left="320" w:top="34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amounts and where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Ardelyx, Inc. (the “Company,” “we,” “us” or “our”) is a biopharmaceutical company founded with a mission to discover, develop and commercialize innovative first-in-class medicines that meet significant unmet medical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operate in one business segment, which is the development and commercialization of biopharmaceutical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condensed financial statements have been prepared in accordance with accounting principles generally accepted in the United States of America (“U.S. GAAP”) and pursuant to the requirements of the Securities and Exchange Commission (“SEC”) for interim reporting. As permitted under those rules and regulations, certain footnotes or other financial information that are normally required by U.S. GAAP have been condensed or omitted. These condensed financial statements have been prepared on the same basis as our most recent annual financial statements and, in the opinion of management, reflect all adjustments, which include only normal recurring adjustments necessary to present fairly our financial position, results of operations, changes in stockholders’ equity, and cash flows for the interim periods presented.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included in our Annual Report on Form 10-K for the year ended December 31, 2021. The results for the three and nine months ended September 30, 2022 are not necessarily indicative of results to be expected for the entire year ending December 31, 2022, or for any other interim period or future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judgments that affect the amounts reported in the financial statements and accompanying notes thereto. On an ongoing basis, management evaluates its estimates, including those related to recognition of revenue, clinical trial accruals, contract manufacturing accruals, the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September 30, 2022, we had cash and investments of approximately $90.6 million. We have incurred operating losses since inception and our accumulated deficit as of September 30, 2022 is $790.8 million. Our current level of cash and investments alone is not sufficient to meet our plans for the next twelve months following the issuance of these financial statements. These factors raise substantial doubt regarding our ability to continue as a going concern for a period of one year from the issuance of these financial statements. We plan to address our operating cash flow requirements with our current cash and investments, cash generated from sales of IBSRELA, our potential receipt of anticipated milestones from our collaboration partners, our potential receipt of anticipated payments from our Japanese collaboration partner under the second amendment to our License Agreement, our ability to access the capital markets, as well as through the implementation of cash preservation activities to reduce or defer discretionary spending.</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are no assurances that our efforts to meet our operating cash flow requirements will be successful. If our current cash and investments as well as our plans to meet our operating cash flow requirements are not sufficient to fund necessary expenditures and meet our obligations for at least the next twelve months following the issuance of these financial statements, our liquidity, financial condition and business prospects will be materially affected. These financial statements have been prepared on a going concern basis and do not include any adjustments to the amounts and classification of assets and liabilities that may be necessary in the event that we can no longer continue as a going concern.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significant accounting policies are described in Note 1 to our audited financial statements for the fiscal year ended December 31, 2021, included in our Annual Report on Form 10-K. Our significant accounting policies for the three and nine months ended September 30, 2022 also included the policies discussed below related to accounts receivable, inventory, revenue and cost of revenue for commercial product sales. With the exception of those noted below, there have been no material changes in our significant accounting policies as previously disclosed in our Annual Report on Form 10-K for the fiscal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Accounts receivable is reported net of allowances for returns, chargebacks and contractual off-invoice and prompt-pay discounts offered to our customers. Our estimate of the allowance for doubtful accounts is based on an evaluation of the aging of our receivables. Trade receivable balances are written off against the allowance when it is probable that the receivable will not be collected. To date, we have determined that an allowance for doubtful accounts is not required. As of September 30, 2022 our accounts receivable balance is comprised of $0.5 million from our collaboration agreements and $4.7 million from commercial customers. As of December 31, 2021 our accounts receivable balance was comprised of $0.5 million from our collaborators.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capitalize inventory costs associated with the production of our products after regulatory approval or when, based on management’s judgment, future commercialization is considered probable and the future economic benefit is expected to be realized. Otherwise, such costs are expensed as research and development. Prior to the regulatory approval of drug product candidates, we incurred expenses for the manufacture of drug product that could potentially be available to support the commercial launch of our products or could be sold to our international partners under product supply agreements. We began to capitalize inventory costs associated with IBSRELA during the fourth quarter of 2021, when our intent to commercialize IBSRELA was established and we commenced preparation for the commercial launch of IBSRELA, which was when it was determined that the inventory had a probable future economic benefit.</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Inventory is stated at the lower of cost or estimated net realizable value with cost determined under the first-in first-out method. Inventory costs include the cost of materials, third-party contract manufacturing, third-party packaging services, freight, labor costs for personnel involved in the manufacturing process, and indirect overhead costs. We primarily use actual costs to determine the cost basis for inventory. The determination of whether inventory costs will be realizable requires management review of the expiration dates of IBSRELA compared to our forecasted sales. If actual market conditions are less favorable than projected by management, write-downs of inventory may be required, which would be recorded as cost of revenue in the condensed statement of operations and comprehensive loss. A portion of inventory is included in other assets on our condensed balance sheets as a non-current asset. The non-current balance represents product that is not expected to be sold or used within the next 12 months.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Net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account for our commercial product sales, net in accordance with Topic 606 -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We received approval from the U.S. Food and Drug Administration (“FDA”) in September 2019 to market IBSRELA, the first and only sodium hydrogen exchanger 3 (“NHE3”) inhibitor for the treatment of irritable bowel syndrome with constipation ("IBS-C") in adults, in the United States ("U.S."). We began selling IBSRELA in the U.S. in March 2022. We distribute IBSRELA principally through major wholesalers, specialty pharmacies and group purchasing organizations ("GPOs") (collectively, our "Customers"). Our Customers subsequently sell IBSRELA to pharmacies and patients. Separately, we enter into arrangements with third parties that provide for government-mandated rebates, chargebacks and discounts. Revenue from product sales is recognized when our performance obligations are satisfied, which is when Customers obtain control of our product and occurs upon delivery.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for Variable Consideration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Revenues from product sales are recorded at the net sales price (transaction price), which includes estimates of variable consideration, including discounts which may be settled in the form of off-invoice discounts, chargebacks, or rebates depending on the customer, wholesaler fees, group purchasing organization administrative fees, patient copay assistance programs, and estimated product returns. These estimates are based on the amounts earned or to be claimed for related sales and are classified as reductions of gross accounts receivable if settlement is expected to occur through a reduction in the amounts paid by our customers or a current liability if settlement is expected to occur through a payment from us. Where appropriate, these estimates are based on factors such as industry data and forecasted customer buying and payment patterns, our historical experience, current contractual and statutory requirements, specific known market events and trends. Overall, these reductions to gross sales reflect our best estimates of the amount of consideration to which we are entitled based on the terms of the contract. Variable consideration is included in the transaction price only to the extent that it is probable that a significant reversal in the amount of cumulative revenue recognized will not occur when the uncertainty associated with the variable consideration is subsequently resolved. Actual amounts of consideration ultimately received may differ from our estimates. If actual results in the future vary from our estimates, we adjust these estimates, which would affect product revenue and earnings in the period such variances become known. As we gain more historical experience, estimates will be more heavily based on the expected utilization from historical data we have accumulated since the IBSRELA product launch.</w:t>
      </w:r>
    </w:p>
    <w:p>
      <w:pPr>
        <w:spacing w:after="0" w:line="18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Rebates: Rebates include wholesaler fees, GPO fees, as well as mandated discounts under the Medicaid Drug Rebate Program ("Medicaid") and the Medicare Coverage Gap Program ("Medicare"). Estimates for rebates are recorded in the same period the related gross revenue is recognized, resulting in a reduction of product revenue and the establishment of a current liability which is included in accrued expenses on the condensed balance sheets. We estimate our Medicaid and Medicare rebates based upon the estimated payor mix, and statutory discount rates. Our estimates for payor mix are guided by payor information received from specialty pharmacies, expected utilization for wholesaler sales to pharmacies, and available industry payor information.</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Chargebacks: Chargebacks are discounts that occur when certain contracted purchasers purchase directly from our wholesalers at a discounted price. The wholesaler, in turn, charges back the difference between the price initially paid to us by the wholesaler and the discounted price paid to the wholesaler by the contracted purchaser. Amounts for estimated chargebacks are established in the same period that the related gross revenue is recognized, resulting in a reduction of product revenue and accounts receivable. The accrual for wholesaler chargebacks is estimated based on known chargeback rates, known sales to wholesalers, and estimated utilization by types of contracted purchasers.</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Discounts and Fees: Our payment terms are generally 30 to 60 days. Wholesalers, GPOs and specialty pharmacies are offered various forms of consideration, including off-invoice discounts which may be paid to GPOs and specialty pharmacies. Wholesalers and GPOs may also receive prompt pay discounts for payment within a specified period. We expect discounts to be earned when offered and therefore, we deduct the full amount of these discounts from product sales when revenue is recognized, resulting in a reduction of product revenue and accounts receivable.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Reserves: Patients who have commercial insurance may receive copay assistance when product is dispensed by pharmacies to patients. We estimate the amount of copay assistance provided to eligible patients based on the terms of the program and redemption information provided by third-party claims processing organizations and are recorded in accounts payable and accrued expenses and other current liabilities on the condensed balance sheets. Other reserves include estimated product returns which are recorded in the same period the related gross revenue is recognized, resulting in a reduction of product revenue as well as gross accounts receivable. We estimate our product returns reserve based upon our historical experience, and specific known market events and trends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revenue consists of the cost of commercial goods sold to our Customers and international partners under product supply agreements, as well as royalty expense based on sales of tenapanor. We capitalize inventory costs associated with the production of our products after regulatory approval or when, based on management’s judgment, future commercialization is considered probable and the future economic benefit is expected to be realized. Otherwise, such costs are expensed as research and development. A portion of the costs of IBSRELA units recognized as revenue during the three and nine months ended September 30, 2022 were expensed prior to the fourth quarter of 2021, at which time our intent to commercialize IBSRELA was established and we commenced preparation for the commercial launch of IBSRELA.</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revenue includes payments due to AstraZeneca, which under the terms of a termination agreement entered into in 2015 (the "AZ Termination Agreement") is entitled to (i) future royalties at a rate of 10% of net sales of tenapanor or other NHE3 products by us or our licensees, and (ii) 20% of non-royalty revenue received from our collaboration partners as a result of the development and commercialization of tenapanor or certain other NHE3 inhibitors. We have agreed to pay AstraZeneca up to a maximum of $75.0 million in the aggregate for (i) and (ii). We recognize these expenses as cost of revenue when we recognize the corresponding revenue that gives rise to payments due to AstraZeneca. To date, we have recognized an aggregate of $12.4 million as cost of revenue under the AZ Termination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Interest Expense on Deferred Royalty Obligation</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net proceeds we receive from the sale of certain future royalties are recorded as deferred royalty obligation related to the sale of future royalties on our balance sheets. As we earn royalties and remit those royalties pursuant to the agreement, the balance of the deferred royalty obligation will be effectively repaid over the life of agreement and non-cash interest expense related to the sale of future royalties is recorded using the effective interest method. To determine the amortization of our deferred royalty obligation, we are required to estimate the total amount of future royalty payments we expect to earn. There are a number of factors that could materially affect the amount and timing of royalty payments, most of which are not within our control. We periodically assess the amount of royalty payments we expect to receive which are subject to the agreement and, to the extent that the amount or timing of such payments is materially different than our original estimates, we prospectively adjust the imputed interest rate and the related amortization of the deferred royalty obligation.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 Recently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adopted no new accounting pronouncements other than those disclosed in our most recent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various accounting standards and interpretations issued recently, none of which are expected to a have a material impact on our financial position,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Securities classified as cash, cash equivalents and investments as of September 30, 2022 and December 31, 2021 are summarized below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September 30, 2022</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Gross Unrealized</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 Cost</w:t>
            </w:r>
          </w:p>
        </w:tc>
        <w:tc>
          <w:tcPr>
            <w:tcW w:w="300" w:type="dxa"/>
            <w:vAlign w:val="bottom"/>
          </w:tcPr>
          <w:p>
            <w:pPr>
              <w:spacing w:after="0"/>
              <w:rPr>
                <w:sz w:val="19"/>
                <w:szCs w:val="19"/>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60,976</w:t>
            </w: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cash and cash equivalents</w:t>
            </w: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61,628</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61,628</w:t>
            </w:r>
          </w:p>
        </w:tc>
      </w:tr>
      <w:tr>
        <w:trPr>
          <w:trHeight w:val="21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20,616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20,538</w:t>
            </w: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government-sponsored agency bonds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996</w:t>
            </w: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notes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w:t>
            </w: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29,109</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28,995</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equivalents and investments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90,623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50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3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December 31, 2021</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Gross Unrealized</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12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 Cost</w:t>
            </w:r>
          </w:p>
        </w:tc>
        <w:tc>
          <w:tcPr>
            <w:tcW w:w="300" w:type="dxa"/>
            <w:vAlign w:val="bottom"/>
          </w:tcPr>
          <w:p>
            <w:pPr>
              <w:spacing w:after="0"/>
              <w:rPr>
                <w:sz w:val="19"/>
                <w:szCs w:val="19"/>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Losses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5000" w:type="dxa"/>
            <w:vAlign w:val="bottom"/>
            <w:gridSpan w:val="2"/>
          </w:tcPr>
          <w:p>
            <w:pPr>
              <w:ind w:left="140"/>
              <w:spacing w:after="0"/>
              <w:rPr>
                <w:sz w:val="20"/>
                <w:szCs w:val="20"/>
                <w:color w:val="auto"/>
              </w:rPr>
            </w:pPr>
            <w:r>
              <w:rPr>
                <w:rFonts w:ascii="Arial" w:cs="Arial" w:eastAsia="Arial" w:hAnsi="Arial"/>
                <w:sz w:val="18"/>
                <w:szCs w:val="18"/>
                <w:color w:val="auto"/>
              </w:rPr>
              <w:t>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1,253</w:t>
            </w:r>
          </w:p>
        </w:tc>
      </w:tr>
      <w:tr>
        <w:trPr>
          <w:trHeight w:val="229"/>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71,175</w:t>
            </w:r>
          </w:p>
        </w:tc>
      </w:tr>
      <w:tr>
        <w:trPr>
          <w:trHeight w:val="223"/>
        </w:trPr>
        <w:tc>
          <w:tcPr>
            <w:tcW w:w="5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cash and cash equivalents</w:t>
            </w:r>
          </w:p>
        </w:tc>
        <w:tc>
          <w:tcPr>
            <w:tcW w:w="1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72,428</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72,428</w:t>
            </w:r>
          </w:p>
        </w:tc>
      </w:tr>
      <w:tr>
        <w:trPr>
          <w:trHeight w:val="209"/>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5000" w:type="dxa"/>
            <w:vAlign w:val="bottom"/>
            <w:gridSpan w:val="2"/>
          </w:tcPr>
          <w:p>
            <w:pPr>
              <w:ind w:left="140"/>
              <w:spacing w:after="0"/>
              <w:rPr>
                <w:sz w:val="20"/>
                <w:szCs w:val="20"/>
                <w:color w:val="auto"/>
              </w:rPr>
            </w:pPr>
            <w:r>
              <w:rPr>
                <w:rFonts w:ascii="Arial" w:cs="Arial" w:eastAsia="Arial" w:hAnsi="Arial"/>
                <w:sz w:val="18"/>
                <w:szCs w:val="18"/>
                <w:color w:val="auto"/>
              </w:rPr>
              <w:t>Commercial paper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31,936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360" w:type="dxa"/>
            <w:vAlign w:val="bottom"/>
          </w:tcPr>
          <w:p>
            <w:pPr>
              <w:ind w:left="12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31,935</w:t>
            </w:r>
          </w:p>
        </w:tc>
      </w:tr>
      <w:tr>
        <w:trPr>
          <w:trHeight w:val="230"/>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r>
      <w:tr>
        <w:trPr>
          <w:trHeight w:val="229"/>
        </w:trPr>
        <w:tc>
          <w:tcPr>
            <w:tcW w:w="5000" w:type="dxa"/>
            <w:vAlign w:val="bottom"/>
            <w:gridSpan w:val="2"/>
          </w:tcPr>
          <w:p>
            <w:pPr>
              <w:ind w:left="140"/>
              <w:spacing w:after="0"/>
              <w:rPr>
                <w:sz w:val="20"/>
                <w:szCs w:val="20"/>
                <w:color w:val="auto"/>
              </w:rPr>
            </w:pPr>
            <w:r>
              <w:rPr>
                <w:rFonts w:ascii="Arial" w:cs="Arial" w:eastAsia="Arial" w:hAnsi="Arial"/>
                <w:sz w:val="18"/>
                <w:szCs w:val="18"/>
                <w:color w:val="auto"/>
              </w:rPr>
              <w:t>Asset backed securities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5,304</w:t>
            </w:r>
          </w:p>
        </w:tc>
      </w:tr>
      <w:tr>
        <w:trPr>
          <w:trHeight w:val="223"/>
        </w:trPr>
        <w:tc>
          <w:tcPr>
            <w:tcW w:w="5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9"/>
              </w:rPr>
              <w:t>(7)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44,261</w:t>
            </w:r>
          </w:p>
        </w:tc>
      </w:tr>
      <w:tr>
        <w:trPr>
          <w:trHeight w:val="22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Total cash equivalents and investments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116,695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116,689</w:t>
            </w:r>
          </w:p>
        </w:tc>
      </w:tr>
      <w:tr>
        <w:trPr>
          <w:trHeight w:val="21"/>
        </w:trPr>
        <w:tc>
          <w:tcPr>
            <w:tcW w:w="12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equivalents consist of money market funds with original maturities of three months or less at the time of purchase, and the carrying amount is a reasonable approximation of fair value. We invest our cash in high quality securities of financial and commercial institutions. These securities are carried at fair value, which is based on readily available market information, with unrealized gains and losses included in accumulated other comprehensive income (loss) within stockholders’ equity on our condensed balance sheets. We use the specific identification method to determine the amount of realized gains or losses on sales of marketable securities. Realized gains or losses have been insignificant and are included in other income (expense), net, in the statement of operations and comprehensive loss.</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All short-term available-for-sale securities held as of September 30, 2022 had contractual maturities of less than one year. Our available-for-sale securities are subject to a periodic impairment review. We consider a debt security to be impaired when its fair value is less than its carrying cost, in which case we would further review the investment to determine whether it is other-than-temporarily impaired. When we evaluate an investment for other-than-temporary impairment, we review factors such as the length of time and extent to which fair value has been below cost basis, the financial condition of the issuer and any changes thereto, intent to sell, and whether it is more likely than not we will be required to sell the investment before the recovery of its cost basis. If an investment is other-than-temporarily impaired, we write it down through the statement of operations and comprehensive loss to its fair value and establish that value as a new cost basis for the investment. We did not identify any of our available-for-sale securities as other-than-temporarily impaired in any of the periods presented. As of September 30, 2022, no investment was in a continuous unrealized loss position for more than one year and we believe that it is more likely than not that the investments will be held until maturity or a forecasted recovery of fair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for the inputs to valuation techniques is briefly summarized as follows:</w:t>
      </w:r>
    </w:p>
    <w:p>
      <w:pPr>
        <w:spacing w:after="0" w:line="293" w:lineRule="exact"/>
        <w:rPr>
          <w:sz w:val="20"/>
          <w:szCs w:val="20"/>
          <w:color w:val="auto"/>
        </w:rPr>
      </w:pPr>
    </w:p>
    <w:p>
      <w:pPr>
        <w:jc w:val="both"/>
        <w:ind w:left="1440" w:right="40" w:hanging="1092"/>
        <w:spacing w:after="0" w:line="235" w:lineRule="auto"/>
        <w:tabs>
          <w:tab w:leader="none" w:pos="142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8"/>
          <w:szCs w:val="18"/>
          <w:color w:val="auto"/>
        </w:rPr>
        <w:t>Valuations are based on quoted prices in active markets for identical assets or liabilities and readily accessible by us at the reporting date.</w:t>
      </w:r>
    </w:p>
    <w:p>
      <w:pPr>
        <w:spacing w:after="0" w:line="67" w:lineRule="exact"/>
        <w:rPr>
          <w:sz w:val="20"/>
          <w:szCs w:val="20"/>
          <w:color w:val="auto"/>
        </w:rPr>
      </w:pPr>
    </w:p>
    <w:p>
      <w:pPr>
        <w:jc w:val="both"/>
        <w:ind w:left="1440" w:right="40" w:hanging="1092"/>
        <w:spacing w:after="0" w:line="224" w:lineRule="auto"/>
        <w:tabs>
          <w:tab w:leader="none" w:pos="142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8"/>
          <w:szCs w:val="18"/>
          <w:color w:val="auto"/>
        </w:rPr>
        <w:t>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8"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Valuations based on unobservable inputs for which there is little or no market data, which require us to develop our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sets forth the fair value of our financial assets and liabilities that are measured or disclosed on a recurring basis by level within the fair value hierarchy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September 30, 2022</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169"/>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2"/>
              </w:rPr>
              <w:t>Total</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43"/>
        </w:trPr>
        <w:tc>
          <w:tcPr>
            <w:tcW w:w="5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21"/>
                <w:szCs w:val="21"/>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3</w:t>
            </w:r>
          </w:p>
        </w:tc>
      </w:tr>
      <w:tr>
        <w:trPr>
          <w:trHeight w:val="209"/>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518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60,976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60,976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tcPr>
          <w:p>
            <w:pPr>
              <w:ind w:left="120"/>
              <w:spacing w:after="0"/>
              <w:rPr>
                <w:sz w:val="20"/>
                <w:szCs w:val="20"/>
                <w:color w:val="auto"/>
              </w:rPr>
            </w:pPr>
            <w:r>
              <w:rPr>
                <w:rFonts w:ascii="Arial" w:cs="Arial" w:eastAsia="Arial" w:hAnsi="Arial"/>
                <w:sz w:val="18"/>
                <w:szCs w:val="18"/>
                <w:color w:val="auto"/>
              </w:rPr>
              <w:t>U.S. government-sponsored agency bonds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Pr>
          <w:p>
            <w:pPr>
              <w:ind w:left="120"/>
              <w:spacing w:after="0"/>
              <w:rPr>
                <w:sz w:val="20"/>
                <w:szCs w:val="20"/>
                <w:color w:val="auto"/>
              </w:rPr>
            </w:pPr>
            <w:r>
              <w:rPr>
                <w:rFonts w:ascii="Arial" w:cs="Arial" w:eastAsia="Arial" w:hAnsi="Arial"/>
                <w:sz w:val="18"/>
                <w:szCs w:val="18"/>
                <w:color w:val="auto"/>
              </w:rPr>
              <w:t>U.S. treasury notes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180" w:type="dxa"/>
            <w:vAlign w:val="bottom"/>
          </w:tcPr>
          <w:p>
            <w:pPr>
              <w:ind w:left="120"/>
              <w:spacing w:after="0"/>
              <w:rPr>
                <w:sz w:val="20"/>
                <w:szCs w:val="20"/>
                <w:color w:val="auto"/>
              </w:rPr>
            </w:pPr>
            <w:r>
              <w:rPr>
                <w:rFonts w:ascii="Arial" w:cs="Arial" w:eastAsia="Arial" w:hAnsi="Arial"/>
                <w:sz w:val="18"/>
                <w:szCs w:val="18"/>
                <w:color w:val="auto"/>
              </w:rPr>
              <w:t>Derivative liabilities for exit fees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1,127</w:t>
            </w: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December 31, 2021</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169"/>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2"/>
              </w:rPr>
              <w:t>Total</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43"/>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21"/>
                <w:szCs w:val="21"/>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1"/>
                <w:szCs w:val="21"/>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3</w:t>
            </w: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71,175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71,175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115,436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71,175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44,261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5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liability for exit fee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Where quoted prices are available in an active market, securities are classified as Level 1. We classify money market funds as Level 1. When quoted market prices are not available for the specific security, we estimate fair value by using benchmark yields, reported trades, broker/dealer quotes and issuer spreads. We classify U.S. government-sponsored agency bonds, U.S. treasury notes, corporate bonds, commercial paper, and asset-backed securities as Level 2. In certain cases, where there is limited activity or less transparency around inputs to valuation, securities or derivative liabilities, such as the 2018 Exit Fee and 2022 Exit Fee, as defined and discussed in </w:t>
      </w:r>
      <w:r>
        <w:rPr>
          <w:rFonts w:ascii="Arial" w:cs="Arial" w:eastAsia="Arial" w:hAnsi="Arial"/>
          <w:sz w:val="17"/>
          <w:szCs w:val="17"/>
          <w:i w:val="1"/>
          <w:iCs w:val="1"/>
          <w:color w:val="auto"/>
        </w:rPr>
        <w:t>Note 9. Derivative Liability</w:t>
      </w:r>
      <w:r>
        <w:rPr>
          <w:rFonts w:ascii="Arial" w:cs="Arial" w:eastAsia="Arial" w:hAnsi="Arial"/>
          <w:sz w:val="17"/>
          <w:szCs w:val="17"/>
          <w:color w:val="auto"/>
        </w:rPr>
        <w:t>, are classified as Level 3.</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amounts reflected in the condensed balance sheets for cash equivalents, short-term investments, accounts receivable, prepaid expenses and other current assets, accounts payable and accrued expenses approximate their fair values at both September 30, 2022 and December 31, 2021, due to their short-term 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principal amount outstanding under our term loan facilities is subject to a variable interest rate. Therefore, we believe the carrying amount of the term loan facility approximates fair value as of September 30, 2022 and December 31, 2021. See </w:t>
      </w:r>
      <w:r>
        <w:rPr>
          <w:rFonts w:ascii="Arial" w:cs="Arial" w:eastAsia="Arial" w:hAnsi="Arial"/>
          <w:sz w:val="18"/>
          <w:szCs w:val="18"/>
          <w:i w:val="1"/>
          <w:iCs w:val="1"/>
          <w:color w:val="auto"/>
        </w:rPr>
        <w:t>Note 8. Borrowing</w:t>
      </w:r>
      <w:r>
        <w:rPr>
          <w:rFonts w:ascii="Arial" w:cs="Arial" w:eastAsia="Arial" w:hAnsi="Arial"/>
          <w:sz w:val="18"/>
          <w:szCs w:val="18"/>
          <w:color w:val="auto"/>
        </w:rPr>
        <w:t xml:space="preserve"> for a description of the Level 2 inputs used to estimate the fair value of the liability.</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carrying value of the deferred royalty obligation related to the sale of future royalties approximates its fair value as of September 30, 2022 and is based on our current estimates of future royalties and commercialization milestones expected to be paid to us by KKC over the life of the agreement. See </w:t>
      </w:r>
      <w:r>
        <w:rPr>
          <w:rFonts w:ascii="Arial" w:cs="Arial" w:eastAsia="Arial" w:hAnsi="Arial"/>
          <w:sz w:val="16"/>
          <w:szCs w:val="16"/>
          <w:i w:val="1"/>
          <w:iCs w:val="1"/>
          <w:color w:val="auto"/>
        </w:rPr>
        <w:t>Note 7.</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Deferred Royalty Obligation Related to the Sale of Future Royalties </w:t>
      </w:r>
      <w:r>
        <w:rPr>
          <w:rFonts w:ascii="Arial" w:cs="Arial" w:eastAsia="Arial" w:hAnsi="Arial"/>
          <w:sz w:val="16"/>
          <w:szCs w:val="16"/>
          <w:color w:val="auto"/>
        </w:rPr>
        <w:t>for a description of the Level 3 inputs used to estimate the fair value of the liability.</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began capitalizing inventory during the fourth quarter of 2021, at which time our intent to commercialize IBSRELA was established and we commenced preparation for the commercial launch of IBSRELA. Inventory consisted of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September 30, 2022</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2,907</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r>
      <w:tr>
        <w:trPr>
          <w:trHeight w:val="223"/>
        </w:trPr>
        <w:tc>
          <w:tcPr>
            <w:tcW w:w="9480" w:type="dxa"/>
            <w:vAlign w:val="bottom"/>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9,774</w:t>
            </w:r>
          </w:p>
        </w:tc>
      </w:tr>
      <w:tr>
        <w:trPr>
          <w:trHeight w:val="20"/>
        </w:trPr>
        <w:tc>
          <w:tcPr>
            <w:tcW w:w="9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97"/>
        </w:trPr>
        <w:tc>
          <w:tcPr>
            <w:tcW w:w="9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Reported as:</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29"/>
        </w:trPr>
        <w:tc>
          <w:tcPr>
            <w:tcW w:w="948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9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8,524</w:t>
            </w:r>
          </w:p>
        </w:tc>
      </w:tr>
      <w:tr>
        <w:trPr>
          <w:trHeight w:val="223"/>
        </w:trPr>
        <w:tc>
          <w:tcPr>
            <w:tcW w:w="9480" w:type="dxa"/>
            <w:vAlign w:val="bottom"/>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9,774</w:t>
            </w:r>
          </w:p>
        </w:tc>
      </w:tr>
      <w:tr>
        <w:trPr>
          <w:trHeight w:val="21"/>
        </w:trPr>
        <w:tc>
          <w:tcPr>
            <w:tcW w:w="9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Prepaid commercial manufacturing of $16.1 million and $9.4 million as of September 30, 2022 and December 31, 2021, respectively, consist of prepayments to third party contract manufacturing organizations for the manufacture of IBSRELA for production orders which we expect work to commence within the next 12 months. Prepayments for commercial manufacturing of $3.8 million as of September 30, 2022 that are expected to be converted into inventory after 12 months are included in other assets on our condensed balance sheets.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PRODUCT REVENUE, NET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received approval from the FDA in September 2019 to market IBSRELA, the first and only NHE3 inhibitor for the treatment of IBS-C in adults, in the U.S. We began selling IBSRELA in the U.S. in March 2022. We recorded net revenue for IBSRELA of $4.9 million and $6.9 million during the three and nine months ended September 30, 2022, respectively.</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Sales to AmerisourceBergen Drug Corporation, Cardinal Health, and McKesson Corporation made up 26.4%, 25.2%, and 20.2% of our gross product revenue during the three months ended September 30, 2022 and 28.9%, 24.2%, and 20.9% during the nine months ended September 30, 2022.</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activities and ending reserve balances for each significant category of discounts and allowances, which constitute variable consideration, were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7"/>
              </w:rPr>
              <w:t>Discounts and</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Other Fees,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1"/>
              </w:rPr>
              <w:t>Copay and</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Chargebacks</w:t>
            </w:r>
          </w:p>
        </w:tc>
        <w:tc>
          <w:tcPr>
            <w:tcW w:w="260" w:type="dxa"/>
            <w:vAlign w:val="bottom"/>
          </w:tcPr>
          <w:p>
            <w:pPr>
              <w:spacing w:after="0"/>
              <w:rPr>
                <w:sz w:val="21"/>
                <w:szCs w:val="21"/>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Rebates</w:t>
            </w:r>
          </w:p>
        </w:tc>
        <w:tc>
          <w:tcPr>
            <w:tcW w:w="20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Returns</w:t>
            </w:r>
          </w:p>
        </w:tc>
        <w:tc>
          <w:tcPr>
            <w:tcW w:w="32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Activity related to 2022 sales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Credits/deductions issued</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Balance as of September 30,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product sales or gross-to-net accruals during the three and nine months ended September 30, 2021.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COLLABORATION AND LICENSING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Kyowa Kirin Co., Ltd. (“KKC”)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KKC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2019, we entered into a research collaboration and option agreement with KKC (the “2019 KKC Agreement”) for research associated with identifying two preclinical compounds that are ready for designation as development compounds (“DCs”). Pursuant to the 2019 KKC Agreement, upon completion of the research and designation by the research steering committee of one or more DCs, KKC has the right to execute one or more separate collaborative agreements relating to the development and commercialization of one or both DCs in certain specified territories.</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Under the terms of the 2019 KKC Agreement, KKC paid us a non-refundable, non-creditable upfront fee of $10.0 million in two installments as follows: the first installment of $5.0 million within 30 days of November 11, 2019 (the “Effective Date”), and the second installment of $5.0 million on the first anniversary of the Effective Date. The original term of the 2019 KKC Agreement commenced on the Effective Date and was to end on the earliest of: (i) 2 years following the Effective Date, (ii) the nomination of a program DC for both programs, (iii) the nomination of one program DC and the decision by the parties to cease research for the other program, or (iv) the decision by the parties to cease research for both programs. We entered into three amendments to</w:t>
      </w:r>
    </w:p>
    <w:p>
      <w:pPr>
        <w:spacing w:after="0" w:line="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2019 KKC Agreement, which have resulted in the extension of the original term. Under the third amendment to the 2019 KKC Agreement entered into on June 28, 2022, the current term will end on February 28, 2023.</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 material future obligations under the 2019 KKC Agreement and recorded no revenue under the 2019 KKC Agreement during the three and nine months ended September 30, 2022. During the three and nine months ended September 30, 2021, we recognized $0.9 million and $3.7 million, respectively, as collaborative development revenue under the 2019 KKC Agreement in the accompanying condensed statement of operations and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KKC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2017, we entered into an exclusive license agreement with KKC (the “2017 KKC Agreement”), under which we granted KKC an exclusive license to develop and commercialize certain NHE3 inhibitors including tenapanor in Japan for the treatment of cardiorenal diseases and conditions, excluding cancer. We retained the rights to tenapanor outside of Japan, and also retained the rights to tenapanor in Japan for indications other than those stated above. Pursuant to the 2017 KKC Agreement, KKC is responsible for all costs and expenses incurred in the development and commercialization of tenapanor for all licensed indications in Japan. We are responsible for supplying the tenapanor drug substance for KKC’s use in development and commercialization throughout the term of the 2017 KKC Agreement, provided that KKC may exercise an option to manufacture the tenapanor drug substance under certain conditions.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assessed these arrangements in accordance with Accounting Standards Update (“ASU”) No. 2014-09, </w:t>
      </w:r>
      <w:r>
        <w:rPr>
          <w:rFonts w:ascii="Arial" w:cs="Arial" w:eastAsia="Arial" w:hAnsi="Arial"/>
          <w:sz w:val="16"/>
          <w:szCs w:val="16"/>
          <w:i w:val="1"/>
          <w:iCs w:val="1"/>
          <w:color w:val="auto"/>
        </w:rPr>
        <w:t>Revenue from Contracts with Customers (Topic</w:t>
      </w:r>
    </w:p>
    <w:p>
      <w:pPr>
        <w:spacing w:after="0" w:line="46" w:lineRule="exact"/>
        <w:rPr>
          <w:sz w:val="20"/>
          <w:szCs w:val="20"/>
          <w:color w:val="auto"/>
        </w:rPr>
      </w:pPr>
    </w:p>
    <w:p>
      <w:pPr>
        <w:jc w:val="both"/>
        <w:ind w:firstLine="8"/>
        <w:spacing w:after="0" w:line="253" w:lineRule="auto"/>
        <w:tabs>
          <w:tab w:leader="none" w:pos="411"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and related amendments (“ASC 606”) </w:t>
      </w:r>
      <w:r>
        <w:rPr>
          <w:rFonts w:ascii="Arial" w:cs="Arial" w:eastAsia="Arial" w:hAnsi="Arial"/>
          <w:sz w:val="18"/>
          <w:szCs w:val="18"/>
          <w:color w:val="auto"/>
        </w:rPr>
        <w:t>and concluded that the contract counterparty, KKC, is a customer. Under the terms of the 2017 KKC</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we received $30.0 million in upfront license fees, which was recognized as revenue when the agreement was executed. Based on our assessment, management determined that the license and the manufacturing supply services were its material performance obligations at the inception of the 2017 KKC Agreement, and as such, each of the performance obligations is distinct.</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Under the terms of the 2017 KKC Agreement, KKC paid us an up-front license fee of $30.0 million. We may be entitled to receive up to $55.0 million in total development and regulatory milestones, of which $10.0 million has been received and recognized as revenue as of September 30, 2022. We may also be eligible to receive approximately ¥8.5 billion for commercialization milestones, or approximately $58.7 million at the currency exchange rate on September 30, 2022, as well as reimbursement of costs plus a reasonable overhead for the supply of product and royalties on net sales throughout the term of the agreement. As discussed in </w:t>
      </w:r>
      <w:r>
        <w:rPr>
          <w:rFonts w:ascii="Arial" w:cs="Arial" w:eastAsia="Arial" w:hAnsi="Arial"/>
          <w:sz w:val="16"/>
          <w:szCs w:val="16"/>
          <w:i w:val="1"/>
          <w:iCs w:val="1"/>
          <w:color w:val="auto"/>
        </w:rPr>
        <w:t>Note 7. Deferred Royalty Obligation</w:t>
      </w:r>
      <w:r>
        <w:rPr>
          <w:rFonts w:ascii="Arial" w:cs="Arial" w:eastAsia="Arial" w:hAnsi="Arial"/>
          <w:sz w:val="16"/>
          <w:szCs w:val="16"/>
          <w:color w:val="auto"/>
        </w:rPr>
        <w:t xml:space="preserve">, the future royalties and commercial milestone payments we may receive under the 2017 KKC Agreement will be remitted to HealthCare Royalty Partners IV, L.P. pursuant to a Royalty and Sales Milestone Interest Acquisition Agreement. The variable consideration related to the remaining milestone payments has not been included in the transaction price as these were fully constrained at September 30, 2022. Please see </w:t>
      </w:r>
      <w:r>
        <w:rPr>
          <w:rFonts w:ascii="Arial" w:cs="Arial" w:eastAsia="Arial" w:hAnsi="Arial"/>
          <w:sz w:val="16"/>
          <w:szCs w:val="16"/>
          <w:i w:val="1"/>
          <w:iCs w:val="1"/>
          <w:color w:val="auto"/>
        </w:rPr>
        <w:t>Note 16 Subsequent Events</w:t>
      </w:r>
      <w:r>
        <w:rPr>
          <w:rFonts w:ascii="Arial" w:cs="Arial" w:eastAsia="Arial" w:hAnsi="Arial"/>
          <w:sz w:val="16"/>
          <w:szCs w:val="16"/>
          <w:color w:val="auto"/>
        </w:rPr>
        <w:t xml:space="preserve"> related to the October 31, 2022 KKC submission of a NDA to the Japanese Ministry of Health, Labour and Welfare for tenapanor for the improvement of hyperphosphatemia in adult patients with CKD on dialysis.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April 11, 2022, we entered into a second amendment to the 2017 KKC Agreement (the "2022 Amendment"). Under the terms of the 2022 Amendment, we and KKC have agreed to a reduction in the royalty rate payable to us by KKC upon net sales of tenapanor in Japan. The royalty rate will be reduced from the high teens to low double digits for a two-year period of time following the first commercial sale in Japan, and then to mid-single digits for the remainder of the royalty term. As discussed in </w:t>
      </w:r>
      <w:r>
        <w:rPr>
          <w:rFonts w:ascii="Arial" w:cs="Arial" w:eastAsia="Arial" w:hAnsi="Arial"/>
          <w:sz w:val="18"/>
          <w:szCs w:val="18"/>
          <w:i w:val="1"/>
          <w:iCs w:val="1"/>
          <w:color w:val="auto"/>
        </w:rPr>
        <w:t>Note 7. Deferred Royalty Obligation</w:t>
      </w:r>
      <w:r>
        <w:rPr>
          <w:rFonts w:ascii="Arial" w:cs="Arial" w:eastAsia="Arial" w:hAnsi="Arial"/>
          <w:sz w:val="18"/>
          <w:szCs w:val="18"/>
          <w:color w:val="auto"/>
        </w:rPr>
        <w:t>, the future commercial milestones and royalties we may receive under the 2017 KKC Agreement will be remitted to HealthCare Royalty Partners IV, L.P. pursuant to a Royalty and Sales Milestone Interest Acquisition Agreement. As consideration for the reduction in the royalty rate, KKC has agreed to pay us up to an additional $40.0 million payable in two tranches, with the first payment due following KKC's filing with the Japanese Ministry of Health, Labour and Welfare of its application for marketing approval for tenapanor and the second payment due following KKC’s receipt of regulatory approval to market tenapanor for hyperphosphatemia in Japan. The variable consideration related to the reduction in the royalty rate has not been included in the transaction price as these were fully constrained at September 30, 2022.</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and nine months ended September 30, 2022 we recognized no licensing revenue related to the 2017 KKC Agreement. During the three and nine months ended September 30, 2021, we recognized zero and $5.0 million respectively, as licensing revenue upon the initiation of phase 3 clinical studies by KKC in Japan to evaluate tenapanor for hyperphosphatemia. During the three and nine months ended September 30, 2022, we recognized $83 thousand and $1.0 million, respectively, as product supply revenue related to the manufacturing supply of tenapanor and other materials to KKC pursuant to the 2017 KKC Agreement. During the three and nine months ended September 30, 2021, we recognized $0.3 million and $0.4 million, respectively, as product supply revenue pursuant to the 2017 KKC Agreement.</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As detailed below under the heading </w:t>
      </w:r>
      <w:r>
        <w:rPr>
          <w:rFonts w:ascii="Arial" w:cs="Arial" w:eastAsia="Arial" w:hAnsi="Arial"/>
          <w:sz w:val="18"/>
          <w:szCs w:val="18"/>
          <w:i w:val="1"/>
          <w:iCs w:val="1"/>
          <w:color w:val="auto"/>
        </w:rPr>
        <w:t>Deferred revenue - non-current</w:t>
      </w:r>
      <w:r>
        <w:rPr>
          <w:rFonts w:ascii="Arial" w:cs="Arial" w:eastAsia="Arial" w:hAnsi="Arial"/>
          <w:sz w:val="18"/>
          <w:szCs w:val="18"/>
          <w:color w:val="auto"/>
        </w:rPr>
        <w:t>, we have received prepayments from KKC for the manufacturing of tenapanor drug substance that will be used to satisfy KKC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Shanghai Fosun Pharmaceutical Industrial Development Co. Ltd. (“Fosun Pharma”)</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2017, we entered into an exclusive license agreement with Fosun Pharma (the “Fosun Agreement”), for the development, commercialization and distribution of tenapanor in China for both hyperphosphatemia and IBS-C. Under the terms of the Fosun Agreement, Fosun paid us a $12.0 million upfront license fee. We may be entitled to receive development and commercialization milestones of up to $113.0 million, of which $3.0 million has been received and recognized as revenue as of September 30, 2022, as well as reimbursement of cost plus a reasonable overhead for the supply of product and tiered royalties on net sales ranging from the mid-teens to 20%. The variable consideration related to the remaining development milestone payments has not been included in the transaction price as these were fully constrained at September 30, 2022.</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three and nine months ended September 30, 2022, we recognized $9 thousand as product supply revenue pursuant to the terms of the Fosun Agreement. We recorded no revenue during the three and nine months ended September 30, 2021 related to the Fosun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Knight Therapeutics, Inc. (“Knight“)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2018, we entered into an exclusive license agreement with Knight (the “Knight Agreement”) for the development, commercialization and distribution of tenapanor in Canada for hyperphosphatemia and IBS-C. Under the terms of the Knight Agreement, Knight paid us a $2.3 million upfront payment. We may also be eligible to receive approximately CAD22.2 million for development and commercialization milestones, or approximately $16.1 million at the currency exchange rate on September 30, 2022, of which $0.7 million has been received and recognized as revenue as of September 30, 2022. We are also eligible to receive royalties throughout the term of the agreement, and a transfer price for manufacturing services. The variable consideration related to the remaining development milestone payments has not been included in the transaction price as they were fully constrained at September 30, 2022.</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nine months ended September 30, 2022, we recognized $9 thousand and $23 thousand, respectively, as licensing revenue under the terms of the Knight Agreement. During the three and nine months ended September 30, 2021, we recognized $2 thousand and $7 thousand respectively, under the terms of the Knight Agreement.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 AB (“AstraZeneca”)</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2015, we entered into a termination agreement with AstraZeneca (the “AstraZeneca Termination Agreement”) pursuant to which we have agreed to pay AstraZeneca (i) future royalties at a royalty rate of 10% of net sales of tenapanor or other NHE3 products by us or our licensees, and (ii) 20% of non-royalty revenue received from a licensee of tenapanor or another NHE3 inhibitor, up to a maximum of $75.0 million in aggregate for (i) and (ii). As of September 30, 2022, to date in aggregate, we have recognized $12.4 million of the $75.0 million, which has been recorded as cost of revenue, and have paid AstraZeneca $11.6 million. During the three and nine months ended September 30, 2022 we recognized and recorded as cost of revenue $0.5 million and $0.8 million, respectively, related to the AstraZeneca Termination Agreement. During the three and nine months ended September 30, 2021 we recognized zero and $1.0 million, respectively, as cost of revenue related to the AstraZeneca Termination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following tables present changes in our current and non-current deferred revenue balances during the reporting period. The September 30, 2022 deferred revenue balance is attributable entirely to the 2017 KKC Agreement, while the current September 30, 2021 deferred revenue balance is attributable to the 2019 KKC Agreement and the non-current September 30, 2021 deferred revenue balance is attributable to the 2017 KKC Agreement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Deferred revenue - current</w:t>
            </w: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r>
      <w:tr>
        <w:trPr>
          <w:trHeight w:val="188"/>
        </w:trPr>
        <w:tc>
          <w:tcPr>
            <w:tcW w:w="7240" w:type="dxa"/>
            <w:vAlign w:val="bottom"/>
          </w:tcPr>
          <w:p>
            <w:pPr>
              <w:ind w:left="220"/>
              <w:spacing w:after="0" w:line="189" w:lineRule="exact"/>
              <w:rPr>
                <w:sz w:val="20"/>
                <w:szCs w:val="20"/>
                <w:color w:val="auto"/>
              </w:rPr>
            </w:pPr>
            <w:r>
              <w:rPr>
                <w:rFonts w:ascii="Arial" w:cs="Arial" w:eastAsia="Arial" w:hAnsi="Arial"/>
                <w:sz w:val="18"/>
                <w:szCs w:val="18"/>
                <w:color w:val="auto"/>
                <w:w w:val="96"/>
              </w:rPr>
              <w:t>Increases due to amounts reclassified from non-current, to be recognized in the next twelve</w:t>
            </w:r>
          </w:p>
        </w:tc>
        <w:tc>
          <w:tcPr>
            <w:tcW w:w="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0"/>
        </w:trPr>
        <w:tc>
          <w:tcPr>
            <w:tcW w:w="7240" w:type="dxa"/>
            <w:vAlign w:val="bottom"/>
          </w:tcPr>
          <w:p>
            <w:pPr>
              <w:ind w:left="220"/>
              <w:spacing w:after="0"/>
              <w:rPr>
                <w:sz w:val="20"/>
                <w:szCs w:val="20"/>
                <w:color w:val="auto"/>
              </w:rPr>
            </w:pPr>
            <w:r>
              <w:rPr>
                <w:rFonts w:ascii="Arial" w:cs="Arial" w:eastAsia="Arial" w:hAnsi="Arial"/>
                <w:sz w:val="18"/>
                <w:szCs w:val="18"/>
                <w:color w:val="auto"/>
              </w:rPr>
              <w:t>months</w:t>
            </w: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3,961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30"/>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Increases to amounts invoiced, for which cash has not yet been received</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40" w:type="dxa"/>
            <w:vAlign w:val="bottom"/>
          </w:tcPr>
          <w:p>
            <w:pPr>
              <w:ind w:left="220"/>
              <w:spacing w:after="0"/>
              <w:rPr>
                <w:sz w:val="20"/>
                <w:szCs w:val="20"/>
                <w:color w:val="auto"/>
              </w:rPr>
            </w:pPr>
            <w:r>
              <w:rPr>
                <w:rFonts w:ascii="Arial" w:cs="Arial" w:eastAsia="Arial" w:hAnsi="Arial"/>
                <w:sz w:val="18"/>
                <w:szCs w:val="18"/>
                <w:color w:val="auto"/>
              </w:rPr>
              <w:t>Decreases due to revenue recognized in the period for which cash has been received</w:t>
            </w:r>
          </w:p>
        </w:tc>
        <w:tc>
          <w:tcPr>
            <w:tcW w:w="44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(3,650)</w:t>
            </w:r>
          </w:p>
        </w:tc>
      </w:tr>
      <w:tr>
        <w:trPr>
          <w:trHeight w:val="248"/>
        </w:trPr>
        <w:tc>
          <w:tcPr>
            <w:tcW w:w="7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Deferred revenue - non-current</w:t>
            </w: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Pr>
          <w:p>
            <w:pPr>
              <w:ind w:left="220"/>
              <w:spacing w:after="0"/>
              <w:rPr>
                <w:sz w:val="20"/>
                <w:szCs w:val="20"/>
                <w:color w:val="auto"/>
              </w:rPr>
            </w:pPr>
            <w:r>
              <w:rPr>
                <w:rFonts w:ascii="Arial" w:cs="Arial" w:eastAsia="Arial" w:hAnsi="Arial"/>
                <w:sz w:val="18"/>
                <w:szCs w:val="18"/>
                <w:color w:val="auto"/>
              </w:rPr>
              <w:t>Increases due to cash received during the period</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2,947</w:t>
            </w:r>
          </w:p>
        </w:tc>
      </w:tr>
      <w:tr>
        <w:trPr>
          <w:trHeight w:val="229"/>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Increases to amounts invoiced, for which cash has not yet been received</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3"/>
              </w:rPr>
              <w:t>Decreases due to amounts reclassified as current, to be recognized in the next twelve months</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DEFERRED ROYALTY OBLIGATION RELATED TO THE SALE OF FUTURE ROYALTIES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28, 2022, we and HealthCare Royalty Partners IV, L.P. (“HCR”) entered into a Royalty and Sales Milestone Interest Acquisition Agreement (the “HCR Agreement”). Under the terms of the HCR Agreement, HCR has agreed to pay us up to $20.0 million in exchange for the royalty payments and commercial milestone payments (collectively the “Royalty Interest Payments”) that we may receive under our 2017 License Agreement with KKC based upon KKC's net sales of tenapanor in Japan. As consideration for the sale of the Royalty Interest Payments, HCR paid to us a $10.0 million upfront payment, and we are eligible to receive a $5.0 million payment following KKC's receipt of regulatory approval to market tenapanor for hyperphosphatemia in Japan, and another $5.0 million payment in the event net sales by KKC in Japan exceed a certain annual target level by the end of 2025.</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HCR Agreement is effective until terminated by the mutual agreement of the parties and contains customary representations and warranties and customary affirmative and negative covenants, including, among others, requirements as to prosecution, maintenance, defense and enforcement of certain patent rights in Japan, restrictions regarding our ability to forgive, release or reduce any Royalty Interest Payments due to us under the 2017 KKC Agreement, to create or incur any liens with respect to the Royalty Interest Payments, the 2017 KKC Agreement or certain patents, or to sell, license or transfer certain patents in the field and territory described in the 2017 KKC Agreement.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the HCR Agreement contains customary events of default with respect to which we may incur indemnification obligations to HCR for any losses incurred by HCR and related parties as a result of the event of default, subject to a specified limitation of liability cap. Under the HCR Agreement, an event of default will occur if, among other things, any of the representations and warranties included in the HCR Agreement proves not to have been true and correct in all material respects, at the time it was made, we breach any of our covenants under the HCR Agreement, subject to specified cure periods with respect to certain breaches, we are in breach or default under the 2017 KKC Agreement in any manner which is likely to cause a material adverse effect on the Royalty Interest Payments, the occurrence of a termination of the 2017 KKC Agreement under certain circumstances or we or our assets become subject to certain legal proceedings, such as bankruptcy proceedings, or we are unable to pay our debts as they become due.</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received the $10.0 million upfront payment from HCR during June 2022 and recorded it as a deferred royalty obligation related to the sale of future royalties (the "deferred royalty obligation") on our condensed balance sheet. Due to our ongoing manufacturing obligations under the 2017 KKC Agreement, we account for the proceeds as imputed debt and therefore will recognize royalties received under the arrangement as non-cash royalty revenue. Non-cash interest expense will be recognized over the life of the HCR Agreement using the effective interest method based on the imputed interest rate derived from estimated amounts and timing of future royalty payments to be received from KKC. As part of the sale, we incurred approximately $0.4 million in transaction costs, which, along with the deferred royalty obligation, are being amortized to non-cash interest expense over the estimated life of the HCR Agreement using the effective interest method. As future royalties are remitted to us by KKC, and subsequently from us to HCR, the balance of the deferred royalty obligation will be effectively repaid over the life of the HCR Agreement. There are a number of factors that could materially affect the amount and timing of royalty payments from KKC, most of which are not within our control. We will periodically assess the estimated royalty payments from KKC and, to the extent that the amount or timing of such payments is materially different than our original estimates, we will prospectively adjust the imputed interest rate and the related amortization of the deferred royalty obligation. As of September 30, 2022, our effective interest rate used to amortize the liability is 34.4%.</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nine months ended September 30, 2022, we recognized approximately $0.8 million of non-cash interest expense for the amortization of the deferred royalty obligation. As of September 30, 2022, we have received no royalty payments from KKC and, therefore, the deferred royalty obligation has not begun to be reduced.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Solar Capital and Western Alliance Bank Loan Agreement</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16, 2018, we entered into a loan and security agreement (as amended on October 9, 2020, March 1, 2021, May 5, 2021, and July 29, 2021) (the "2018 Loan Agreement") with Solar Capital Ltd. and Western Alliance Bank (collectively the “2018 Lenders”). The 2018 Loan Agreement provided for a loan facility for up to $50.0 million with a maturity date of November 1, 2022 (the “2018 Loan”). As of the Closing Date for the 2022 Loan, as discussed below, we owed $25.0 million in principal payments from the 2018 Loan, which we repaid in full at that time.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color w:val="auto"/>
        </w:rPr>
        <w:t>Note 9. Derivative Liability</w:t>
      </w:r>
      <w:r>
        <w:rPr>
          <w:rFonts w:ascii="Arial" w:cs="Arial" w:eastAsia="Arial" w:hAnsi="Arial"/>
          <w:sz w:val="18"/>
          <w:szCs w:val="18"/>
          <w:color w:val="auto"/>
        </w:rPr>
        <w:t>, in connection with entering into the 2018 Loan Agreement, we entered into an agreement pursuant to which we agreed to pay $1.5 million in cash upon the occurrence of certain conditions (the "2018 Exit Fee"). Our obligations for the 2018 Exit Fee remain outstanding following the full repayment of the 2018 Loan in February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SLR Investment Corp. Loan Agreement</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23, 2022 (the “Closing Date”), we entered into a loan and security agreement (the “2022 Loan Agreement”) with SLR Investment Corp. as collateral agent (the “Agent”), and the lenders listed in the 2022 Loan Agreement (collectively the “2022 Lenders”). The 2022 Loan Agreement provides for a senior secured loan facility, with $27.5 million (the “Term A Loan”) funded on the Closing Date and an additional $22.5 million that we may borrow on or prior to July 25, 2023; provided that (i) we have received approval by the FDA for our NDA for the control of serum phosphorus in chronic kidney disease patients on dialysis by December 31, 2022, and (ii) we have achieved certain product revenue milestone targets described in the 2022 Loan Agreement (the “Term B Loan”, and collectively, the Term A Loan and the Term B Loan, the “2022 Loan”). On August 1, 2022, we entered into an amendment to the 2022 Loan Agreement with SLR Investment Corp. that extends the date by which we must receive approval by the FDA for our NDA for the control of serum phosphorus in chronic kidney disease patients on dialysis in order to borrow the additional $22.5 million from December 31, 2022 to March 31, 2023. The 2022 Term A Loan funds were used to repay the 2018 Loan with the 2018 Lenders. The 2022 Loan has a maturity date of March 1, 2027.</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Borrowings under the 2022 Loan bear interest at a floating per annum rate equal to 7.95% plus the greater of (i) one tenth percent (0.10%) and (ii) the one-month rate published by the Intercontinental Exchange Benchmark Administration Ltd or its successor. We are permitted to make interest-only payments on the 2022 Loan through March 31, 2024. Accordingly, beginning on April 1, 2024, we will be required to make monthly payments of interest plus repay the 2022 Loan in consecutive equal monthly installments of principal over 36 months. We were obligated to pay $0.2 million, upon the closing of the Term A Loan, and we are obligated to pay $0.1 million on the earliest of (i) the funding date of the Term B Loan, (ii) July 25, 2023, and (iii) the prepayment, refinancing, substitution, or replacement of the Term A Loan on or prior to July 25, 2023. We are obligated to pay a final fee equal to 4.95% of the aggregate original principal amount of the 2022 Loan funded upon the earliest to occur of the maturity date, the acceleration of the 2022 Loan, and the prepayment, refinancing, substitution, or replacement of the 2022 Loan. We may voluntarily prepay the outstanding 2022 Loan balance, subject to a prepayment premium of (i) 3% of the outstanding principal amount of the 2022 Loan if prepaid prior to or on the first anniversary of the Closing Date, (ii) 2% of the outstanding principal amount of the 2022 Loan if prepaid after the first anniversary of the Closing Date through and including the second anniversary of the Closing Date, or (iii) 1% of the outstanding principal amount of the 2022 Loan if prepaid after the second anniversary of the Closing Date and prior to the maturity date. The 2022 Loan is secured by substantially all of our assets, except for our intellectual property and certain other customary exclusions. Additionally, in connection with the 2022 Loan, we entered into an agreement, whereby we agreed to pay an exit fee in the amount of 2% of the 2022 Loan funded (the “2022 Exit Fee”) upon (i) any change of control transaction or (ii) our achievement of net revenue from the sale of any products equal to or greater than $100.0 million, measured on a six (6) months basis, tested monthly at the end of each month. Notwithstanding the prepayment or termination of the 2022 Loan, the 2022 Exit Fee will expire 10 years from the Closing Date.</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2022 Loan Agreement contains customary representations and warranties and customary affirmative and negative covenants, including, among others,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or to redeem capital stock. We have agreed to not allow our cash and cash equivalents to be less than the eighty percent (80%) of the outstanding 2022 Term Loan balance for any period in which our net revenue from the sale of any products, calculated on a trailing six (6) month basis and tested monthly, is less than sixty percent (60%) of the outstanding 2022 Loan balance.</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addition, the 2022 Loan Agreement contains customary events of default that entitle the Agent to cause our indebtedness under the 2022 Loan Agreement to become immediately due and payable, and to exercise remedies against us and the collateral securing the 2022 Term Loan, including our cash. Under the 2022 Loan Agreement, an event of default will occur if, among other things, we fail to make payments under the 2022 Loan Agreement, we breach any of our covenants under the 2022 Loan Agreement, subject to specified cure periods with respect to certain breaches, certain Lenders determine that a material adverse change has occurred, we or our assets become subject to certain legal proceedings, such as bankruptcy proceedings, we are unable to pay our debts as they become due or we default on contracts with third parties which would permit the holder of indebtedness to accelerate the maturity of such indebtedness or that could have a material adverse change on us. Upon the occurrence and for the duration of an event of default, an additional default interest rate equal to 4% per annum will apply to all obligations owed under the 2022 Loan Agreement. We have classified the 2022 Loan balance as a current liability as of September 30, 2022 due to the determination of the existence of substantial doubt about our ability to continue operating as a going concern discussed in </w:t>
      </w:r>
      <w:r>
        <w:rPr>
          <w:rFonts w:ascii="Arial" w:cs="Arial" w:eastAsia="Arial" w:hAnsi="Arial"/>
          <w:sz w:val="17"/>
          <w:szCs w:val="17"/>
          <w:i w:val="1"/>
          <w:iCs w:val="1"/>
          <w:color w:val="auto"/>
        </w:rPr>
        <w:t>Note 1. Organization and Basis of Presentation: Liquidity</w:t>
      </w:r>
      <w:r>
        <w:rPr>
          <w:rFonts w:ascii="Arial" w:cs="Arial" w:eastAsia="Arial" w:hAnsi="Arial"/>
          <w:sz w:val="17"/>
          <w:szCs w:val="17"/>
          <w:color w:val="auto"/>
        </w:rPr>
        <w:t xml:space="preserve"> and our assessment that the material adverse change clause under the 2022 Loan Agreement is not within our control. The lenders have not invoked the material adverse change clause as of the date of issuance of these financial statements.</w:t>
      </w:r>
    </w:p>
    <w:p>
      <w:pPr>
        <w:spacing w:after="0" w:line="2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2022, our future payment obligations related to the 2022 Loan, excluding interest payments and the 2022 final fee,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repayment obligations</w:t>
            </w:r>
          </w:p>
        </w:tc>
        <w:tc>
          <w:tcPr>
            <w:tcW w:w="59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Less: Unamortized discount</w:t>
            </w:r>
          </w:p>
        </w:tc>
        <w:tc>
          <w:tcPr>
            <w:tcW w:w="5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Unaccreted value of final fee</w:t>
            </w:r>
          </w:p>
        </w:tc>
        <w:tc>
          <w:tcPr>
            <w:tcW w:w="55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5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Current portion of long-term debt</w:t>
            </w:r>
          </w:p>
        </w:tc>
        <w:tc>
          <w:tcPr>
            <w:tcW w:w="55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55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5520" w:type="dxa"/>
            <w:vAlign w:val="bottom"/>
            <w:vMerge w:val="restart"/>
          </w:tcPr>
          <w:p>
            <w:pPr>
              <w:jc w:val="right"/>
              <w:ind w:right="3970"/>
              <w:spacing w:after="0"/>
              <w:rPr>
                <w:sz w:val="20"/>
                <w:szCs w:val="20"/>
                <w:color w:val="auto"/>
              </w:rPr>
            </w:pPr>
            <w:r>
              <w:rPr>
                <w:rFonts w:ascii="Arial" w:cs="Arial" w:eastAsia="Arial" w:hAnsi="Arial"/>
                <w:sz w:val="18"/>
                <w:szCs w:val="18"/>
                <w:color w:val="auto"/>
              </w:rPr>
              <w:t>19</w:t>
            </w: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26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55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Exit Fee</w:t>
      </w:r>
    </w:p>
    <w:p>
      <w:pPr>
        <w:spacing w:after="0" w:line="22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May 2018, in connection with entering into the 2018 Loan Agreement, we entered into an agreement pursuant to which we agreed to pay $1.5 million in cash (the “2018 Exit Fee”) upon any change of control transaction in respect of the Company or if we obtain both (i) FDA approval of tenapanor for the control of serum phosphorus in adult patients with CKD on dialysis and (ii) FDA approval of tenapanor for the treatment of patients with IBS-C, which was obtained on September 12, 2019 when the FDA approved IBSRELA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(tenapanor), a 50 milligram, twice daily oral pill for the treatment of IBS-C in adults (the “2018 Exit Fee Agreement”). Notwithstanding the February 2022 prepayment of the 2018 Loan our obligation to pay the 2018 Exit Fee will expire on May 16, 2028. We concluded that the 2018 Exit Fee is a freestanding derivative which should be accounted for at fair value on a recurring basis. The estimated fair value of the 2018 Exit Fee is recorded as a derivative liability and included in accrued expenses and other current liabilities on the accompanying condensed balance sheets. As of both September 30, 2022 and December 31, 2021, the estimated fair value of the 2018 Exit Fee was $0.7 million.</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of the derivative liability was determined using a discounted cash flow analysis and is classified as a Level 3 measurement within the fair value hierarchy since our valuation utilized significant unobservable inputs. Specifically, the key assumptions included in the calculation of the estimated fair value of the 2018 derivative liability include: (i) our estimates of both the probability and timing of a potential $1.5 million payment to the 2018 Lenders as a result of the FDA approvals and (ii) a discount rate which was derived from our estimated cost of debt, adjusted with current LIBOR (or a comparable successor rate if LIBOR no longer exists). Generally, increases or decreases in the probability of occurrence would result in a directionally similar impact in the fair value measurement of the derivative liability and it is estimated that a 10.0% increase (decrease), not to exceed 100%, in the probability of occurrence would result in a fair value fluctuation of no more than $0.1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Exit Fee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23, 2022, in connection with entering into the 2022 Loan Agreement, we entered into an agreement, whereby we agreed to pay an exit fee in the amount of 2% of the 2022 Loan funded (the “2022 Exit Fee”) upon (i) any change of control transaction or (ii) our achievement of net revenue from the sale of any products equal to or greater than $100.0 million, measured on a six (6) months basis (the "Revenue Milestone"), tested monthly at the end of each month. Notwithstanding the prepayment or termination of the 2022 Loan, the 2022 Exit Fee will expire on February 23, 2032. We concluded that the 2022 Exit Fee is a freestanding derivative which should be accounted for at fair value on a recurring basis. The estimated fair value of the 2022 Exit Fee is recorded as a derivative liability and included in accrued expenses and other current liabilities on the accompanying condensed balance sheets. As of September 30, 2022, the estimated fair value of the 2022 Exit Fee is $0.4 million.</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 of the derivative liability was determined using a discounted cash flow analysis and is classified as a Level 3 measurement within the fair value hierarchy since our valuation utilized significant unobservable inputs. Specifically, the key assumptions included in the calculation of the estimated fair value of the 2022 derivative liability include: (i) our estimates of both the probability and timing of achieving the Revenue Milestone and (ii) the probability and timing of funding the Term B Loan, which is dependent upon (a) approval by the FDA for our NDA for the control of serum phosphorus in chronic kidney disease patients on dialysis by December 31, 2022, and (b) achievement of certain product revenue milestone targets. Generally, increases or decreases in the probability of occurrence would result in a directionally similar impact in the fair value measurement of the derivative liability and it is estimated that a 10.0% increase (decrease) in the probability of occurrence would not result in a material fair value fluctuation.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Changes in the fair value of our exit fee derivative liabilities recurring measurements included in Level 3 of the fair value hierarchy are presented as other income, net in our statements of operations and were as follows for the three and nine months ended September 30, 2022 and 2021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2022 Exit Fee addition at fair value</w:t>
            </w: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estimated fair value:</w:t>
            </w: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7360" w:type="dxa"/>
            <w:vAlign w:val="bottom"/>
          </w:tcPr>
          <w:p>
            <w:pPr>
              <w:ind w:left="240"/>
              <w:spacing w:after="0"/>
              <w:rPr>
                <w:sz w:val="20"/>
                <w:szCs w:val="20"/>
                <w:color w:val="auto"/>
              </w:rPr>
            </w:pPr>
            <w:r>
              <w:rPr>
                <w:rFonts w:ascii="Arial" w:cs="Arial" w:eastAsia="Arial" w:hAnsi="Arial"/>
                <w:sz w:val="18"/>
                <w:szCs w:val="18"/>
                <w:color w:val="auto"/>
              </w:rPr>
              <w:t>2018 Exit Fee</w:t>
            </w: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29"/>
        </w:trPr>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2022 Exit Fee</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Balance at September 30,</w:t>
            </w:r>
          </w:p>
        </w:tc>
        <w:tc>
          <w:tcPr>
            <w:tcW w:w="12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r>
      <w:tr>
        <w:trPr>
          <w:trHeight w:val="21"/>
        </w:trPr>
        <w:tc>
          <w:tcPr>
            <w:tcW w:w="73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our leases are operating leases and each contain customary rent escalation clauses. Certain of the leases have both lease and non-lease components. We have elected to account for each separate lease component and the non-lease components associated with that lease component as a single lease component for all classes of underlying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details of our facility leases presented in our condensed balance sheets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Facilities</w:t>
            </w:r>
          </w:p>
        </w:tc>
        <w:tc>
          <w:tcPr>
            <w:tcW w:w="220" w:type="dxa"/>
            <w:vAlign w:val="bottom"/>
          </w:tcPr>
          <w:p>
            <w:pPr>
              <w:spacing w:after="0"/>
              <w:rPr>
                <w:sz w:val="20"/>
                <w:szCs w:val="20"/>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2022</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2021</w:t>
            </w:r>
          </w:p>
        </w:tc>
      </w:tr>
      <w:tr>
        <w:trPr>
          <w:trHeight w:val="223"/>
        </w:trPr>
        <w:tc>
          <w:tcPr>
            <w:tcW w:w="68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Right-of-use assets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10,182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12,752</w:t>
            </w:r>
          </w:p>
        </w:tc>
      </w:tr>
      <w:tr>
        <w:trPr>
          <w:trHeight w:val="256"/>
        </w:trPr>
        <w:tc>
          <w:tcPr>
            <w:tcW w:w="6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30"/>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lease liabilities</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3,492</w:t>
            </w:r>
          </w:p>
        </w:tc>
      </w:tr>
      <w:tr>
        <w:trPr>
          <w:trHeight w:val="229"/>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Operating lease liability, net of current portion</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9,748</w:t>
            </w:r>
          </w:p>
        </w:tc>
      </w:tr>
      <w:tr>
        <w:trPr>
          <w:trHeight w:val="248"/>
        </w:trPr>
        <w:tc>
          <w:tcPr>
            <w:tcW w:w="6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13,240</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life (years)</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6.9 %</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Lease costs, which are included in operating expenses in our statements of operations, were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5"/>
          </w:tcPr>
          <w:p>
            <w:pPr>
              <w:ind w:left="60"/>
              <w:spacing w:after="0"/>
              <w:rPr>
                <w:sz w:val="20"/>
                <w:szCs w:val="20"/>
                <w:color w:val="auto"/>
              </w:rPr>
            </w:pPr>
            <w:r>
              <w:rPr>
                <w:rFonts w:ascii="Arial" w:cs="Arial" w:eastAsia="Arial" w:hAnsi="Arial"/>
                <w:sz w:val="18"/>
                <w:szCs w:val="18"/>
                <w:b w:val="1"/>
                <w:bCs w:val="1"/>
                <w:color w:val="auto"/>
                <w:w w:val="99"/>
              </w:rPr>
              <w:t>Three Months Ended September 30,</w:t>
            </w:r>
          </w:p>
        </w:tc>
        <w:tc>
          <w:tcPr>
            <w:tcW w:w="140" w:type="dxa"/>
            <w:vAlign w:val="bottom"/>
          </w:tcPr>
          <w:p>
            <w:pPr>
              <w:spacing w:after="0"/>
              <w:rPr>
                <w:sz w:val="20"/>
                <w:szCs w:val="20"/>
                <w:color w:val="auto"/>
              </w:rPr>
            </w:pPr>
          </w:p>
        </w:tc>
        <w:tc>
          <w:tcPr>
            <w:tcW w:w="28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49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Cash paid for operating lease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1,072</w:t>
            </w:r>
          </w:p>
        </w:tc>
        <w:tc>
          <w:tcPr>
            <w:tcW w:w="1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3,194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2,383</w:t>
            </w:r>
          </w:p>
        </w:tc>
      </w:tr>
      <w:tr>
        <w:trPr>
          <w:trHeight w:val="863"/>
        </w:trPr>
        <w:tc>
          <w:tcPr>
            <w:tcW w:w="4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undiscounted cash payment obligations for our operating lease liabilities as of September 30, 2022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2023</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4,440</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2025</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1,321</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Total undiscounted operating lease payments</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11,700</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Imputed interest expenses</w:t>
            </w: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r>
      <w:tr>
        <w:trPr>
          <w:trHeight w:val="223"/>
        </w:trPr>
        <w:tc>
          <w:tcPr>
            <w:tcW w:w="9600" w:type="dxa"/>
            <w:vAlign w:val="bottom"/>
          </w:tcPr>
          <w:p>
            <w:pPr>
              <w:ind w:left="140"/>
              <w:spacing w:after="0"/>
              <w:rPr>
                <w:sz w:val="20"/>
                <w:szCs w:val="20"/>
                <w:color w:val="auto"/>
              </w:rPr>
            </w:pPr>
            <w:r>
              <w:rPr>
                <w:rFonts w:ascii="Arial" w:cs="Arial" w:eastAsia="Arial" w:hAnsi="Arial"/>
                <w:sz w:val="18"/>
                <w:szCs w:val="18"/>
                <w:color w:val="auto"/>
              </w:rPr>
              <w:t>Total operating lease liabilities</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10,669</w:t>
            </w:r>
          </w:p>
        </w:tc>
      </w:tr>
      <w:tr>
        <w:trPr>
          <w:trHeight w:val="229"/>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Current portion of operating lease liability</w:t>
            </w: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w:t>
            </w:r>
          </w:p>
        </w:tc>
      </w:tr>
      <w:tr>
        <w:trPr>
          <w:trHeight w:val="223"/>
        </w:trPr>
        <w:tc>
          <w:tcPr>
            <w:tcW w:w="9600" w:type="dxa"/>
            <w:vAlign w:val="bottom"/>
          </w:tcPr>
          <w:p>
            <w:pPr>
              <w:ind w:left="360"/>
              <w:spacing w:after="0"/>
              <w:rPr>
                <w:sz w:val="20"/>
                <w:szCs w:val="20"/>
                <w:color w:val="auto"/>
              </w:rPr>
            </w:pPr>
            <w:r>
              <w:rPr>
                <w:rFonts w:ascii="Arial" w:cs="Arial" w:eastAsia="Arial" w:hAnsi="Arial"/>
                <w:sz w:val="18"/>
                <w:szCs w:val="18"/>
                <w:color w:val="auto"/>
              </w:rPr>
              <w:t>Operating lease liability, net of current portion</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6,878</w:t>
            </w:r>
          </w:p>
        </w:tc>
      </w:tr>
      <w:tr>
        <w:trPr>
          <w:trHeight w:val="20"/>
        </w:trPr>
        <w:tc>
          <w:tcPr>
            <w:tcW w:w="9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the Market Offerings Agreement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July 2020, we filed a Form S-3 registration statement, which became effective in August 2020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$100.0 million of our common stock that may be issued and sold, from time to time, under a sales agreement with Jefferies LLC ("Jefferies"), deemed to be “at the market offerings” (the "2020 Open Market Sales Agreement"). As of December 31, 2021, we had sold 23.3 million shares and received the maximum gross proceeds of $100.0 million pursuant to the 2020 Open Market Sales Agreement.</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2021, we filed an additional prospectus supplement under the Registration Statement for the offering, issuance and sale by us of up to a maximum aggregate offering price of $150.0 million of our common stock that may be issued and sold, from time to time, under an additional sales agreement we entered into with Jefferies (the "2021 Open Market Sales Agreement"), pursuant to which we may, from time to time, sell up to $150.0 million in shares of our common stock through Jefferies. We are not required to sell shares under the 2021 Open Market Sales Agreement. Pursuant to the 2021 Open Market Sales Agreement, Jefferies, as our sales agent, receives a commission of up to 3% of the gross sales price for shares of common stock sold under the 2021 Open Market Sales Agreement. During the three months ended September 30, 2022 we sold 32.6 million shares and received gross proceeds of $35.1 million at a weighted average sales price of approximately $1.08 per share under the 2021 Open Market Sales Agreement. During the nine months ended September 30, 2022 we sold 53.1 million shares and received gross proceeds of $54.0 million at a weighted average sales price of approximately $1.02 per share under the 2021 Open Market Sales Agreement. As of September 30, 2022, we have sold a total of 68.8 million shares and received aggregate gross proceeds of $79.0 million under the 2021 Open Market Sales Agreement.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EQUITY INCENTIVE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Stock-based compensation expense recognized for stock options, restricted stock units ("RSUs"), performance-based restricted stock units ("PRSUs") and our employee stock purchase program (the "ESPP") are recorded as operating expenses in our condensed statements of operations and comprehensive loss,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80" w:type="dxa"/>
            <w:vAlign w:val="bottom"/>
            <w:gridSpan w:val="6"/>
          </w:tcPr>
          <w:p>
            <w:pPr>
              <w:ind w:left="200"/>
              <w:spacing w:after="0"/>
              <w:rPr>
                <w:sz w:val="20"/>
                <w:szCs w:val="20"/>
                <w:color w:val="auto"/>
              </w:rPr>
            </w:pPr>
            <w:r>
              <w:rPr>
                <w:rFonts w:ascii="Arial" w:cs="Arial" w:eastAsia="Arial" w:hAnsi="Arial"/>
                <w:sz w:val="18"/>
                <w:szCs w:val="18"/>
                <w:b w:val="1"/>
                <w:bCs w:val="1"/>
                <w:color w:val="auto"/>
                <w:w w:val="99"/>
              </w:rPr>
              <w:t>Three Months Ended September 30,</w:t>
            </w:r>
          </w:p>
        </w:tc>
        <w:tc>
          <w:tcPr>
            <w:tcW w:w="160" w:type="dxa"/>
            <w:vAlign w:val="bottom"/>
          </w:tcPr>
          <w:p>
            <w:pPr>
              <w:spacing w:after="0"/>
              <w:rPr>
                <w:sz w:val="20"/>
                <w:szCs w:val="20"/>
                <w:color w:val="auto"/>
              </w:rPr>
            </w:pPr>
          </w:p>
        </w:tc>
        <w:tc>
          <w:tcPr>
            <w:tcW w:w="29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48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w:t>
            </w: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2,909</w:t>
            </w: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8,568</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September 30, 2022, the balance of inventory included in our condensed balance sheet includes $0.2 million stock-based compensation. During the three and nine months ending September 30, 2022, the amount of stock-based compensation released from inventory into cost of revenue was not material.</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2022, our total unrecognized stock-based compensation expense, net of estimated forfeitures, and average remaining vesting period, included the following (dollars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Unrecognized</w:t>
            </w:r>
          </w:p>
        </w:tc>
        <w:tc>
          <w:tcPr>
            <w:tcW w:w="2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Average Remaining</w:t>
            </w:r>
          </w:p>
        </w:tc>
        <w:tc>
          <w:tcPr>
            <w:tcW w:w="0" w:type="dxa"/>
            <w:vAlign w:val="bottom"/>
          </w:tcPr>
          <w:p>
            <w:pPr>
              <w:spacing w:after="0"/>
              <w:rPr>
                <w:sz w:val="1"/>
                <w:szCs w:val="1"/>
                <w:color w:val="auto"/>
              </w:rPr>
            </w:pPr>
          </w:p>
        </w:tc>
      </w:tr>
      <w:tr>
        <w:trPr>
          <w:trHeight w:val="180"/>
        </w:trPr>
        <w:tc>
          <w:tcPr>
            <w:tcW w:w="7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center"/>
              <w:ind w:right="340"/>
              <w:spacing w:after="0" w:line="181" w:lineRule="exact"/>
              <w:rPr>
                <w:sz w:val="20"/>
                <w:szCs w:val="20"/>
                <w:color w:val="auto"/>
              </w:rPr>
            </w:pPr>
            <w:r>
              <w:rPr>
                <w:rFonts w:ascii="Arial" w:cs="Arial" w:eastAsia="Arial" w:hAnsi="Arial"/>
                <w:sz w:val="18"/>
                <w:szCs w:val="18"/>
                <w:b w:val="1"/>
                <w:bCs w:val="1"/>
                <w:color w:val="auto"/>
                <w:w w:val="89"/>
              </w:rPr>
              <w:t>Compensation</w:t>
            </w:r>
          </w:p>
        </w:tc>
        <w:tc>
          <w:tcPr>
            <w:tcW w:w="2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Expense</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9"/>
              </w:rPr>
              <w:t>Vesting Period (Years)</w:t>
            </w:r>
          </w:p>
        </w:tc>
        <w:tc>
          <w:tcPr>
            <w:tcW w:w="0" w:type="dxa"/>
            <w:vAlign w:val="bottom"/>
          </w:tcPr>
          <w:p>
            <w:pPr>
              <w:spacing w:after="0"/>
              <w:rPr>
                <w:sz w:val="1"/>
                <w:szCs w:val="1"/>
                <w:color w:val="auto"/>
              </w:rPr>
            </w:pPr>
          </w:p>
        </w:tc>
      </w:tr>
      <w:tr>
        <w:trPr>
          <w:trHeight w:val="223"/>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 grants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11,082</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2.6</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RSU grants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5"/>
              </w:rPr>
              <w:t>3.0</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0.4</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our stock option activity and related information for the nine months ended September 30, 2022 is as follows (in thousands, except dollar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2"/>
          </w:tcPr>
          <w:p>
            <w:pPr>
              <w:jc w:val="center"/>
              <w:ind w:right="940"/>
              <w:spacing w:after="0" w:line="184" w:lineRule="exact"/>
              <w:rPr>
                <w:sz w:val="20"/>
                <w:szCs w:val="20"/>
                <w:color w:val="auto"/>
              </w:rPr>
            </w:pPr>
            <w:r>
              <w:rPr>
                <w:rFonts w:ascii="Arial" w:cs="Arial" w:eastAsia="Arial" w:hAnsi="Arial"/>
                <w:sz w:val="18"/>
                <w:szCs w:val="18"/>
                <w:b w:val="1"/>
                <w:bCs w:val="1"/>
                <w:color w:val="auto"/>
                <w:w w:val="89"/>
              </w:rPr>
              <w:t>Exercise Price per</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960" w:type="dxa"/>
            <w:vAlign w:val="bottom"/>
            <w:gridSpan w:val="2"/>
          </w:tcPr>
          <w:p>
            <w:pPr>
              <w:ind w:left="220"/>
              <w:spacing w:after="0"/>
              <w:rPr>
                <w:sz w:val="20"/>
                <w:szCs w:val="20"/>
                <w:color w:val="auto"/>
              </w:rPr>
            </w:pPr>
            <w:r>
              <w:rPr>
                <w:rFonts w:ascii="Arial" w:cs="Arial" w:eastAsia="Arial" w:hAnsi="Arial"/>
                <w:sz w:val="18"/>
                <w:szCs w:val="18"/>
                <w:b w:val="1"/>
                <w:bCs w:val="1"/>
                <w:color w:val="auto"/>
              </w:rPr>
              <w:t>Number of Shares</w:t>
            </w:r>
          </w:p>
        </w:tc>
        <w:tc>
          <w:tcPr>
            <w:tcW w:w="280" w:type="dxa"/>
            <w:vAlign w:val="bottom"/>
          </w:tcPr>
          <w:p>
            <w:pPr>
              <w:spacing w:after="0"/>
              <w:rPr>
                <w:sz w:val="20"/>
                <w:szCs w:val="20"/>
                <w:color w:val="auto"/>
              </w:rPr>
            </w:pPr>
          </w:p>
        </w:tc>
        <w:tc>
          <w:tcPr>
            <w:tcW w:w="274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2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Arial" w:cs="Arial" w:eastAsia="Arial" w:hAnsi="Arial"/>
                <w:sz w:val="18"/>
                <w:szCs w:val="18"/>
                <w:color w:val="auto"/>
              </w:rPr>
              <w:t>Options granted</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4,877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0.88</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exercised</w:t>
            </w:r>
          </w:p>
        </w:tc>
        <w:tc>
          <w:tcPr>
            <w:tcW w:w="22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140"/>
              <w:spacing w:after="0"/>
              <w:rPr>
                <w:sz w:val="20"/>
                <w:szCs w:val="20"/>
                <w:color w:val="auto"/>
              </w:rPr>
            </w:pPr>
            <w:r>
              <w:rPr>
                <w:rFonts w:ascii="Arial" w:cs="Arial" w:eastAsia="Arial" w:hAnsi="Arial"/>
                <w:sz w:val="18"/>
                <w:szCs w:val="18"/>
                <w:color w:val="auto"/>
              </w:rPr>
              <w:t>Options forfeited or canceled</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6.39</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222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40" w:type="dxa"/>
            <w:vAlign w:val="bottom"/>
          </w:tcPr>
          <w:p>
            <w:pPr>
              <w:ind w:left="20"/>
              <w:spacing w:after="0" w:line="203" w:lineRule="exact"/>
              <w:rPr>
                <w:sz w:val="20"/>
                <w:szCs w:val="20"/>
                <w:color w:val="auto"/>
              </w:rPr>
            </w:pPr>
            <w:r>
              <w:rPr>
                <w:rFonts w:ascii="Arial" w:cs="Arial" w:eastAsia="Arial" w:hAnsi="Arial"/>
                <w:sz w:val="18"/>
                <w:szCs w:val="18"/>
                <w:color w:val="auto"/>
              </w:rPr>
              <w:t>Exercisable at September 30, 2022</w:t>
            </w:r>
          </w:p>
        </w:tc>
        <w:tc>
          <w:tcPr>
            <w:tcW w:w="2220" w:type="dxa"/>
            <w:vAlign w:val="bottom"/>
          </w:tcPr>
          <w:p>
            <w:pPr>
              <w:spacing w:after="0"/>
              <w:rPr>
                <w:sz w:val="17"/>
                <w:szCs w:val="17"/>
                <w:color w:val="auto"/>
              </w:rPr>
            </w:pPr>
          </w:p>
        </w:tc>
        <w:tc>
          <w:tcPr>
            <w:tcW w:w="1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7,801</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6.55</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220" w:type="dxa"/>
            <w:vAlign w:val="bottom"/>
            <w:vMerge w:val="restart"/>
          </w:tcPr>
          <w:p>
            <w:pPr>
              <w:jc w:val="right"/>
              <w:ind w:right="450"/>
              <w:spacing w:after="0"/>
              <w:rPr>
                <w:sz w:val="20"/>
                <w:szCs w:val="20"/>
                <w:color w:val="auto"/>
              </w:rPr>
            </w:pPr>
            <w:r>
              <w:rPr>
                <w:rFonts w:ascii="Arial" w:cs="Arial" w:eastAsia="Arial" w:hAnsi="Arial"/>
                <w:sz w:val="18"/>
                <w:szCs w:val="18"/>
                <w:color w:val="auto"/>
              </w:rPr>
              <w:t>23</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04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our RSUs activity and related information for the nine months ended September 30, 2022 is as follows (in thousands, except dollar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1620" w:type="dxa"/>
            <w:vAlign w:val="bottom"/>
            <w:vMerge w:val="restart"/>
          </w:tcPr>
          <w:p>
            <w:pPr>
              <w:jc w:val="center"/>
              <w:ind w:left="530"/>
              <w:spacing w:after="0"/>
              <w:rPr>
                <w:sz w:val="20"/>
                <w:szCs w:val="20"/>
                <w:color w:val="auto"/>
              </w:rPr>
            </w:pPr>
            <w:r>
              <w:rPr>
                <w:rFonts w:ascii="Arial" w:cs="Arial" w:eastAsia="Arial" w:hAnsi="Arial"/>
                <w:sz w:val="18"/>
                <w:szCs w:val="18"/>
                <w:b w:val="1"/>
                <w:bCs w:val="1"/>
                <w:color w:val="auto"/>
                <w:w w:val="93"/>
              </w:rPr>
              <w:t>Number of</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Weighted-Average</w:t>
            </w:r>
          </w:p>
        </w:tc>
        <w:tc>
          <w:tcPr>
            <w:tcW w:w="0" w:type="dxa"/>
            <w:vAlign w:val="bottom"/>
          </w:tcPr>
          <w:p>
            <w:pPr>
              <w:spacing w:after="0"/>
              <w:rPr>
                <w:sz w:val="1"/>
                <w:szCs w:val="1"/>
                <w:color w:val="auto"/>
              </w:rPr>
            </w:pPr>
          </w:p>
        </w:tc>
      </w:tr>
      <w:tr>
        <w:trPr>
          <w:trHeight w:val="176"/>
        </w:trPr>
        <w:tc>
          <w:tcPr>
            <w:tcW w:w="686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tcPr>
          <w:p>
            <w:pPr>
              <w:jc w:val="right"/>
              <w:ind w:right="290"/>
              <w:spacing w:after="0" w:line="176" w:lineRule="exact"/>
              <w:rPr>
                <w:sz w:val="20"/>
                <w:szCs w:val="20"/>
                <w:color w:val="auto"/>
              </w:rPr>
            </w:pPr>
            <w:r>
              <w:rPr>
                <w:rFonts w:ascii="Arial" w:cs="Arial" w:eastAsia="Arial" w:hAnsi="Arial"/>
                <w:sz w:val="18"/>
                <w:szCs w:val="18"/>
                <w:b w:val="1"/>
                <w:bCs w:val="1"/>
                <w:color w:val="auto"/>
              </w:rPr>
              <w:t>Grant Date Fair</w:t>
            </w:r>
          </w:p>
        </w:tc>
        <w:tc>
          <w:tcPr>
            <w:tcW w:w="0" w:type="dxa"/>
            <w:vAlign w:val="bottom"/>
          </w:tcPr>
          <w:p>
            <w:pPr>
              <w:spacing w:after="0"/>
              <w:rPr>
                <w:sz w:val="1"/>
                <w:szCs w:val="1"/>
                <w:color w:val="auto"/>
              </w:rPr>
            </w:pPr>
          </w:p>
        </w:tc>
      </w:tr>
      <w:tr>
        <w:trPr>
          <w:trHeight w:val="243"/>
        </w:trPr>
        <w:tc>
          <w:tcPr>
            <w:tcW w:w="686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91"/>
              </w:rPr>
              <w:t>RSUs</w:t>
            </w: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Value Per Share</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December 31, 2021</w:t>
            </w: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620" w:type="dxa"/>
            <w:vAlign w:val="bottom"/>
          </w:tcPr>
          <w:p>
            <w:pPr>
              <w:jc w:val="right"/>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September 30, 2022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nine months ended September 30, 2022, we sold approximately 0.3 million shares of our common stock under the ESPP. The shares were purchased by employees at an average purchase price of $0.63 per share resulting in proceeds to us of approximately $0.2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for Services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Our Amended and Restated Non-Employee Director Compensation Program, members of our board of directors may elect to receive shares of our stock in lieu of their cash fees. During the nine months ended September 30, 2022, we issued 0.7 million shares of our common stock to members of the board of directors in accordance with the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RESTRUCTURING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2021, we implemented restructuring plans in August 2021 and October 2021 following the receipt of a Complete Response Letter (“CRL”) from the U.S. FDA relating to our new drug application (“NDA”) for XPHOZAH® (tenapanor) and following the conclusion of an End of Review Type A meeting with the FDA, respectively. Both restructuring plans were substantially completed in December 2021 and most of the cash payments related to the reduction in workforce were disbursed prior to December 31, 2021.</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Impacted employees were eligible to receive severance benefits and additional Company funded COBRA premiums, contingent upon an impacted employee’s execution (and non-revocation) of a separation agreement, which included a general release of claims against us. In connection with restructuring, we incurred restructuring charges of $3.6 million during the three and nine months ended September 30, 2021 related to one-time termination notice and severance payments and other employee-related costs. We incurred no restructuring charges during the three and nine months ended September 30, 2022. We did not incur any significant contract termination costs pursuant to restructuring. Of the charges recognized as of September 30, 2021, $1.2 million was recorded in research and development expenses and $2.4 million was recorded in general and administrative expense in the accompanying statements of operations and comprehensive loss.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NET LOSS PER SHARE</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net loss per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we had net losses for the nine months ended September 30, 2022 and 2021, all potential common shares were determined to be anti-dilutive.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net loss per common share (in thousands, except per share amounts):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Three Months Ended September 30,</w:t>
            </w:r>
          </w:p>
        </w:tc>
        <w:tc>
          <w:tcPr>
            <w:tcW w:w="14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Numerator:</w:t>
            </w: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23"/>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(121,931)</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Weighted average common shares outstanding - basic and diluted</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100,480</w:t>
            </w:r>
          </w:p>
        </w:tc>
      </w:tr>
      <w:tr>
        <w:trPr>
          <w:trHeight w:val="223"/>
        </w:trPr>
        <w:tc>
          <w:tcPr>
            <w:tcW w:w="5000" w:type="dxa"/>
            <w:vAlign w:val="bottom"/>
          </w:tcPr>
          <w:p>
            <w:pPr>
              <w:ind w:left="140"/>
              <w:spacing w:after="0"/>
              <w:rPr>
                <w:sz w:val="20"/>
                <w:szCs w:val="20"/>
                <w:color w:val="auto"/>
              </w:rPr>
            </w:pPr>
            <w:r>
              <w:rPr>
                <w:rFonts w:ascii="Arial" w:cs="Arial" w:eastAsia="Arial" w:hAnsi="Arial"/>
                <w:sz w:val="18"/>
                <w:szCs w:val="18"/>
                <w:color w:val="auto"/>
              </w:rPr>
              <w:t>Net loss per share - 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1"/>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periods presented, all common stock equivalents are excluded from the computation of diluted loss per share, as the result would be anti-dilutive, including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2960" w:type="dxa"/>
            <w:vAlign w:val="bottom"/>
            <w:gridSpan w:val="4"/>
          </w:tcPr>
          <w:p>
            <w:pPr>
              <w:ind w:left="40"/>
              <w:spacing w:after="0"/>
              <w:rPr>
                <w:sz w:val="20"/>
                <w:szCs w:val="20"/>
                <w:color w:val="auto"/>
              </w:rPr>
            </w:pPr>
            <w:r>
              <w:rPr>
                <w:rFonts w:ascii="Arial" w:cs="Arial" w:eastAsia="Arial" w:hAnsi="Arial"/>
                <w:sz w:val="18"/>
                <w:szCs w:val="18"/>
                <w:b w:val="1"/>
                <w:bCs w:val="1"/>
                <w:color w:val="auto"/>
                <w:w w:val="94"/>
              </w:rPr>
              <w:t>Three Months Ended September 30,</w:t>
            </w:r>
          </w:p>
        </w:tc>
        <w:tc>
          <w:tcPr>
            <w:tcW w:w="29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23"/>
        </w:trPr>
        <w:tc>
          <w:tcPr>
            <w:tcW w:w="490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13,882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11,962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13,410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12,127</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3,145</w:t>
            </w:r>
          </w:p>
        </w:tc>
        <w:tc>
          <w:tcPr>
            <w:tcW w:w="10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999</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 shares issuable</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241</w:t>
            </w: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15,604</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13,218</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16,724</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13,367</w:t>
            </w:r>
          </w:p>
        </w:tc>
      </w:tr>
      <w:tr>
        <w:trPr>
          <w:trHeight w:val="21"/>
        </w:trPr>
        <w:tc>
          <w:tcPr>
            <w:tcW w:w="4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CONTINGENCIES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July 30 and August 12, 2021, two putative securities class action lawsuits were commenced in the U.S. District Court for the Northern District of California naming as defendants Ardelyx and two current officers captioned </w:t>
      </w:r>
      <w:r>
        <w:rPr>
          <w:rFonts w:ascii="Arial" w:cs="Arial" w:eastAsia="Arial" w:hAnsi="Arial"/>
          <w:sz w:val="17"/>
          <w:szCs w:val="17"/>
          <w:i w:val="1"/>
          <w:iCs w:val="1"/>
          <w:color w:val="auto"/>
        </w:rPr>
        <w:t>Strezsak v. Ardelyx, Inc., et al.</w:t>
      </w:r>
      <w:r>
        <w:rPr>
          <w:rFonts w:ascii="Arial" w:cs="Arial" w:eastAsia="Arial" w:hAnsi="Arial"/>
          <w:sz w:val="17"/>
          <w:szCs w:val="17"/>
          <w:color w:val="auto"/>
        </w:rPr>
        <w:t xml:space="preserve">, Case No. 4:21-cv-05868-HSG, and </w:t>
      </w:r>
      <w:r>
        <w:rPr>
          <w:rFonts w:ascii="Arial" w:cs="Arial" w:eastAsia="Arial" w:hAnsi="Arial"/>
          <w:sz w:val="17"/>
          <w:szCs w:val="17"/>
          <w:i w:val="1"/>
          <w:iCs w:val="1"/>
          <w:color w:val="auto"/>
        </w:rPr>
        <w:t>Siegel v.</w:t>
      </w:r>
      <w:r>
        <w:rPr>
          <w:rFonts w:ascii="Arial" w:cs="Arial" w:eastAsia="Arial" w:hAnsi="Arial"/>
          <w:sz w:val="17"/>
          <w:szCs w:val="17"/>
          <w:color w:val="auto"/>
        </w:rPr>
        <w:t xml:space="preserve"> </w:t>
      </w:r>
      <w:r>
        <w:rPr>
          <w:rFonts w:ascii="Arial" w:cs="Arial" w:eastAsia="Arial" w:hAnsi="Arial"/>
          <w:sz w:val="17"/>
          <w:szCs w:val="17"/>
          <w:i w:val="1"/>
          <w:iCs w:val="1"/>
          <w:color w:val="auto"/>
        </w:rPr>
        <w:t>Ardelyx, Inc., et al.</w:t>
      </w:r>
      <w:r>
        <w:rPr>
          <w:rFonts w:ascii="Arial" w:cs="Arial" w:eastAsia="Arial" w:hAnsi="Arial"/>
          <w:sz w:val="17"/>
          <w:szCs w:val="17"/>
          <w:color w:val="auto"/>
        </w:rPr>
        <w:t>, Case No. 5:21-cv-06228-HSG (together, the “Securities Class Actions”). The complaints allege that the defendants violated Sections</w:t>
      </w:r>
      <w:r>
        <w:rPr>
          <w:rFonts w:ascii="Arial" w:cs="Arial" w:eastAsia="Arial" w:hAnsi="Arial"/>
          <w:sz w:val="17"/>
          <w:szCs w:val="17"/>
          <w:i w:val="1"/>
          <w:iCs w:val="1"/>
          <w:color w:val="auto"/>
        </w:rPr>
        <w:t xml:space="preserve"> </w:t>
      </w:r>
      <w:r>
        <w:rPr>
          <w:rFonts w:ascii="Arial" w:cs="Arial" w:eastAsia="Arial" w:hAnsi="Arial"/>
          <w:sz w:val="17"/>
          <w:szCs w:val="17"/>
          <w:color w:val="auto"/>
        </w:rPr>
        <w:t>10(b) and 20(a) of the Securities Exchange Act of 1934, as amended, and Rule 10b-5 thereunder, by making false and misleading statements and omissions of material fact related to tenapanor. The plaintiffs seek to represent all persons who purchased or otherwise acquired Ardelyx securities between August 6, 2020, and July 19, 2021. The plaintiffs seek damages and interest, and an award of costs, including attorneys’ fees. On July 19, 2022, the court consolidated the two putative class actions and appointed a lead plaintiff and lead counsel. The lead plaintiff filed an amended complaint on September 29, 2022. Defendant’s motion to dismiss the amended complaint is due December 2, 2022. A hearing on the anticipated motion to dismiss has not yet been scheduled. We believe the plaintiff’s claims are without merit and we have not recorded any accrual for a contingent liability associated with these legal proceedings.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December 7, 2021 and March 29, 2022, two verified shareholders derivative lawsuits were filed purportedly on behalf of Ardelyx against certain of Ardelyx’s executive officers and members of our board of directors, captioned </w:t>
      </w:r>
      <w:r>
        <w:rPr>
          <w:rFonts w:ascii="Arial" w:cs="Arial" w:eastAsia="Arial" w:hAnsi="Arial"/>
          <w:sz w:val="17"/>
          <w:szCs w:val="17"/>
          <w:i w:val="1"/>
          <w:iCs w:val="1"/>
          <w:color w:val="auto"/>
        </w:rPr>
        <w:t>Go v. Raab, et al.</w:t>
      </w:r>
      <w:r>
        <w:rPr>
          <w:rFonts w:ascii="Arial" w:cs="Arial" w:eastAsia="Arial" w:hAnsi="Arial"/>
          <w:sz w:val="17"/>
          <w:szCs w:val="17"/>
          <w:color w:val="auto"/>
        </w:rPr>
        <w:t xml:space="preserve">, Case No. 4:21-cv-09455-HSG, and </w:t>
      </w:r>
      <w:r>
        <w:rPr>
          <w:rFonts w:ascii="Arial" w:cs="Arial" w:eastAsia="Arial" w:hAnsi="Arial"/>
          <w:sz w:val="17"/>
          <w:szCs w:val="17"/>
          <w:i w:val="1"/>
          <w:iCs w:val="1"/>
          <w:color w:val="auto"/>
        </w:rPr>
        <w:t>Morris v. Raab, et al.</w:t>
      </w:r>
      <w:r>
        <w:rPr>
          <w:rFonts w:ascii="Arial" w:cs="Arial" w:eastAsia="Arial" w:hAnsi="Arial"/>
          <w:sz w:val="17"/>
          <w:szCs w:val="17"/>
          <w:color w:val="auto"/>
        </w:rPr>
        <w:t xml:space="preserve">, Case No. 4:22-cv-01988-JSC. The complaints allege violations of Section 14(a) of the Exchange Act, breaches of fiduciary duties, unjust enrichment, abuse of control, gross mismanagement, and waste, and seek contribution under Sections 10(b) and 21D of the Securities Exchange Act of 1934 from two executive officers. On January 19, and April 27, 2022, the court granted the parties’ stipulation to stay the </w:t>
      </w:r>
      <w:r>
        <w:rPr>
          <w:rFonts w:ascii="Arial" w:cs="Arial" w:eastAsia="Arial" w:hAnsi="Arial"/>
          <w:sz w:val="17"/>
          <w:szCs w:val="17"/>
          <w:i w:val="1"/>
          <w:iCs w:val="1"/>
          <w:color w:val="auto"/>
        </w:rPr>
        <w:t>Go</w:t>
      </w:r>
      <w:r>
        <w:rPr>
          <w:rFonts w:ascii="Arial" w:cs="Arial" w:eastAsia="Arial" w:hAnsi="Arial"/>
          <w:sz w:val="17"/>
          <w:szCs w:val="17"/>
          <w:color w:val="auto"/>
        </w:rPr>
        <w:t xml:space="preserve"> and </w:t>
      </w:r>
      <w:r>
        <w:rPr>
          <w:rFonts w:ascii="Arial" w:cs="Arial" w:eastAsia="Arial" w:hAnsi="Arial"/>
          <w:sz w:val="17"/>
          <w:szCs w:val="17"/>
          <w:i w:val="1"/>
          <w:iCs w:val="1"/>
          <w:color w:val="auto"/>
        </w:rPr>
        <w:t>Morris</w:t>
      </w:r>
      <w:r>
        <w:rPr>
          <w:rFonts w:ascii="Arial" w:cs="Arial" w:eastAsia="Arial" w:hAnsi="Arial"/>
          <w:sz w:val="17"/>
          <w:szCs w:val="17"/>
          <w:color w:val="auto"/>
        </w:rPr>
        <w:t xml:space="preserve"> actions, respectively, until resolution of the anticipated motion(s) to dismiss in the Securities Class Actions. On October 25, 2022, the parties filed a stipulation to consolidate and stay the Go and Morris actions, and on October 27, 2022, the court consolidated the Go and Morris action and stayed the consolidated action pending resolution of the anticipated motion(s) to dismiss in the Securities Class Action.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As of September 30, 2022, there is no litigation pending that would reasonably be expected to have a material adverse effect on our results of operations and financial condition, and no contingent liabilities were accrued as of September 30, 2022.</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31, 2022, we announced that our collaboration partner, KKC, submitted a New Drug Application to the Japanese Ministry of Health, Labour and Welfare for tenapanor for the improvement of hyperphosphatemia in adult patients with CKD on dialysis. This submission triggers KKC's obligation to make an aggregate of $35.0 million to us in milestone payments and payments under the 2022 Amendment. In accordance with the terms of the 2022 Amendment, we expect to receive these payments during the fourth quarter of 2022.</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condensed financial statements and notes thereto included elsewhere in this report and with the audited financial statements and related notes thereto included as part of our Annual Report on Form 10-K for the year ended December 31, 2021.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biopharmaceutical company founded with a mission to discover, develop and commercialize innovative first-in-class medicines that meet significant unmet medical needs.</w:t>
      </w:r>
    </w:p>
    <w:p>
      <w:pPr>
        <w:spacing w:after="0" w:line="19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Since commencing operations in October 2007, substantially all our efforts have been dedicated to our research and development (“R&amp;D”) activities, including developing tenapanor and developing our proprietary drug discovery and design platform. We realized our first product sales of IBSRELA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(tenapanor) in March 2022. As of September 30, 2022, we had an accumulated deficit of $790.8 million.</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expect to continue to incur substantial operating losses for the foreseeable future as we commercialize IBSRELA, seek to gain approval for XPHOZAH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(tenapanor) for the control of serum phosphorus in adult patients with CKD on dialysis; prepare for the potential commercialization of XPHOZAH, if approved; and incur manufacturing and development cost for, tenapanor. To date, we have funded our operations from the sale and issuance of common stock and convertible preferred stock, funds from our collaboration partnerships, which includes license fees, milestones and product supply revenue, as well as funds from our loan agreements with our lenders.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 Product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IBSRELA for IBS-C</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unique discovery platform and deep understanding of the primary mechanism of sodium transport in the intestine resulted in our discovery and development of IBSRELA, a first-in-class, U.S. Food and Drug Administration (“FDA”) approved, sodium hydrogen exchanger 3 ("NHE3") inhibitor for the treatment of irritable bowel syndrome with constipation (“IBS-C”) in adults. IBSRELA acts locally in the gut and is minimally absorbed. IBS-C is a gastrointestinal disorder characterized by both abdominal pain and altered bowel movements, estimated to affect 11 million people in the U.S. IBS-C is associated with significantly impaired quality of life, reduced productivity, and substantial economic burden.</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our commercial launch of IBSRELA, we built a commercial organization highly experienced in launching novel therapies into specialty areas. We recognized our first sales of IBSRELA in the U.S. in March 2022. The established nature of the market, limited number of players, concentration of prescribers, recognized unmet need, and favorable response to the novel mechanism IBSRELA product profile enable a targeted promotional effort centered on the 9,000 health care providers that account for 50% of IBS-C prescriptions. Central to the go to market strategy for IBSRELA is a highly experienced specialty sales force, many with existing relationships across their GI target base, full company engagement, and innovative peer-to-peer and digital initiatives leveraging the rapidly evolving market dynamics in how HCPs receive information and interact with industry.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Candidate XPHOZAH for The Control of Serum Phosphorus in Adult Patients with CKD on Dialysis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XPHOZAH is a first-in-class medicine being developed for the control of serum phosphorus in adult patients with CKD on dialysis. XPHOZAH has a unique mechanism of action and acts locally in the gut to inhibit NHE3. This results in the tightening of the epithelial cell junctions, thereby significantly reducing paracellular uptake of phosphate, the primary pathway of phosphate absorption. If approved, XPHOZAH would be the first therapy for phosphate management that blocks phosphorus absorption at the primary site of uptake. XPHOZAH is not a phosphate binder.</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2020, we submitted a new drug application ("NDA") to the FDA for XPHOZAH for the control of serum phosphorus in adult patients with CKD on dialysis. The NDA was supported by three Phase 3 trials involving over 1,000 adult patients that evaluated the use of tenapanor for the control of serum phosphorus in adult patients with CKD on dialysis, with two trials evaluating tenapanor as monotherapy and one trial evaluating tenapanor as part of a dual mechanism approach with phosphate binders. All three Phase 3 trials met their primary and key secondary endpoints.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July 28, 2021, we received a Complete Response Letter ("CRL") from the FDA regarding our NDA for tenapanor for the control of serum phosphorus in adult patients with CKD on dialysis. According to the CRL, while the FDA agrees “that the submitted data provide substantial evidence that tenapanor is effective in reducing serum phosphorus in adult patients with CKD on dialysis,” the FDA characterizes the magnitude of the treatment effect as “small and of unclear clinical significance.” In December 2021, we submitted a Formal Dispute Resolution Request (“FDRR”). The FDRR was focused on demonstrating that the data submitted in the NDA supported the clinical significance of the treatment effect of tenapanor.</w:t>
      </w:r>
    </w:p>
    <w:p>
      <w:pPr>
        <w:spacing w:after="0" w:line="20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February 4, 2022, we received an Appeal Denied Letter (“ADL”) from the FDA’s Office of Cardiology, Hematology, Endocrinology and Nephrology (“OCHEN”). On February 18, 2022, we submitted an appeal of the ADL to the FDA’s Center for Drug Evaluation and Research, Office of New Drugs (“OND”).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25, 2022, we announced that OND had provided an interim response to our second level of appeal of the CRL. The OND noted that additional input from the Cardiovascular and Renal Drug Advisory Committee (“Advisory Committee”) in general, and specifically, from experts, including expert clinicians, would be valuable in further considering the clinical meaningfulness of the phosphate lowering effect observed in our phase 3 clinical program for XPHOZAH. Accordingly, the OND directed the Division of Cardiology and Nephrology to convene the Advisory Committee, and indicated that a response to our appeal could be expected within thirty calendar days after the conclusion of the Advisory Committee meeting. The Advisory Committee is scheduled for November 16, 2022. There can be no assurances that the response from the Advisory Committee will be positive, or if the outcome of the Advisory Committee is positive, that approval of our NDA will ultimately be granted by the FDA.</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RDX013 Program: Small Molecule for Treating Hyperkalemia</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small molecule potassium secretagogue program, RDX013, is focused on the development of a potential treatment for hyperkalemia. Hyperkalemia is a common problem in patients with heart and kidney disease, particularly in patients taking customary blood pressure medications known as renin-angiotensin-aldosterone system (“RAAS”) inhibitors. RDX013 is a novel mechanism agent designed to target the underlying biological mechanisms of potassium secretion to lower elevated potassium.</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25, 2022, we reported that we have completed our data analyses of the Phase 2 dose ranging clinical trial for RDX013 evaluating the safety and efficacy of our potassium secretagogue for the treatment of hyperkalemia, or elevated potassium, in chronic kidney disease patients who are not on dialysis. While the results of the study demonstrated an acceptable safety and tolerability profile for RDX013 and supported proof of concept in its ability to lower serum potassium levels, with statistically significant reductions compared to placebo after eight days of treatment, the study did not meet its primary endpoint of significantly reducing serum potassium levels compared to placebo after four weeks of treatment. We currently expect that the next steps for the program will be to evaluate a new formulation that potentially enhances subject compliance and the efficacy of RDX013 in an additional Phase 2 clinical study at such time as we have determined our available resources support conducting such an additional clinical study after prioritization of the commercialization of IBSRELA and preparations for the Advisory Committee meeting for XPHOZAH.</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RDX020 Program: Small molecule for Treating Metabolic Acidosis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an ongoing discovery program targeting the inhibition of bicarbonate exchange for the treatment of metabolic acidosis, a highly prevalent comorbidity in CKD patients that is strongly correlated with disease progression and adverse outcomes. We have identified lead compounds that are potent, selective and proprietary inhibitors of bicarbonate secretion. Our research organization was eliminated as part of our October 2021 restructuring, and therefore, we currently expect to continue to advance this discovery program utilizing third-party resources managed by internal non-clinical expertise.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exclusive rights to tenapanor in the U.S. and we have established agreements with Kyowa Kirin Co., Ltd. (“KKC”) in Japan, Shanghai Fosun Pharmaceutical Industrial Development Co. Ltd. (“Fosun Pharma”) in China and Knight Therapeutics, Inc. (“Knight“) in Canada for the development and commercialization of tenapanor for certain indications in their respective territories.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Knight has exclusive rights for the development, commercialization and distribution of tenapanor in Canada for hyperphosphatemia and IBS-C. In March 2021, Knight announced the commercial availability of IBSRELA in Canada, following its approval by Health Canada in April 2020. Under the terms of the Knight Agreement, Knight paid us a $2.3 million upfront payment. We may also be eligible to receive approximately CAD22.2 million for development and commercialization milestones, or approximately $16.1 million at the currency exchange rate on September 30, 2022, of which $0.7 million has been received and recognized as revenue as of September 30, 2022. We are also eligible to receive royalties throughout the term of the agreement, and a transfer price for manufacturing services. The variable consideration related to the remaining development milestone payments has not been included in the transaction price as they were fully constrained at September 30, 2022.</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KKC has exclusive rights for the development, commercialization and distribution of tenapanor in Japan for cardiorenal indications. Under the terms of the agreement with KKC, we received a $30.0 million upfront payment from KKC, and we may be entitled to receive up to $55.0 million in total development and regulatory milestones, of which $10.0 million has been received and recognized as revenue as of September 30, 2022. We may also be eligible to receive approximately ¥8.5 billion for commercialization milestones, or approximately $58.7 million at the currency exchange rate on September 30, 2022, as well as reimbursement of costs plus a reasonable overhead for the supply of product and royalties on net sales throughout the term of the agreement. As discussed in </w:t>
      </w:r>
      <w:r>
        <w:rPr>
          <w:rFonts w:ascii="Arial" w:cs="Arial" w:eastAsia="Arial" w:hAnsi="Arial"/>
          <w:sz w:val="16"/>
          <w:szCs w:val="16"/>
          <w:i w:val="1"/>
          <w:iCs w:val="1"/>
          <w:color w:val="auto"/>
        </w:rPr>
        <w:t>Note 7. Deferred Royalty Obligation</w:t>
      </w:r>
      <w:r>
        <w:rPr>
          <w:rFonts w:ascii="Arial" w:cs="Arial" w:eastAsia="Arial" w:hAnsi="Arial"/>
          <w:sz w:val="16"/>
          <w:szCs w:val="16"/>
          <w:color w:val="auto"/>
        </w:rPr>
        <w:t>, the future royalties and commercial milestone payments we may receive under the 2017 KKC Agreement will be remitted to HealthCare Royalty Partners IV, L.P. pursuant to a Royalty and Sales Milestone Interest Acquisition Agreement.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April 11, 2022, we entered into a second amendment to the 2017 KKC Agreement (the "2022 Amendment"). Under the terms of the 2022 Amendment, we and KKC agreed to a reduction in the royalty rate payable to us by KKC upon net sales of tenapanor in Japan. The royalty rate will be reduced from the high teens to low double digits for a two-year period of time following the first commercial sale in Japan, and then to mid-single digits for the remainder of the royalty term. As discussed in </w:t>
      </w:r>
      <w:r>
        <w:rPr>
          <w:rFonts w:ascii="Arial" w:cs="Arial" w:eastAsia="Arial" w:hAnsi="Arial"/>
          <w:sz w:val="17"/>
          <w:szCs w:val="17"/>
          <w:i w:val="1"/>
          <w:iCs w:val="1"/>
          <w:color w:val="auto"/>
        </w:rPr>
        <w:t>Note 7. Deferred Royalty Obligation</w:t>
      </w:r>
      <w:r>
        <w:rPr>
          <w:rFonts w:ascii="Arial" w:cs="Arial" w:eastAsia="Arial" w:hAnsi="Arial"/>
          <w:sz w:val="17"/>
          <w:szCs w:val="17"/>
          <w:color w:val="auto"/>
        </w:rPr>
        <w:t>, the future royalties we may receive under the 2017 KKC Agreement will be remitted to HealthCare Royalty Partners IV, L.P. pursuant to a Royalty and Sales Milestone Interest Acquisition Agreement. As consideration for the reduction in the royalty rate, KKC has agreed to pay us up to an additional $40.0 million payable in two tranches, with the first payment due following KKC's filing with the Japanese Ministry of Health, Labour and Welfare of its application for marketing approval for tenapanor and the second payment due following KKC’s receipt of regulatory approval to market tenapanor for hyperphosphatemia in Japan.</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Fosun Pharma has exclusive rights for the development and commercialization of tenapanor in China for both hyperphosphatemia and IBS-C. Under the terms of the Fosun Agreement, Fosun paid us a $12.0 million upfront license fee. We may be entitled to receive development and commercialization milestones of up to $113.0 million, of which $3.0 million has been received and recognized as revenue as of September 30, 2022, as well as reimbursement of cost plus a reasonable overhead for the supply of product and tiered royalties on net sales ranging from the mid-teens to 20%.</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global COVID-19 pandemic has impacted the operational decisions of companies worldwide. It also has created and may continue to create significant uncertainty in the global economy. We have undertaken measures to protect our employees, partners, collaborators, and vendors, some of which impact our normal operations. To date, we have been able to continue our operations with our workforce, most of whom are working remotely, and our pre-existing infrastructure that supports secure access to our internal systems. If, however, the COVID-19 pandemic has a substantial impact on the productivity of our employees, the results of our operations and overall financial performance may be adversely impacted. The extent of the impact from the COVID-19 pandemic on our business will depend largely on future developments that are highly uncertain and cannot be predicted. For a discussion of risks of COVID-19 relating to our business, see “Part II: Other Information-Item 1A.- Risk Factors- Risks Related to Our Business- </w:t>
      </w:r>
      <w:r>
        <w:rPr>
          <w:rFonts w:ascii="Arial" w:cs="Arial" w:eastAsia="Arial" w:hAnsi="Arial"/>
          <w:sz w:val="17"/>
          <w:szCs w:val="17"/>
          <w:i w:val="1"/>
          <w:iCs w:val="1"/>
          <w:color w:val="auto"/>
        </w:rPr>
        <w:t>The ongoing effects of the</w:t>
      </w:r>
      <w:r>
        <w:rPr>
          <w:rFonts w:ascii="Arial" w:cs="Arial" w:eastAsia="Arial" w:hAnsi="Arial"/>
          <w:sz w:val="17"/>
          <w:szCs w:val="17"/>
          <w:color w:val="auto"/>
        </w:rPr>
        <w:t xml:space="preserve"> </w:t>
      </w:r>
      <w:r>
        <w:rPr>
          <w:rFonts w:ascii="Arial" w:cs="Arial" w:eastAsia="Arial" w:hAnsi="Arial"/>
          <w:sz w:val="17"/>
          <w:szCs w:val="17"/>
          <w:i w:val="1"/>
          <w:iCs w:val="1"/>
          <w:color w:val="auto"/>
        </w:rPr>
        <w:t>COVID-19 pandemic, or any other outbreak of epidemic diseases, or the perception of their effects, could have a material adverse effect on our business, financial condition, results of operations or cash flows</w:t>
      </w:r>
      <w:r>
        <w:rPr>
          <w:rFonts w:ascii="Arial" w:cs="Arial" w:eastAsia="Arial" w:hAnsi="Arial"/>
          <w:sz w:val="17"/>
          <w:szCs w:val="17"/>
          <w:color w:val="auto"/>
        </w:rPr>
        <w:t>.” As of the date of issuance of this financial report, we are not aware of any specific event or</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 that would require updates to our estimates and judgments or revisions to the carrying value of our assets or liabilities. These estimates may change as new events occur and additional information is obtained.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discussion and analysis of financial condition and results of operations is based on our condensed financial statements, which have been prepared in accordance with accounting principles generally accepted in the United States.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Critical accounting policies are those that require significant judgment and/or estimates by management at the time that financial statements are prepared such that materially different results might have been reported if other assumptions had been made. These estimates form the basis for making judgments about the carrying values of assets and liabilities. We base our estimates and judgments on historical experience and on various other assumptions that we believe to be reasonable under the circumstances. Actual results could differ materially from these estimates.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critical accounting policies that we believe impact significant judgments and estimates used in the preparation of our condensed financial statements presented in this report are described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our Annual Report on Form 10-K filed with the SEC on February 28, 2022.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2022, we adopted the following critical accounting policies and significant judgements and estimates: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Net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account for our commercial product sales, net in accordance with Topic 606 -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We received approval from the FDA in September 2019 to market IBSRELA, the first and only NHE3 inhibitor for the treatment of IBS-C in adults, in the United States ("U.S."). We began selling IBSRELA in the U.S. in March 2022. We distribute IBSRELA principally through major wholesalers, specialty pharmacies and group purchasing organizations ("GPOs") (collectively, our "Customers"). Our Customers subsequently sell IBSRELA to pharmacies and patients. Separately, we enter into arrangements with third parties that provide for government-mandated rebates, chargebacks and discounts. Revenue from product sales is recognized when our performance obligations are satisfied, which is when Customers obtain control of our product and occurs upon delivery.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for Variable Consideration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Revenues from product sales are recorded at the net sales price (transaction price), which includes estimates of variable consideration, including discounts which may be settled in the form of off-invoice discounts, chargebacks, or rebates depending on the customer, wholesaler fees, group purchasing organization administrative fees, patient copay assistance programs, and estimated product returns. These estimates are based on the amounts earned or to be claimed for related sales and are classified as reductions of gross accounts receivable settlement is expected to occur through a reduction in the amounts paid by our customers or a current liability if settlement is expected to occur through a payment from us. Where appropriate, these estimates are based on factors such as industry data and forecasted customer buying and payment patterns, our historical experience, current contractual and statutory requirements, specific known market events and trends. Overall, these reductions to gross sales reflect our best estimates of the amount of consideration to which we are entitled based on the terms of the contract. Variable consideration is included in the transaction price only to the extent that it is probable that a significant reversal in the amount of cumulative revenue recognized will not occur when the uncertainty associated with the variable consideration is subsequently resolved. Actual amounts of consideration ultimately received may differ from our estimates. If actual results in the future vary from our estimates, we adjust these estimates, which would affect product revenue and earnings in the period such variances become known. As we gain more historical experience, estimates will be more heavily based on the expected utilization from historical data we have accumulated since the IBSRELA product launch.</w:t>
      </w:r>
    </w:p>
    <w:p>
      <w:pPr>
        <w:spacing w:after="0" w:line="18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Rebates: Rebates include wholesaler fees, GPO fees, as well as mandated discounts under the Medicaid Drug Rebate Program ("Medicaid") and the Medicare Coverage Gap Program ("Medicare"). Estimates for rebates are recorded in the same period the related gross revenue is recognized, resulting in a reduction of product revenue and the establishment of a current liability which is included in accrued expenses on the condensed balance sheets. We estimate our Medicaid and Medicare rebates based upon the estimated payor mix, and statutory discount rates. Our estimates for payor mix are guided by payor information received from specialty pharmacies, expected utilization for wholesaler sales to pharmacies, and available industry payor information.</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Chargebacks: Chargebacks are discounts that occur when certain contracted purchasers purchase directly from our wholesalers at a discounted price. The wholesaler, in turn, charges back the difference between the price initially paid to us by the wholesaler and the discounted price paid to the wholesaler by the contracted purchaser. Amounts for estimated chargebacks are established in the same period that the related gross revenue is recognized, resulting in a reduction of product revenue and accounts receivable. The accrual for wholesaler chargebacks is estimated based on known chargeback rates, known sales to wholesalers, and estimated purchases by types of contracted purchasers.</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Discounts and Fees: Our payment terms are generally 30 to 60 days. Wholesalers, GPOs and specialty pharmacies are offered various forms of consideration, including off-invoice discounts which may be paid to GPOs and specialty pharmacies. Wholesalers and GPOs may also receive prompt pay discounts for payment within a specified period. We expect discounts to be earned when offered and therefore, we deduct the full amount of these discounts from product sales when revenue is recognized, resulting in a reduction of product revenue and accounts receivable.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Reserves: Patients who have commercial insurance may receive copay assistance when product is dispensed by pharmacies to patients. We estimate the amount of copay assistance provided to eligible patients based on the terms of the program and redemption information provided by third-party claims processing organizations and are recorded in accounts payable and accrued expenses and other current liabilities on the condensed balance sheets. Other reserves include estimated product returns which are recorded in the same period the related gross revenue is recognized, resulting in a reduction of product revenue as well as gross accounts receivable. We estimate our product returns reserve based upon our historical experience, and specific known market events and trends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Interest Expense on Deferred Royalty Obligation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net proceeds we receive from the sale of certain future royalties is recorded as deferred royalty obligation related to the sale of future royalties on our condensed balance sheets. As we earn royalties and remit those royalties pursuant to the agreement, the balance of the deferred royalty obligation will be effectively repaid over the life of agreement and non-cash interest expense related to the sale of future royalties is recorded using the effective interest method. To determine the amortization of our deferred royalty obligation, we are required to estimate the total amount of future royalty payments we expect to earn. There are a number of factors that could materially affect the amount and timing of royalty payments, most of which are not within our control. We periodically assess the amount of royalty payments we expect to receive which are subject to the agreement and, to the extent that the amount or timing of such payments is materially different than our original estimates, we prospectively adjust the imputed interest rate and the related amortization of the deferred royalty obligation.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A summary of recent accounting pronouncements that we have adopted or may expect to adopt is included in </w:t>
      </w:r>
      <w:r>
        <w:rPr>
          <w:rFonts w:ascii="Arial" w:cs="Arial" w:eastAsia="Arial" w:hAnsi="Arial"/>
          <w:sz w:val="16"/>
          <w:szCs w:val="16"/>
          <w:i w:val="1"/>
          <w:iCs w:val="1"/>
          <w:color w:val="auto"/>
        </w:rPr>
        <w:t>Note 1 – Organization and Basis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w:t>
      </w:r>
      <w:r>
        <w:rPr>
          <w:rFonts w:ascii="Arial" w:cs="Arial" w:eastAsia="Arial" w:hAnsi="Arial"/>
          <w:sz w:val="16"/>
          <w:szCs w:val="16"/>
          <w:color w:val="auto"/>
        </w:rPr>
        <w:t>to our condensed financial statements (see Part I, Item 1</w:t>
      </w:r>
      <w:r>
        <w:rPr>
          <w:rFonts w:ascii="Arial" w:cs="Arial" w:eastAsia="Arial" w:hAnsi="Arial"/>
          <w:sz w:val="16"/>
          <w:szCs w:val="16"/>
          <w:i w:val="1"/>
          <w:iCs w:val="1"/>
          <w:color w:val="auto"/>
        </w:rPr>
        <w:t xml:space="preserve"> Notes to Condensed Financial Statements</w:t>
      </w:r>
      <w:r>
        <w:rPr>
          <w:rFonts w:ascii="Arial" w:cs="Arial" w:eastAsia="Arial" w:hAnsi="Arial"/>
          <w:sz w:val="16"/>
          <w:szCs w:val="16"/>
          <w:color w:val="auto"/>
        </w:rPr>
        <w:t>, of this Quarterly Report on Form 10-Q).</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revenue to date has been generated primarily through license, research and development collaborative agreements with various collaboration partners. We realized our first commercial product sales of IBSRELA in March 2022. In the future, we may generate revenue from a combination of our own product sales and payments in connection with our current or future collaborative partnerships, including license fees, other upfront payments, milestone payments, royalties and payments for drug product and/or drug substance. We expect that any revenue we generate will fluctuate in future periods as a result of, among other factors: whether and the extent to which we are successful in our commercialization of IBSRELA, whether we are able to gain approval from the FDA for our NDA for XPHOZAH; the timing and progress of goods and services provided pursuant to our current or future collaborative partnerships; our or our collaborators’ achievement of clinical, regulatory or commercialization milestones, to the extent achieved; the timing and amount of any payments to us relating to the aforementioned milestones; and the extent to which tenapanor is approved and successfully commercialized by a collaboration partner. If our current collaboration partners or any future collaboration partners fail to obtain regulatory approval for tenapanor, our ability to generate future revenue from our collaborative arrangements, and our results of operations and financial position, would be materially and adversely affected. Our past revenue performance is not necessarily indicative of results to be expected in future periods.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Cost of revenue consists of the cost of commercial goods sold to Customers, collaboration partners under product supply agreements, and royalty expense based on sales of tenapanor. We capitalize inventory costs associated with the production of our products after regulatory approval or when, based on management’s judgment, future commercialization is considered probable and the future economic benefit is expected to be realized. Otherwise, such costs are expensed as research and development. A portion of the costs of IBSRELA units recognized as revenue during the three and nine months ended September 30, 2022 were expensed prior to the fourth quarter of 2021, when our intent to commercialize IBSRELA was established and we commenced preparation for the commercial launch of IBSRELA. We believe our cost of revenue for the three and nine months ended September 30, 2022 would have been $0.2 million and $1.2 million higher, respectively, if we had not previously expensed certain material and production costs with respect to the units sold. As of September 30, 2022, we had approximately $28.8 million of inventory on hand that was previously expensed as research and development expense and will not be reported as cost of revenue sold in future periods when sales of IBSRELA are recognized as revenue.</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revenue includes payments due to AstraZeneca, which under the terms of a termination agreement entered into in 2015 (the "AZ Termination Agreement") is entitled to (i) future royalties at a rate of 10% of net sales of tenapanor or other NHE3 products by us or our licensees, and (ii) 20% of non-royalty revenue received from our collaboration partners in connection with the development and commercialization of tenapanor or certain other NHE3 inhibitors. We have agreed to pay AstraZeneca up to a maximum of $75.0 million in the aggregate for (i) and (ii). We recognize these expenses as cost of revenue when we recognize the corresponding revenue that gives rise to payments due to AstraZeneca. To date, we have recognized an aggregate of $12.4 million as cost of revenue under the AZ Termination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October 2021 restructuring plan, we eliminated our internal research organization and expect to continue our discovery efforts with respect to RDX020 through the use of third-parties managed internally by non-clinical expertise. We recognize all research and development expenses as they are incurred to support the discovery, research, development and manufacturing of our product candidates. Research and development expenses include, but are not limited to, the following:</w:t>
      </w:r>
    </w:p>
    <w:p>
      <w:pPr>
        <w:spacing w:after="0" w:line="187" w:lineRule="exact"/>
        <w:rPr>
          <w:sz w:val="20"/>
          <w:szCs w:val="20"/>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consultants, third-party contract research organizations (“CROs”) and investigative sites where a substantial portion of our clinical studies are conducted, and with contract manufacturing organizations where our clinical supplies are produced;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associated with supplies and materials consumed in connection with our research operations;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expenses associated with producing tenapanor for the control of serum phosphorus in adult patients with CKD on dialysis prior to FDA approval;</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costs associated with research, clinical development and regulatory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employee-related expenses, which include salaries, bonuses, benefits, travel and stock-based compensation; and</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facilities and other allocated expenses, which include direct and allocated expenses for rent and maintenance of facilities, depreciation and amortization expense, information technology expense and other supplies.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expenses relate to sales and marketing, finance, human resources, legal and other administrative activities, including information technology investments. Selling, general and administrative expenses consist primarily of personnel costs, facilities costs not otherwise allocated to research and development, outside marketing, advertising and legal expenses and other general and administrative costs.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represents the interest paid on our loan payable.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interest expense related to the sale of future royalties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Non-cash interest expense related to the sale of future royalties represents the imputed interest expense on our deferred royalty obligation related to the sale of future royalties using the effective interest method. As further described in </w:t>
      </w:r>
      <w:r>
        <w:rPr>
          <w:rFonts w:ascii="Arial" w:cs="Arial" w:eastAsia="Arial" w:hAnsi="Arial"/>
          <w:sz w:val="16"/>
          <w:szCs w:val="16"/>
          <w:i w:val="1"/>
          <w:iCs w:val="1"/>
          <w:color w:val="auto"/>
        </w:rPr>
        <w:t>Note 7. Deferred Royalty Obligation</w:t>
      </w:r>
      <w:r>
        <w:rPr>
          <w:rFonts w:ascii="Arial" w:cs="Arial" w:eastAsia="Arial" w:hAnsi="Arial"/>
          <w:sz w:val="16"/>
          <w:szCs w:val="16"/>
          <w:color w:val="auto"/>
        </w:rPr>
        <w:t>, in June 2022, we and HealthCare Royalty Partners IV, L.P. (“HCR”) entered into a Royalty and Sales Milestone Interest Acquisition Agreement (the “HCR Agreement”). Under the terms of the HCR Agreement, HCR has agreed to pay us up to $20.0 million in exchange for the royalty payments and commercial milestone payments (collectively the “Royalty Interest Payments”) that we may receive under our 2017 License Agreement with KKC based upon KKC's net sales of tenapanor in Japan. As part of the HCR Agreement, we received a $10.0 million upfront payment from HCR in June 2022 and recorded it as a deferred royalty obligation on our condensed balance sheet. Non-cash interest expense will be recognized over the life of the HCR Agreement using the effective interest method based on the imputed interest rate derived from estimated amounts and timing of future royalty payments to be received from KKC.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consists of interest income earned on our cash and cash equivalents and available-for-sale investments, the periodic revaluation of the exit fee related to our loan, gains on sales of property and equipment, and currency exchange gains and losses.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results of operations are not necessarily indicative of the results to be expected for the year ending December 31, 2022, for any other interim period, or for any other future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total revenue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7"/>
                <w:szCs w:val="17"/>
                <w:color w:val="auto"/>
              </w:rPr>
            </w:pPr>
          </w:p>
        </w:tc>
        <w:tc>
          <w:tcPr>
            <w:tcW w:w="110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90"/>
              </w:rPr>
              <w:t>Change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Nine Months Ended</w:t>
            </w:r>
          </w:p>
        </w:tc>
        <w:tc>
          <w:tcPr>
            <w:tcW w:w="220" w:type="dxa"/>
            <w:vAlign w:val="bottom"/>
          </w:tcPr>
          <w:p>
            <w:pPr>
              <w:spacing w:after="0"/>
              <w:rPr>
                <w:sz w:val="17"/>
                <w:szCs w:val="17"/>
                <w:color w:val="auto"/>
              </w:rPr>
            </w:pPr>
          </w:p>
        </w:tc>
        <w:tc>
          <w:tcPr>
            <w:tcW w:w="1140" w:type="dxa"/>
            <w:vAlign w:val="bottom"/>
            <w:gridSpan w:val="3"/>
          </w:tcPr>
          <w:p>
            <w:pPr>
              <w:ind w:left="48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Pr>
          <w:p>
            <w:pPr>
              <w:spacing w:after="0"/>
              <w:rPr>
                <w:sz w:val="17"/>
                <w:szCs w:val="17"/>
                <w:color w:val="auto"/>
              </w:rPr>
            </w:pPr>
          </w:p>
        </w:tc>
      </w:tr>
      <w:tr>
        <w:trPr>
          <w:trHeight w:val="239"/>
        </w:trPr>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8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6"/>
              </w:rPr>
              <w:t>2022 vs. 2021</w:t>
            </w:r>
          </w:p>
        </w:tc>
        <w:tc>
          <w:tcPr>
            <w:tcW w:w="220" w:type="dxa"/>
            <w:vAlign w:val="bottom"/>
          </w:tcPr>
          <w:p>
            <w:pPr>
              <w:spacing w:after="0"/>
              <w:rPr>
                <w:sz w:val="20"/>
                <w:szCs w:val="20"/>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18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2022 vs. 2021</w:t>
            </w:r>
          </w:p>
        </w:tc>
      </w:tr>
      <w:tr>
        <w:trPr>
          <w:trHeight w:val="227"/>
        </w:trPr>
        <w:tc>
          <w:tcPr>
            <w:tcW w:w="24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w:t>
            </w: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Product supply revenue</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157 %</w:t>
            </w: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Licensing revenue</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176"/>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Collaborative development</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(3,650)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24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bl>
    <w:p>
      <w:pPr>
        <w:ind w:left="240"/>
        <w:spacing w:after="0"/>
        <w:rPr>
          <w:sz w:val="20"/>
          <w:szCs w:val="20"/>
          <w:color w:val="auto"/>
        </w:rPr>
      </w:pPr>
      <w:r>
        <w:rPr>
          <w:rFonts w:ascii="Arial" w:cs="Arial" w:eastAsia="Arial" w:hAnsi="Arial"/>
          <w:sz w:val="18"/>
          <w:szCs w:val="18"/>
          <w:color w:val="auto"/>
        </w:rPr>
        <w:t>(a) There were no product sales during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-121920</wp:posOffset>
            </wp:positionV>
            <wp:extent cx="47917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2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to total revenues during the three months ended September 30, 2022 is primarily attributable to $4.9 million of net product sales for IBSRELA to our Customers in connection with the commercial launch of IBSRELA. Partially offsetting this increase was the full recognition of upfront payments associated with the 2019 KKC Agreement through the end of 2021.</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to total revenues during the nine months ended September 30, 2022 is primarily attributable to a $5.0 million development milestone that was earned during the prior year that did not recur during the current year, as well as the full recognition of upfront payments associated with the 2019 KKC Agreement through the end of 2021, for which there was no comparable revenue during the nine months ended September 30, 2022. Partially offsetting these decreases is recognition of $6.9 million of net product sales for sales of IBSRELA to our Customers in connection with the commercial launch of IBSRELA.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operating expenses (dollars in thousands):</w:t>
      </w: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116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7"/>
              </w:rPr>
              <w:t>Change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Nine Months Ended</w:t>
            </w:r>
          </w:p>
        </w:tc>
        <w:tc>
          <w:tcPr>
            <w:tcW w:w="200" w:type="dxa"/>
            <w:vAlign w:val="bottom"/>
          </w:tcPr>
          <w:p>
            <w:pPr>
              <w:spacing w:after="0"/>
              <w:rPr>
                <w:sz w:val="18"/>
                <w:szCs w:val="18"/>
                <w:color w:val="auto"/>
              </w:rPr>
            </w:pPr>
          </w:p>
        </w:tc>
        <w:tc>
          <w:tcPr>
            <w:tcW w:w="1140" w:type="dxa"/>
            <w:vAlign w:val="bottom"/>
            <w:gridSpan w:val="3"/>
          </w:tcPr>
          <w:p>
            <w:pPr>
              <w:ind w:left="480"/>
              <w:spacing w:after="0"/>
              <w:rPr>
                <w:sz w:val="20"/>
                <w:szCs w:val="20"/>
                <w:color w:val="auto"/>
              </w:rPr>
            </w:pPr>
            <w:r>
              <w:rPr>
                <w:rFonts w:ascii="Arial" w:cs="Arial" w:eastAsia="Arial" w:hAnsi="Arial"/>
                <w:sz w:val="18"/>
                <w:szCs w:val="18"/>
                <w:b w:val="1"/>
                <w:bCs w:val="1"/>
                <w:color w:val="auto"/>
                <w:w w:val="96"/>
              </w:rPr>
              <w:t>Change</w:t>
            </w:r>
          </w:p>
        </w:tc>
        <w:tc>
          <w:tcPr>
            <w:tcW w:w="660" w:type="dxa"/>
            <w:vAlign w:val="bottom"/>
          </w:tcPr>
          <w:p>
            <w:pPr>
              <w:spacing w:after="0"/>
              <w:rPr>
                <w:sz w:val="18"/>
                <w:szCs w:val="18"/>
                <w:color w:val="auto"/>
              </w:rPr>
            </w:pPr>
          </w:p>
        </w:tc>
      </w:tr>
      <w:tr>
        <w:trPr>
          <w:trHeight w:val="239"/>
        </w:trPr>
        <w:tc>
          <w:tcPr>
            <w:tcW w:w="2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2022 vs. 2021</w:t>
            </w:r>
          </w:p>
        </w:tc>
        <w:tc>
          <w:tcPr>
            <w:tcW w:w="180" w:type="dxa"/>
            <w:vAlign w:val="bottom"/>
          </w:tcPr>
          <w:p>
            <w:pPr>
              <w:spacing w:after="0"/>
              <w:rPr>
                <w:sz w:val="20"/>
                <w:szCs w:val="20"/>
                <w:color w:val="auto"/>
              </w:rPr>
            </w:pPr>
          </w:p>
        </w:tc>
        <w:tc>
          <w:tcPr>
            <w:tcW w:w="20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18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2022 vs. 2021</w:t>
            </w:r>
          </w:p>
        </w:tc>
      </w:tr>
      <w:tr>
        <w:trPr>
          <w:trHeight w:val="227"/>
        </w:trPr>
        <w:tc>
          <w:tcPr>
            <w:tcW w:w="25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2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26,059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70,172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(44,113)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Selling, 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56,868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258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83,882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 There were no product sales during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-130175</wp:posOffset>
            </wp:positionV>
            <wp:extent cx="704659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46595" cy="14605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fluctuations in cost of revenue for the three and nine months ended September 30, 2022 are primarily attributable to payments due to AstraZeneca under the AZ Termination Agreement related to the commercial sales of IBSRELA during the three and nine months ended September 30, 2022 and a development milestone we earned during the nine months ended September 30, 2021. In addition, during the three and nine months ended September 30, 2022, we incurred cost of revenue from sales of IBSRELA to our Customers in connection with the commercial launch of IBSRELA.</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research and development expenses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17"/>
                <w:szCs w:val="17"/>
                <w:color w:val="auto"/>
              </w:rPr>
            </w:pPr>
          </w:p>
        </w:tc>
        <w:tc>
          <w:tcPr>
            <w:tcW w:w="114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87"/>
              </w:rPr>
              <w:t>Change</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Nine Months Ended</w:t>
            </w:r>
          </w:p>
        </w:tc>
        <w:tc>
          <w:tcPr>
            <w:tcW w:w="180" w:type="dxa"/>
            <w:vAlign w:val="bottom"/>
          </w:tcPr>
          <w:p>
            <w:pPr>
              <w:spacing w:after="0"/>
              <w:rPr>
                <w:sz w:val="17"/>
                <w:szCs w:val="17"/>
                <w:color w:val="auto"/>
              </w:rPr>
            </w:pPr>
          </w:p>
        </w:tc>
        <w:tc>
          <w:tcPr>
            <w:tcW w:w="1140" w:type="dxa"/>
            <w:vAlign w:val="bottom"/>
            <w:gridSpan w:val="3"/>
          </w:tcPr>
          <w:p>
            <w:pPr>
              <w:ind w:left="480"/>
              <w:spacing w:after="0"/>
              <w:rPr>
                <w:sz w:val="20"/>
                <w:szCs w:val="20"/>
                <w:color w:val="auto"/>
              </w:rPr>
            </w:pPr>
            <w:r>
              <w:rPr>
                <w:rFonts w:ascii="Arial" w:cs="Arial" w:eastAsia="Arial" w:hAnsi="Arial"/>
                <w:sz w:val="18"/>
                <w:szCs w:val="18"/>
                <w:b w:val="1"/>
                <w:bCs w:val="1"/>
                <w:color w:val="auto"/>
                <w:w w:val="96"/>
              </w:rPr>
              <w:t>Change</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2022 vs. 2021</w:t>
            </w:r>
          </w:p>
        </w:tc>
        <w:tc>
          <w:tcPr>
            <w:tcW w:w="200" w:type="dxa"/>
            <w:vAlign w:val="bottom"/>
          </w:tcPr>
          <w:p>
            <w:pPr>
              <w:spacing w:after="0"/>
              <w:rPr>
                <w:sz w:val="20"/>
                <w:szCs w:val="20"/>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17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2022 vs. 2021</w:t>
            </w:r>
          </w:p>
        </w:tc>
        <w:tc>
          <w:tcPr>
            <w:tcW w:w="0" w:type="dxa"/>
            <w:vAlign w:val="bottom"/>
          </w:tcPr>
          <w:p>
            <w:pPr>
              <w:spacing w:after="0"/>
              <w:rPr>
                <w:sz w:val="1"/>
                <w:szCs w:val="1"/>
                <w:color w:val="auto"/>
              </w:rPr>
            </w:pPr>
          </w:p>
        </w:tc>
      </w:tr>
      <w:tr>
        <w:trPr>
          <w:trHeight w:val="227"/>
        </w:trPr>
        <w:tc>
          <w:tcPr>
            <w:tcW w:w="25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R&amp;D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Arial" w:cs="Arial" w:eastAsia="Arial" w:hAnsi="Arial"/>
                <w:sz w:val="18"/>
                <w:szCs w:val="18"/>
                <w:color w:val="auto"/>
              </w:rPr>
              <w:t>Employee-related expenses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76"/>
        </w:trPr>
        <w:tc>
          <w:tcPr>
            <w:tcW w:w="2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Facilities, equipment and</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expenses</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325 %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155"/>
        </w:trPr>
        <w:tc>
          <w:tcPr>
            <w:tcW w:w="254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w w:val="92"/>
              </w:rPr>
              <w:t>Total research and development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7,467</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23,695</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(16,228)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26,059</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70,172</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(44,113)</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decrease in our external R&amp;D expenses for the three months ended September 30, 2022 is primarily the result of lower clinical study costs as a result of the completion of the OPTIMIZE study, lower tenapanor manufacturing expense as we have begun to capitalize costs associated with the production of IBSRELA to inventory, and lower expenses for research following the significant reduction in the research function in the fourth quarter of 2021. The decrease in our employee-related expenses for the three and six months ended September 30, 2022 is due to lower compensation and benefits expenses for our research and development workforce following restructuring actions in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selling, general and administrative expenses for the three and nine months ended September 30, 2022 is primarily due to a reduction in ongoing and one-time costs as a result of the restructuring action carried out during the third quarter of 2021, offset by increased costs associated with the commercial launch of IBSRELA during 2022. The changes consisted of headcount and related personnel costs and external spending for disease awareness initiatives, commercial infrastructure and strategy.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interest expense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106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87"/>
              </w:rPr>
              <w:t>Change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5"/>
          </w:tcPr>
          <w:p>
            <w:pPr>
              <w:ind w:left="120"/>
              <w:spacing w:after="0"/>
              <w:rPr>
                <w:sz w:val="20"/>
                <w:szCs w:val="20"/>
                <w:color w:val="auto"/>
              </w:rPr>
            </w:pPr>
            <w:r>
              <w:rPr>
                <w:rFonts w:ascii="Arial" w:cs="Arial" w:eastAsia="Arial" w:hAnsi="Arial"/>
                <w:sz w:val="18"/>
                <w:szCs w:val="18"/>
                <w:b w:val="1"/>
                <w:bCs w:val="1"/>
                <w:color w:val="auto"/>
              </w:rPr>
              <w:t>Nine Months Ended</w:t>
            </w:r>
          </w:p>
        </w:tc>
        <w:tc>
          <w:tcPr>
            <w:tcW w:w="240" w:type="dxa"/>
            <w:vAlign w:val="bottom"/>
          </w:tcPr>
          <w:p>
            <w:pPr>
              <w:spacing w:after="0"/>
              <w:rPr>
                <w:sz w:val="18"/>
                <w:szCs w:val="18"/>
                <w:color w:val="auto"/>
              </w:rPr>
            </w:pPr>
          </w:p>
        </w:tc>
        <w:tc>
          <w:tcPr>
            <w:tcW w:w="106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87"/>
              </w:rPr>
              <w:t>Change</w:t>
            </w:r>
          </w:p>
        </w:tc>
        <w:tc>
          <w:tcPr>
            <w:tcW w:w="640" w:type="dxa"/>
            <w:vAlign w:val="bottom"/>
          </w:tcPr>
          <w:p>
            <w:pPr>
              <w:spacing w:after="0"/>
              <w:rPr>
                <w:sz w:val="18"/>
                <w:szCs w:val="18"/>
                <w:color w:val="auto"/>
              </w:rPr>
            </w:pPr>
          </w:p>
        </w:tc>
      </w:tr>
      <w:tr>
        <w:trPr>
          <w:trHeight w:val="239"/>
        </w:trPr>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020" w:type="dxa"/>
            <w:vAlign w:val="bottom"/>
            <w:gridSpan w:val="6"/>
          </w:tcPr>
          <w:p>
            <w:pPr>
              <w:jc w:val="center"/>
              <w:ind w:right="470"/>
              <w:spacing w:after="0"/>
              <w:rPr>
                <w:sz w:val="20"/>
                <w:szCs w:val="20"/>
                <w:color w:val="auto"/>
              </w:rPr>
            </w:pPr>
            <w:r>
              <w:rPr>
                <w:rFonts w:ascii="Arial" w:cs="Arial" w:eastAsia="Arial" w:hAnsi="Arial"/>
                <w:sz w:val="18"/>
                <w:szCs w:val="18"/>
                <w:b w:val="1"/>
                <w:bCs w:val="1"/>
                <w:color w:val="auto"/>
                <w:w w:val="88"/>
              </w:rPr>
              <w:t>2022 vs. 2021</w:t>
            </w:r>
          </w:p>
        </w:tc>
        <w:tc>
          <w:tcPr>
            <w:tcW w:w="2100" w:type="dxa"/>
            <w:vAlign w:val="bottom"/>
            <w:gridSpan w:val="5"/>
          </w:tcPr>
          <w:p>
            <w:pPr>
              <w:ind w:left="34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170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8"/>
              </w:rPr>
              <w:t>2022 vs. 2021</w:t>
            </w:r>
          </w:p>
        </w:tc>
      </w:tr>
      <w:tr>
        <w:trPr>
          <w:trHeight w:val="227"/>
        </w:trPr>
        <w:tc>
          <w:tcPr>
            <w:tcW w:w="26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2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bl>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fluctuation in interest expense for the three and nine months ended September 30, 2022 was due to higher principal outstanding on our loan payable in 2021 prior to principal repayments under our 2018 Loan commencing during the fourth quarter of 2021. We repaid the remaining principal balance of the 2018 Loan in the amount of $25.0 million and entered into the new 2022 Loan in the amount of $27.5 million in February 2022.</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4"/>
          </w:tcPr>
          <w:p>
            <w:pPr>
              <w:spacing w:after="0"/>
              <w:rPr>
                <w:sz w:val="20"/>
                <w:szCs w:val="20"/>
                <w:color w:val="auto"/>
              </w:rPr>
            </w:pPr>
            <w:r>
              <w:rPr>
                <w:rFonts w:ascii="Arial" w:cs="Arial" w:eastAsia="Arial" w:hAnsi="Arial"/>
                <w:sz w:val="18"/>
                <w:szCs w:val="18"/>
                <w:b w:val="1"/>
                <w:bCs w:val="1"/>
                <w:color w:val="auto"/>
                <w:w w:val="89"/>
              </w:rPr>
              <w:t>Non-Cash Interest Expense Related to the Sale of Future Royalties</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5120" w:type="dxa"/>
            <w:vAlign w:val="bottom"/>
            <w:gridSpan w:val="4"/>
          </w:tcPr>
          <w:p>
            <w:pPr>
              <w:spacing w:after="0"/>
              <w:rPr>
                <w:sz w:val="20"/>
                <w:szCs w:val="20"/>
                <w:color w:val="auto"/>
              </w:rPr>
            </w:pPr>
            <w:r>
              <w:rPr>
                <w:rFonts w:ascii="Arial" w:cs="Arial" w:eastAsia="Arial" w:hAnsi="Arial"/>
                <w:sz w:val="18"/>
                <w:szCs w:val="18"/>
                <w:color w:val="auto"/>
                <w:w w:val="96"/>
              </w:rPr>
              <w:t>Below is a summary of our interest expense (dollars in thousands):</w:t>
            </w: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8"/>
        </w:trPr>
        <w:tc>
          <w:tcPr>
            <w:tcW w:w="2740" w:type="dxa"/>
            <w:vAlign w:val="bottom"/>
          </w:tcPr>
          <w:p>
            <w:pPr>
              <w:spacing w:after="0"/>
              <w:rPr>
                <w:sz w:val="24"/>
                <w:szCs w:val="24"/>
                <w:color w:val="auto"/>
              </w:rPr>
            </w:pPr>
          </w:p>
        </w:tc>
        <w:tc>
          <w:tcPr>
            <w:tcW w:w="2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Three Months Ended</w:t>
            </w:r>
          </w:p>
        </w:tc>
        <w:tc>
          <w:tcPr>
            <w:tcW w:w="52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2380" w:type="dxa"/>
            <w:vAlign w:val="bottom"/>
            <w:gridSpan w:val="3"/>
          </w:tcPr>
          <w:p>
            <w:pPr>
              <w:ind w:left="380"/>
              <w:spacing w:after="0"/>
              <w:rPr>
                <w:sz w:val="20"/>
                <w:szCs w:val="20"/>
                <w:color w:val="auto"/>
              </w:rPr>
            </w:pPr>
            <w:r>
              <w:rPr>
                <w:rFonts w:ascii="Arial" w:cs="Arial" w:eastAsia="Arial" w:hAnsi="Arial"/>
                <w:sz w:val="18"/>
                <w:szCs w:val="18"/>
                <w:b w:val="1"/>
                <w:bCs w:val="1"/>
                <w:color w:val="auto"/>
              </w:rPr>
              <w:t>Nine Months Ended</w:t>
            </w:r>
          </w:p>
        </w:tc>
        <w:tc>
          <w:tcPr>
            <w:tcW w:w="540" w:type="dxa"/>
            <w:vAlign w:val="bottom"/>
          </w:tcPr>
          <w:p>
            <w:pPr>
              <w:spacing w:after="0"/>
              <w:rPr>
                <w:sz w:val="24"/>
                <w:szCs w:val="24"/>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w w:val="93"/>
              </w:rPr>
              <w:t>Change</w:t>
            </w:r>
          </w:p>
        </w:tc>
      </w:tr>
      <w:tr>
        <w:trPr>
          <w:trHeight w:val="239"/>
        </w:trPr>
        <w:tc>
          <w:tcPr>
            <w:tcW w:w="2740" w:type="dxa"/>
            <w:vAlign w:val="bottom"/>
          </w:tcPr>
          <w:p>
            <w:pPr>
              <w:spacing w:after="0"/>
              <w:rPr>
                <w:sz w:val="20"/>
                <w:szCs w:val="20"/>
                <w:color w:val="auto"/>
              </w:rPr>
            </w:pPr>
          </w:p>
        </w:tc>
        <w:tc>
          <w:tcPr>
            <w:tcW w:w="2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1920" w:type="dxa"/>
            <w:vAlign w:val="bottom"/>
            <w:gridSpan w:val="3"/>
          </w:tcPr>
          <w:p>
            <w:pPr>
              <w:ind w:left="400"/>
              <w:spacing w:after="0"/>
              <w:rPr>
                <w:sz w:val="20"/>
                <w:szCs w:val="20"/>
                <w:color w:val="auto"/>
              </w:rPr>
            </w:pPr>
            <w:r>
              <w:rPr>
                <w:rFonts w:ascii="Arial" w:cs="Arial" w:eastAsia="Arial" w:hAnsi="Arial"/>
                <w:sz w:val="18"/>
                <w:szCs w:val="18"/>
                <w:b w:val="1"/>
                <w:bCs w:val="1"/>
                <w:color w:val="auto"/>
              </w:rPr>
              <w:t>2022 vs. 2021</w:t>
            </w:r>
          </w:p>
        </w:tc>
        <w:tc>
          <w:tcPr>
            <w:tcW w:w="2380" w:type="dxa"/>
            <w:vAlign w:val="bottom"/>
            <w:gridSpan w:val="3"/>
          </w:tcPr>
          <w:p>
            <w:pPr>
              <w:ind w:left="600"/>
              <w:spacing w:after="0"/>
              <w:rPr>
                <w:sz w:val="20"/>
                <w:szCs w:val="20"/>
                <w:color w:val="auto"/>
              </w:rPr>
            </w:pPr>
            <w:r>
              <w:rPr>
                <w:rFonts w:ascii="Arial" w:cs="Arial" w:eastAsia="Arial" w:hAnsi="Arial"/>
                <w:sz w:val="18"/>
                <w:szCs w:val="18"/>
                <w:b w:val="1"/>
                <w:bCs w:val="1"/>
                <w:color w:val="auto"/>
              </w:rPr>
              <w:t>September 30,</w:t>
            </w:r>
          </w:p>
        </w:tc>
        <w:tc>
          <w:tcPr>
            <w:tcW w:w="1820" w:type="dxa"/>
            <w:vAlign w:val="bottom"/>
            <w:gridSpan w:val="2"/>
          </w:tcPr>
          <w:p>
            <w:pPr>
              <w:ind w:left="400"/>
              <w:spacing w:after="0"/>
              <w:rPr>
                <w:sz w:val="20"/>
                <w:szCs w:val="20"/>
                <w:color w:val="auto"/>
              </w:rPr>
            </w:pPr>
            <w:r>
              <w:rPr>
                <w:rFonts w:ascii="Arial" w:cs="Arial" w:eastAsia="Arial" w:hAnsi="Arial"/>
                <w:sz w:val="18"/>
                <w:szCs w:val="18"/>
                <w:b w:val="1"/>
                <w:bCs w:val="1"/>
                <w:color w:val="auto"/>
              </w:rPr>
              <w:t>2022 vs. 2021</w:t>
            </w:r>
          </w:p>
        </w:tc>
      </w:tr>
      <w:tr>
        <w:trPr>
          <w:trHeight w:val="232"/>
        </w:trPr>
        <w:tc>
          <w:tcPr>
            <w:tcW w:w="2740" w:type="dxa"/>
            <w:vAlign w:val="bottom"/>
          </w:tcPr>
          <w:p>
            <w:pPr>
              <w:spacing w:after="0"/>
              <w:rPr>
                <w:sz w:val="20"/>
                <w:szCs w:val="20"/>
                <w:color w:val="auto"/>
              </w:rPr>
            </w:pPr>
          </w:p>
        </w:tc>
        <w:tc>
          <w:tcPr>
            <w:tcW w:w="11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1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52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4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rPr>
              <w:t>2022</w:t>
            </w:r>
          </w:p>
        </w:tc>
        <w:tc>
          <w:tcPr>
            <w:tcW w:w="11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54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265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spacing w:after="0" w:line="215" w:lineRule="auto"/>
        <w:rPr>
          <w:sz w:val="20"/>
          <w:szCs w:val="20"/>
          <w:color w:val="auto"/>
        </w:rPr>
      </w:pPr>
      <w:r>
        <w:rPr>
          <w:rFonts w:ascii="Arial" w:cs="Arial" w:eastAsia="Arial" w:hAnsi="Arial"/>
          <w:sz w:val="18"/>
          <w:szCs w:val="18"/>
          <w:color w:val="auto"/>
        </w:rPr>
        <w:t>Non-cash interest expense related to</w:t>
      </w:r>
    </w:p>
    <w:p>
      <w:pPr>
        <w:ind w:left="20"/>
        <w:spacing w:after="0"/>
        <w:tabs>
          <w:tab w:leader="none" w:pos="2740" w:val="left"/>
          <w:tab w:leader="none" w:pos="3380" w:val="left"/>
          <w:tab w:leader="none" w:pos="3920" w:val="left"/>
          <w:tab w:leader="none" w:pos="4740" w:val="left"/>
          <w:tab w:leader="none" w:pos="5100" w:val="left"/>
          <w:tab w:leader="none" w:pos="5540" w:val="left"/>
          <w:tab w:leader="none" w:pos="6700" w:val="left"/>
          <w:tab w:leader="none" w:pos="7700" w:val="left"/>
          <w:tab w:leader="none" w:pos="9060" w:val="left"/>
          <w:tab w:leader="none" w:pos="9420" w:val="left"/>
          <w:tab w:leader="none" w:pos="9840" w:val="left"/>
          <w:tab w:leader="none" w:pos="11000" w:val="left"/>
        </w:tabs>
        <w:rPr>
          <w:sz w:val="20"/>
          <w:szCs w:val="20"/>
          <w:color w:val="auto"/>
        </w:rPr>
      </w:pPr>
      <w:r>
        <w:rPr>
          <w:rFonts w:ascii="Arial" w:cs="Arial" w:eastAsia="Arial" w:hAnsi="Arial"/>
          <w:sz w:val="18"/>
          <w:szCs w:val="18"/>
          <w:color w:val="auto"/>
        </w:rPr>
        <w:t>the sale of future royalties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(831)</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(831)</w:t>
      </w:r>
      <w:r>
        <w:rPr>
          <w:sz w:val="20"/>
          <w:szCs w:val="20"/>
          <w:color w:val="auto"/>
        </w:rPr>
        <w:tab/>
      </w:r>
      <w:r>
        <w:rPr>
          <w:rFonts w:ascii="Arial" w:cs="Arial" w:eastAsia="Arial" w:hAnsi="Arial"/>
          <w:sz w:val="18"/>
          <w:szCs w:val="18"/>
          <w:color w:val="auto"/>
        </w:rPr>
        <w:t>(a)  $</w:t>
      </w:r>
      <w:r>
        <w:rPr>
          <w:sz w:val="20"/>
          <w:szCs w:val="20"/>
          <w:color w:val="auto"/>
        </w:rPr>
        <w:tab/>
      </w:r>
      <w:r>
        <w:rPr>
          <w:rFonts w:ascii="Arial" w:cs="Arial" w:eastAsia="Arial" w:hAnsi="Arial"/>
          <w:sz w:val="18"/>
          <w:szCs w:val="18"/>
          <w:color w:val="auto"/>
        </w:rPr>
        <w:t>(841)  $</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(841)</w:t>
      </w:r>
      <w:r>
        <w:rPr>
          <w:sz w:val="20"/>
          <w:szCs w:val="20"/>
          <w:color w:val="auto"/>
        </w:rPr>
        <w:tab/>
      </w:r>
      <w:r>
        <w:rPr>
          <w:rFonts w:ascii="Arial" w:cs="Arial" w:eastAsia="Arial" w:hAnsi="Arial"/>
          <w:sz w:val="16"/>
          <w:szCs w:val="16"/>
          <w:color w:val="auto"/>
        </w:rPr>
        <w:t>(a)</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There was no non-cash interest expense related to the sales of future royalties during the prior year period.</w:t>
      </w:r>
    </w:p>
    <w:p>
      <w:pPr>
        <w:spacing w:after="0" w:line="3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Non-cash interest expense related to the sales of future royalties or the three and nine months ended September 30, 2022 was due to the recognized amortization of the deferred royalty obligation that we recorded following the receipt of the $10.0 million upfront payment from HCR during June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other income (expense), net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7"/>
                <w:szCs w:val="17"/>
                <w:color w:val="auto"/>
              </w:rPr>
            </w:pPr>
          </w:p>
        </w:tc>
        <w:tc>
          <w:tcPr>
            <w:tcW w:w="940" w:type="dxa"/>
            <w:vAlign w:val="bottom"/>
            <w:gridSpan w:val="3"/>
          </w:tcPr>
          <w:p>
            <w:pPr>
              <w:ind w:left="340"/>
              <w:spacing w:after="0"/>
              <w:rPr>
                <w:sz w:val="20"/>
                <w:szCs w:val="20"/>
                <w:color w:val="auto"/>
              </w:rPr>
            </w:pPr>
            <w:r>
              <w:rPr>
                <w:rFonts w:ascii="Arial" w:cs="Arial" w:eastAsia="Arial" w:hAnsi="Arial"/>
                <w:sz w:val="18"/>
                <w:szCs w:val="18"/>
                <w:b w:val="1"/>
                <w:bCs w:val="1"/>
                <w:color w:val="auto"/>
                <w:w w:val="87"/>
              </w:rPr>
              <w:t>Change</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Nine Months Ended</w:t>
            </w:r>
          </w:p>
        </w:tc>
        <w:tc>
          <w:tcPr>
            <w:tcW w:w="220" w:type="dxa"/>
            <w:vAlign w:val="bottom"/>
          </w:tcPr>
          <w:p>
            <w:pPr>
              <w:spacing w:after="0"/>
              <w:rPr>
                <w:sz w:val="17"/>
                <w:szCs w:val="17"/>
                <w:color w:val="auto"/>
              </w:rPr>
            </w:pPr>
          </w:p>
        </w:tc>
        <w:tc>
          <w:tcPr>
            <w:tcW w:w="920" w:type="dxa"/>
            <w:vAlign w:val="bottom"/>
            <w:gridSpan w:val="3"/>
          </w:tcPr>
          <w:p>
            <w:pPr>
              <w:ind w:left="320"/>
              <w:spacing w:after="0"/>
              <w:rPr>
                <w:sz w:val="20"/>
                <w:szCs w:val="20"/>
                <w:color w:val="auto"/>
              </w:rPr>
            </w:pPr>
            <w:r>
              <w:rPr>
                <w:rFonts w:ascii="Arial" w:cs="Arial" w:eastAsia="Arial" w:hAnsi="Arial"/>
                <w:sz w:val="18"/>
                <w:szCs w:val="18"/>
                <w:b w:val="1"/>
                <w:bCs w:val="1"/>
                <w:color w:val="auto"/>
                <w:w w:val="87"/>
              </w:rPr>
              <w:t>Change</w:t>
            </w:r>
          </w:p>
        </w:tc>
        <w:tc>
          <w:tcPr>
            <w:tcW w:w="560" w:type="dxa"/>
            <w:vAlign w:val="bottom"/>
          </w:tcPr>
          <w:p>
            <w:pPr>
              <w:spacing w:after="0"/>
              <w:rPr>
                <w:sz w:val="17"/>
                <w:szCs w:val="17"/>
                <w:color w:val="auto"/>
              </w:rPr>
            </w:pPr>
          </w:p>
        </w:tc>
      </w:tr>
      <w:tr>
        <w:trPr>
          <w:trHeight w:val="239"/>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1760" w:type="dxa"/>
            <w:vAlign w:val="bottom"/>
            <w:gridSpan w:val="6"/>
          </w:tcPr>
          <w:p>
            <w:pPr>
              <w:jc w:val="right"/>
              <w:ind w:right="510"/>
              <w:spacing w:after="0"/>
              <w:rPr>
                <w:sz w:val="20"/>
                <w:szCs w:val="20"/>
                <w:color w:val="auto"/>
              </w:rPr>
            </w:pPr>
            <w:r>
              <w:rPr>
                <w:rFonts w:ascii="Arial" w:cs="Arial" w:eastAsia="Arial" w:hAnsi="Arial"/>
                <w:sz w:val="18"/>
                <w:szCs w:val="18"/>
                <w:b w:val="1"/>
                <w:bCs w:val="1"/>
                <w:color w:val="auto"/>
                <w:w w:val="99"/>
              </w:rPr>
              <w:t>2022 vs. 2021</w:t>
            </w:r>
          </w:p>
        </w:tc>
        <w:tc>
          <w:tcPr>
            <w:tcW w:w="18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14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7"/>
              </w:rPr>
              <w:t>2022 vs. 2021</w:t>
            </w:r>
          </w:p>
        </w:tc>
      </w:tr>
      <w:tr>
        <w:trPr>
          <w:trHeight w:val="227"/>
        </w:trPr>
        <w:tc>
          <w:tcPr>
            <w:tcW w:w="23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r>
      <w:tr>
        <w:trPr>
          <w:trHeight w:val="223"/>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Other income (expense),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r>
    </w:tbl>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other income (expense), net for the three months ended September 30, 2022 is primarily due to unrealized gains on foreign currency. The increase in other income (expense), net for the nine months ended September 30, 2022 is primarily due to revaluation of our 2018 Exit Fee during the three months ended June 30, 2021 following the receipt of the CRL from the FDA. Also contributing to the fluctuations during the three and nine month periods are sales of certain lab equipment and supplies for a net gain of $1.5 million during the nine months ended September 30,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cash, cash equivalents and investments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2021</w:t>
            </w:r>
          </w:p>
        </w:tc>
        <w:tc>
          <w:tcPr>
            <w:tcW w:w="34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Change $</w:t>
            </w:r>
          </w:p>
        </w:tc>
        <w:tc>
          <w:tcPr>
            <w:tcW w:w="100" w:type="dxa"/>
            <w:vAlign w:val="bottom"/>
          </w:tcPr>
          <w:p>
            <w:pPr>
              <w:spacing w:after="0"/>
              <w:rPr>
                <w:sz w:val="20"/>
                <w:szCs w:val="20"/>
                <w:color w:val="auto"/>
              </w:rPr>
            </w:pPr>
          </w:p>
        </w:tc>
        <w:tc>
          <w:tcPr>
            <w:tcW w:w="1980" w:type="dxa"/>
            <w:vAlign w:val="bottom"/>
          </w:tcPr>
          <w:p>
            <w:pPr>
              <w:jc w:val="right"/>
              <w:ind w:right="49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61,628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(15,266)</w:t>
            </w:r>
          </w:p>
        </w:tc>
        <w:tc>
          <w:tcPr>
            <w:tcW w:w="2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(34)%</w:t>
            </w:r>
          </w:p>
        </w:tc>
      </w:tr>
      <w:tr>
        <w:trPr>
          <w:trHeight w:val="248"/>
        </w:trPr>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liquid funds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(26,066)</w:t>
            </w:r>
          </w:p>
        </w:tc>
        <w:tc>
          <w:tcPr>
            <w:tcW w:w="2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September 30, 2022, we had cash, cash equivalents and investments totaling $90.6 million compared to $116.7 million as of December 31, 2021. We have incurred operating losses since inception and our accumulated deficit as of September 30, 2022 is $790.8 million. Our current level of cash and investments alone is not sufficient to meet our plans for the next twelve months following the filing of these financial statements on November 3, 2022. These factors raise substantial doubt regarding our ability to continue as a going concern for a period of one year from the issuance of these financial statements. We plan to address our operating cash flow requirements with our current cash and investments, cash generated from the product launch of IBSRELA, our potential receipt of anticipated milestone payments from our collaboration partners, our potential receipt of anticipated payments from KKC under the 2022 Amendment, our ability to access the capital markets, and execute asset monetization strategies, as well as through the implementation of cash preservation activities to reduce or defer discretionary spending.</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are no assurances that our efforts to meet our operating cash flow requirements will be successful. If our current cash and investments as well as our plans to meet our operating cash flow requirements are not sufficient to fund necessary expenditures and meet our obligations for at least the next twelve months following the issuance of these financial statements, our liquidity, financial condition and business prospects will be materially affected. These financial statements have been prepared on a going concern basis and do not include any adjustments to the amounts and classification of assets and liabilities that may be necessary in the event that we can no longer continue as a going concern.</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July 2020, we filed a Form S-3 registration statement, which became effective in August 2020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$100.0 million of our common stock that may be issued and sold, from time to time, under a sales agreement with Jefferies LLC ("Jefferies"), deemed to be “at the market offerings” (the "2020 Open Market Sales Agreement"). As of December 31, 2021, we had sold 23.3 million shares and received the maximum gross proceeds of $100.0 million pursuant to the 2020 Open Market Sales Agreement.</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2021, we filed an additional prospectus supplement under the Registration Statement for the offering, issuance and sale by us of up to a maximum aggregate offering price of $150.0 million of our common stock that may be issued and sold, from time to time, under an additional sales agreement we entered into with Jefferies (the "2021 Open Market Sales Agreement"), pursuant to which we may, from time to time, sell up to $150.0 million in shares of our common stock through Jefferies. We are not required to sell shares under the 2021 Open Market Sales Agreement. Pursuant to the 2021 Open Market Sales Agreement, Jefferies, as our sales agent, receives a commission of up to 3% of the gross sales price for shares of common stock sold under the 2021 Open Market Sales Agreement. During the three months ended September 30, 2022 we sold 32.6 million shares and received gross proceeds of $35.1 million at a weighted average sales price of approximately $1.08 per share under the 2021 Open Market Sales Agreement. During the nine months ended September 30, 2022 we sold 53.1 million shares and received gross proceeds of $54.0 million at a weighted average sales price of approximately $1.02 per share under the 2021 Open Market Sales Agreement. As of September 30, 2022, we have sold a total of 68.8 million shares and received aggregate gross proceeds of $79.0 million under the 2021 Open Market Sales Agreement.</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February 2022, we entered into a loan and security agreement (the “2022 Loan Agreement”) with SLR Investment Corp. The 2022 Loan Agreement provides for a senior secured term loan facility, with $27.5 million funded at closing and an additional $22.5 million that we may borrow on or prior to July 25, 2023; provided that (i) we have received approval by the FDA for our NDA for tenapanor for the control of serum phosphorus in chronic kidney disease patients on dialysis by December 31, 2022, and (ii) we have achieved certain product revenue milestone targets described in the 2022 Loan Agreement. The initial funding of $27.5 million is being used to repay the 2018 Loan and to fund our ongoing operations. On August 1, 2022, we entered into an amendment to the 2022 Loan Agreement with SLR Investment Corp. that extends the date by which we must receive approval by the FDA for our NDA for the control of serum phosphorus in chronic kidney disease patients on dialysis in order to borrow the additional $22.5 million from December 31, 2022 to March 31, 2023. We had $25.0 million principal from the 2018 Loan outstanding as of the closing date. In connection with entering into the 2022 Loan Agreement, we entered into an agreement, whereby we agreed to pay an exit fee in the amount of 2% of the 2022 Loan funded (the “2022 Exit Fee”) upon (i) any change of control transaction or (ii) our achievement of net revenue from the sale of any products equal to or greater than $100.0 million, measured on a six (6) months basis (the "Revenue Milestone"), tested monthly at the end of each month. Notwithstanding the prepayment or termination of the 2022 Loan, the 2022 Exit Fee will expire on February 23, 2032. We concluded that the 2022 Exit Fee is a freestanding derivative which should be accounted for at fair value on a recurring basis. The estimated fair value of the 2022 Exit Fee is recorded as a derivative liability and included in accrued expenses and other current liabilities on the accompanying condensed balance sheets.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As discussed in </w:t>
      </w:r>
      <w:r>
        <w:rPr>
          <w:rFonts w:ascii="Arial" w:cs="Arial" w:eastAsia="Arial" w:hAnsi="Arial"/>
          <w:sz w:val="17"/>
          <w:szCs w:val="17"/>
          <w:i w:val="1"/>
          <w:iCs w:val="1"/>
          <w:color w:val="auto"/>
        </w:rPr>
        <w:t>Note 16. Subsequent Events,</w:t>
      </w:r>
      <w:r>
        <w:rPr>
          <w:rFonts w:ascii="Arial" w:cs="Arial" w:eastAsia="Arial" w:hAnsi="Arial"/>
          <w:sz w:val="17"/>
          <w:szCs w:val="17"/>
          <w:color w:val="auto"/>
        </w:rPr>
        <w:t xml:space="preserve"> on October 31, 2022, we announced that our collaboration partner, KKC, submitted a New Drug Application to the Japanese Ministry of Health, Labour and Welfare for tenapanor for the improvement of hyperphosphatemia in adult patients with CKD on dialysis. This submission triggers the obligation to make an aggregate of $35.0 million to us in milestone payments and payments under the 2022 Amendment. In accordance with the terms of the 2022 Amendment, we expect to receive these payments during the fourth quarter of 2022.</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primary sources of cash have been from the sale and issuance of common stock (in both public offerings and private placements) and private placements of convertible preferred stock, funds from our collaboration partnerships and funds from our 2018 Loan Agreement and 2022 Loan Agreement.</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uses of cash have been to fund operating expenses, primarily research and development expenditures, pre-commercial and commercial expenses. Cash used to fund operating expenses is impacted by the timing of when we pay these expenses, as reflected in the change in our outstanding accounts payable and accrued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are difficult to forecast and will depend on many factors, including:</w:t>
      </w:r>
    </w:p>
    <w:p>
      <w:pPr>
        <w:spacing w:after="0" w:line="225"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are able to generate product revenue from sales of IBSRELA;</w:t>
      </w:r>
    </w:p>
    <w:p>
      <w:pPr>
        <w:spacing w:after="0" w:line="171" w:lineRule="exact"/>
        <w:rPr>
          <w:rFonts w:ascii="Arial" w:cs="Arial" w:eastAsia="Arial" w:hAnsi="Arial"/>
          <w:sz w:val="18"/>
          <w:szCs w:val="18"/>
          <w:color w:val="auto"/>
        </w:rPr>
      </w:pPr>
    </w:p>
    <w:p>
      <w:pPr>
        <w:jc w:val="both"/>
        <w:ind w:left="340" w:hanging="332"/>
        <w:spacing w:after="0" w:line="279"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18"/>
          <w:szCs w:val="18"/>
          <w:color w:val="auto"/>
        </w:rPr>
        <w:t>whether we are successful in our efforts under the FDR process, including the Advisory Committee meeting scheduled for November 16, 2022, and whether we are ultimately able to secure approval for our NDA for XPHOZAH, or to reach resolution with the FDA regarding a path to address the deficiencies in the NDA noted in the CRL, and the time and cost associated with such path;</w:t>
      </w:r>
    </w:p>
    <w:p>
      <w:pPr>
        <w:spacing w:after="0" w:line="21" w:lineRule="exact"/>
        <w:rPr>
          <w:rFonts w:ascii="Arial" w:cs="Arial" w:eastAsia="Arial" w:hAnsi="Arial"/>
          <w:sz w:val="22"/>
          <w:szCs w:val="22"/>
          <w:color w:val="auto"/>
        </w:rPr>
      </w:pPr>
    </w:p>
    <w:p>
      <w:pPr>
        <w:ind w:left="340" w:right="20" w:hanging="332"/>
        <w:spacing w:after="0" w:line="278"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availability of adequate third-party reimbursement for IBSRELA and, if approved, the sales price and the availability of adequate third-party reimbursement for XPHOZAH;</w:t>
      </w:r>
    </w:p>
    <w:p>
      <w:pPr>
        <w:ind w:left="320" w:hanging="312"/>
        <w:spacing w:after="0"/>
        <w:tabs>
          <w:tab w:leader="none" w:pos="32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manufacturing, selling and marketing costs of IBSRELA and, if approved, XPHOZAH;</w:t>
      </w:r>
    </w:p>
    <w:p>
      <w:pPr>
        <w:spacing w:after="0" w:line="66" w:lineRule="exact"/>
        <w:rPr>
          <w:rFonts w:ascii="Arial" w:cs="Arial" w:eastAsia="Arial" w:hAnsi="Arial"/>
          <w:sz w:val="22"/>
          <w:szCs w:val="22"/>
          <w:color w:val="auto"/>
        </w:rPr>
      </w:pPr>
    </w:p>
    <w:p>
      <w:pPr>
        <w:ind w:left="340" w:hanging="332"/>
        <w:spacing w:after="0" w:line="278"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9" w:lineRule="exact"/>
        <w:rPr>
          <w:rFonts w:ascii="Arial" w:cs="Arial" w:eastAsia="Arial" w:hAnsi="Arial"/>
          <w:sz w:val="22"/>
          <w:szCs w:val="22"/>
          <w:color w:val="auto"/>
        </w:rPr>
      </w:pPr>
    </w:p>
    <w:p>
      <w:pPr>
        <w:ind w:left="320" w:hanging="312"/>
        <w:spacing w:after="0"/>
        <w:tabs>
          <w:tab w:leader="none" w:pos="320" w:val="left"/>
        </w:tabs>
        <w:numPr>
          <w:ilvl w:val="0"/>
          <w:numId w:val="9"/>
        </w:numPr>
        <w:rPr>
          <w:rFonts w:ascii="Arial" w:cs="Arial" w:eastAsia="Arial" w:hAnsi="Arial"/>
          <w:sz w:val="21"/>
          <w:szCs w:val="21"/>
          <w:color w:val="auto"/>
        </w:rPr>
      </w:pPr>
      <w:r>
        <w:rPr>
          <w:rFonts w:ascii="Arial" w:cs="Arial" w:eastAsia="Arial" w:hAnsi="Arial"/>
          <w:sz w:val="17"/>
          <w:szCs w:val="17"/>
          <w:color w:val="auto"/>
        </w:rPr>
        <w:t>the timing, receipt and amount of any milestones that may be received from our collaboration partners in connection with tenapanor, if any;</w:t>
      </w:r>
    </w:p>
    <w:p>
      <w:pPr>
        <w:spacing w:after="0" w:line="44" w:lineRule="exact"/>
        <w:rPr>
          <w:rFonts w:ascii="Arial" w:cs="Arial" w:eastAsia="Arial" w:hAnsi="Arial"/>
          <w:sz w:val="21"/>
          <w:szCs w:val="21"/>
          <w:color w:val="auto"/>
        </w:rPr>
      </w:pPr>
    </w:p>
    <w:p>
      <w:pPr>
        <w:ind w:left="320" w:hanging="312"/>
        <w:spacing w:after="0"/>
        <w:tabs>
          <w:tab w:leader="none" w:pos="32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timing, receipt and amount of revenue, if any, that may be received from KKC in connection with the 2022 Amendment;</w:t>
      </w:r>
    </w:p>
    <w:p>
      <w:pPr>
        <w:spacing w:after="0" w:line="80" w:lineRule="exact"/>
        <w:rPr>
          <w:rFonts w:ascii="Arial" w:cs="Arial" w:eastAsia="Arial" w:hAnsi="Arial"/>
          <w:sz w:val="22"/>
          <w:szCs w:val="22"/>
          <w:color w:val="auto"/>
        </w:rPr>
      </w:pPr>
    </w:p>
    <w:p>
      <w:pPr>
        <w:ind w:left="340" w:hanging="332"/>
        <w:spacing w:after="0" w:line="271"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timing, receipt, and amount of sales of, or royalties we may receive as a result of sales of tenapanor by our collaboration partners in China and Canada, if any;</w:t>
      </w:r>
    </w:p>
    <w:p>
      <w:pPr>
        <w:ind w:left="320" w:hanging="312"/>
        <w:spacing w:after="0"/>
        <w:tabs>
          <w:tab w:leader="none" w:pos="32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cash requirements for the development of product candidates, including RDX013 and RDX020;</w:t>
      </w:r>
    </w:p>
    <w:p>
      <w:pPr>
        <w:spacing w:after="0" w:line="57" w:lineRule="exact"/>
        <w:rPr>
          <w:rFonts w:ascii="Arial" w:cs="Arial" w:eastAsia="Arial" w:hAnsi="Arial"/>
          <w:sz w:val="22"/>
          <w:szCs w:val="22"/>
          <w:color w:val="auto"/>
        </w:rPr>
      </w:pPr>
    </w:p>
    <w:p>
      <w:pPr>
        <w:ind w:left="320" w:hanging="312"/>
        <w:spacing w:after="0"/>
        <w:tabs>
          <w:tab w:leader="none" w:pos="32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time and cost necessary to respond to technological and market developments;</w:t>
      </w:r>
    </w:p>
    <w:p>
      <w:pPr>
        <w:spacing w:after="0" w:line="66" w:lineRule="exact"/>
        <w:rPr>
          <w:rFonts w:ascii="Arial" w:cs="Arial" w:eastAsia="Arial" w:hAnsi="Arial"/>
          <w:sz w:val="22"/>
          <w:szCs w:val="22"/>
          <w:color w:val="auto"/>
        </w:rPr>
      </w:pPr>
    </w:p>
    <w:p>
      <w:pPr>
        <w:jc w:val="both"/>
        <w:ind w:left="340" w:hanging="332"/>
        <w:spacing w:after="0" w:line="279"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ind w:left="320" w:hanging="312"/>
        <w:spacing w:after="0"/>
        <w:tabs>
          <w:tab w:leader="none" w:pos="32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payment of interest and principal related to the 2022 Loan Agreement.</w:t>
      </w:r>
    </w:p>
    <w:p>
      <w:pPr>
        <w:spacing w:after="0" w:line="242"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Please see the risk factors set forth in Part II, Item 1A, Risk Factors, in this Quarterly Report on Form 10-Q for additional risks associated with our capital requirements.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CASH FLOW ACTIVITIES</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5860" w:type="dxa"/>
            <w:vAlign w:val="bottom"/>
            <w:gridSpan w:val="2"/>
          </w:tcPr>
          <w:p>
            <w:pPr>
              <w:spacing w:after="0"/>
              <w:rPr>
                <w:sz w:val="20"/>
                <w:szCs w:val="20"/>
                <w:color w:val="auto"/>
              </w:rPr>
            </w:pPr>
            <w:r>
              <w:rPr>
                <w:rFonts w:ascii="Arial" w:cs="Arial" w:eastAsia="Arial" w:hAnsi="Arial"/>
                <w:sz w:val="18"/>
                <w:szCs w:val="18"/>
                <w:color w:val="auto"/>
              </w:rPr>
              <w:t>The following table summarizes our cash flows (dollars in thousands):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1"/>
        </w:trPr>
        <w:tc>
          <w:tcPr>
            <w:tcW w:w="4820" w:type="dxa"/>
            <w:vAlign w:val="bottom"/>
          </w:tcPr>
          <w:p>
            <w:pPr>
              <w:spacing w:after="0"/>
              <w:rPr>
                <w:sz w:val="24"/>
                <w:szCs w:val="24"/>
                <w:color w:val="auto"/>
              </w:rPr>
            </w:pPr>
          </w:p>
        </w:tc>
        <w:tc>
          <w:tcPr>
            <w:tcW w:w="3720" w:type="dxa"/>
            <w:vAlign w:val="bottom"/>
            <w:gridSpan w:val="6"/>
          </w:tcPr>
          <w:p>
            <w:pPr>
              <w:ind w:left="460"/>
              <w:spacing w:after="0"/>
              <w:rPr>
                <w:sz w:val="20"/>
                <w:szCs w:val="20"/>
                <w:color w:val="auto"/>
              </w:rPr>
            </w:pPr>
            <w:r>
              <w:rPr>
                <w:rFonts w:ascii="Arial" w:cs="Arial" w:eastAsia="Arial" w:hAnsi="Arial"/>
                <w:sz w:val="18"/>
                <w:szCs w:val="18"/>
                <w:b w:val="1"/>
                <w:bCs w:val="1"/>
                <w:color w:val="auto"/>
              </w:rPr>
              <w:t>Nine Months Ended September 30,</w:t>
            </w:r>
          </w:p>
        </w:tc>
        <w:tc>
          <w:tcPr>
            <w:tcW w:w="320" w:type="dxa"/>
            <w:vAlign w:val="bottom"/>
          </w:tcPr>
          <w:p>
            <w:pPr>
              <w:spacing w:after="0"/>
              <w:rPr>
                <w:sz w:val="24"/>
                <w:szCs w:val="24"/>
                <w:color w:val="auto"/>
              </w:rPr>
            </w:pPr>
          </w:p>
        </w:tc>
        <w:tc>
          <w:tcPr>
            <w:tcW w:w="238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8"/>
              </w:rPr>
              <w:t>Change 2022 vs. 2021</w:t>
            </w:r>
          </w:p>
        </w:tc>
      </w:tr>
      <w:tr>
        <w:trPr>
          <w:trHeight w:val="223"/>
        </w:trPr>
        <w:tc>
          <w:tcPr>
            <w:tcW w:w="48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top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4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(84,328)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(113,082)</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28,754</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104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16,974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28,852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(11,878)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56,554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68,486</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(10,800)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(15,744)</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during the nine months ended September 30, 2022 decreased by $28.8 million primarily as a result of decreased spending on research and development expenses during the nine months ended September 30, 2022 as compared to the nine months ended September 30, 2021. Partially offsetting the net loss improvement were changes to our operating assets and liabilities related to expenditures for commercial manufacturing and inventory for the production of IBSRELA.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investing activities decreased by $11.9 million due to the timing of our investment maturities and purchases, as well as $1.8 million proceeds from sale of laboratory equipment and supplies during the nine months ended September 30,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cash provided by financing activities decreased by $11.9 million primarily due to net proceeds from issuance of our common stock pursuant to the at the market offerings of $67.2 million during the nine months ended September 30, 2021 compared to $52.8 million during the nine months ended September 30, 2022. In addition, during the nine months ended September 30, 2022, we received net proceeds of $27.0 million pursuant to the 2022 Loan Agreement, $9.6 million in proceeds for the sale of certain future royalties, and repaid $33.0 million, net of settlement costs, to repay the 2018 Loan.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2022 and 2021, respectively, we did not have any off-balance sheet arrangements as defined in Item 303(a)(4) of Regulation S-K as promulgated by the SEC.</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are subject to market risks, including interest rate fluctuation exposure through our investments, in the ordinary course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However,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an increase in interest rates would have any material negative impact on the fair value of our cash equivalents.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September 30, 2022, we had cash, cash equivalents and investments of $90.6 million, which consist of bank deposits and money market funds, as well as high quality fixed income instruments including corporate bonds, commercial paper, and asset-backed securities collateralized by non-mortgage consumer receivables. The credit rating of our investments must be rated A-1/P-1, or better by Standard and Poor’s and Moody’s Investors Service. Asset-backed securities must be rated AAA/Aaa. Money Market funds must be rated AAA/Aaa.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interest rate fluctuation exposure through our borrowings under the Loan Agreement and our investment in money market accounts which bear a variable interest rate. Borrowings under the 2022 Loan bear interest at a floating per annum rate equal to 7.95% plus the greater of (i) one tenth percent (0.10%) and (ii) the one-month rate published by the Intercontinental Exchange Benchmark Administration Ltd ("ICE") or its successor. A hypothetical increase in one-month ICE of 100 basis points above the current one-month ICE rates would have increased our interest expense by approximately $0.2 million for the three and nine months ended September 30, 2022. As of September 30, 2022, we had an aggregate principal amount of $27.5 million outstanding pursuant to our 2022 Loan Agreement.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The majority of our transactions are denominated in U.S. dollars. However, we do have certain transactions that are denominated in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currencies other than the U.S. dollar, primarily Swiss francs and the euro, and we therefore are subject to foreign exchange risk. The fluctuation in the value of the U.S. dollar against other currencies affects the reported amounts of expenses, assets and liabilities associated with a limited number of manufacturing activities.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use derivative financial instruments for speculative trading purposes, nor do we hedge foreign currency exchange rate exposure in a manner that entirely offsets the earnings effects of changes in foreign currency exchange rates. The counterparties to our forward foreign currency exchange contracts are creditworthy commercial banks, which minimizes the risk of counterparty nonperformance.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we had no open forward foreign currency exchange contracts.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required by Rule 13a-15(b) under the Securities Exchange Act of 1934, as amended (the “Exchange Act”), our management, under the supervision and with the participation of our principal executive officer and principal financial officer, has evaluated the effectiveness of the design and operation of our disclosure controls and procedures (as such term is defined in Rules 13a-15(e) and 15d-15(e) under the Exchange Act) as of September 30, 2022.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financial officer have concluded that, as of September 30, 2022, our disclosure controls and procedures were effective at a reasonable assurance level.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2022, we implemented certain internal controls in connection with our product launch. There were no other changes in our internal control over financial reporting that occurred during our most recent fiscal quarter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7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PART II.</w:t>
        <w:tab/>
        <w:t>OTHER INFORMATION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July 30 and August 12, 2021, two putative securities class action lawsuits were commenced in the U.S. District Court for the Northern District of California naming as defendants Ardelyx and two current officers captioned </w:t>
      </w:r>
      <w:r>
        <w:rPr>
          <w:rFonts w:ascii="Arial" w:cs="Arial" w:eastAsia="Arial" w:hAnsi="Arial"/>
          <w:sz w:val="17"/>
          <w:szCs w:val="17"/>
          <w:i w:val="1"/>
          <w:iCs w:val="1"/>
          <w:color w:val="auto"/>
        </w:rPr>
        <w:t>Strezsak v. Ardelyx, Inc., et al.</w:t>
      </w:r>
      <w:r>
        <w:rPr>
          <w:rFonts w:ascii="Arial" w:cs="Arial" w:eastAsia="Arial" w:hAnsi="Arial"/>
          <w:sz w:val="17"/>
          <w:szCs w:val="17"/>
          <w:color w:val="auto"/>
        </w:rPr>
        <w:t xml:space="preserve">, Case No. 4:21-cv-05868-HSG, and </w:t>
      </w:r>
      <w:r>
        <w:rPr>
          <w:rFonts w:ascii="Arial" w:cs="Arial" w:eastAsia="Arial" w:hAnsi="Arial"/>
          <w:sz w:val="17"/>
          <w:szCs w:val="17"/>
          <w:i w:val="1"/>
          <w:iCs w:val="1"/>
          <w:color w:val="auto"/>
        </w:rPr>
        <w:t>Siegel v.</w:t>
      </w:r>
      <w:r>
        <w:rPr>
          <w:rFonts w:ascii="Arial" w:cs="Arial" w:eastAsia="Arial" w:hAnsi="Arial"/>
          <w:sz w:val="17"/>
          <w:szCs w:val="17"/>
          <w:color w:val="auto"/>
        </w:rPr>
        <w:t xml:space="preserve"> </w:t>
      </w:r>
      <w:r>
        <w:rPr>
          <w:rFonts w:ascii="Arial" w:cs="Arial" w:eastAsia="Arial" w:hAnsi="Arial"/>
          <w:sz w:val="17"/>
          <w:szCs w:val="17"/>
          <w:i w:val="1"/>
          <w:iCs w:val="1"/>
          <w:color w:val="auto"/>
        </w:rPr>
        <w:t>Ardelyx, Inc., et al.</w:t>
      </w:r>
      <w:r>
        <w:rPr>
          <w:rFonts w:ascii="Arial" w:cs="Arial" w:eastAsia="Arial" w:hAnsi="Arial"/>
          <w:sz w:val="17"/>
          <w:szCs w:val="17"/>
          <w:color w:val="auto"/>
        </w:rPr>
        <w:t>, Case No. 5:21-cv-06228-HSG (together, the “Securities Class Actions”). The complaints allege that the defendants violated Sections</w:t>
      </w:r>
      <w:r>
        <w:rPr>
          <w:rFonts w:ascii="Arial" w:cs="Arial" w:eastAsia="Arial" w:hAnsi="Arial"/>
          <w:sz w:val="17"/>
          <w:szCs w:val="17"/>
          <w:i w:val="1"/>
          <w:iCs w:val="1"/>
          <w:color w:val="auto"/>
        </w:rPr>
        <w:t xml:space="preserve"> </w:t>
      </w:r>
      <w:r>
        <w:rPr>
          <w:rFonts w:ascii="Arial" w:cs="Arial" w:eastAsia="Arial" w:hAnsi="Arial"/>
          <w:sz w:val="17"/>
          <w:szCs w:val="17"/>
          <w:color w:val="auto"/>
        </w:rPr>
        <w:t>10(b) and 20(a) of the Securities Exchange Act of 1934, as amended, and Rule 10b-5 thereunder, by making false and misleading statements and omissions of material fact related to tenapanor. The plaintiffs seek to represent all persons who purchased or otherwise acquired Ardelyx securities between August 6, 2020, and July 19, 2021. The plaintiffs seek damages and interest, and an award of costs, including attorneys’ fees. On July 19, 2022, the court consolidated the two putative class actions and appointed a lead plaintiff and lead counsel. The lead plaintiff filed an amended complaint on September 29, 2022. Defendant’s motion to dismiss the amended complaint is due December 2, 2022. A hearing on the anticipated motion to dismiss has not yet been scheduled. We believe the plaintiff’s claims are without merit and we have not recorded any accrual for a contingent liability associated with these legal proceedings.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7, 2021 and March 29, 2022, two verified shareholders derivative lawsuits were filed purportedly on behalf of Ardelyx against certain of Ardelyx’s executive officers and members of our board of directors, captioned Go v. Raab, et al., Case No. 4:21-cv-09455-HSG, and Morris v. Raab, et al., Case No. 4:22-cv-01988-JSC. The complaints allege violations of Section 14(a) of the Exchange Act, breaches of fiduciary duties, unjust enrichment, abuse of control, gross mismanagement, and waste, and seek contribution under Sections 10(b) and 21D of the Securities Exchange Act of 1934 from two executive officers. On January 19, and April 27, 2022, the court granted the parties’ stipulation to stay the Go and Morris actions, respectively, until resolution of the anticipated motion(s) to dismiss in the Securities Class Actions. On October 25, 2022, the parties filed a stipulation to consolidate and stay the Go and Morris actions, and on October 27, 2022, the court consolidated the Go and Morris action and stayed the consolidated action pending resolution of the anticipated motion(s) to dismiss in the Securities Class Action.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As of September 30, 2022, there is no litigation pending that would reasonably be expected to have a material adverse effect on our results of operations and financial condition, and no contingent liabilities were accrued as of September 30, 2022.</w:t>
      </w:r>
    </w:p>
    <w:p>
      <w:pPr>
        <w:spacing w:after="0" w:line="18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these risks, as well as other information in this Quarterly Report on Form 10-Q, including our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have incurred significant losses since our inception and will incur losses in the future, which makes it difficult for us to assess our future viability; although our financial statements have been prepared on a going concern basis, our current level of cash and investments alone is not sufficient to meet our operating plans for the next twelve months, raising substantial doubt regarding our ability to continue as a going concern.</w:t>
      </w:r>
    </w:p>
    <w:p>
      <w:pPr>
        <w:spacing w:after="0" w:line="17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We recently commenced the commercialization of our first product, IBSRELA</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(tenapanor) for the treatment of irritable bowel syndrome with constipation (“IBS-C”), and have generated limited revenue from product sales to date.</w:t>
      </w: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not profitable and have incurred losses in each year since our inception in October 2007, and we do not know whether or when we will become profitable. We continue to incur significant commercialization, development and other expenses related to our ongoing operations. As of September 30, 2022, we had an accumulated deficit of $790.8 million.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expect to continue to incur substantial operating losses for the foreseeable future as we commercialize IBSRELA, seek to gain approval for XPHOZAH</w:t>
      </w:r>
      <w:r>
        <w:rPr>
          <w:rFonts w:ascii="Arial" w:cs="Arial" w:eastAsia="Arial" w:hAnsi="Arial"/>
          <w:sz w:val="20"/>
          <w:szCs w:val="20"/>
          <w:b w:val="1"/>
          <w:bCs w:val="1"/>
          <w:color w:val="auto"/>
          <w:vertAlign w:val="superscript"/>
        </w:rPr>
        <w:t>®</w:t>
      </w:r>
      <w:r>
        <w:rPr>
          <w:rFonts w:ascii="Arial" w:cs="Arial" w:eastAsia="Arial" w:hAnsi="Arial"/>
          <w:sz w:val="16"/>
          <w:szCs w:val="16"/>
          <w:color w:val="auto"/>
        </w:rPr>
        <w:t xml:space="preserve"> (tenapanor) for the control of serum phosphorus in adult patients with chronic kidney disease (“CKD”) on dialysis (the “Hyperphosphatemia Indication”); prepare for the potential commercialization of XPHOZAH, if approved; and incur manufacturing and development cost for, tenapanor.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Ernst &amp; Young LLP, our independent registered public accounting firm for the fiscal year ended December 31, 2021, has included an explanatory paragraph in their opinion that accompanies our audited financial statements as of the year ended December 31, 2021, indicating our current liquidity position raises substantial doubt about our ability to continue as a going concern. We plan to address our operating cash flow requirements with our current cash and investments, cash generated from the product launch of IBSRELA, our potential receipt of anticipated milestone payments from our collaboration partners, our potential receipt of anticipated payments from our collaboration partner, Kyowa Kirin, Co., Ltd. (“KKC”) in connection with the transaction entered into with KKC in March 2022 which amended our License Agreement entered into with KKC in 2017 (the “2022 KKC Amendment”); our ability to access the capital markets, as well as through the implementation of cash preservation activities to reduce or defer discretionary spending.</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no assurances that our efforts to meet our operating cash flow requirements will be successful. If our current cash and investments as well as our plans to meet our operating cash flow requirements are not sufficient to fund necessary expenditures and meet our obligations for at least the next twelve months, our liquidity, financial condition and business prospects will be materially affected.</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prior losses, combined with expected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Internal Revenue Code Sections 382 and 383, as a result of ownership changes that have occurred previously and additional limitations may be applicable as a result of ownership changes that could occur in the future.</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We will require substantial additional financing for the foreseeable future as we invest in the commercialization of IBSRELA and prepare for and participate in a Cardiovascular and Renal Drugs Advisory Committee (“Advisory Committee”) meeting scheduled for November 16, 2022, in connection with the formal dispute resolution ("FDR") process commenced in response to the Complete Response Letter (“CRL”) received from the U.S. Food and Drug Administration (“FDA”) relating to our New Drug Application (“NDA”) for tenapanor for the Hyperphosphatemia Indication. The inability to access necessary capital when needed on acceptable terms, or at all, could force us to reduce our efforts to commercialize IBSRELA or delay, limit, reduce or terminate our efforts to seek and obtain approval for tenapanor for the Hyperphosphatemia Indication or, if approved, the commercialization of XPHOZAH.</w:t>
      </w:r>
    </w:p>
    <w:p>
      <w:pPr>
        <w:spacing w:after="0" w:line="22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Since our inception, most of our resources have been dedicated to our research and development activities, including developing tenapanor. We believe that we will continue to expend substantial resources for the foreseeable future, including, costs associated with our efforts to commercialize IBSRELA, which we began selling in the U.S. in March 2022, cost associated with our efforts to pursue approval for our NDA for tenapanor for the Hyperphosphatemia Indication through the FDR process, and Advisory Committee meeting; conducting pediatric clinical trials for IBSRELA and XPHOZAH, if approved, and manufacturing for IBSRELA and, if approved, XPHOZAH. Our future funding requirements will depend on many factors, including, but not limited to:</w:t>
      </w:r>
    </w:p>
    <w:p>
      <w:pPr>
        <w:spacing w:after="0" w:line="188"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are able to generate product revenue from sales of IBSRELA;</w:t>
      </w:r>
    </w:p>
    <w:p>
      <w:pPr>
        <w:spacing w:after="0" w:line="117" w:lineRule="exact"/>
        <w:rPr>
          <w:rFonts w:ascii="Arial" w:cs="Arial" w:eastAsia="Arial" w:hAnsi="Arial"/>
          <w:sz w:val="18"/>
          <w:szCs w:val="18"/>
          <w:color w:val="auto"/>
        </w:rPr>
      </w:pPr>
    </w:p>
    <w:p>
      <w:pPr>
        <w:jc w:val="both"/>
        <w:ind w:left="340" w:hanging="332"/>
        <w:spacing w:after="0" w:line="286" w:lineRule="auto"/>
        <w:tabs>
          <w:tab w:leader="none" w:pos="3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whether we are successful in our efforts under the FDR process, including the Advisory Committee meeting scheduled for November 16, 2022, and whether we are ultimately able to secure approval for our NDA for tenapanor for the Hyperphosphatemia Indication, or to reach resolution with the FDA regarding a path to address the deficiencies in the NDA noted in the CRL, and the time and cost associated with such path;</w:t>
      </w:r>
    </w:p>
    <w:p>
      <w:pPr>
        <w:spacing w:after="0" w:line="57" w:lineRule="exact"/>
        <w:rPr>
          <w:rFonts w:ascii="Arial" w:cs="Arial" w:eastAsia="Arial" w:hAnsi="Arial"/>
          <w:sz w:val="17"/>
          <w:szCs w:val="17"/>
          <w:color w:val="auto"/>
        </w:rPr>
      </w:pPr>
    </w:p>
    <w:p>
      <w:pPr>
        <w:ind w:left="340" w:right="20" w:hanging="332"/>
        <w:spacing w:after="0" w:line="277"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adequate third-party reimbursement for IBSRELA and, if approved, the sales price and the availability of adequate third-party reimbursement for XPHOZAH;</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IBSRELA and, if approved, XPHOZAH;</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timing, receipt and amount of any milestones that may be received from our collaboration partners in connection with tenapanor, if any;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receipt and amount of revenue, if any, that may be received from KKC in connection with the 2022 KKC Amendment;</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timing, receipt, and amount of royalties we may receive as a result of sales of tenapanor by our collaboration partners in China and Canada, if any;</w:t>
      </w:r>
    </w:p>
    <w:p>
      <w:pPr>
        <w:spacing w:after="0" w:line="140" w:lineRule="exact"/>
        <w:rPr>
          <w:rFonts w:ascii="Arial" w:cs="Arial" w:eastAsia="Arial" w:hAnsi="Arial"/>
          <w:sz w:val="16"/>
          <w:szCs w:val="16"/>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cash requirements for the development of product candidates, including RDX013 and RDX020;</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75"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payment of interest and principal related to our loan and security agreement entered into with SLR Investment Corp. in February 2022.</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 funds may not be available when we need them on terms that are acceptable to us, or at all. If adequate funds are not available to us on a timely basis, we may be required to limit or reduce our commercialization of IBSRELA, or delay, limit, reduce or terminate our efforts to secure approval for XPHOZAH for the Hyperphosphatemia Indication or, if approved, the commercialization of XPOZAH, or delay or limit additional clinical trials for tenapanor. Additionally, our inability to access capital on a timely basis and on terms that are acceptable to us may force us to restructure certain aspects of our business or identify and complete one or more strategic collaborations or other transactions in order to fund the commercialization of IBSRELA or the development and commercialization of XPHOZAH, if approved, through the use of alternative structures.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meet the continued listing requirements of The Nasdaq Global Market could result in a de-listing of our common stock</w:t>
      </w:r>
      <w:r>
        <w:rPr>
          <w:rFonts w:ascii="Arial" w:cs="Arial" w:eastAsia="Arial" w:hAnsi="Arial"/>
          <w:sz w:val="17"/>
          <w:szCs w:val="17"/>
          <w:color w:val="auto"/>
        </w:rPr>
        <w:t>.</w:t>
      </w:r>
    </w:p>
    <w:p>
      <w:pPr>
        <w:spacing w:after="0" w:line="26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we fail to satisfy the continued listing requirements of The Nasdaq Global Market ("Nasdaq") such as the minimum stockholders’ equity requirement or the minimum closing bid price requirement, Nasdaq may take steps to de-list our common stock. For example, on each of February 28, 2022 and May 23, 2022, we received a letter from Nasdaq indicating that Nasdaq had determined that we had failed to comply with the minimum bid price requirement of Nasdaq Listing Rule 5550(a)(2). Nasdaq Listing Rule 5550(a)(2) requires that companies listed on the Nasdaq Global Market maintain a minimum closing bid price of at least $1.00 per share (the “Listing Requirement”). On each of March 31, 2022 and September 19, 2022, we received a letter from Nasdaq, indicating that we had regained compliance with the Listing Requirement after the closing bid price for its common stock listed on Nasdaq equaled or exceeded $1.00 per share for ten (10) consecutive business days. There can be no assurances that we will continue to remain in compliance with the Listing Requirement. In the event that we are not able to comply with the Listing Requirement, there can be no assurances that we will be able to regain compliance with the Listing Requirement in the time frame that may be afforded us by Nasdaq. If we fail to regain compliance with this requirement, or any other of the continued listing requirements of The Nasdaq Global Market, Nasdaq may take steps to de-list our common stock.</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Nasdaq de-lists our securities for trading on the Nasdaq or takes other actions with respect to our Nasdaq listing, we could face significant adverse consequences, including:</w:t>
      </w:r>
    </w:p>
    <w:p>
      <w:pPr>
        <w:spacing w:after="0" w:line="197" w:lineRule="exact"/>
        <w:rPr>
          <w:sz w:val="20"/>
          <w:szCs w:val="20"/>
          <w:color w:val="auto"/>
        </w:rPr>
      </w:pPr>
    </w:p>
    <w:p>
      <w:pPr>
        <w:ind w:left="120" w:hanging="112"/>
        <w:spacing w:after="0"/>
        <w:tabs>
          <w:tab w:leader="none" w:pos="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common stock;</w:t>
      </w:r>
    </w:p>
    <w:p>
      <w:pPr>
        <w:spacing w:after="0" w:line="117" w:lineRule="exact"/>
        <w:rPr>
          <w:rFonts w:ascii="Arial" w:cs="Arial" w:eastAsia="Arial" w:hAnsi="Arial"/>
          <w:sz w:val="18"/>
          <w:szCs w:val="18"/>
          <w:color w:val="auto"/>
        </w:rPr>
      </w:pPr>
    </w:p>
    <w:p>
      <w:pPr>
        <w:ind w:left="120" w:hanging="112"/>
        <w:spacing w:after="0"/>
        <w:tabs>
          <w:tab w:leader="none" w:pos="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liquidity with respect to our common stock;</w:t>
      </w:r>
    </w:p>
    <w:p>
      <w:pPr>
        <w:spacing w:after="0" w:line="117" w:lineRule="exact"/>
        <w:rPr>
          <w:rFonts w:ascii="Arial" w:cs="Arial" w:eastAsia="Arial" w:hAnsi="Arial"/>
          <w:sz w:val="18"/>
          <w:szCs w:val="18"/>
          <w:color w:val="auto"/>
        </w:rPr>
      </w:pPr>
    </w:p>
    <w:p>
      <w:pPr>
        <w:ind w:left="120" w:hanging="112"/>
        <w:spacing w:after="0"/>
        <w:tabs>
          <w:tab w:leader="none" w:pos="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trading volume in and market price of our common stock;</w:t>
      </w:r>
    </w:p>
    <w:p>
      <w:pPr>
        <w:spacing w:after="0" w:line="117" w:lineRule="exact"/>
        <w:rPr>
          <w:rFonts w:ascii="Arial" w:cs="Arial" w:eastAsia="Arial" w:hAnsi="Arial"/>
          <w:sz w:val="18"/>
          <w:szCs w:val="18"/>
          <w:color w:val="auto"/>
        </w:rPr>
      </w:pPr>
    </w:p>
    <w:p>
      <w:pPr>
        <w:ind w:left="120" w:hanging="112"/>
        <w:spacing w:after="0"/>
        <w:tabs>
          <w:tab w:leader="none" w:pos="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17" w:lineRule="exact"/>
        <w:rPr>
          <w:rFonts w:ascii="Arial" w:cs="Arial" w:eastAsia="Arial" w:hAnsi="Arial"/>
          <w:sz w:val="18"/>
          <w:szCs w:val="18"/>
          <w:color w:val="auto"/>
        </w:rPr>
      </w:pPr>
    </w:p>
    <w:p>
      <w:pPr>
        <w:ind w:left="120" w:hanging="112"/>
        <w:spacing w:after="0"/>
        <w:tabs>
          <w:tab w:leader="none" w:pos="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Such a de-listing would likely have an adverse effect on the price of our common stock and would impair the ability of our stockholders to sell or purchase our common stock. We can provide no assurance that in the event of a delisting any action taken by us would allow our common stock to remain listed or to become listed again, stabilize the market price or improve the liquidity or trading volume of our common stock, prevent our common capitalization and stockholder’s equity from dropping below the Nasdaq minimum requirements, or prevent other future non-compliance with Nasdaq’s continued listing requirements.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generated limited revenue from product sales and may never be profitable.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began selling IBSRELA in the U.S. in March 2022, and have generated limited revenue from product sales to date. We have no other products approved for sale and have received a CRL from the FDA for our NDA for tenapanor for the Hyperphosphatemia Indication and an Appeal Denied Letter (“ADL”) in response to our first level of appeal of the CRL to the FDA Office of Cardiology, Hematology, Endocrinology and Nephrology (“OCHEN”). Additionally, we have received an Interim Response (the “Interim Response”) to our second level of appeal to the Office of New Drugs (“OND”), Center for Drug Evaluation and Research (CDER), in which OND indicated that additional input from the Advisory Committee, in general, and specifically from experts, including clinicians would be valuable in further considering the clinical meaningfulness of the phosphate lowering effect observed in our phase 3 clinical program for tenapanor for the Hyperphosphatemia Indication. OND has directed the Division of Cardiology and Nephrology of OCHEN (the “Division”) to convene the Advisory Committee, and a the Advisory Committee meeting scheduled for November 16, 2022. There can be no assurances that the response from the Advisory Committee will be positive, or that approval of our NDA will ultimately be granted by the FDA. To date, we have generated limited product revenue from product sales of IBSRELA. There can be no assurances that we will be successful in increasing the amount of product revenue from sales of IBSRELA. There can be no assurances that we will generate sufficient product revenue from sales of IBSRELA and, if approved, XPHOZAH, to cover our expenses. Our ability to generate product revenue from sales or pursuant to milestone payments depends heavily on many factors, including but not limited to:</w:t>
      </w:r>
    </w:p>
    <w:p>
      <w:pPr>
        <w:spacing w:after="0" w:line="213"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commercialize IBSRELA;</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market acceptance of IBSRELA as a viable treatment option for IBS-C;</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and sustain an adequate level of coverage and reimbursement for IBSRELA by third-party payors;</w:t>
      </w:r>
    </w:p>
    <w:p>
      <w:pPr>
        <w:spacing w:after="0" w:line="117" w:lineRule="exact"/>
        <w:rPr>
          <w:rFonts w:ascii="Arial" w:cs="Arial" w:eastAsia="Arial" w:hAnsi="Arial"/>
          <w:sz w:val="18"/>
          <w:szCs w:val="18"/>
          <w:color w:val="auto"/>
        </w:rPr>
      </w:pPr>
    </w:p>
    <w:p>
      <w:pPr>
        <w:jc w:val="both"/>
        <w:ind w:left="340" w:hanging="332"/>
        <w:spacing w:after="0" w:line="286" w:lineRule="auto"/>
        <w:tabs>
          <w:tab w:leader="none" w:pos="3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whether we are successful in our efforts during the Advisory Committee meeting and under the FDR process to secure approval for our NDA for tenapanor for the Hyperphosphatemia Indication, or whether we are otherwise able during the FDR to reach resolution with the FDA regarding a path to addressing the deficiencies in our NDA noted in the CRL, ADL and Interim Response and the time and cost associated with such path;</w:t>
      </w:r>
    </w:p>
    <w:p>
      <w:pPr>
        <w:spacing w:after="0" w:line="57" w:lineRule="exact"/>
        <w:rPr>
          <w:rFonts w:ascii="Arial" w:cs="Arial" w:eastAsia="Arial" w:hAnsi="Arial"/>
          <w:sz w:val="17"/>
          <w:szCs w:val="17"/>
          <w:color w:val="auto"/>
        </w:rPr>
      </w:pPr>
    </w:p>
    <w:p>
      <w:pPr>
        <w:ind w:left="340" w:right="2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 that can provide an adequate (in amount and quality) supply of product to support the market demand for IBSRELA, and, if approved, XPHOZAH;</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340" w:right="20" w:hanging="332"/>
        <w:spacing w:after="0" w:line="308" w:lineRule="auto"/>
        <w:tabs>
          <w:tab w:leader="none" w:pos="3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38" w:lineRule="exact"/>
        <w:rPr>
          <w:rFonts w:ascii="Arial" w:cs="Arial" w:eastAsia="Arial" w:hAnsi="Arial"/>
          <w:sz w:val="17"/>
          <w:szCs w:val="17"/>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With respect to our commercialization of IBSRELA, and if we are successful in obtaining regulatory approval to market XPHOZAH, our revenue will be dependent, in part, upon the size of the markets in the U.S. and the label for which approval is or was granted, acceptance of the price for the product, and the ability to get reimbursement at any price. While there is significant uncertainty related to the insurance coverage and reimbursement of newly approved products in general in the United States, there is additional uncertainty related to insurance coverage and reimbursement for drugs, like XPHOZAH, which, if approved, will be marketed for the control of serum phosphorus in adult patients with CKD on dialysis or for another other related indication. If we are successful in obtaining regulatory approval to market XPHOZAH for such indication, our ability to generate and sustain future revenues from sales of tenapanor for such indication, may be dependent upon whether and when XPHOZAH, along with other oral ESRD related drugs without an injectable or intravenous equivalent, are bundled into the ESRD prospective payment system, and the manner in which such introduction into the ESRD prospective payment system may occur. See “Third-party payor coverage and reimbursement status of newly-approved products is uncertain. Failure to obtain or maintain adequate coverage and reimbursement for IBSRELA or, if approved, XPHOZAH, could limit our ability to market those products and decrease our ability to generate revenue” below. Additionally, if the number of adult patients for IBSRELA or, if approved, XPHOZAH is not as significant as we estimate, the indication approved by regulatory authorities for XPHOZAH is narrower than we expect, coverage and reimbursement for either IBSRELA or, if approved, XPHOZAH are not available in the manner and to the extent we expect, or the reasonably accepted population for treatment is narrowed by competition, physician choice or treatment guidelines, we may not generate significant revenue from the sale of IBSRELA or, if approved, XPHOZAH. Even if we achieve profitability in the future, we may not be able to sustain profitability in subsequent periods. Our failure to generate adequate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Risks Related to Our Business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substantially dependent on the successful launch and commercialization of IBSRELA for IBS-C, and there is no guarantee that we will achieve sufficient market acceptance for IBSRELA; secure adequate coverage and reimbursement for IBSRELA; or generate sufficient revenue from product sales of IBSRELA.</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began selling IBSRELA, our approved treatment for IBS-C in adults in the U.S. in March 2022. The overall commercial success of IBSRELA will depend on a number of factors, including the following:</w:t>
      </w:r>
    </w:p>
    <w:p>
      <w:pPr>
        <w:spacing w:after="0" w:line="197" w:lineRule="exact"/>
        <w:rPr>
          <w:sz w:val="20"/>
          <w:szCs w:val="20"/>
          <w:color w:val="auto"/>
        </w:rPr>
      </w:pPr>
    </w:p>
    <w:p>
      <w:pPr>
        <w:ind w:left="34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the third-party manufacturers we contract with to provide an adequate (in amount and quality) supply of product to support the market demand for IBSRELA;</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and sustain an adequate level of coverage and reimbursement for IBSRELA by third-party payors;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IBSRELA as a treatment for adult patients with IBS-C;</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of the treatable patient population;</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sales, market access and marketing efforts;</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physicians view IBSRELA as a safe and effective treatment for adult patients with IBS-C, which will impact the adoption of IBSRELA by physicians for the treatment of IBS-C;</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IBSRELA compared to alternative and competing treatments;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of IBSRELA;</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potential involvement in lawsuits in connection with enforcing intellectual property rights in and to IBSRELA;</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potential involvement in third-party interference, opposition, derivation or similar proceedings with respect to our patent rights directed to IBSRELA, and avoiding other challenges to our patent rights and patent infringement claims; and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continued acceptable safety and tolerability profile of IBSRELA following approval.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amount of potential revenue we may achieve from the commercialization of IBSRELA is subject to these and other factors, and may be unpredictable from quarter-to-quarter. If the number of patients in the market for IBSRELA or the price that the market can bear is not as significant as we estimate, or if we are not able to secure adequate physician and patient acceptance of IBSRELA or adequate coverage and reimbursement for IBSRELA, we may not generate sufficient revenue from sales of IBSRELA. Any failure of IBSRELA to achieve market acceptance, sufficient third-party coverage or reimbursement, or commercial success for would adversely affect our results of operations.</w:t>
      </w:r>
    </w:p>
    <w:p>
      <w:pPr>
        <w:spacing w:after="0" w:line="21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We are pursuing regulatory approval for tenapanor for the Hyperphosphatemia Indication. There can be no assurances that we will be successful in obtaining such regulatory approval.</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pursuing regulatory approval for tenapanor for the control of serum phosphorus in adult patients with CKD on dialysis. To date, we have invested a significant amount of our efforts and financial resources in the research and development of tenapanor for the control of serum phosphorus in adult patients with CKD on dialysis. On July 28, 2021, we received a CRL from the Division regarding our NDA for tenapanor for the control of serum phosphorus in adult patients with CKD on dialysis. According to the CRL, the FDA has determined that the magnitude of the treatment effect observed in our Phase 3 clinical trials was small and of unclear of clinical significance. In December 2021, we submitted a Formal Dispute Resolution Request (“FDRR”) in. The FDRR was focused on demonstrating that the data submitted in the NDA supported the clinical significance of the treatment effect of tenapanor. On February 4, 2022, we received an ADL from OCHEN. On February 18, 2022, we submitted an appeal of the ADL to the FDA’s Center for Drug Evaluation and Research, Office of New Drugs (“OND”), and on April 15, 2022, we received an Interim Response from OND. The Interim Response indicated that OND would direct the Division to convene the Advisory Committee to provide additional input for consideration by OND, and the Advisory Committee meeting has been scheduled for November 16, 2022. OND expects to provide a response to the FDR within thirty (30) days after the conclusion of the Advisory Committee meeting. There can be no assurances that the response from the Advisory Committee will be positive, or that approval of the NDA will ultimately be granted by the FDA.</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Even if we are successful in obtaining regulatory approval for tenapanor for the Hyperphosphatemia Indication, the expense and time required to do so could adversely impact our ability to successfully commercialize XPHOZAH for the Hyperphosphatemia Indication.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not be successful in obtaining approval for tenapanor for the Hyperphosphatemia Indication, and if we are able to obtain approval, the expense and time to do so could adversely impact our ability to successfully commercialize XPHOZAH for the Hyperphosphatemia Indication, our business and our results of operations. If we are successful in obtaining approval for XPHOZAH for the Hyperphosphatemia Indication, the commercial success of XPHOZAH will depend on a number of factors, including the following:</w:t>
      </w:r>
    </w:p>
    <w:p>
      <w:pPr>
        <w:spacing w:after="0" w:line="214" w:lineRule="exact"/>
        <w:rPr>
          <w:sz w:val="20"/>
          <w:szCs w:val="20"/>
          <w:color w:val="auto"/>
        </w:rPr>
      </w:pPr>
    </w:p>
    <w:p>
      <w:pPr>
        <w:ind w:left="340" w:hanging="332"/>
        <w:spacing w:after="0" w:line="27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the third-party manufacturers we contract with to provide an adequate (in amount and quality) supply of product to support the market demand for both IBSRELA and XPHOZAH;</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or not the content and breadth of the label approved by the FDA for XPHOZAH may materially and adversely impact our ability to commercialize the product for the approved indication;</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or when XPHOZAH, along with other oral end-stage renal disease (“ESRD”) related drugs without an injectable or intravenous equivalent, are bundled into the ESRD prospective payment system, and the manner in which such introduction into the ESRD prospective payment system may occur;</w:t>
      </w:r>
    </w:p>
    <w:p>
      <w:pPr>
        <w:spacing w:after="0" w:line="75"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of XPHOZAH;</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of XPHOZAH as safe, effective and well-tolerated by patients and the medical community, and, the extent to which the issuance of a CRL by the FDA has impacted the potential acceptance of XPHOZAH as safe, effective and well-tolerated;</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manage the commercialization of IBSRELA and XPHOZAH and the complex pricing and reimbursement negotiations that may arise with marketing products containing the same active ingredient at different doses for separate indications;</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XPHOZAH compared to alternative and competing treatments;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and sustaining an adequate level of coverage and reimbursement for XPHOZAH by third-party payors;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potential involvement in lawsuits in connection with enforcing intellectual property rights in and to XPHOZAH;</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potential involvement in third-party interference, opposition, derivation or similar proceedings with respect to our patent rights, and avoiding other challenges to our patent rights and patent infringement claims; and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continued acceptable safety and tolerability profile of XPHOZAH following approval.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IBSRELA, and/or, if approved and commercialized, XPHOZAH, may cause undesirable side effects or have other properties that could limit the commercial success of the product.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Undesirable side effects caused by IBSRELA, and/or, if approved, XPHOZAH, could cause us or regulatory authorities to interrupt, delay or halt the commercialization of the product. Despite our receipt of marketing approval for IBSRELA and the completion of our Phase 3 clinical program for XPHOZAH, the prevalence and/or severity of side effects caused by IBSRELA, and/or if approved, XPHOZAH, could result in a number of potentially significant negative consequences could occur, including:</w:t>
      </w:r>
    </w:p>
    <w:p>
      <w:pPr>
        <w:spacing w:after="0" w:line="214"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a collaboration partner may be required to recall the product;</w:t>
      </w:r>
    </w:p>
    <w:p>
      <w:pPr>
        <w:spacing w:after="0" w:line="117" w:lineRule="exact"/>
        <w:rPr>
          <w:rFonts w:ascii="Arial" w:cs="Arial" w:eastAsia="Arial" w:hAnsi="Arial"/>
          <w:sz w:val="18"/>
          <w:szCs w:val="18"/>
          <w:color w:val="auto"/>
        </w:rPr>
      </w:pPr>
    </w:p>
    <w:p>
      <w:pPr>
        <w:jc w:val="both"/>
        <w:ind w:left="340" w:hanging="332"/>
        <w:spacing w:after="0" w:line="301"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additional restrictions may be imposed on the marketing of the particular product or the manufacturing processes for the product or any component thereof, including the imposition of a Risk Evaluation and Mitigation Strategy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spacing w:after="0" w:line="49" w:lineRule="exact"/>
        <w:rPr>
          <w:rFonts w:ascii="Arial" w:cs="Arial" w:eastAsia="Arial" w:hAnsi="Arial"/>
          <w:sz w:val="16"/>
          <w:szCs w:val="16"/>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a collaboration partner may be subject to fines, injunctions or the imposition of civil or criminal penalties;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new labeling statements, such as a “black box” warning or a contraindication;</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Any of the foregoing events could prevent us, or a collaboration partner, from achieving or maintaining market acceptance of IBSRELA, and/or, if approved, XPHOZAH, and could result in the loss of significant revenue to us, which would materially and adversely affect our results of operations and business.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company, we have limited experience in the marketing, sale and distribution of pharmaceutical products; and there are significant risks in building and managing a commercial organization.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company, we have limited experience in building and managing a commercial organization, or in the marketing, sale and distribution of pharmaceutical products. There can be no assurances that we will be successful in our efforts to retain, and incentivize qualified individuals, generate sufficient sales leads, comply with regulatory requirements applicable to the marketing and sale of drug products and effectively manage a geographically dispersed sales and marketing team.</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fail or are delayed in the development of our internal sales, marketing and distribution capabilities, the commercialization of IBSRELA could be adversely impacted.</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Third-party payor coverage and reimbursement status of newly commercialized products are uncertain. Failure to obtain or maintain adequate coverage and reimbursement for IBSRELA and, if approved, XPHOZAH, could limit our ability to market those products and decrease our ability to generate revenue.</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pricing, coverage and reimbursement of IBSRELA and, if approved, XPHOZAH, must be adequate to support a commercial infrastructure. The availability and adequacy of coverage and reimbursement by governmental and private payors are essential for most patients to be able to afford treatments. Sales of IBSRELA, and, if approved and commercialized, XPHOZAH, will depend substantially, both domestically and abroad, on the extent to which the costs of the product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IBSRELA, or, if approved, XPHOZAH. Even if coverage is provided, the approved reimbursement amount may not be high enough to allow us to establish or maintain pricing sufficient to realize a return on our investment.</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(“CMS”), an agency within the United States 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There is increased uncertainty related to insurance coverage and reimbursement for drugs, like XPHOZAH for the Hyperphosphatemia Indication, which, if approved, will be marketed for the control of serum phosphorus in adult patients with CKD on dialysis or for another other related indication. In January 2011, CMS implemented a new prospective payment system for dialysis treatment. Under the ESRD prospective payment system,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routine drugs. The inclusion of oral medications without injectable or intravenous equivalents in the bundled payment was initially delayed until January 1, 2014, and through several subsequent legislative actions was delayed until January 1, 2025. As a result, absent further legislation or regulation on this matter, beginning in 2025, oral ESRD-related drugs without injectable or intravenous equivalents may be included in the ESRD bundle and separate Medicare payment for these drugs will no longer be available, as is the case today under Medicare Part D. While it is too early to project the full impact that bundling may have on sales of XPHOZAH, if approved and commercialized, and on our business should XPHOZAH be brought into the bundle in 2025, or at any time, we may be unable to sell XPHOZAH for the Hyperphosphatemia Indication, if approved, to dialysis providers on a profitable basis.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IBSRELA and XPHOZAH, even if regulatory approval is received in such countries.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these caps may not cover or provide adequate payment for IBSRELA, and if approved and commercialized, XPHOZAH.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rely completely on third parties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if approved and commercialized, XPHOZAH, and our future development efforts for tenapanor may be materially harmed.</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currently have, nor do we plan to acquire, the infrastructure or capability internally to manufacture IBSRELA, or any of other our product candidates on a commercial scale, or to manufacture our drug supplies for use in the conduct of our nonclinical and clinical studies. The facilities used by our contract manufacturers to manufacture our drug supply are subject to inspection by the FDA. Our ability to control the manufacturing process of our product candidates is limited to the contractual requirements and obligations we impose on our contract manufacturer. Although they are contractually required to so do, we are completely dependent on our contract manufacturing partners for compliance with the regulatory requirements, known as current Good Manufacturing Practice requirements (“cGMPs”), for manufacture of both active drug substances and finished drug products.</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manufacture of pharmaceutical products requires significant expertise and capital investment. Manufacturers of pharmaceutical products often encounter difficulties in commercial production. These problems may include difficulties with production costs and yields, quality control, including stability of the product and quality assurance testing, and shortages of qualified personnel, as well as compliance with federal, state and foreign regulations and the challenges associated with complex supply chain management. Even if our contract manufacturers do not experience problems and commercial manufacturing is achieved, their maximum or available manufacturing capacities may be insufficient to meet commercial demand. Finding alternative manufacturers or adding additional manufacturers requires a significant amount of time and involves significant expense. New manufacturers would need to develop and implement the necessary production techniques and processes, which along with their facilities, would need to be inspected and approved by the regulatory authorities in each applicable territory. In addition, the raw materials necessary to make API for our products are acquired from a limited number of sources. Any delay or disruption in the availability of these raw materials could result in production disruptions, delays or higher costs with consequent adverse effects on us.</w:t>
      </w:r>
    </w:p>
    <w:p>
      <w:pPr>
        <w:spacing w:after="0" w:line="2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our contract manufacturers fail to adhere to applicable GMP or other regulatory requirements, experience delays or disruptions in the availability of raw materials or experience manufacturing or distribution problems, we may suffer significant consequences, including the inability to meet our product requirements for our clinical development programs, and if tenapanor is commercialized for any indication, such events could result in product seizures or recalls, loss of product approval, fines and sanctions, reputational damage, shipment delays, inventory shortages, inventory write-offs and other product-related charges and increased manufacturing costs. As a result, or if maximum or available manufacturing capacities are insufficient to meet demand, our development or our commercialization efforts for IBSRELA, and/or, if approved, XPHOZAH, may be materially harmed.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15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February 23, 2022, we entered into a loan and security agreement with SLR Investment Corp. (the “Lender”) pursuant to which the Lender agreed to provide us with a loan facility for up to $50.0 million with a maturity date of March 1, 2027, and on August 1, 2022, we entered into an amendment to the loan and security agreement (collectively, the “2022 Loan Agreement.”). The loan was funded in the amount of $27.5 million on February 23, 2022 and the remaining $22.5 million may be funded upon the satisfaction of both (i) receipt from the FDA of approval of the NDA for tenapanor for the Hyperphosphatemia Indication on or prior to March 31, 2023 and (ii) our achievement of certain product revenue milestone targets described in the 2022 Loan Agreement. Until we have repaid all funded indebtedness,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spacing w:after="0" w:line="19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permitted to make interest only payments on the loan facility through March 2024, with principal repayments commencing on April 1, 2024, however, we may be required to repay the outstanding indebtedness under the loan facility if an event of default occurs under the loan and security agreement. An event of default will occur if, among other things, we fail to make payments under the loan and security agreement; we breach any of our covenants under the loan and security agreement, subject to specified cure periods with respect to certain breaches; the Lender determines that a material adverse change has occurred; we or our assets become subject to certain legal proceedings, such as bankruptcy proceedings; we are unable to pay our debts as they become due; or we default on contracts with third parties which would permit the Lender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limit or reduce our commercialization activities for IBSRELA, or delay, limit, reduce or terminate our efforts to secure approval for XPHOZAH for the Hyperphosphatemia Indication or, if approved, the commercialization of XPOZAH. The Lender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Our Business and Industry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For example, while the results of our Phase 2 clinical trial evaluating RDX013 for the treatment of hyperkalemia demonstrated an acceptable safety and tolerability profile for RDX013 and supported proof of concept in its ability to lower serum potassium levels, with statistically significant reductions compared to placebo after eight days of treatment, the study did not meet its primary endpoint of significantly reducing serum potassium levels compared to placebo after four weeks of treatment. We currently expect that the next step for the program will be to evaluate a new formulation that potentially enhances subject compliance and the efficacy of RDX013 in an additional Phase 2 clinical study at such time as we have determined that our available resources support conducting such an additional clinical study. There can be no assurances that any additional clinical study that we determine to conduct with RDX013 will be successful.</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if we conduct additional clinical trials with RDX013 or any other product candidates, we could encounter delays in our future development if any clinical trials are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identifying and qualifying patients to participate in any clinical trials is critical to the success of the clinical trials. The timing of any future clinical trials, including any additional RDX013 clinical trial that we may determine to conduct, will depend, in part, on the speed at which we can recruit patients to participate in testing our product candidates. Patients may be unwilling to participate in our clinical studies because of concerns about adverse events observed with the current standard of care, competitor products and/or other investigational agents, in each case for the same indications and/or similar patient populations. In addition, patients currently receiving treatment with the current standard of care or a competitor product may be reluctant to participate in a clinical trial with an investigational drug, or our inclusion and exclusion criteria for our clinical trials may present challenges in identifying acceptable patients. As a result, the timeline for recruiting patients and conducting clinical trials may be delayed. These delays could result in increased costs, delays in advancing our development the program, or termination of the clinical studies altogether. Any of these occurrences may significantly harm our business, financial condition and prospects.</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will rely on third parties to conduct all of our nonclinical studies and clinical trials. If these third parties do not successfully carry out their contractual duties or meet expected deadlines, we may be unable to obtain regulatory approval for additional products or commercialize our product candidates.</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do not have the ability to independently conduct nonclinical studies or clinical trials.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our nonclinical studies and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(“GCPs”) for clinical studies. GLPs and GCPs are regulations and guidelines enforced by the FDA, the Competent Authorities of the Member States of the European Economic Area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and our competitors may discover, develop or commercialize products faster or more successfully than us.</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 If approved for marketing by the FDA or other regulatory agencies, tenapanor, as well as our other product candidates, would compete against existing treatments.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numerous treatments exist for constipation and the constipation component of IBS-C, many of which are over-the-counter. These include psyllium husk (such as Metamucil), methylcellulose (such as Citrucel), calcium polycarbophil (such as FiberCon), lactulose (such as Cephulac), polyethylene glycol (such as MiraLax), sennosides (such as Exlax), bisacodyl (such as Ducolax), docusate sodium (such as Colace), magnesium hydroxide (such as Milk of Magnesia), saline enemas (such as Fleet), and sorbitol. These agents are generally inexpensive and work well to temporarily relieve constipation.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aware of four prescription products marketed for certain patients with IBS-C, including Linzess (linaclotide), Amitiza (lubiprostone), Trulance (plecanatide) and Zelnorm (tegaserod maleate).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XPHOZAH, if approved for the Hyperphosphatemia Indication will compete with phosphate binders used for the same or similar indication`. If approved, our label for XPHOZAH may include data comparing the effectiveness of tenapanor to phosphate binders used for the same indication. The various types of phosphate binders commercialized in the United States include the following: Calcium carbonate (many over-the-counter brands including Tums and Caltrate); Calcium acetate (several prescription brands including PhosLo and Phoslyra); Lanthanum carbonate (Fosrenol); Sevelamer hydrochloride (Renagel); Sevelamer carbonate (Renvela); Sucroferric oxyhydroxide (Velphoro); and Ferric citrate (Auryxia).</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of the phosphate binders listed above are available as generics in the U.S., with the exception of Velphoro and Auryxia. In addition to the currently available phosphate binders, we are aware of at least two other binders in development, including fermagate (Alpharen), an iron-based binder in Phase 3 being developed by Opko Health, Inc., and PT20, an iron-based binder in Phase 3 being developed by Shield Therapeutics.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possible that our competitors' drugs may be less expensive and more effective than our product candidates, or that will render our product candidates obsolete. 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experience difficulties in managing our current activities and growth given our level of managerial, operational, financial and other resources.</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spacing w:after="0" w:line="197"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any commercialization activities in which we may engage effectively;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collaborators, government agencies and other third parties;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retain and motivate our remaining employees and potentially identify, recruit, and integrate additional employees.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are unable to maintain or expand our managerial, operational, financial and other resources to the extent required to manage our development and commercialization activities, our business will be materially adversely affected.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IBSRELA, and/or, if approved, XPHOZAH.</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our commercial launch of IBSRELA.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222"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decreased demand for the product;</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commercialize or co-promote IBSRELA, and/or, if approved, XPHOZAH.</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inability to obtain and maintain sufficient product liability insurance at an acceptable cost and scope of coverage to protect against potential product liability claims could prevent or inhibit the commercialization of any products we develop.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retain and motivate our executives, senior management and key personnel, our business will suffer.</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Recruiting and retaining qualified scientific, clinical, medical, manufacturing, and sales and marketing personnel is critical to our success. We are highly dependent on our executives, senior management and certain other key employees. The loss of the services of our executives, senior management or other key employee could impede the achievement of our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the Federal Trade Commission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also or may become subject to rapidly evolving data protection laws, rules and regulations in foreign jurisdictions. For example, in Europe, the European Union General Data Protection Regulation (GDPR) went into effect in May 2018 and imposes strict requirements for processing the personal data of individuals within the European Economic Area (EEA). Among other requirements, the GDPR regulates transfers of personal data subject to the GDPR to third countries that have not been found to provide adequate protection to such personal data, including the United States;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Relatedly, following the United Kingdom’s withdrawal from the European Economic Area and the European Union, and the expiry of the transition period, companies have to comply with both the GDPR and the GDPR as incorporated into United Kingdom national law, the latter regime having the ability to separately fine up to the greater of £17.5 million or 4% of global turnover. The relationship between the United Kingdom and the European Union in relation to certain aspects of data protection law remains unclear, for example around how data can lawfully be transferred between each jurisdiction, which may expose us to further compliance risk.</w:t>
      </w:r>
    </w:p>
    <w:p>
      <w:pPr>
        <w:spacing w:after="0" w:line="21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and personal information. It is critical that we and our collaborators, CROs and other contractors and consultants do so in a secure manner to maintain the confidentiality and integrity of such confidential information. We have established physical, electronic and organizational measures designed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CROs,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w:t>
      </w:r>
    </w:p>
    <w:p>
      <w:pPr>
        <w:spacing w:after="0" w:line="19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material disruption to our business. In addition, such a breach may require notification to governmental agencies, the media or individuals pursuant to various federal and state privacy and security laws, if applicable. Moreover, if a computer security breach affects our systems or those of our collaborators, CROs or other contractors, or results in the unauthorized release of personally identifiable information, our reputation could be materially damaged. We would also be exposed to a risk of loss or litigation and potential liability, which could materially adversely affect our business, results of operations and financial condition.</w:t>
      </w:r>
    </w:p>
    <w:p>
      <w:pPr>
        <w:spacing w:after="0" w:line="20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have previously identified a material weakness in our internal control over financial reporting. 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2019, management and our independent registered public accounting firm identified a control deficiency that constituted a material weakness in our internal control over financial reporting. The material weakness was due to a failure in the design and implementation of controls over the evaluation of the terms of our clinical trial contracts for inclusion into our clinical financial model which estimates clinical trial expenses. Specifically, we had failed to properly interpret an expense in our clinical trial contracts which resulted in the over accrual of our clinical trial expenses during 2018 and the first quarter of 2019.</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developed and implemented a remediation plan for this material weakness which included modifications to the design and implementation of certain internal controls, and the material weakness was remediated as of December 31, 2019. Although we have remediated this material weakness, as attested by our independent registered public accounting firm, we can give no assurance that an additional material weakness or significant deficiency in our internal controls over financial reporting will not be identified in the future. 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current collaboration partnerships for the commercialization of tenapanor in certain foreign countries, and we may form additional collaboration partnerships, create joint ventures or enter into additional licensing arrangements with third parties in the United States and abroad that we believe will complement or augment our existing business. In particular, we have formed collaboration partnerships with KKC for commercialization of tenapanor for hyperphosphatemia in Japan; with Fosun Pharma for commercialization of tenapanor for hyperphosphatemia and IBS-C in China and related territories; and in Canada with Knight for commercialization of tenapanor for IBS-C and hyperphosphatemia.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 We have received a CRL from the FDA regarding our NDA for the Hyperphosphatemia Indication. While we are pursuing an appeal through the FDR process, and an Advisory Committee has been tentatively scheduled for November 16, 2022, there can be no assurances that the outcome of the Advisory Committee will be positive, or that approval of the NDA for the Hyperphosphatemia Indication will ultimately be granted by the FDA. Even if we are successful in obtaining approval for the NDA, the delay in obtaining such approval may result in delay in the regulatory process for our partners, which could have a material adverse effect on our business and results of operations.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ongoing effects of the COVID-19 pandemic, or any other outbreak of epidemic diseases, or the perception of their effects, could have a material adverse effect on our business, financial condition, results of operations or cash flows.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Outbreaks of epidemic, pandemic, or contagious diseases, such as the current novel coronavirus (“COVID-19”) pandemic or, historically, the Ebola virus, Middle East Respiratory Syndrome, Severe Acute Respiratory Syndrome or the H1N1 virus, could disrupt our business. Economic and health conditions related to the COVID-19 pandemic in the United States and across most of the globe remain uncertain and continue to evolve. The continuing effects of the coronavirus pandemic may result in delays in the manufacture of tenapanor, or in the delivery of key intermediates or raw materials required to manufacture tenapanor or delays in clinical development activities by us, or our collaboration partners. Such effects could also materially and negatively impact our ability to successfully commercialize IBSRELA, and/or, if approved, XPHOZAH, or the ability of our collaboration partners to successfully commercialize such products, if approved for marketing and sale by the foreign regulatory authorities, including our ability, and that of our collaboration partners to educate physicians and patients about the benefits, administration and use of the product.</w:t>
      </w:r>
    </w:p>
    <w:p>
      <w:pPr>
        <w:spacing w:after="0" w:line="205" w:lineRule="exact"/>
        <w:rPr>
          <w:sz w:val="20"/>
          <w:szCs w:val="20"/>
          <w:color w:val="auto"/>
        </w:rPr>
      </w:pPr>
    </w:p>
    <w:p>
      <w:pPr>
        <w:jc w:val="both"/>
        <w:ind w:left="340" w:hanging="332"/>
        <w:spacing w:after="0" w:line="25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Although we have reopened our offices and invited our personnel to return to the office, we continue to permit our personnel to work remotely, which could negatively impact productivity, or disrupt, delay, or otherwise adversely impact our business. In addition, this could increase our cyber-security risk, create data accessibility concerns, and make us more susceptible to communication disruptions, any of which could adversely impact our business operations or delay necessary interactions with local and federal regulators, ethics committees, manufacturing sites, research or clinical trial sites and important agencies and contractors.</w:t>
      </w:r>
    </w:p>
    <w:p>
      <w:pPr>
        <w:spacing w:after="0" w:line="79"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and comparable foreign regulatory agencies may continue to experience operational interruptions or delays, which may impact timelines for regulatory submission, trial initiation and regulatory approval.</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full effects of the COVID-19 remain unknown. The extent to which the outbreak may continue to impact our business, including, our commercialization and manufacturing will depend on future developments, which are highly uncertain and cannot be predicted with confidence, such as access to physician offices for our commercial and medical teams, business closures, supply chain or business disruptions.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further restructure certain aspects of our business or identify and complete one or more strategic collaborations or other transactions in order to fund the commercialization of IBSRELA, our continued efforts to seek approval for our NDA for tenapanor for the Hyperphosphatemia Indication and/or the development of RDX013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208" w:lineRule="exact"/>
        <w:rPr>
          <w:sz w:val="20"/>
          <w:szCs w:val="20"/>
          <w:color w:val="auto"/>
        </w:rPr>
      </w:pPr>
    </w:p>
    <w:p>
      <w:pPr>
        <w:ind w:left="340" w:hanging="332"/>
        <w:spacing w:after="0" w:line="27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up-front, milestone and royalty payments, equity investments and financial support of new research and development candidates including increase of personnel, all of which may be substantial;</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higher-than-expected acquisition and integration costs;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 and</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CMOs manufacture tenapanor API outside of the United States, and we may seek and obtain approval to commercialize IBSRELA and XPHOZAH outside of the United States, and as a result, a variety of risks associated with international operations could materially adversely affect our business.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or our collaboration partners may decide to seek marketing approval for IBSRELA or XPHOZAH outside the United States. Additionally we have contractual arrangements with CMOs involving the manufacture of tenapanor API outside of the United States, and we may otherwise engage in business outside the United States, including entering into additional contractual agreements with third-parties. We are subject to additional risks related to entering these international business markets and relationships, including:</w:t>
      </w:r>
    </w:p>
    <w:p>
      <w:pPr>
        <w:spacing w:after="0" w:line="214"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differing United States and foreign drug import and export rules;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foreign countries;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these distributors;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and manufacturers and suppliers with whom we may contract are subject to laws and regulations governing the use, manufacture, storage, handling and disposal of hazardous materials, including the components of our tenapanor and our product candidates.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occupy a leased facility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California facility,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Despite having received regulatory approval for IBSRELA, and even if we receive regulatory approval for XPHOZAH, we will be subject to ongoing regulatory obligations and continued regulatory review, which may result in significant additional expense. Additionally, IBSRELA, and, if approved, XPHOZAH, could be subject to other restrictions and market withdrawal, and we may be subject to penalties if we fail to comply with regulatory requirements or experience unanticipated problems with our products.</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Even if a drug is approved by the FDA or foreign regulatory authorities, the manufacturing processes, labeling, packaging, distribution, pharmacovigilance,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97"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warning or untitled letters, or fines;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withdrawal of the product from the market or voluntary or mandatory product recalls;</w:t>
      </w:r>
    </w:p>
    <w:p>
      <w:pPr>
        <w:spacing w:after="0" w:line="140" w:lineRule="exact"/>
        <w:rPr>
          <w:rFonts w:ascii="Arial" w:cs="Arial" w:eastAsia="Arial" w:hAnsi="Arial"/>
          <w:sz w:val="16"/>
          <w:szCs w:val="16"/>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or revocation of existing regulatory approvals;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of any of our ongoing clinical trials;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submitted by us;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our or our contract manufacturers’ operations; or</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IBSRELA and, if approved, XPHOZAH. If regulatory sanctions are applied or if regulatory approval is withdrawn, the value of our company and our operating results will be adversely affected.</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FDA’s policies may change, and additional government regulations may be enacted.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cannot predict the likelihood, nature or extent of government regulation that may arise from future legislation or administrative or executive action, either in the United States or abroad.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and retain key leadership and other personnel, or otherwise review and process regulatory submissions in a timely manner, which could negatively impact our business.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ability of the FDA to review and process regulatory submissions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and our contract manufacturers are subject to significant regulation with respect to manufacturing of IBSRELA and XPHOZAH. The manufacturing facilities on which we rely may not continue to meet regulatory requirements or may not be able to meet supply demands.</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All entities involved in the preparation of product for commercial sale, or product candidates for clinical trials, including our existing contract manufacturers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products or product candidates that may not be detectable in final product testing. We or our contract manufacturers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manufacture of our product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21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regulations relating to the promotion of products for unapproved uses are complex and subject to substantial interpretation by the FDA and other government agencies. With respect to the commercialization of IBSRELA and/or, if approved, XPHOZAH, we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have implemented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FFDCA,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IBSRELA and/or, if approved, XPHOZAH, may cause or contribute to adverse medical events that we are required to report to regulatory agencies and if we fail to do so we could be subject to sanctions that would materially harm our business.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Some participants in clinical studies of tenapanor have reported adverse effects after being treated with tenapanor, including diarrhea, abdominal distension, flatulence and dizziness. We are required to report certain information about adverse medical events if our products may have caused or contributed to those adverse events.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collaboration partners, consultants and vendors may engage in misconduct or other improper activities, including noncompliance with regulatory standards and requirements.</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collaboration partners, consultants and vendors may engage in fraudulent conduct or other illegal activity. Misconduct by these parties could include intentional, reckless and/or negligent conduct or unauthorized activities that violate any of the following: 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regulatory approvals in foreign jurisdictions would prevent us from marketing our products internationally.</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(“MA”). Before the MA is granted, the EMA or the competent authorities of the Member States of the EEA make an assessment of the risk-benefit balance of the product on the basis of scientific criteria concerning its quality, safety and efficacy.</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22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and our collaboration partners may be subject to healthcare laws, regulation and enforcement; our failure or the failure of any such collaboration partners to comply with these laws could have a material adverse effect on our results of operations and financial conditions.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and our collaboration partners may be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211" w:lineRule="exact"/>
        <w:rPr>
          <w:sz w:val="20"/>
          <w:szCs w:val="20"/>
          <w:color w:val="auto"/>
        </w:rPr>
      </w:pPr>
    </w:p>
    <w:p>
      <w:pPr>
        <w:jc w:val="both"/>
        <w:ind w:left="340" w:hanging="332"/>
        <w:spacing w:after="0" w:line="301" w:lineRule="auto"/>
        <w:tabs>
          <w:tab w:leader="none" w:pos="3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spacing w:after="0" w:line="49" w:lineRule="exact"/>
        <w:rPr>
          <w:rFonts w:ascii="Arial" w:cs="Arial" w:eastAsia="Arial" w:hAnsi="Arial"/>
          <w:sz w:val="16"/>
          <w:szCs w:val="16"/>
          <w:color w:val="auto"/>
        </w:rPr>
      </w:pPr>
    </w:p>
    <w:p>
      <w:pPr>
        <w:ind w:left="340" w:hanging="332"/>
        <w:spacing w:after="0" w:line="27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 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addition, the government may assert that a claim including items or services resulting from a violation of the federal Anti-Kickback Statute constitutes a false or fraudulent claim for purposes of the false claims statutes;</w:t>
      </w:r>
    </w:p>
    <w:p>
      <w:pPr>
        <w:spacing w:after="0" w:line="62" w:lineRule="exact"/>
        <w:rPr>
          <w:sz w:val="20"/>
          <w:szCs w:val="20"/>
          <w:color w:val="auto"/>
        </w:rPr>
      </w:pPr>
    </w:p>
    <w:p>
      <w:pPr>
        <w:jc w:val="both"/>
        <w:ind w:left="340" w:hanging="332"/>
        <w:spacing w:after="0" w:line="263"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 Similar to the federal Anti-Kickback Statute, a person or entity does not need to have actual knowledge of these statutes or specific intent to violate them in order to have committed a violation;</w:t>
      </w:r>
    </w:p>
    <w:p>
      <w:pPr>
        <w:spacing w:after="0" w:line="75" w:lineRule="exact"/>
        <w:rPr>
          <w:rFonts w:ascii="Arial" w:cs="Arial" w:eastAsia="Arial" w:hAnsi="Arial"/>
          <w:sz w:val="18"/>
          <w:szCs w:val="18"/>
          <w:color w:val="auto"/>
        </w:rPr>
      </w:pPr>
    </w:p>
    <w:p>
      <w:pPr>
        <w:jc w:val="both"/>
        <w:ind w:left="340" w:hanging="332"/>
        <w:spacing w:after="0" w:line="275" w:lineRule="auto"/>
        <w:tabs>
          <w:tab w:leader="none" w:pos="3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ACA, which requires manufacturers of drugs, devices, biologics, and medical supplies to report annually to CMS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by the statute) and their immediate family members;</w:t>
      </w:r>
    </w:p>
    <w:p>
      <w:pPr>
        <w:spacing w:after="0" w:line="68" w:lineRule="exact"/>
        <w:rPr>
          <w:rFonts w:ascii="Arial" w:cs="Arial" w:eastAsia="Arial" w:hAnsi="Arial"/>
          <w:sz w:val="17"/>
          <w:szCs w:val="17"/>
          <w:color w:val="auto"/>
        </w:rPr>
      </w:pPr>
    </w:p>
    <w:p>
      <w:pPr>
        <w:ind w:left="340" w:hanging="332"/>
        <w:spacing w:after="0" w:line="27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75"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laws that require drug manufacturers to report information related to payments and other transfers of value to physicians and other healthcare providers or pricing information and marketing expenditures; and</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Legislative or regulatory healthcare reforms in the United States may make it more difficult and costly for us to obtain regulatory clearance or approval of our product candidates and to produce, market and distribute our products after clearance or approval is obtained.</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219"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clinical trials to be conducted prior to obtaining approval;</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recall, replacement, or discontinuance of one or more of our products;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record keeping.</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the full impact of recent healthcare reform and other changes in the healthcare industry and in healthcare spending is currently unknown, and may adversely affect our business model. In the United States, the ACA was enacted in 2010 with a goal of reducing the cost of healthcare and substantially changing the way healthcare is financed by both government and private insurers. Since its enactment, there have been judicial, executive and Congressional challenges to certain aspects of the ACA.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19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These new laws, among other things, included aggregate reductions of Medicare payments of 2% per fiscal year to providers that will remain in effect through 2030, with the exception of a temporary suspension from May 1, 2020 through March 31, 2022 and a 1% reduction from April 1, 2022 through June 30, 2022,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More recently, on March 11, 2021, President Biden signed the American Rescue Plan Act of 2021 into law, which eliminates the statutory Medicaid drug rebate cap, currently set at 100% of a drug’s average manufacturer price, beginning January 1, 2024. 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By way of example, the Build Back Better Act, if enacted, would introduce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and the establishment of rebate payment requirements on manufacturers of certain drugs payable under Medicare Parts B and D. If the Build Back Better Act is not enacted, similar or other drug pricing proposals could appear in future legislation.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penalties, sanctions and fines, which could have a material adverse effect on our business, results of operations and financial condition.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With the commercial launch of IBSRELA, we participate in the Medicaid Drug Rebate Program ("MDRP") and other federal and state government pricing programs in the United States, and we may participate in additional government pricing programs in the future. These programs generally require manufacturers to pay rebates or otherwise provide discounts to government payors in connection with drugs that are dispensed to beneficiaries of these programs. Medicaid drug rebates are based on pricing data that we are obligated to report on a monthly and quarterly basis to the U.S. Centers for Medicare</w:t>
      </w:r>
    </w:p>
    <w:p>
      <w:pPr>
        <w:spacing w:after="0" w:line="1" w:lineRule="exact"/>
        <w:rPr>
          <w:sz w:val="20"/>
          <w:szCs w:val="20"/>
          <w:color w:val="auto"/>
        </w:rPr>
      </w:pPr>
    </w:p>
    <w:p>
      <w:pPr>
        <w:jc w:val="both"/>
        <w:ind w:firstLine="8"/>
        <w:spacing w:after="0" w:line="251" w:lineRule="auto"/>
        <w:tabs>
          <w:tab w:leader="none" w:pos="206"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Medicaid Services (“CMS”), the federal agency that administers the MDRP and Medicare programs. For the MDRP, these data include the average manufacturer price (“AMP”) and the best price (“BP”) for each drug. If we become aware that our MDRP price reporting submission for a prior period was incorrect or has changed as a result of recalculation of the pricing data, we must resubmit the corrected data for up to three years after those data originally were due. In addition, there is increased focus by the Office of Inspector General within the U.S. Department of Health and Human Services on the methodologies used by manufacturers to calculate AMP, and BP to assess manufacturer compliance with MDRP reporting requirements.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drugs under Medicaid. Failure to make necessary disclosures and/or to identify overpayments could result in allegations against us under the Federal False Claims Act and other laws and regulations.</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Federal law requires that a manufacturer that participates in the MDRP also participate in the Public Health Service’s 340B drug pricing program (the “340B program”) in order for federal funds to be available for the manufacturer’s drugs under Medicaid. We participate in the 340B program, which is administered by the Health Resources and Services Administration (“HRSA”), and requires us to charge statutorily defined covered entities no more than the 340B “ceiling price” for our covered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drug as calculated under the MDRP. In general, products subject to Medicaid price reporting and rebate liability are also subject to the 340B ceiling price calculation and discount requirement. We will be obligated to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In addition, legislation may be introduced that, if passed, would further expand the 340B program, such as adding further covered entities or requiring participating manufacturers to agree to provide 340B discounted pricing on drugs used in an inpatient setting.</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order to be eligible to have drug products paid for with federal funds under Medicaid and purchased by certain federal agencies and grantees, we also participate in the U.S. Department of Veterans Affairs (“VA”) Federal Supply Schedule (“FSS”) pricing program. Under the VA/FSS program, we are obligated to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are also required to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IBSRELA,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Pricing and rebate calculations are complex, vary among products and programs, and are often subject to interpretation by us,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 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are required to offer products under the 340B program. Civil monetary penalties can be applied if we are found to have knowingly submitted any false price or product information to the government, if we fail to submit the required price data on a timely basis, or if we are found to have charged 340B covered entities more than the statutorily mandated ceiling price. In the event that CMS were to terminate our Medicaid rebate agreement, no federal payments would be available under Medicaid or Medicare for IBSRELA. We cannot assure you that our submissions will not be found to be incomplete or incorrect.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obtain, maintain and protect our intellectual property rights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success and ability to compete depend in part on our ability to obtain, maintain and enforce issued patents, trademarks and other intellectual property rights and proprietary technology in the United States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rely on a combination of contractual provisions, confidentiality procedures and patent, trademark, copyright, trade secret and other intellectual property laws to protect the proprietary aspects of our products, product candidates, brands, technologies, trade secrets, know-how and data. These legal measures afford only limited protection, and competitors or others may gain access to or use our intellectual property rights and proprietary information.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rights and products by others, and may not provide an adequate remedy if our intellectual property rights are infringed, misappropriated or otherwise violated by others.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rely in part on our portfolio of issued and pending patent applications in the United States and other countries to protect our intellectual property and competitive position. However, it is also possible that we may fail to identify patentable aspects of inventions made in the course of our development, manufacture and commercialization activities before it is too late to obtain patent protection on them.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Any of these outcomes could impair our ability to prevent competition from third parties, which may have an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granted patents will be sufficient to stop a competitor from developing, manufacturing and commercializing a product or technologies in a non-infringing manner that would be competitive with one or more of our products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Patents have a limited lifespan. In the United States, the natural expiration of a utility patent is generally 20 years from the earliest effective non-provisional filing date. 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may own may not provide the anticipated level of, or any, protection against competitors. Furthermore, an adverse decision may result in a third party receiving a patent right sought by us, which in turn could affect our ability to develop, manufacture or commercialize our products or technologies.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52" w:lineRule="exact"/>
        <w:rPr>
          <w:sz w:val="20"/>
          <w:szCs w:val="20"/>
          <w:color w:val="auto"/>
        </w:rPr>
      </w:pPr>
    </w:p>
    <w:p>
      <w:pPr>
        <w:ind w:left="340" w:hanging="332"/>
        <w:spacing w:after="0" w:line="27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will include claims having a scope sufficient to protect our products or product candidates;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will not develop, manufacture and/or commercialize similar or alternative products or technologies that do not infringe our patents;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 our challenged patents will be found to ultimately be valid and enforceable;</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or technologies will provide us with any competitive advantages or will not be challenged by third parties;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products that are separately patentable; or</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of others.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may become subject to third party claims alleging infringement, misappropriation or violation of such third parties’ patents or other intellectual property rights and/or third party claims seeking to invalidate our patents, which would be costly, time consuming and, if successfully asserted against us, delay or prevent the development, manufacture or commercialization of our products or product candidates.</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commercial success depends, in part, on our ability to develop, manufacture or commercialize our products and product candidates without infringing, misappropriating or otherwise violating the intellectual property rights of third parties. There have been many lawsuits and other proceedings asserting infringement or misappropriation of patents and other intellectual property rights in the pharmaceutical and biotechnology industries, and companies in the industry have used intellectual property litigation to gain a competitive advantage. While we take steps to ensure that we do not infringe upon, misappropriate or otherwise violate the intellectual property rights of others, there can be no assurances that we will not be subject to claims alleging that the manufacture, use or sale of IBSRELA or XPHOZAH or of any other product candidates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IBSRELA or XPHOZAH or other product candidates.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IBSRELA or XPHOZAH or our other product candidates.</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Third parties may initiate legal proceedings alleging that we are infringing, misappropriating or otherwise violating their intellectual property rights. These proceedings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development, manufacturing or sales of the product or product candidate that is the subject of the suit.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also could be ordered to pay substantial damages, including treble damages and attorney’s fees if we are found to be willfully infringing a third party’s patents or other intellectual property right.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 If we were to challenge the validity of any such third 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 party claim of patent infringement.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to infringement claims against us, third parties may also raise similar claims before administrative bodies in the United States or abroad. Such mechanisms include reexamination, post grant review, inter parties review, derivation or opposition proceedings before the United States Patent and Trademark Office (the “USPTO”) or other jurisdictional body relating to our intellectual property rights or the intellectual property rights of others. If third parties prepare and file patent applications in the United States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intellectual property related to IBSRELA, XPHOZAH, RDX013 or any future product candidates is not adequate or if we are not able to successfully enforce our intellectual property rights, the commercial value of IBSRELA, or our product candidates may be adversely affected and we may not be able to compete effectively in our market.</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IBSRELA, XPHOZAH, RDX013 or any future product candidates is successfully challenged, then our ability to commercialize such product could be negatively affected, and we may face unexpected competition that could have a material adverse impact on our business. Further, we have reported that we have completed the data analysis from our Phase 2 clinical trial evaluating the safety and efficacy of RDX013 for the treatment of hyperkalemia, and that we currently expect that the next steps for the RDX013 program will be to evaluate a new formulation that potentially enhances subject compliance and the efficacy of RDX013 in an additional Phase 2 clinical study. We currently expect to delay further development of RDX013 until such time as we have determined that our available resources support conducting such additional formulation work and an additional clinical study. As a result of this delay in our development program for RDX013, the period of time during which we or our collaboration partners could market RDX013 under patent protection would be reduced.</w:t>
      </w: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a product or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or a product candidate, we would lose at least part, and perhaps all, of the patent protection on such product or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were actively involved in the discovery and design of our products or potential drug candidates, or in the development of our discovery and design platform, including APECCS, could require us to 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do not obtain patent term extension in the United States under the Hatch-Waxman Act and in foreign countries under similar legislation, thereby potentially extending the term of marketing exclusivity for IBSRELA or our product candidates, our business may be materially harmed.</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Following the approval by the FDA for our NDA to market tenapanor for IBS-C, we became eligible to seek and sought patent term restoration under the Hatch-Waxman Act for one of the U.S. patents covering our approved product or the use thereof. The Hatch-Waxman Act allows a maximum of one patent to be extended per FDA approved product. Patent term extension also may be available in certain foreign countries upon regulatory approval of our product candidates. Despite seeking patent term extension for tenapanor or other product candidates,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 price may be volatile and our stockholders may not be able to resell shares of our common stock at or above the price they paid.</w:t>
      </w:r>
    </w:p>
    <w:p>
      <w:pPr>
        <w:spacing w:after="0" w:line="2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197"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or lack of success with regards to our commercialization of IBSRELA;</w:t>
      </w:r>
    </w:p>
    <w:p>
      <w:pPr>
        <w:spacing w:after="0" w:line="117"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success or lack of success with regards to the Advisory Committee meeting convened as a part of our FDR related to our NDA seeking marketing approval for tenapanor for the Hyperphosphatemia Indication, and announcements of regulatory decisions regarding our NDA;</w:t>
      </w:r>
    </w:p>
    <w:p>
      <w:pPr>
        <w:spacing w:after="0" w:line="38" w:lineRule="exact"/>
        <w:rPr>
          <w:rFonts w:ascii="Arial" w:cs="Arial" w:eastAsia="Arial" w:hAnsi="Arial"/>
          <w:sz w:val="17"/>
          <w:szCs w:val="17"/>
          <w:color w:val="auto"/>
        </w:rPr>
      </w:pPr>
    </w:p>
    <w:p>
      <w:pPr>
        <w:ind w:left="340" w:right="20" w:hanging="332"/>
        <w:spacing w:after="0" w:line="27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regarding any potential receipt from Nasdaq of notice regarding lack of compliance with the listing requirements of Nasdaq or a de-listing of our common stock;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right="20" w:hanging="332"/>
        <w:spacing w:after="0" w:line="27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of regulatory inspections of our facilities or those of our contract manufacturing organizations, or specific label restrictions or patient populations for XPHOZAH’s use, if approved, or changes or delays in the regulatory review process;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regarding whether XPHOZAH, if approved, alone or with other oral only medications, will be included in the bundled prospective payment system for the treatment of ESRD patients, and the time and manner in which such transition is achieved;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relating to our current or future collaboration partnerships;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actions taken by regulatory agencies with respect to our product label, our clinical trials, manufacturing supply chain or sales and marketing activities;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approved products or our product candidates;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of our testing and clinical trials;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meet any of our projected timelines or goals with regard to the commercial launch of IBSRELA, or the clinical development and commercialization of any of our product candidates;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of our efforts to acquire or license or discover additional product candidates;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of our efforts to obtain adequate intellectual property protection for our product candidates;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 or other healthcare reform measures in the United States;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our common stock by us, our executive officers and directors or our stockholders in the future;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debt securities and sales or licensing of assets;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the United States equity markets;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incur significant legal, accounting and other expenses as a public company, including costs resulting from public company reporting obligations under the Securities Exchange Act of 1934, as amended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Section 404 of The Sarbanes-Oxley Act of 2002 (“Section 404”) and the related rules of the Securities and Exchange Commission (“SEC”) which require, among other things, our management and independent registered public accounting firm to report on the effectiveness of our internal control over financial reporting. Our compliance with Section 404 requires that we incur substantial expense and expend significant management efforts.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global economic environment.</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presidential elections, other political influences and inflationary pressures. Our results of operations could be adversely affected by general conditions in the global economy and in the global financial markets, including the current inflationary environment and rising interest rates. For example, the 2008 global financial crisis caused extreme volatility and disruptions in the capital and credit markets. We cannot anticipate all the ways in which the global economic climate and global financial market conditions could adversely impact our business in the future.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United States result in widespread and prolonged unemployment, either regionally or on a national basis, or if certain provisions of the Patient Protection and ACA, as amended by the Health Care and Education Reconciliation Act, collectively known as the ACA,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211" w:lineRule="exact"/>
        <w:rPr>
          <w:sz w:val="20"/>
          <w:szCs w:val="20"/>
          <w:color w:val="auto"/>
        </w:rPr>
      </w:pPr>
    </w:p>
    <w:p>
      <w:pPr>
        <w:ind w:left="340" w:right="20" w:hanging="332"/>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required approval of at least two-thirds of the shares entitled to vote to remove a director for cause, and the prohibition on removal of directors without cause;</w:t>
      </w:r>
    </w:p>
    <w:p>
      <w:pPr>
        <w:spacing w:after="0" w:line="62" w:lineRule="exact"/>
        <w:rPr>
          <w:rFonts w:ascii="Arial" w:cs="Arial" w:eastAsia="Arial" w:hAnsi="Arial"/>
          <w:sz w:val="18"/>
          <w:szCs w:val="18"/>
          <w:color w:val="auto"/>
        </w:rPr>
      </w:pPr>
    </w:p>
    <w:p>
      <w:pPr>
        <w:ind w:left="340" w:hanging="332"/>
        <w:spacing w:after="0" w:line="342" w:lineRule="auto"/>
        <w:tabs>
          <w:tab w:leader="none" w:pos="33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5" w:lineRule="exact"/>
        <w:rPr>
          <w:rFonts w:ascii="Arial" w:cs="Arial" w:eastAsia="Arial" w:hAnsi="Arial"/>
          <w:sz w:val="16"/>
          <w:szCs w:val="16"/>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prohibition on stockholder action by written consent, which forces stockholder action to be taken at an annual or special meeting of our stockholders;</w:t>
      </w:r>
    </w:p>
    <w:p>
      <w:pPr>
        <w:spacing w:after="0" w:line="140" w:lineRule="exact"/>
        <w:rPr>
          <w:rFonts w:ascii="Arial" w:cs="Arial" w:eastAsia="Arial" w:hAnsi="Arial"/>
          <w:sz w:val="16"/>
          <w:szCs w:val="16"/>
          <w:color w:val="auto"/>
        </w:rPr>
      </w:pPr>
    </w:p>
    <w:p>
      <w:pPr>
        <w:jc w:val="both"/>
        <w:ind w:left="340" w:hanging="332"/>
        <w:spacing w:after="0" w:line="263"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197" w:lineRule="exact"/>
        <w:rPr>
          <w:sz w:val="20"/>
          <w:szCs w:val="20"/>
          <w:color w:val="auto"/>
        </w:rPr>
      </w:pPr>
    </w:p>
    <w:p>
      <w:pPr>
        <w:jc w:val="both"/>
        <w:ind w:left="340" w:hanging="332"/>
        <w:spacing w:after="0" w:line="259"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8"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17"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8" w:lineRule="exact"/>
        <w:rPr>
          <w:rFonts w:ascii="Arial" w:cs="Arial" w:eastAsia="Arial" w:hAnsi="Arial"/>
          <w:sz w:val="17"/>
          <w:szCs w:val="17"/>
          <w:color w:val="auto"/>
        </w:rPr>
      </w:pPr>
    </w:p>
    <w:p>
      <w:pPr>
        <w:jc w:val="both"/>
        <w:ind w:left="340" w:hanging="332"/>
        <w:spacing w:after="0" w:line="263"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indemnities, except with respect to proceedings authorized by our board of directors or brought to enforce a right to indemnification.</w:t>
      </w:r>
    </w:p>
    <w:p>
      <w:pPr>
        <w:spacing w:after="0" w:line="7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which entered into force on May 1, 2021,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developments, or the perception that any related developments could occur, have had and may continue to have a material adverse effect on global economic conditions and financial markets, and may significantly reduce global market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liquidity, restrict the ability of key market participants to operate in certain financial markets or restrict our access to capital. Any of these factors could have a material adverse effect on our business, financial condition and results of operations and reduce the price of our common stock.</w:t>
      </w:r>
    </w:p>
    <w:p>
      <w:pPr>
        <w:spacing w:after="0" w:line="1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20" w:type="dxa"/>
            <w:vAlign w:val="bottom"/>
          </w:tcPr>
          <w:p>
            <w:pPr>
              <w:spacing w:after="0"/>
              <w:rPr>
                <w:sz w:val="20"/>
                <w:szCs w:val="20"/>
                <w:color w:val="auto"/>
              </w:rPr>
            </w:pPr>
          </w:p>
        </w:tc>
        <w:tc>
          <w:tcPr>
            <w:tcW w:w="5700" w:type="dxa"/>
            <w:vAlign w:val="bottom"/>
            <w:gridSpan w:val="7"/>
          </w:tcPr>
          <w:p>
            <w:pPr>
              <w:ind w:left="80"/>
              <w:spacing w:after="0"/>
              <w:rPr>
                <w:sz w:val="20"/>
                <w:szCs w:val="20"/>
                <w:color w:val="auto"/>
              </w:rPr>
            </w:pPr>
            <w:r>
              <w:rPr>
                <w:rFonts w:ascii="Arial" w:cs="Arial" w:eastAsia="Arial" w:hAnsi="Arial"/>
                <w:sz w:val="18"/>
                <w:szCs w:val="18"/>
                <w:b w:val="1"/>
                <w:bCs w:val="1"/>
                <w:color w:val="auto"/>
              </w:rPr>
              <w:t>Exhibits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4"/>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Incorporated by Reference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50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1"/>
                <w:szCs w:val="11"/>
                <w:color w:val="auto"/>
              </w:rPr>
            </w:pPr>
          </w:p>
        </w:tc>
        <w:tc>
          <w:tcPr>
            <w:tcW w:w="10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1"/>
                <w:szCs w:val="11"/>
                <w:color w:val="auto"/>
              </w:rPr>
            </w:pPr>
          </w:p>
        </w:tc>
        <w:tc>
          <w:tcPr>
            <w:tcW w:w="10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Date</w:t>
            </w:r>
          </w:p>
        </w:tc>
        <w:tc>
          <w:tcPr>
            <w:tcW w:w="120" w:type="dxa"/>
            <w:vAlign w:val="bottom"/>
            <w:vMerge w:val="restart"/>
          </w:tcPr>
          <w:p>
            <w:pPr>
              <w:spacing w:after="0"/>
              <w:rPr>
                <w:sz w:val="11"/>
                <w:szCs w:val="11"/>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Number</w:t>
            </w:r>
          </w:p>
        </w:tc>
        <w:tc>
          <w:tcPr>
            <w:tcW w:w="100" w:type="dxa"/>
            <w:vAlign w:val="bottom"/>
            <w:vMerge w:val="restart"/>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96"/>
        </w:trPr>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5"/>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38"/>
        </w:trPr>
        <w:tc>
          <w:tcPr>
            <w:tcW w:w="78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7"/>
          </w:tcPr>
          <w:p>
            <w:pPr>
              <w:spacing w:after="0"/>
              <w:rPr>
                <w:sz w:val="20"/>
                <w:szCs w:val="20"/>
                <w:color w:val="auto"/>
              </w:rPr>
            </w:pPr>
            <w:r>
              <w:rPr>
                <w:rFonts w:ascii="Arial" w:cs="Arial" w:eastAsia="Arial" w:hAnsi="Arial"/>
                <w:sz w:val="18"/>
                <w:szCs w:val="18"/>
                <w:color w:val="0000FF"/>
              </w:rPr>
              <w:t>Certification of Chief Executive Officer Pursuant to Section 302 of the</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0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Sarbanes-Oxley Act of 2002.</w:t>
            </w:r>
          </w:p>
        </w:tc>
        <w:tc>
          <w:tcPr>
            <w:tcW w:w="4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8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7"/>
          </w:tcPr>
          <w:p>
            <w:pPr>
              <w:spacing w:after="0"/>
              <w:rPr>
                <w:sz w:val="20"/>
                <w:szCs w:val="20"/>
                <w:color w:val="auto"/>
              </w:rPr>
            </w:pPr>
            <w:r>
              <w:rPr>
                <w:rFonts w:ascii="Arial" w:cs="Arial" w:eastAsia="Arial" w:hAnsi="Arial"/>
                <w:sz w:val="18"/>
                <w:szCs w:val="18"/>
                <w:color w:val="0000FF"/>
              </w:rPr>
              <w:t>Certification of Chief Financial Officer Pursuant to Section 302 of the</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40" w:type="dxa"/>
            <w:vAlign w:val="bottom"/>
            <w:tcBorders>
              <w:top w:val="single" w:sz="8" w:color="0000FF"/>
            </w:tcBorders>
            <w:gridSpan w:val="3"/>
          </w:tcPr>
          <w:p>
            <w:pPr>
              <w:spacing w:after="0" w:line="156" w:lineRule="exact"/>
              <w:rPr>
                <w:sz w:val="20"/>
                <w:szCs w:val="20"/>
                <w:color w:val="auto"/>
              </w:rPr>
            </w:pPr>
            <w:r>
              <w:rPr>
                <w:rFonts w:ascii="Arial" w:cs="Arial" w:eastAsia="Arial" w:hAnsi="Arial"/>
                <w:sz w:val="18"/>
                <w:szCs w:val="18"/>
                <w:color w:val="0000FF"/>
              </w:rPr>
              <w:t>Sarbanes-Oxley Act of 2002.</w:t>
            </w:r>
          </w:p>
        </w:tc>
        <w:tc>
          <w:tcPr>
            <w:tcW w:w="5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8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7"/>
          </w:tcPr>
          <w:p>
            <w:pPr>
              <w:spacing w:after="0"/>
              <w:rPr>
                <w:sz w:val="20"/>
                <w:szCs w:val="20"/>
                <w:color w:val="auto"/>
              </w:rPr>
            </w:pPr>
            <w:r>
              <w:rPr>
                <w:rFonts w:ascii="Arial" w:cs="Arial" w:eastAsia="Arial" w:hAnsi="Arial"/>
                <w:sz w:val="18"/>
                <w:szCs w:val="18"/>
                <w:color w:val="0000FF"/>
                <w:w w:val="95"/>
              </w:rPr>
              <w:t>Certification of Chief Executive Officer and Chief Financial Officer Pursuant</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8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to Section 906 of the Sarbanes-Oxley Act of 2002.</w:t>
            </w:r>
          </w:p>
        </w:tc>
        <w:tc>
          <w:tcPr>
            <w:tcW w:w="12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8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7"/>
          </w:tcPr>
          <w:p>
            <w:pPr>
              <w:spacing w:after="0"/>
              <w:rPr>
                <w:sz w:val="20"/>
                <w:szCs w:val="20"/>
                <w:color w:val="auto"/>
              </w:rPr>
            </w:pPr>
            <w:r>
              <w:rPr>
                <w:rFonts w:ascii="Arial" w:cs="Arial" w:eastAsia="Arial" w:hAnsi="Arial"/>
                <w:sz w:val="18"/>
                <w:szCs w:val="18"/>
                <w:color w:val="auto"/>
                <w:w w:val="96"/>
              </w:rPr>
              <w:t>The following financial statements, formatted in Inline Extensible Business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7"/>
          </w:tcPr>
          <w:p>
            <w:pPr>
              <w:spacing w:after="0" w:line="176" w:lineRule="exact"/>
              <w:rPr>
                <w:sz w:val="20"/>
                <w:szCs w:val="20"/>
                <w:color w:val="auto"/>
              </w:rPr>
            </w:pPr>
            <w:r>
              <w:rPr>
                <w:rFonts w:ascii="Arial" w:cs="Arial" w:eastAsia="Arial" w:hAnsi="Arial"/>
                <w:sz w:val="18"/>
                <w:szCs w:val="18"/>
                <w:color w:val="auto"/>
              </w:rPr>
              <w:t>Reporting Language (XBRL): (i) Condensed Balance Sheets as of</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00" w:type="dxa"/>
            <w:vAlign w:val="bottom"/>
            <w:gridSpan w:val="7"/>
          </w:tcPr>
          <w:p>
            <w:pPr>
              <w:spacing w:after="0" w:line="189" w:lineRule="exact"/>
              <w:rPr>
                <w:sz w:val="20"/>
                <w:szCs w:val="20"/>
                <w:color w:val="auto"/>
              </w:rPr>
            </w:pPr>
            <w:r>
              <w:rPr>
                <w:rFonts w:ascii="Arial" w:cs="Arial" w:eastAsia="Arial" w:hAnsi="Arial"/>
                <w:sz w:val="18"/>
                <w:szCs w:val="18"/>
                <w:color w:val="auto"/>
                <w:w w:val="93"/>
              </w:rPr>
              <w:t>September 30, 2022 and December 31, 2021, (ii) Condensed Statements of</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7"/>
          </w:tcPr>
          <w:p>
            <w:pPr>
              <w:spacing w:after="0" w:line="176" w:lineRule="exact"/>
              <w:rPr>
                <w:sz w:val="20"/>
                <w:szCs w:val="20"/>
                <w:color w:val="auto"/>
              </w:rPr>
            </w:pPr>
            <w:r>
              <w:rPr>
                <w:rFonts w:ascii="Arial" w:cs="Arial" w:eastAsia="Arial" w:hAnsi="Arial"/>
                <w:sz w:val="18"/>
                <w:szCs w:val="18"/>
                <w:color w:val="auto"/>
                <w:w w:val="95"/>
              </w:rPr>
              <w:t>Operations and Comprehensive Loss for the three and nine months ended</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7"/>
          </w:tcPr>
          <w:p>
            <w:pPr>
              <w:spacing w:after="0" w:line="176" w:lineRule="exact"/>
              <w:rPr>
                <w:sz w:val="20"/>
                <w:szCs w:val="20"/>
                <w:color w:val="auto"/>
              </w:rPr>
            </w:pPr>
            <w:r>
              <w:rPr>
                <w:rFonts w:ascii="Arial" w:cs="Arial" w:eastAsia="Arial" w:hAnsi="Arial"/>
                <w:sz w:val="18"/>
                <w:szCs w:val="18"/>
                <w:color w:val="auto"/>
                <w:w w:val="92"/>
              </w:rPr>
              <w:t>September 30, 2022 and 2021, (iii) Condensed Statements of Cash Flows for</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00" w:type="dxa"/>
            <w:vAlign w:val="bottom"/>
            <w:gridSpan w:val="7"/>
          </w:tcPr>
          <w:p>
            <w:pPr>
              <w:spacing w:after="0" w:line="189" w:lineRule="exact"/>
              <w:rPr>
                <w:sz w:val="20"/>
                <w:szCs w:val="20"/>
                <w:color w:val="auto"/>
              </w:rPr>
            </w:pPr>
            <w:r>
              <w:rPr>
                <w:rFonts w:ascii="Arial" w:cs="Arial" w:eastAsia="Arial" w:hAnsi="Arial"/>
                <w:sz w:val="18"/>
                <w:szCs w:val="18"/>
                <w:color w:val="auto"/>
                <w:w w:val="97"/>
              </w:rPr>
              <w:t>the three and nine months ended September 30, 2022 and 2021, and (iv)</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00" w:type="dxa"/>
            <w:vAlign w:val="bottom"/>
            <w:gridSpan w:val="7"/>
          </w:tcPr>
          <w:p>
            <w:pPr>
              <w:spacing w:after="0"/>
              <w:rPr>
                <w:sz w:val="20"/>
                <w:szCs w:val="20"/>
                <w:color w:val="auto"/>
              </w:rPr>
            </w:pPr>
            <w:r>
              <w:rPr>
                <w:rFonts w:ascii="Arial" w:cs="Arial" w:eastAsia="Arial" w:hAnsi="Arial"/>
                <w:sz w:val="18"/>
                <w:szCs w:val="18"/>
                <w:color w:val="auto"/>
              </w:rPr>
              <w:t>Notes to Unaudited Condensed Financial Statements.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8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7"/>
          </w:tcPr>
          <w:p>
            <w:pPr>
              <w:spacing w:after="0" w:line="176" w:lineRule="exact"/>
              <w:rPr>
                <w:sz w:val="20"/>
                <w:szCs w:val="20"/>
                <w:color w:val="auto"/>
              </w:rPr>
            </w:pPr>
            <w:r>
              <w:rPr>
                <w:rFonts w:ascii="Arial" w:cs="Arial" w:eastAsia="Arial" w:hAnsi="Arial"/>
                <w:sz w:val="18"/>
                <w:szCs w:val="18"/>
                <w:color w:val="auto"/>
                <w:w w:val="94"/>
              </w:rPr>
              <w:t>Cover Page Interactive Data File, formatted in Inline XBRL and contained in</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00" w:type="dxa"/>
            <w:vAlign w:val="bottom"/>
            <w:gridSpan w:val="7"/>
          </w:tcPr>
          <w:p>
            <w:pPr>
              <w:spacing w:after="0"/>
              <w:rPr>
                <w:sz w:val="20"/>
                <w:szCs w:val="20"/>
                <w:color w:val="auto"/>
              </w:rPr>
            </w:pPr>
            <w:r>
              <w:rPr>
                <w:rFonts w:ascii="Arial" w:cs="Arial" w:eastAsia="Arial" w:hAnsi="Arial"/>
                <w:sz w:val="18"/>
                <w:szCs w:val="18"/>
                <w:color w:val="auto"/>
              </w:rPr>
              <w:t>Exhibit 101.</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Ardelyx, Inc.</w:t>
      </w:r>
    </w:p>
    <w:p>
      <w:pPr>
        <w:spacing w:after="0" w:line="283" w:lineRule="exact"/>
        <w:rPr>
          <w:sz w:val="20"/>
          <w:szCs w:val="20"/>
          <w:color w:val="auto"/>
        </w:rPr>
      </w:pPr>
    </w:p>
    <w:p>
      <w:pPr>
        <w:ind w:left="20"/>
        <w:spacing w:after="0"/>
        <w:tabs>
          <w:tab w:leader="none" w:pos="5440" w:val="left"/>
          <w:tab w:leader="none" w:pos="594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Felsch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33261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Robert Felsch</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Senior Vice President and Chief Accounting Officer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34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Michael Raab, certify that:</w:t>
      </w:r>
    </w:p>
    <w:p>
      <w:pPr>
        <w:spacing w:after="0" w:line="198"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Ardelyx, Inc.;</w:t>
      </w:r>
    </w:p>
    <w:p>
      <w:pPr>
        <w:spacing w:after="0" w:line="184"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980" w:right="60" w:hanging="648"/>
        <w:spacing w:after="0" w:line="263" w:lineRule="auto"/>
        <w:tabs>
          <w:tab w:leader="none" w:pos="97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80" w:right="360" w:hanging="648"/>
        <w:spacing w:after="0" w:line="263" w:lineRule="auto"/>
        <w:tabs>
          <w:tab w:leader="none" w:pos="97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980" w:right="540" w:hanging="648"/>
        <w:spacing w:after="0" w:line="342" w:lineRule="auto"/>
        <w:tabs>
          <w:tab w:leader="none" w:pos="977"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980" w:right="60" w:hanging="648"/>
        <w:spacing w:after="0" w:line="263" w:lineRule="auto"/>
        <w:tabs>
          <w:tab w:leader="none" w:pos="97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980" w:right="780" w:hanging="648"/>
        <w:spacing w:after="0" w:line="342" w:lineRule="auto"/>
        <w:tabs>
          <w:tab w:leader="none" w:pos="977"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980" w:right="480" w:hanging="648"/>
        <w:spacing w:after="0" w:line="277" w:lineRule="auto"/>
        <w:tabs>
          <w:tab w:leader="none" w:pos="97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6180" w:val="left"/>
          <w:tab w:leader="none" w:pos="832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31750</wp:posOffset>
            </wp:positionV>
            <wp:extent cx="29146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Michael Raab</w:t>
      </w:r>
    </w:p>
    <w:p>
      <w:pPr>
        <w:spacing w:after="0" w:line="27"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89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Justin Renz, certify that:</w:t>
      </w:r>
    </w:p>
    <w:p>
      <w:pPr>
        <w:spacing w:after="0" w:line="18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Ardelyx, Inc.;</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980" w:right="60" w:hanging="648"/>
        <w:spacing w:after="0" w:line="263" w:lineRule="auto"/>
        <w:tabs>
          <w:tab w:leader="none" w:pos="97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80" w:right="360" w:hanging="648"/>
        <w:spacing w:after="0" w:line="263" w:lineRule="auto"/>
        <w:tabs>
          <w:tab w:leader="none" w:pos="97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980" w:right="540" w:hanging="648"/>
        <w:spacing w:after="0" w:line="342" w:lineRule="auto"/>
        <w:tabs>
          <w:tab w:leader="none" w:pos="977"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980" w:right="60" w:hanging="648"/>
        <w:spacing w:after="0" w:line="263" w:lineRule="auto"/>
        <w:tabs>
          <w:tab w:leader="none" w:pos="97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right="780" w:hanging="648"/>
        <w:spacing w:after="0" w:line="342" w:lineRule="auto"/>
        <w:tabs>
          <w:tab w:leader="none" w:pos="977"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980" w:right="480" w:hanging="648"/>
        <w:spacing w:after="0" w:line="277" w:lineRule="auto"/>
        <w:tabs>
          <w:tab w:leader="none" w:pos="97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20"/>
        <w:spacing w:after="0"/>
        <w:tabs>
          <w:tab w:leader="none" w:pos="6180" w:val="left"/>
          <w:tab w:leader="none" w:pos="840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31750</wp:posOffset>
            </wp:positionV>
            <wp:extent cx="29146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Justin Renz</w:t>
      </w:r>
    </w:p>
    <w:p>
      <w:pPr>
        <w:spacing w:after="0" w:line="27"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066"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Quartlery Report of Ardelyx, Inc. (the “Company”) on Form 10-Q for the period ending September 30, 2022, as filed with the Securities and Exchange Commission on the date hereof (the “Report”), Michael Raab, President and Chief Executive Officer of the Company, and Justin Renz, Chief Financial Officer of the Company, respectively, do each hereby certify, pursuant to 18 U.S.C. Section 1350, as adopted pursuant to Section 906 of the Sarbanes-Oxley Act of 2002, that:</w:t>
      </w:r>
    </w:p>
    <w:p>
      <w:pPr>
        <w:spacing w:after="0" w:line="146"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67" w:lineRule="exact"/>
        <w:rPr>
          <w:sz w:val="20"/>
          <w:szCs w:val="20"/>
          <w:color w:val="auto"/>
        </w:rPr>
      </w:pPr>
    </w:p>
    <w:p>
      <w:pPr>
        <w:ind w:left="20"/>
        <w:spacing w:after="0"/>
        <w:tabs>
          <w:tab w:leader="none" w:pos="6180" w:val="left"/>
          <w:tab w:leader="none" w:pos="832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31750</wp:posOffset>
            </wp:positionV>
            <wp:extent cx="29146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Michael Raab</w:t>
      </w:r>
    </w:p>
    <w:p>
      <w:pPr>
        <w:spacing w:after="0" w:line="27"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(Principal Executive Officer)</w:t>
      </w:r>
    </w:p>
    <w:p>
      <w:pPr>
        <w:spacing w:after="0" w:line="170" w:lineRule="exact"/>
        <w:rPr>
          <w:sz w:val="20"/>
          <w:szCs w:val="20"/>
          <w:color w:val="auto"/>
        </w:rPr>
      </w:pPr>
    </w:p>
    <w:p>
      <w:pPr>
        <w:ind w:left="20"/>
        <w:spacing w:after="0"/>
        <w:tabs>
          <w:tab w:leader="none" w:pos="6140" w:val="left"/>
          <w:tab w:leader="none" w:pos="834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31750</wp:posOffset>
            </wp:positionV>
            <wp:extent cx="29146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Justin Renz</w:t>
      </w:r>
    </w:p>
    <w:p>
      <w:pPr>
        <w:spacing w:after="0" w:line="27"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606"/>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amp;"/>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2022-11-03T15:31:42Z</dcterms:created>
  <dcterms:modified xsi:type="dcterms:W3CDTF">2022-11-03T15:31:42Z</dcterms:modified>
</cp:coreProperties>
</file>