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jc w:val="center"/>
              <w:ind w:left="862"/>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26-1303944</w:t>
            </w:r>
          </w:p>
        </w:tc>
      </w:tr>
      <w:tr>
        <w:trPr>
          <w:trHeight w:val="144"/>
        </w:trPr>
        <w:tc>
          <w:tcPr>
            <w:tcW w:w="2800" w:type="dxa"/>
            <w:vAlign w:val="bottom"/>
          </w:tcPr>
          <w:p>
            <w:pPr>
              <w:jc w:val="center"/>
              <w:ind w:left="88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left="862"/>
              <w:spacing w:after="0"/>
              <w:rPr>
                <w:sz w:val="20"/>
                <w:szCs w:val="20"/>
                <w:color w:val="auto"/>
              </w:rPr>
            </w:pPr>
            <w:r>
              <w:rPr>
                <w:rFonts w:ascii="Arial" w:cs="Arial" w:eastAsia="Arial" w:hAnsi="Arial"/>
                <w:sz w:val="14"/>
                <w:szCs w:val="14"/>
                <w:b w:val="1"/>
                <w:bCs w:val="1"/>
                <w:color w:val="auto"/>
                <w:w w:val="94"/>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40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8"/>
              </w:rPr>
              <w:t>34175 ARDENWOOD BLVD., FREMONT, CALIFORNIA 94555</w:t>
            </w:r>
          </w:p>
        </w:tc>
        <w:tc>
          <w:tcPr>
            <w:tcW w:w="2740" w:type="dxa"/>
            <w:vAlign w:val="bottom"/>
          </w:tcPr>
          <w:p>
            <w:pPr>
              <w:spacing w:after="0"/>
              <w:rPr>
                <w:sz w:val="24"/>
                <w:szCs w:val="24"/>
                <w:color w:val="auto"/>
              </w:rPr>
            </w:pPr>
          </w:p>
        </w:tc>
      </w:tr>
      <w:tr>
        <w:trPr>
          <w:trHeight w:val="212"/>
        </w:trPr>
        <w:tc>
          <w:tcPr>
            <w:tcW w:w="280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18"/>
                <w:szCs w:val="18"/>
                <w:color w:val="auto"/>
              </w:rPr>
            </w:pPr>
          </w:p>
        </w:tc>
      </w:tr>
      <w:tr>
        <w:trPr>
          <w:trHeight w:val="186"/>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6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0"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13, 2021, Ardelyx, Inc. (the “Company”) and Jefferies LLC (the “Sales Agent”) entered into an Open Market Sale Agreement under which the Company may issue and sell from time to time up to a maximum aggregate offering price of $150.0 million of its common stock in “at the market” offerings. Pursuant to the Open Market Sales Agreement, the Sales Agent receives a commission of up to 3% of the gross sales price for shares of common stock sold under the Open Market Sales Agreement.</w:t>
      </w:r>
    </w:p>
    <w:p>
      <w:pPr>
        <w:spacing w:after="0" w:line="20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foregoing description of the Open Market Sales Agreement is qualified in its entirety by reference to the full text of the Open Market Sales Agreement, which is filed herewith as Exhibit 10.1.</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4"/>
                <w:szCs w:val="14"/>
                <w:color w:val="auto"/>
              </w:rPr>
            </w:pPr>
          </w:p>
        </w:tc>
        <w:tc>
          <w:tcPr>
            <w:tcW w:w="10140" w:type="dxa"/>
            <w:vAlign w:val="bottom"/>
            <w:gridSpan w:val="3"/>
            <w:vMerge w:val="restart"/>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86"/>
        </w:trPr>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No.</w:t>
            </w:r>
          </w:p>
        </w:tc>
        <w:tc>
          <w:tcPr>
            <w:tcW w:w="20" w:type="dxa"/>
            <w:vAlign w:val="bottom"/>
          </w:tcPr>
          <w:p>
            <w:pPr>
              <w:spacing w:after="0"/>
              <w:rPr>
                <w:sz w:val="16"/>
                <w:szCs w:val="16"/>
                <w:color w:val="auto"/>
              </w:rPr>
            </w:pPr>
          </w:p>
        </w:tc>
        <w:tc>
          <w:tcPr>
            <w:tcW w:w="101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0" w:type="dxa"/>
            <w:vAlign w:val="bottom"/>
            <w:tcBorders>
              <w:top w:val="single" w:sz="8" w:color="auto"/>
            </w:tcBorders>
          </w:tcPr>
          <w:p>
            <w:pPr>
              <w:ind w:left="20"/>
              <w:spacing w:after="0" w:line="186"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500" w:type="dxa"/>
            <w:vAlign w:val="bottom"/>
            <w:tcBorders>
              <w:top w:val="single" w:sz="8" w:color="auto"/>
              <w:bottom w:val="single" w:sz="8" w:color="0000FF"/>
            </w:tcBorders>
          </w:tcPr>
          <w:p>
            <w:pPr>
              <w:spacing w:after="0" w:line="186"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Open Market Sales Agreement dated August 13, 2021, by and between Ardelyx, Inc. and Jefferies LLC.</w:t>
              </w:r>
            </w:hyperlink>
          </w:p>
        </w:tc>
        <w:tc>
          <w:tcPr>
            <w:tcW w:w="1200" w:type="dxa"/>
            <w:vAlign w:val="bottom"/>
            <w:tcBorders>
              <w:top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60" w:type="dxa"/>
            <w:vAlign w:val="bottom"/>
          </w:tcPr>
          <w:p>
            <w:pPr>
              <w:ind w:left="2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19"/>
        </w:trPr>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August 17, 2021</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Elizabeth Grammer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Legal and Administrative Officer</w:t>
      </w:r>
    </w:p>
    <w:p>
      <w:pPr>
        <w:sectPr>
          <w:pgSz w:w="11900" w:h="16838" w:orient="portrait"/>
          <w:cols w:equalWidth="0" w:num="1">
            <w:col w:w="11220"/>
          </w:cols>
          <w:pgMar w:left="320" w:top="114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OPEN MARKET SALE AGREEMENT</w:t>
      </w:r>
      <w:r>
        <w:rPr>
          <w:rFonts w:ascii="Arial" w:cs="Arial" w:eastAsia="Arial" w:hAnsi="Arial"/>
          <w:sz w:val="28"/>
          <w:szCs w:val="28"/>
          <w:b w:val="1"/>
          <w:bCs w:val="1"/>
          <w:color w:val="auto"/>
          <w:vertAlign w:val="superscript"/>
        </w:rPr>
        <w:t>1</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August 13, 2021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JEFFERIES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520 Madison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10022</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1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Ardelyx,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proposes, subject to the terms and conditions stated herein, to issue and sell from time to time through Jefferies LLC, as sales agent and/or principal (the “</w:t>
      </w:r>
      <w:r>
        <w:rPr>
          <w:rFonts w:ascii="Arial" w:cs="Arial" w:eastAsia="Arial" w:hAnsi="Arial"/>
          <w:sz w:val="22"/>
          <w:szCs w:val="22"/>
          <w:b w:val="1"/>
          <w:bCs w:val="1"/>
          <w:color w:val="auto"/>
        </w:rPr>
        <w:t>Agent</w:t>
      </w:r>
      <w:r>
        <w:rPr>
          <w:rFonts w:ascii="Arial" w:cs="Arial" w:eastAsia="Arial" w:hAnsi="Arial"/>
          <w:sz w:val="22"/>
          <w:szCs w:val="22"/>
          <w:color w:val="auto"/>
        </w:rPr>
        <w:t>”), shares of the Company’s common stock, par value $0.0001 per share (the “</w:t>
      </w:r>
      <w:r>
        <w:rPr>
          <w:rFonts w:ascii="Arial" w:cs="Arial" w:eastAsia="Arial" w:hAnsi="Arial"/>
          <w:sz w:val="22"/>
          <w:szCs w:val="22"/>
          <w:b w:val="1"/>
          <w:bCs w:val="1"/>
          <w:color w:val="auto"/>
        </w:rPr>
        <w:t>Common Shares</w:t>
      </w:r>
      <w:r>
        <w:rPr>
          <w:rFonts w:ascii="Arial" w:cs="Arial" w:eastAsia="Arial" w:hAnsi="Arial"/>
          <w:sz w:val="22"/>
          <w:szCs w:val="22"/>
          <w:color w:val="auto"/>
        </w:rPr>
        <w:t>”), having an aggregate offering price of up to $150,000,000 on the terms set forth in this agreement (this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8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22"/>
          <w:szCs w:val="22"/>
          <w:b w:val="1"/>
          <w:bCs w:val="1"/>
          <w:color w:val="auto"/>
        </w:rPr>
        <w:t>DEFINITIONS</w:t>
      </w:r>
    </w:p>
    <w:p>
      <w:pPr>
        <w:spacing w:after="0" w:line="226" w:lineRule="exact"/>
        <w:rPr>
          <w:sz w:val="20"/>
          <w:szCs w:val="20"/>
          <w:color w:val="auto"/>
        </w:rPr>
      </w:pPr>
    </w:p>
    <w:p>
      <w:pPr>
        <w:ind w:firstLine="656"/>
        <w:spacing w:after="0" w:line="263" w:lineRule="auto"/>
        <w:tabs>
          <w:tab w:leader="none" w:pos="1293"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 For purposes of this Agreement, capitalized terms used herein and not otherwise defined shall have the following respective meanings:</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Agency Period</w:t>
      </w:r>
      <w:r>
        <w:rPr>
          <w:rFonts w:ascii="Arial" w:cs="Arial" w:eastAsia="Arial" w:hAnsi="Arial"/>
          <w:sz w:val="22"/>
          <w:szCs w:val="22"/>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22"/>
          <w:szCs w:val="22"/>
          <w:u w:val="single" w:color="auto"/>
          <w:color w:val="auto"/>
        </w:rPr>
        <w:t>Section 7</w:t>
      </w:r>
      <w:r>
        <w:rPr>
          <w:rFonts w:ascii="Arial" w:cs="Arial" w:eastAsia="Arial" w:hAnsi="Arial"/>
          <w:sz w:val="22"/>
          <w:szCs w:val="22"/>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Commission</w:t>
      </w:r>
      <w:r>
        <w:rPr>
          <w:rFonts w:ascii="Arial" w:cs="Arial" w:eastAsia="Arial" w:hAnsi="Arial"/>
          <w:sz w:val="22"/>
          <w:szCs w:val="22"/>
          <w:color w:val="auto"/>
        </w:rPr>
        <w:t>” means the U.S. Securities and Exchange Commission.</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and the rules and regulations of the Commission thereunder.</w:t>
      </w:r>
    </w:p>
    <w:p>
      <w:pPr>
        <w:spacing w:after="0" w:line="16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Floor Price</w:t>
      </w:r>
      <w:r>
        <w:rPr>
          <w:rFonts w:ascii="Arial" w:cs="Arial" w:eastAsia="Arial" w:hAnsi="Arial"/>
          <w:sz w:val="19"/>
          <w:szCs w:val="19"/>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714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SM</w:t>
      </w:r>
      <w:r>
        <w:rPr>
          <w:rFonts w:ascii="Arial" w:cs="Arial" w:eastAsia="Arial" w:hAnsi="Arial"/>
          <w:sz w:val="18"/>
          <w:szCs w:val="18"/>
          <w:color w:val="auto"/>
        </w:rPr>
        <w:t xml:space="preserve"> “Open Market Sale Agreement” is a service mark of Jefferies LLC</w:t>
      </w:r>
    </w:p>
    <w:p>
      <w:pPr>
        <w:sectPr>
          <w:pgSz w:w="11900" w:h="16838" w:orient="portrait"/>
          <w:cols w:equalWidth="0" w:num="1">
            <w:col w:w="11240"/>
          </w:cols>
          <w:pgMar w:left="320" w:top="126" w:right="339" w:bottom="1440" w:gutter="0" w:footer="0" w:header="0"/>
        </w:sectPr>
      </w:pPr>
    </w:p>
    <w:bookmarkStart w:id="4" w:name="page5"/>
    <w:bookmarkEnd w:id="4"/>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shall be less than $1.00 without the prior written consent of the Agent, which may be withheld in the Agent’s sole discretion.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Issuance Amount</w:t>
      </w:r>
      <w:r>
        <w:rPr>
          <w:rFonts w:ascii="Arial" w:cs="Arial" w:eastAsia="Arial" w:hAnsi="Arial"/>
          <w:sz w:val="19"/>
          <w:szCs w:val="19"/>
          <w:color w:val="auto"/>
        </w:rPr>
        <w:t>” means the aggregate Sales Price of the Shares to be sold by the Agent pursuant to any Issuance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Notice.</w:t>
      </w:r>
    </w:p>
    <w:p>
      <w:pPr>
        <w:spacing w:after="0" w:line="196"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Issuance Notice</w:t>
      </w:r>
      <w:r>
        <w:rPr>
          <w:rFonts w:ascii="Arial" w:cs="Arial" w:eastAsia="Arial" w:hAnsi="Arial"/>
          <w:sz w:val="19"/>
          <w:szCs w:val="19"/>
          <w:color w:val="auto"/>
        </w:rPr>
        <w:t xml:space="preserve">” means a written notice delivered to the Agent by the Company in accordance with this Agreement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that is executed by its Chief Executive Officer, President or Chief Financial Officer.</w:t>
      </w:r>
    </w:p>
    <w:p>
      <w:pPr>
        <w:spacing w:after="0" w:line="94"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Issuance Notice Date</w:t>
      </w:r>
      <w:r>
        <w:rPr>
          <w:rFonts w:ascii="Arial" w:cs="Arial" w:eastAsia="Arial" w:hAnsi="Arial"/>
          <w:sz w:val="22"/>
          <w:szCs w:val="22"/>
          <w:color w:val="auto"/>
        </w:rPr>
        <w:t xml:space="preserve">” means any Trading Day during the Agency Period that an Issuance Notice is delivered pursuant to </w:t>
      </w:r>
      <w:r>
        <w:rPr>
          <w:rFonts w:ascii="Arial" w:cs="Arial" w:eastAsia="Arial" w:hAnsi="Arial"/>
          <w:sz w:val="22"/>
          <w:szCs w:val="22"/>
          <w:u w:val="single" w:color="auto"/>
          <w:color w:val="auto"/>
        </w:rPr>
        <w:t>Section 3(b)(i)</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Issuance Price</w:t>
      </w:r>
      <w:r>
        <w:rPr>
          <w:rFonts w:ascii="Arial" w:cs="Arial" w:eastAsia="Arial" w:hAnsi="Arial"/>
          <w:sz w:val="22"/>
          <w:szCs w:val="22"/>
          <w:color w:val="auto"/>
        </w:rPr>
        <w:t>” means the Sales Price less the Selling Commission.</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Maximum Program Amount</w:t>
      </w:r>
      <w:r>
        <w:rPr>
          <w:rFonts w:ascii="Arial" w:cs="Arial" w:eastAsia="Arial" w:hAnsi="Arial"/>
          <w:sz w:val="22"/>
          <w:szCs w:val="22"/>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Principal Market</w:t>
      </w:r>
      <w:r>
        <w:rPr>
          <w:rFonts w:ascii="Arial" w:cs="Arial" w:eastAsia="Arial" w:hAnsi="Arial"/>
          <w:sz w:val="22"/>
          <w:szCs w:val="22"/>
          <w:color w:val="auto"/>
        </w:rPr>
        <w:t>” means the Nasdaq Global Market or such other national securities exchange on which the Common Shares, including any Shares, are then listed.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Sales Price</w:t>
      </w:r>
      <w:r>
        <w:rPr>
          <w:rFonts w:ascii="Arial" w:cs="Arial" w:eastAsia="Arial" w:hAnsi="Arial"/>
          <w:sz w:val="19"/>
          <w:szCs w:val="19"/>
          <w:color w:val="auto"/>
        </w:rPr>
        <w:t>” means the actual sale execution price of each Share placed by the Agent pursuant to this Agreement.</w:t>
      </w:r>
    </w:p>
    <w:p>
      <w:pPr>
        <w:spacing w:after="0" w:line="2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Securities Act of 1933, as amended, and the rules and regulations of the Commission thereunder.</w:t>
      </w:r>
    </w:p>
    <w:p>
      <w:pPr>
        <w:spacing w:after="0" w:line="162"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Selling Commission</w:t>
      </w:r>
      <w:r>
        <w:rPr>
          <w:rFonts w:ascii="Arial" w:cs="Arial" w:eastAsia="Arial" w:hAnsi="Arial"/>
          <w:sz w:val="19"/>
          <w:szCs w:val="19"/>
          <w:color w:val="auto"/>
        </w:rPr>
        <w:t>” means up to three percent (3.0%) of the gross proceeds of Shares sold pursuant to this Agreement, or as otherwise agreed between the Company and the Agent with respect to any Shares sold pursuant to this Agreement.</w:t>
      </w:r>
    </w:p>
    <w:p>
      <w:pPr>
        <w:spacing w:after="0" w:line="9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Settlement Date</w:t>
      </w:r>
      <w:r>
        <w:rPr>
          <w:rFonts w:ascii="Arial" w:cs="Arial" w:eastAsia="Arial" w:hAnsi="Arial"/>
          <w:sz w:val="19"/>
          <w:szCs w:val="19"/>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shall mean the Company’s Common Shares issued or issuable pursuant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means any day on which the Principal Market is open for trading.</w:t>
      </w:r>
    </w:p>
    <w:p>
      <w:pPr>
        <w:spacing w:after="0" w:line="22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21"/>
          <w:szCs w:val="21"/>
          <w:b w:val="1"/>
          <w:bCs w:val="1"/>
          <w:color w:val="auto"/>
        </w:rPr>
        <w:t>REPRESENTATIONS AND WARRANTIES OF THE COMPANY</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Company represents and warrants to, and agrees with, the Agent that as of (1) the date of this Agreement, (2) each Issuance Notice Date, (3) each Settlement Date, (4) each Triggering Event Date and (5) as of each Time of Sale (each of the times referenced above is referred to herein as a “</w:t>
      </w:r>
      <w:r>
        <w:rPr>
          <w:rFonts w:ascii="Arial" w:cs="Arial" w:eastAsia="Arial" w:hAnsi="Arial"/>
          <w:sz w:val="21"/>
          <w:szCs w:val="21"/>
          <w:b w:val="1"/>
          <w:bCs w:val="1"/>
          <w:color w:val="auto"/>
        </w:rPr>
        <w:t>Representation Date</w:t>
      </w:r>
      <w:r>
        <w:rPr>
          <w:rFonts w:ascii="Arial" w:cs="Arial" w:eastAsia="Arial" w:hAnsi="Arial"/>
          <w:sz w:val="21"/>
          <w:szCs w:val="21"/>
          <w:color w:val="auto"/>
        </w:rPr>
        <w:t>”), except as may be disclosed in the Prospectus (including any documents incorporated by reference therein and any supplements thereto) on or before a Representation Date, and unless such representation, warranty or agreement specifies a different time:</w:t>
      </w:r>
    </w:p>
    <w:p>
      <w:pPr>
        <w:spacing w:after="0" w:line="175" w:lineRule="exact"/>
        <w:rPr>
          <w:sz w:val="20"/>
          <w:szCs w:val="20"/>
          <w:color w:val="auto"/>
        </w:rPr>
      </w:pPr>
    </w:p>
    <w:p>
      <w:pPr>
        <w:jc w:val="both"/>
        <w:ind w:firstLine="656"/>
        <w:spacing w:after="0" w:line="284" w:lineRule="auto"/>
        <w:tabs>
          <w:tab w:leader="none" w:pos="1293"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Registration Statement</w:t>
      </w:r>
      <w:r>
        <w:rPr>
          <w:rFonts w:ascii="Arial" w:cs="Arial" w:eastAsia="Arial" w:hAnsi="Arial"/>
          <w:sz w:val="19"/>
          <w:szCs w:val="19"/>
          <w:color w:val="auto"/>
        </w:rPr>
        <w:t>. The Company has prepared and has filed, or will file, with the Commission a shelf registration statement on Form S-3 that contains a base prospectus (the “</w:t>
      </w:r>
      <w:r>
        <w:rPr>
          <w:rFonts w:ascii="Arial" w:cs="Arial" w:eastAsia="Arial" w:hAnsi="Arial"/>
          <w:sz w:val="19"/>
          <w:szCs w:val="19"/>
          <w:b w:val="1"/>
          <w:bCs w:val="1"/>
          <w:color w:val="auto"/>
        </w:rPr>
        <w:t>Base Prospectus</w:t>
      </w:r>
      <w:r>
        <w:rPr>
          <w:rFonts w:ascii="Arial" w:cs="Arial" w:eastAsia="Arial" w:hAnsi="Arial"/>
          <w:sz w:val="19"/>
          <w:szCs w:val="19"/>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under the Securities Act as from time to time amended or supplemented, is herein referred to as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and the Base Prospectus constituting a part of such registration statement(s), together with any prospectus supplement filed with the Commission pursuant to Rule 424(b) under the Securities Act relating to the Shares to be issued from time to time by the Company,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9"/>
          <w:szCs w:val="19"/>
          <w:b w:val="1"/>
          <w:bCs w:val="1"/>
          <w:color w:val="auto"/>
        </w:rPr>
        <w:t>Prospectus</w:t>
      </w:r>
      <w:r>
        <w:rPr>
          <w:rFonts w:ascii="Arial" w:cs="Arial" w:eastAsia="Arial" w:hAnsi="Arial"/>
          <w:sz w:val="19"/>
          <w:szCs w:val="19"/>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9"/>
          <w:szCs w:val="19"/>
          <w:b w:val="1"/>
          <w:bCs w:val="1"/>
          <w:color w:val="auto"/>
        </w:rPr>
        <w:t>Prospectus</w:t>
      </w:r>
      <w:r>
        <w:rPr>
          <w:rFonts w:ascii="Arial" w:cs="Arial" w:eastAsia="Arial" w:hAnsi="Arial"/>
          <w:sz w:val="19"/>
          <w:szCs w:val="19"/>
          <w:color w:val="auto"/>
        </w:rPr>
        <w:t>” shall refer to such revised prospectus from and after the time it is first provided to the Agent for such use. The Registration Statement at the time it first becomes effective is herein called the “</w:t>
      </w:r>
      <w:r>
        <w:rPr>
          <w:rFonts w:ascii="Arial" w:cs="Arial" w:eastAsia="Arial" w:hAnsi="Arial"/>
          <w:sz w:val="19"/>
          <w:szCs w:val="19"/>
          <w:b w:val="1"/>
          <w:bCs w:val="1"/>
          <w:color w:val="auto"/>
        </w:rPr>
        <w:t>Original Registration Statement</w:t>
      </w:r>
      <w:r>
        <w:rPr>
          <w:rFonts w:ascii="Arial" w:cs="Arial" w:eastAsia="Arial" w:hAnsi="Arial"/>
          <w:sz w:val="19"/>
          <w:szCs w:val="19"/>
          <w:color w:val="auto"/>
        </w:rPr>
        <w:t>.” As used in this Agreement, the terms “amend,” “amendment” or “supplement” when applied to the Registration Statement, the Prospectus or any Issuer Free Writing Prospectus shall be deemed to refer to and include the filing by the Company with the Commission of any document under the Exchange Act on or after the most-recent effective date of the Registration Statement, or the date of the Prospectus or such Issuer Free Writing Prospectus, as the case may be, that is or is deemed to be incorporated therein by reference. For purposes of this Agreement, all references to the Registration Statement, the Prospectus or to any amendment or supplement thereto shall be deemed to include the most recent copy filed with the Commission pursuant to its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0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Data Gathering Analysis and Retrieval system, or if applicable, the Interactive Data Electronic Application system when used by the Commission (collectively, “</w:t>
      </w:r>
      <w:r>
        <w:rPr>
          <w:rFonts w:ascii="Arial" w:cs="Arial" w:eastAsia="Arial" w:hAnsi="Arial"/>
          <w:sz w:val="22"/>
          <w:szCs w:val="22"/>
          <w:b w:val="1"/>
          <w:bCs w:val="1"/>
          <w:color w:val="auto"/>
        </w:rPr>
        <w:t>EDGAR</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1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During the Agency Period, each time the Company files an annual report on Form 10-K the Company will meet the then-applicable requirements for use of Form S-3 under the Securities Act.</w:t>
      </w:r>
    </w:p>
    <w:p>
      <w:pPr>
        <w:spacing w:after="0" w:line="175" w:lineRule="exact"/>
        <w:rPr>
          <w:sz w:val="20"/>
          <w:szCs w:val="20"/>
          <w:color w:val="auto"/>
        </w:rPr>
      </w:pPr>
    </w:p>
    <w:p>
      <w:pPr>
        <w:jc w:val="both"/>
        <w:ind w:firstLine="656"/>
        <w:spacing w:after="0" w:line="261" w:lineRule="auto"/>
        <w:tabs>
          <w:tab w:leader="none" w:pos="1291"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Compliance with Registration Requirements</w:t>
      </w:r>
      <w:r>
        <w:rPr>
          <w:rFonts w:ascii="Arial" w:cs="Arial" w:eastAsia="Arial" w:hAnsi="Arial"/>
          <w:sz w:val="21"/>
          <w:szCs w:val="21"/>
          <w:color w:val="auto"/>
        </w:rPr>
        <w:t>. The Original Registration Statement and any Rule 462(b) Registration Statement (as defined below) will be declared effective by the Commission under the Securities Act prior to the date of their first use. The Company has complied or will comply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79" w:lineRule="exact"/>
        <w:rPr>
          <w:sz w:val="20"/>
          <w:szCs w:val="20"/>
          <w:color w:val="auto"/>
        </w:rPr>
      </w:pPr>
    </w:p>
    <w:p>
      <w:pPr>
        <w:jc w:val="both"/>
        <w:ind w:firstLine="293"/>
        <w:spacing w:after="0" w:line="286" w:lineRule="auto"/>
        <w:rPr>
          <w:sz w:val="20"/>
          <w:szCs w:val="20"/>
          <w:color w:val="auto"/>
        </w:rPr>
      </w:pPr>
      <w:r>
        <w:rPr>
          <w:rFonts w:ascii="Arial" w:cs="Arial" w:eastAsia="Arial" w:hAnsi="Arial"/>
          <w:sz w:val="19"/>
          <w:szCs w:val="19"/>
          <w:color w:val="auto"/>
        </w:rPr>
        <w:t>The Prospectus as of its date complied or will comply in all material respects with the Securities Act and, if filed with the Commission through EDGAR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all subsequent times, complied and will comply in all material respects with the Securities Act and, at the time it became or becomes effective and at each Settlement Date,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9"/>
          <w:szCs w:val="19"/>
          <w:b w:val="1"/>
          <w:bCs w:val="1"/>
          <w:color w:val="auto"/>
        </w:rPr>
        <w:t>Time of</w:t>
      </w:r>
      <w:r>
        <w:rPr>
          <w:rFonts w:ascii="Arial" w:cs="Arial" w:eastAsia="Arial" w:hAnsi="Arial"/>
          <w:sz w:val="19"/>
          <w:szCs w:val="19"/>
          <w:color w:val="auto"/>
        </w:rPr>
        <w:t xml:space="preserve"> </w:t>
      </w:r>
      <w:r>
        <w:rPr>
          <w:rFonts w:ascii="Arial" w:cs="Arial" w:eastAsia="Arial" w:hAnsi="Arial"/>
          <w:sz w:val="19"/>
          <w:szCs w:val="19"/>
          <w:b w:val="1"/>
          <w:bCs w:val="1"/>
          <w:color w:val="auto"/>
        </w:rPr>
        <w:t>Sale Information</w:t>
      </w:r>
      <w:r>
        <w:rPr>
          <w:rFonts w:ascii="Arial" w:cs="Arial" w:eastAsia="Arial" w:hAnsi="Arial"/>
          <w:sz w:val="19"/>
          <w:szCs w:val="19"/>
          <w:color w:val="auto"/>
        </w:rPr>
        <w:t>”) did not contain any untrue statement of a material fact or omit to state a material fact necessary to make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statements therein, in the light of the circumstances under which they were made, not misleading. The Prospectus, as amended or supplemented, as of its date, did not and, at each Settlement Date, will not contain any untrue statement of a material fact or omit to state a material fact necessary in order to make the statements therein, in the light of the circumstances under which they were made, not misleading. The representations and warranties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83" w:lineRule="exact"/>
        <w:rPr>
          <w:sz w:val="20"/>
          <w:szCs w:val="20"/>
          <w:color w:val="auto"/>
        </w:rPr>
      </w:pPr>
    </w:p>
    <w:p>
      <w:pPr>
        <w:jc w:val="both"/>
        <w:ind w:firstLine="656"/>
        <w:spacing w:after="0" w:line="247" w:lineRule="auto"/>
        <w:tabs>
          <w:tab w:leader="none" w:pos="1293"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Incorporated Documents</w:t>
      </w:r>
      <w:r>
        <w:rPr>
          <w:rFonts w:ascii="Arial" w:cs="Arial" w:eastAsia="Arial" w:hAnsi="Arial"/>
          <w:sz w:val="22"/>
          <w:szCs w:val="22"/>
          <w:color w:val="auto"/>
        </w:rPr>
        <w:t>. The documents incorporated or deemed to be incorporated by reference in the Registration Statement and the Prospectus, at the time they were or hereafter are filed with the Commission, complied and will comply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92" w:lineRule="exact"/>
        <w:rPr>
          <w:rFonts w:ascii="Arial" w:cs="Arial" w:eastAsia="Arial" w:hAnsi="Arial"/>
          <w:sz w:val="22"/>
          <w:szCs w:val="22"/>
          <w:color w:val="auto"/>
        </w:rPr>
      </w:pPr>
    </w:p>
    <w:p>
      <w:pPr>
        <w:jc w:val="both"/>
        <w:ind w:firstLine="656"/>
        <w:spacing w:after="0" w:line="247" w:lineRule="auto"/>
        <w:tabs>
          <w:tab w:leader="none" w:pos="1291"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Stock Exchange Listing</w:t>
      </w:r>
      <w:r>
        <w:rPr>
          <w:rFonts w:ascii="Arial" w:cs="Arial" w:eastAsia="Arial" w:hAnsi="Arial"/>
          <w:sz w:val="22"/>
          <w:szCs w:val="22"/>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92" w:lineRule="exact"/>
        <w:rPr>
          <w:rFonts w:ascii="Arial" w:cs="Arial" w:eastAsia="Arial" w:hAnsi="Arial"/>
          <w:sz w:val="22"/>
          <w:szCs w:val="22"/>
          <w:color w:val="auto"/>
        </w:rPr>
      </w:pPr>
    </w:p>
    <w:p>
      <w:pPr>
        <w:jc w:val="both"/>
        <w:ind w:firstLine="656"/>
        <w:spacing w:after="0" w:line="248" w:lineRule="auto"/>
        <w:tabs>
          <w:tab w:leader="none" w:pos="1293"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Conformity with Securities Act and Exchange Act</w:t>
      </w:r>
      <w:r>
        <w:rPr>
          <w:rFonts w:ascii="Arial" w:cs="Arial" w:eastAsia="Arial" w:hAnsi="Arial"/>
          <w:sz w:val="22"/>
          <w:szCs w:val="22"/>
          <w:color w:val="auto"/>
        </w:rPr>
        <w:t>. The Registration Statement, the Prospectus, any Issuer Free Writing Prospectus or any amendment or supplement thereto, and any documents incorporated by reference therein,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91" w:lineRule="exact"/>
        <w:rPr>
          <w:rFonts w:ascii="Arial" w:cs="Arial" w:eastAsia="Arial" w:hAnsi="Arial"/>
          <w:sz w:val="22"/>
          <w:szCs w:val="22"/>
          <w:color w:val="auto"/>
        </w:rPr>
      </w:pPr>
    </w:p>
    <w:p>
      <w:pPr>
        <w:jc w:val="both"/>
        <w:ind w:firstLine="656"/>
        <w:spacing w:after="0" w:line="290" w:lineRule="auto"/>
        <w:tabs>
          <w:tab w:leader="none" w:pos="1296"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Financial Information</w:t>
      </w:r>
      <w:r>
        <w:rPr>
          <w:rFonts w:ascii="Arial" w:cs="Arial" w:eastAsia="Arial" w:hAnsi="Arial"/>
          <w:sz w:val="19"/>
          <w:szCs w:val="19"/>
          <w:color w:val="auto"/>
        </w:rPr>
        <w:t>. The financial statements of the Company included or incorporated by reference in the Registration Statement, the Prospectus and the Issuer Free Writing Prospectuses, if any, together with the related notes and schedules, present fairly, in all material respects, the financial position of the Company as of the dates indicated and the results of operations, cash flows and changes in stockholders’ equity of the Company for the periods specified (subject, in the case of unaudited statements, to normal and recurring year-end audit adjustments) and have been prepared in compliance with the requirements of the Securities Act and Exchange Act, as applicable, and in conformity with U.S. generally accepted accounting principles (“</w:t>
      </w:r>
      <w:r>
        <w:rPr>
          <w:rFonts w:ascii="Arial" w:cs="Arial" w:eastAsia="Arial" w:hAnsi="Arial"/>
          <w:sz w:val="19"/>
          <w:szCs w:val="19"/>
          <w:b w:val="1"/>
          <w:bCs w:val="1"/>
          <w:color w:val="auto"/>
        </w:rPr>
        <w:t>GAAP</w:t>
      </w:r>
      <w:r>
        <w:rPr>
          <w:rFonts w:ascii="Arial" w:cs="Arial" w:eastAsia="Arial" w:hAnsi="Arial"/>
          <w:sz w:val="19"/>
          <w:szCs w:val="19"/>
          <w:color w:val="auto"/>
        </w:rPr>
        <w:t>”) applied on a consistent basis (except for such adjustments to accounting standards and practices as are noted therein) during the periods involved (except that any interim</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statements are in condensed form and do not contain all footnotes that would be required under GAAP and are subject to year-end audit adjustments); the other financial and statistical data with respect to the Company contained or incorporated by reference in the Registration Statement, the Prospectus and the Issuer Free Writing Prospectuses, if any, are accurately and fairly presented in all material respects and prepared on a basis consistent, in all material respects, with the financial statements (in the case of financial data only)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does not have any material liabilities or obligations, direct or contingent (including any off-balance sheet obligations), that are required to be described in the Registration Statement and the Prospectus that are not described in the Registration Statement (excluding the exhibits thereto) and the Prospectus; and all disclosures contained or incorporated by reference in the Registration Statement, the Prospectus and the Issuer Free Writing Prospectuses, if any, regarding “non-GAAP financial measures” (as such term is defined by the rules and regulations of the Commission) comply in all material respects with Regulation G of the Exchange Act and Item 10 of Regulation S-K under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58" w:lineRule="exact"/>
        <w:rPr>
          <w:sz w:val="20"/>
          <w:szCs w:val="20"/>
          <w:color w:val="auto"/>
        </w:rPr>
      </w:pPr>
    </w:p>
    <w:p>
      <w:pPr>
        <w:jc w:val="both"/>
        <w:ind w:firstLine="656"/>
        <w:spacing w:after="0" w:line="271" w:lineRule="auto"/>
        <w:tabs>
          <w:tab w:leader="none" w:pos="1291" w:val="left"/>
        </w:tabs>
        <w:numPr>
          <w:ilvl w:val="0"/>
          <w:numId w:val="6"/>
        </w:numPr>
        <w:rPr>
          <w:rFonts w:ascii="Arial" w:cs="Arial" w:eastAsia="Arial" w:hAnsi="Arial"/>
          <w:sz w:val="21"/>
          <w:szCs w:val="21"/>
          <w:color w:val="auto"/>
        </w:rPr>
      </w:pPr>
      <w:r>
        <w:rPr>
          <w:rFonts w:ascii="Arial" w:cs="Arial" w:eastAsia="Arial" w:hAnsi="Arial"/>
          <w:sz w:val="21"/>
          <w:szCs w:val="21"/>
          <w:u w:val="single" w:color="auto"/>
          <w:color w:val="auto"/>
        </w:rPr>
        <w:t>Conformity with EDGAR Filing</w:t>
      </w:r>
      <w:r>
        <w:rPr>
          <w:rFonts w:ascii="Arial" w:cs="Arial" w:eastAsia="Arial" w:hAnsi="Arial"/>
          <w:sz w:val="21"/>
          <w:szCs w:val="21"/>
          <w:color w:val="auto"/>
        </w:rPr>
        <w:t>. The Prospectus delivered to Agent for use in connection with the sale of the Shares pursuant to this Agreement will be identical to the versions of the Prospectus created to be transmitted to the Commission for filing via EDGAR, except to the extent permitted by Regulation S-T under the Securities Act.</w:t>
      </w:r>
    </w:p>
    <w:p>
      <w:pPr>
        <w:spacing w:after="0" w:line="167" w:lineRule="exact"/>
        <w:rPr>
          <w:rFonts w:ascii="Arial" w:cs="Arial" w:eastAsia="Arial" w:hAnsi="Arial"/>
          <w:sz w:val="21"/>
          <w:szCs w:val="21"/>
          <w:color w:val="auto"/>
        </w:rPr>
      </w:pPr>
    </w:p>
    <w:p>
      <w:pPr>
        <w:jc w:val="both"/>
        <w:ind w:firstLine="656"/>
        <w:spacing w:after="0" w:line="289" w:lineRule="auto"/>
        <w:tabs>
          <w:tab w:leader="none" w:pos="1291"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Organization</w:t>
      </w:r>
      <w:r>
        <w:rPr>
          <w:rFonts w:ascii="Arial" w:cs="Arial" w:eastAsia="Arial" w:hAnsi="Arial"/>
          <w:sz w:val="19"/>
          <w:szCs w:val="19"/>
          <w:color w:val="auto"/>
        </w:rPr>
        <w:t>. The Company is duly incorporated, validly existing as a corporation and in good standing under the laws of its jurisdiction of incorporation. The Company is duly licensed or qualified as a foreign corporation for the transaction of business and in good standing under the laws of each other jurisdiction in which its ownership or lease of property or the conduct of its business requires such license or qualification, and has all corporate power and authority necessary to own or hold its properties and to conduct its business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the assets, business, operations, earnings, properties, condition (financial or otherwise), prospects, stockholders’ equity or results of operations of the Company, or prevent or materially interfere with consummation of the transactions contemplated hereby (a “</w:t>
      </w:r>
      <w:r>
        <w:rPr>
          <w:rFonts w:ascii="Arial" w:cs="Arial" w:eastAsia="Arial" w:hAnsi="Arial"/>
          <w:sz w:val="19"/>
          <w:szCs w:val="19"/>
          <w:b w:val="1"/>
          <w:bCs w:val="1"/>
          <w:color w:val="auto"/>
        </w:rPr>
        <w:t>Material Adverse Effect</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left="1300" w:hanging="644"/>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Subsidiaries</w:t>
      </w:r>
      <w:r>
        <w:rPr>
          <w:rFonts w:ascii="Arial" w:cs="Arial" w:eastAsia="Arial" w:hAnsi="Arial"/>
          <w:sz w:val="22"/>
          <w:szCs w:val="22"/>
          <w:color w:val="auto"/>
        </w:rPr>
        <w:t>. The Company has no subsidiaries (as defined in Rule 405 under the Securities Act).</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284"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No Violation or Default</w:t>
      </w:r>
      <w:r>
        <w:rPr>
          <w:rFonts w:ascii="Arial" w:cs="Arial" w:eastAsia="Arial" w:hAnsi="Arial"/>
          <w:sz w:val="22"/>
          <w:szCs w:val="22"/>
          <w:color w:val="auto"/>
        </w:rPr>
        <w:t>. The Company is not (i) in violation of its certificate of incorporation or bylaws; (ii) in default, and no event has occurred that, with notice or lapse of time or both, would constitute such a default, in the due performance or observance of any term,</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covenant or condition contained in any indenture, mortgage, deed of trust, loan agreement or other agreement or instrument to which the Company is a party or by which the Company is bound or to which any of the property or assets of the Company are subject (an “</w:t>
      </w:r>
      <w:r>
        <w:rPr>
          <w:rFonts w:ascii="Arial" w:cs="Arial" w:eastAsia="Arial" w:hAnsi="Arial"/>
          <w:sz w:val="19"/>
          <w:szCs w:val="19"/>
          <w:b w:val="1"/>
          <w:bCs w:val="1"/>
          <w:color w:val="auto"/>
        </w:rPr>
        <w:t>Existing Instrument</w:t>
      </w:r>
      <w:r>
        <w:rPr>
          <w:rFonts w:ascii="Arial" w:cs="Arial" w:eastAsia="Arial" w:hAnsi="Arial"/>
          <w:sz w:val="19"/>
          <w:szCs w:val="19"/>
          <w:color w:val="auto"/>
        </w:rPr>
        <w:t>”); or (iii) in violation of any law or statute or any judgment, order, rule or regulation of any Governmental Authority, except, in the case of each of clauses (ii) and (iii) above, for any such violation or default that would not, individually or in the aggregate, reasonably be expected to have a Material Adverse Effect.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certificate of incorporation or bylaws of the Company (ii) will not conflict with or constitute a breach of, or default or a Debt Repayment Triggering Event (as defined below) under, or result in the creation or imposition of any lien, charge or encumbrance upon any property or assets of the Company pursuant to, or require the consent of any other party to, any Existing Instrument, except as could not be expected, individually or in the aggregate, to have a Material Adverse Effect and (iii) will not result in any violation of any law, administrative regulation or administrative or court decree applicable to the Company, except as could not be expected, individually or in the aggregate, to have a Material Adverse Effect. As used herein, a “</w:t>
      </w:r>
      <w:r>
        <w:rPr>
          <w:rFonts w:ascii="Arial" w:cs="Arial" w:eastAsia="Arial" w:hAnsi="Arial"/>
          <w:sz w:val="19"/>
          <w:szCs w:val="19"/>
          <w:b w:val="1"/>
          <w:bCs w:val="1"/>
          <w:color w:val="auto"/>
        </w:rPr>
        <w:t>Debt Repayment Triggering Event</w:t>
      </w:r>
      <w:r>
        <w:rPr>
          <w:rFonts w:ascii="Arial" w:cs="Arial" w:eastAsia="Arial" w:hAnsi="Arial"/>
          <w:sz w:val="19"/>
          <w:szCs w:val="19"/>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200" w:lineRule="exact"/>
        <w:rPr>
          <w:sz w:val="20"/>
          <w:szCs w:val="20"/>
          <w:color w:val="auto"/>
        </w:rPr>
      </w:pPr>
    </w:p>
    <w:p>
      <w:pPr>
        <w:spacing w:after="0" w:line="222" w:lineRule="exact"/>
        <w:rPr>
          <w:sz w:val="20"/>
          <w:szCs w:val="20"/>
          <w:color w:val="auto"/>
        </w:rPr>
      </w:pPr>
    </w:p>
    <w:p>
      <w:pPr>
        <w:jc w:val="both"/>
        <w:ind w:firstLine="656"/>
        <w:spacing w:after="0" w:line="287" w:lineRule="auto"/>
        <w:tabs>
          <w:tab w:leader="none" w:pos="1291"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No Material Adverse Change</w:t>
      </w:r>
      <w:r>
        <w:rPr>
          <w:rFonts w:ascii="Arial" w:cs="Arial" w:eastAsia="Arial" w:hAnsi="Arial"/>
          <w:sz w:val="19"/>
          <w:szCs w:val="19"/>
          <w:color w:val="auto"/>
        </w:rPr>
        <w:t>. Subsequent to the respective dates as of which information is given in the Registration Statement, the Prospectus and the Issuer Free Writing Prospectuses, if any (including any documents incorporated by reference therein), there has not been (i) any Material Adverse Effect or the occurrence of any development that the Company reasonably expects will result in a Material Adverse Effect, (ii) any transaction which is material to the Company, (iii) any material obligation or liability, direct or contingent (including any off-balance sheet obligations), incurred by the Company, (iv) any material change in the capital stock or any material increase in the outstanding long-term indebtedness of the Company (other than (a) as a result of the sale of Shares, or (b) changes in the number of shares of outstanding Common Stock of the Company due to the issuance of shares upon the exercise or conversion of securities exercisable for, or convertible into, shares of Common Stock outstanding on the date hereof, or the vesting of restricted stock units outstanding on the date hereof) or (v) any dividend or distribution of any kind declared, paid or made on the capital stock of the Company, other than in each case above in the ordinary course of business or as otherwise disclosed in the Registration Statement or Prospectus (including any document deemed incorporated by reference therein).</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656"/>
        <w:spacing w:after="0" w:line="253" w:lineRule="auto"/>
        <w:tabs>
          <w:tab w:leader="none" w:pos="1284"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Capitalization</w:t>
      </w:r>
      <w:r>
        <w:rPr>
          <w:rFonts w:ascii="Arial" w:cs="Arial" w:eastAsia="Arial" w:hAnsi="Arial"/>
          <w:sz w:val="22"/>
          <w:szCs w:val="22"/>
          <w:color w:val="auto"/>
        </w:rPr>
        <w:t>. The issued and outstanding shares of capital stock of the Company have been validly issued, are fully paid and nonassessable and, other than as disclosed in the Registration Statement or the Prospectus, are not subject to any preemptive rights, rights of first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refusal or similar rights to subscribe for or purchase securities of the Company. The Company has an authorized, issued and outstanding capitalization as set forth in the Registration Statement and the Prospectus as of the dates referred to therein (other than the grant of additional options or other securities under the Company’s existing employee benefits plans, or changes in the number of outstanding shares of Common Stock of the Company due to the issuance of shares upon the exercise or conversion of securities exercisable for, or convertible into, Common Stock outstanding on the date hereof, or due to the issuance of shares in connection with Company’s Employee Stock Purchase Plan) and such authorized capital stock conforms to the description thereof set forth in the Registration Statement and the Prospectus. The description of the securities of the Company in the Registration Statement and the Prospectus is complete and accurate in all material respects. Except as disclosed in or contemplated by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63" w:lineRule="exact"/>
        <w:rPr>
          <w:sz w:val="20"/>
          <w:szCs w:val="20"/>
          <w:color w:val="auto"/>
        </w:rPr>
      </w:pPr>
    </w:p>
    <w:p>
      <w:pPr>
        <w:jc w:val="both"/>
        <w:ind w:firstLine="656"/>
        <w:spacing w:after="0" w:line="294" w:lineRule="auto"/>
        <w:tabs>
          <w:tab w:leader="none" w:pos="1284"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Authorization; Enforceability</w:t>
      </w:r>
      <w:r>
        <w:rPr>
          <w:rFonts w:ascii="Arial" w:cs="Arial" w:eastAsia="Arial" w:hAnsi="Arial"/>
          <w:sz w:val="19"/>
          <w:szCs w:val="19"/>
          <w:color w:val="auto"/>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 and that the enforceability of the indemnification and contribution provisions may be limited by federal and state securities laws and principles of public policy.</w:t>
      </w:r>
    </w:p>
    <w:p>
      <w:pPr>
        <w:spacing w:after="0" w:line="149" w:lineRule="exact"/>
        <w:rPr>
          <w:rFonts w:ascii="Arial" w:cs="Arial" w:eastAsia="Arial" w:hAnsi="Arial"/>
          <w:sz w:val="19"/>
          <w:szCs w:val="19"/>
          <w:color w:val="auto"/>
        </w:rPr>
      </w:pPr>
    </w:p>
    <w:p>
      <w:pPr>
        <w:jc w:val="both"/>
        <w:ind w:firstLine="656"/>
        <w:spacing w:after="0" w:line="259" w:lineRule="auto"/>
        <w:tabs>
          <w:tab w:leader="none" w:pos="1291" w:val="left"/>
        </w:tabs>
        <w:numPr>
          <w:ilvl w:val="0"/>
          <w:numId w:val="8"/>
        </w:numPr>
        <w:rPr>
          <w:rFonts w:ascii="Arial" w:cs="Arial" w:eastAsia="Arial" w:hAnsi="Arial"/>
          <w:sz w:val="21"/>
          <w:szCs w:val="21"/>
          <w:color w:val="auto"/>
        </w:rPr>
      </w:pPr>
      <w:r>
        <w:rPr>
          <w:rFonts w:ascii="Arial" w:cs="Arial" w:eastAsia="Arial" w:hAnsi="Arial"/>
          <w:sz w:val="21"/>
          <w:szCs w:val="21"/>
          <w:u w:val="single" w:color="auto"/>
          <w:color w:val="auto"/>
        </w:rPr>
        <w:t>Authorization of Shares</w:t>
      </w:r>
      <w:r>
        <w:rPr>
          <w:rFonts w:ascii="Arial" w:cs="Arial" w:eastAsia="Arial" w:hAnsi="Arial"/>
          <w:sz w:val="21"/>
          <w:szCs w:val="21"/>
          <w:color w:val="auto"/>
        </w:rPr>
        <w:t>. The Shares, when issued and delivered pursuant to the terms approved by the board of directors of the Company or a duly authorized committee thereof, or a duly authorized Executive Committee, against payment therefor as provided herein, will be duly authorized, validly issued, fully paid and nonassessable, free and clear of any pledge, lien, encumbrance, security interest or other claim (other than any pledge, lien, encumbrance, security interest or other claim arising from an act or omission of the Agent or a purchaser), including any statutory or contractual preemptive rights, resale rights, rights of first refusal or other similar rights to subscribe for or purchase the Shares, and will be registered pursuant to Section 12 of the Exchange Act. The Shares, when issued, will conform in all material respects to the description thereof set forth in or incorporated into the Prospectus.</w:t>
      </w:r>
    </w:p>
    <w:p>
      <w:pPr>
        <w:spacing w:after="0" w:line="183" w:lineRule="exact"/>
        <w:rPr>
          <w:rFonts w:ascii="Arial" w:cs="Arial" w:eastAsia="Arial" w:hAnsi="Arial"/>
          <w:sz w:val="21"/>
          <w:szCs w:val="21"/>
          <w:color w:val="auto"/>
        </w:rPr>
      </w:pPr>
    </w:p>
    <w:p>
      <w:pPr>
        <w:jc w:val="both"/>
        <w:ind w:firstLine="656"/>
        <w:spacing w:after="0" w:line="247" w:lineRule="auto"/>
        <w:tabs>
          <w:tab w:leader="none" w:pos="1291"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No Consents Required</w:t>
      </w:r>
      <w:r>
        <w:rPr>
          <w:rFonts w:ascii="Arial" w:cs="Arial" w:eastAsia="Arial" w:hAnsi="Arial"/>
          <w:sz w:val="22"/>
          <w:szCs w:val="22"/>
          <w:color w:val="auto"/>
        </w:rPr>
        <w:t>. No consent, approval, authorization, order, registration or qualification of or with any Governmental Authority is required for the execution, delivery and performance by the Company of this Agreement, the issuance and sale by the Company of the Shares, except for the registration of the Shares under the Securities Act and such consents, approvals, authorizations, orders and registrations or qualifications as may be required under applicable state securities laws or by the bylaws and rules of the Financial Industry Regulatory Authority (“</w:t>
      </w:r>
      <w:r>
        <w:rPr>
          <w:rFonts w:ascii="Arial" w:cs="Arial" w:eastAsia="Arial" w:hAnsi="Arial"/>
          <w:sz w:val="22"/>
          <w:szCs w:val="22"/>
          <w:b w:val="1"/>
          <w:bCs w:val="1"/>
          <w:color w:val="auto"/>
        </w:rPr>
        <w:t>FINRA</w:t>
      </w:r>
      <w:r>
        <w:rPr>
          <w:rFonts w:ascii="Arial" w:cs="Arial" w:eastAsia="Arial" w:hAnsi="Arial"/>
          <w:sz w:val="22"/>
          <w:szCs w:val="22"/>
          <w:color w:val="auto"/>
        </w:rPr>
        <w:t>”) or the Exchange in connection with the sale of the Shares by the Agent.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4" w:lineRule="exact"/>
        <w:rPr>
          <w:sz w:val="20"/>
          <w:szCs w:val="20"/>
          <w:color w:val="auto"/>
        </w:rPr>
      </w:pPr>
    </w:p>
    <w:p>
      <w:pPr>
        <w:jc w:val="both"/>
        <w:ind w:firstLine="656"/>
        <w:spacing w:after="0" w:line="286" w:lineRule="auto"/>
        <w:tabs>
          <w:tab w:leader="none" w:pos="1291"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No Preferential Rights</w:t>
      </w:r>
      <w:r>
        <w:rPr>
          <w:rFonts w:ascii="Arial" w:cs="Arial" w:eastAsia="Arial" w:hAnsi="Arial"/>
          <w:sz w:val="19"/>
          <w:szCs w:val="19"/>
          <w:color w:val="auto"/>
        </w:rPr>
        <w:t>. Except as set forth in the Registration Statement and the Prospectus, (i) no person, as such term is defined in Rule 1-02 of Regulation S-X promulgated under the Securities Act (each, a “</w:t>
      </w:r>
      <w:r>
        <w:rPr>
          <w:rFonts w:ascii="Arial" w:cs="Arial" w:eastAsia="Arial" w:hAnsi="Arial"/>
          <w:sz w:val="19"/>
          <w:szCs w:val="19"/>
          <w:b w:val="1"/>
          <w:bCs w:val="1"/>
          <w:color w:val="auto"/>
        </w:rPr>
        <w:t>Person</w:t>
      </w:r>
      <w:r>
        <w:rPr>
          <w:rFonts w:ascii="Arial" w:cs="Arial" w:eastAsia="Arial" w:hAnsi="Arial"/>
          <w:sz w:val="19"/>
          <w:szCs w:val="19"/>
          <w:color w:val="auto"/>
        </w:rPr>
        <w:t>”), has the right, contractual or otherwise, to cause the Company to issue or sell to such Person any Common Stock or shares of any other capital stock or other securities of the Company (other than upon the exercise of options or warrants to purchase Common Stock or upon the exercise of options or other securities that may be granted from time to time under the Company’s equity incentive plans and which are disclosed in the Registration Statement and Prospectus), (ii) no Person has any preemptive rights, resale rights, rights of first refusal, rights of co-sale,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 with the offer and sale of the Shares,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Shares as contemplated thereby or otherwise, except for such rights as have been waived in writing on or prior to the date hereof.</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656"/>
        <w:spacing w:after="0" w:line="246" w:lineRule="auto"/>
        <w:tabs>
          <w:tab w:leader="none" w:pos="1291"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Independent Public Accounting Firm</w:t>
      </w:r>
      <w:r>
        <w:rPr>
          <w:rFonts w:ascii="Arial" w:cs="Arial" w:eastAsia="Arial" w:hAnsi="Arial"/>
          <w:sz w:val="22"/>
          <w:szCs w:val="22"/>
          <w:color w:val="auto"/>
        </w:rPr>
        <w:t>. Ernst &amp; Young LLP, whose report on the financial statements of the Company is filed with the Commission as part of the Company’s most recent Annual Report on Form 10-K filed with the Commission and incorporated by reference into the Registration Statement and the Prospectus, is, and during the periods covered by Ernst &amp; Young LLP’s report was, an independent registered public accounting firm within the meaning of the Securities Act and the Public Company Accounting Oversight Board (United States) (the “</w:t>
      </w:r>
      <w:r>
        <w:rPr>
          <w:rFonts w:ascii="Arial" w:cs="Arial" w:eastAsia="Arial" w:hAnsi="Arial"/>
          <w:sz w:val="22"/>
          <w:szCs w:val="22"/>
          <w:b w:val="1"/>
          <w:bCs w:val="1"/>
          <w:color w:val="auto"/>
        </w:rPr>
        <w:t>PCAOB</w:t>
      </w:r>
      <w:r>
        <w:rPr>
          <w:rFonts w:ascii="Arial" w:cs="Arial" w:eastAsia="Arial" w:hAnsi="Arial"/>
          <w:sz w:val="22"/>
          <w:szCs w:val="22"/>
          <w:color w:val="auto"/>
        </w:rPr>
        <w:t>”). To the Company’s knowledge, Ernst &amp; Young LLP is not in violation of the auditor independence requirements of the Sarbanes-Oxley Act of 2002 (the “</w:t>
      </w:r>
      <w:r>
        <w:rPr>
          <w:rFonts w:ascii="Arial" w:cs="Arial" w:eastAsia="Arial" w:hAnsi="Arial"/>
          <w:sz w:val="22"/>
          <w:szCs w:val="22"/>
          <w:b w:val="1"/>
          <w:bCs w:val="1"/>
          <w:color w:val="auto"/>
        </w:rPr>
        <w:t>Sarbanes-Oxley Act</w:t>
      </w:r>
      <w:r>
        <w:rPr>
          <w:rFonts w:ascii="Arial" w:cs="Arial" w:eastAsia="Arial" w:hAnsi="Arial"/>
          <w:sz w:val="22"/>
          <w:szCs w:val="22"/>
          <w:color w:val="auto"/>
        </w:rPr>
        <w:t>”) with respect to the Company.</w:t>
      </w:r>
    </w:p>
    <w:p>
      <w:pPr>
        <w:spacing w:after="0" w:line="196" w:lineRule="exact"/>
        <w:rPr>
          <w:rFonts w:ascii="Arial" w:cs="Arial" w:eastAsia="Arial" w:hAnsi="Arial"/>
          <w:sz w:val="22"/>
          <w:szCs w:val="22"/>
          <w:color w:val="auto"/>
        </w:rPr>
      </w:pPr>
    </w:p>
    <w:p>
      <w:pPr>
        <w:jc w:val="both"/>
        <w:ind w:firstLine="656"/>
        <w:spacing w:after="0" w:line="288" w:lineRule="auto"/>
        <w:tabs>
          <w:tab w:leader="none" w:pos="1296"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No Litigation</w:t>
      </w:r>
      <w:r>
        <w:rPr>
          <w:rFonts w:ascii="Arial" w:cs="Arial" w:eastAsia="Arial" w:hAnsi="Arial"/>
          <w:sz w:val="19"/>
          <w:szCs w:val="19"/>
          <w:color w:val="auto"/>
        </w:rPr>
        <w:t>. Except as set forth in the Registration Statement or the Prospectus, there are no legal, governmental or regulatory actions, suits, or proceedings pending, nor, to the Company’s knowledge, any legal, governmental or regulatory audits or investigations, to which the Company is a party or of which any property of the Company is the subject that, if determined adversely to the Company, would reasonably be expected to have a Material Adverse Effect, and, to the Company’s knowledge, no such actions, suits or proceedings are threatened by any Governmental Authority or threatened by others that, individually or in the aggregate, if determined adversely to the Company, would reasonably be expected to have a Material Adverse Effect; and (i) there are no pending legal, governmental or regulatory audits, actions, suits or proceedings, or, to the Company’s knowledge, investigations, that are required under the Securities Act to be described in the Prospectus that are not so described; and (ii) there are no contracts or other documents that are required under the Securities Act to be filed as exhibits to the Registration Statement that are not so filed.</w:t>
      </w:r>
    </w:p>
    <w:p>
      <w:pPr>
        <w:spacing w:after="0" w:line="159" w:lineRule="exact"/>
        <w:rPr>
          <w:rFonts w:ascii="Arial" w:cs="Arial" w:eastAsia="Arial" w:hAnsi="Arial"/>
          <w:sz w:val="19"/>
          <w:szCs w:val="19"/>
          <w:color w:val="auto"/>
        </w:rPr>
      </w:pPr>
    </w:p>
    <w:p>
      <w:pPr>
        <w:ind w:firstLine="656"/>
        <w:spacing w:after="0" w:line="263" w:lineRule="auto"/>
        <w:tabs>
          <w:tab w:leader="none" w:pos="1294"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Permits</w:t>
      </w:r>
      <w:r>
        <w:rPr>
          <w:rFonts w:ascii="Arial" w:cs="Arial" w:eastAsia="Arial" w:hAnsi="Arial"/>
          <w:sz w:val="22"/>
          <w:szCs w:val="22"/>
          <w:color w:val="auto"/>
        </w:rPr>
        <w:t>. The Company possesses all licenses, certificates, permits and other authorizations issued by all applicable authorities necessary to conduct its business, and the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Company has not received any notice of proceedings relating to the revocation or modification of any such certificate, authorization or permit which, singly or in the aggregate, if the subject of an unfavorable decision, ruling or finding, would have a Material Adverse Effect, whether or not arising from transactions in the ordinary course of business, except as set forth in or contemplated in the Registration Statement and the Prospectus (exclusive of any supplement thereto).</w:t>
      </w:r>
    </w:p>
    <w:p>
      <w:pPr>
        <w:spacing w:after="0" w:line="175" w:lineRule="exact"/>
        <w:rPr>
          <w:sz w:val="20"/>
          <w:szCs w:val="20"/>
          <w:color w:val="auto"/>
        </w:rPr>
      </w:pPr>
    </w:p>
    <w:p>
      <w:pPr>
        <w:jc w:val="both"/>
        <w:ind w:firstLine="656"/>
        <w:spacing w:after="0" w:line="284" w:lineRule="auto"/>
        <w:tabs>
          <w:tab w:leader="none" w:pos="1284"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Regulatory Filings</w:t>
      </w:r>
      <w:r>
        <w:rPr>
          <w:rFonts w:ascii="Arial" w:cs="Arial" w:eastAsia="Arial" w:hAnsi="Arial"/>
          <w:sz w:val="19"/>
          <w:szCs w:val="19"/>
          <w:color w:val="auto"/>
        </w:rPr>
        <w:t>. Except as described in the Registration Statement and Prospectus, and as would not, individually or in the aggregate, result in a Material Adverse Effect: (i) the Company is and has been in compliance with statutes, laws, ordinances, rules and regulations applicable to the Company for the ownership, testing, development, manufacture, packaging, processing, use, labeling, storage, or disposal of any product manufactured by or on behalf of the Company (a “</w:t>
      </w:r>
      <w:r>
        <w:rPr>
          <w:rFonts w:ascii="Arial" w:cs="Arial" w:eastAsia="Arial" w:hAnsi="Arial"/>
          <w:sz w:val="19"/>
          <w:szCs w:val="19"/>
          <w:b w:val="1"/>
          <w:bCs w:val="1"/>
          <w:color w:val="auto"/>
        </w:rPr>
        <w:t>Company Product</w:t>
      </w:r>
      <w:r>
        <w:rPr>
          <w:rFonts w:ascii="Arial" w:cs="Arial" w:eastAsia="Arial" w:hAnsi="Arial"/>
          <w:sz w:val="19"/>
          <w:szCs w:val="19"/>
          <w:color w:val="auto"/>
        </w:rPr>
        <w:t>”), including without limitation, the Federal Food, Drug, and Cosmetic Act, 21 U.S.C. §301, et seq., the Public Health Service Act, 42 U.S.C. §262, similar laws of other governmental entities and the regulations promulgated pursuant to such laws (collectively, “</w:t>
      </w:r>
      <w:r>
        <w:rPr>
          <w:rFonts w:ascii="Arial" w:cs="Arial" w:eastAsia="Arial" w:hAnsi="Arial"/>
          <w:sz w:val="19"/>
          <w:szCs w:val="19"/>
          <w:b w:val="1"/>
          <w:bCs w:val="1"/>
          <w:color w:val="auto"/>
        </w:rPr>
        <w:t>Applicable Laws</w:t>
      </w:r>
      <w:r>
        <w:rPr>
          <w:rFonts w:ascii="Arial" w:cs="Arial" w:eastAsia="Arial" w:hAnsi="Arial"/>
          <w:sz w:val="19"/>
          <w:szCs w:val="19"/>
          <w:color w:val="auto"/>
        </w:rPr>
        <w:t>”); (ii) the Company possesses all licenses, certificates, approvals, authorizations, permits and supplements or amendments thereto required by any such Applicable Laws and/or for the ownership of its properties or the conduct of its business as it relates to a Company Product and as described in the Registration Statement and the Prospectus (collectively, “</w:t>
      </w:r>
      <w:r>
        <w:rPr>
          <w:rFonts w:ascii="Arial" w:cs="Arial" w:eastAsia="Arial" w:hAnsi="Arial"/>
          <w:sz w:val="19"/>
          <w:szCs w:val="19"/>
          <w:b w:val="1"/>
          <w:bCs w:val="1"/>
          <w:color w:val="auto"/>
        </w:rPr>
        <w:t>Authorizations</w:t>
      </w:r>
      <w:r>
        <w:rPr>
          <w:rFonts w:ascii="Arial" w:cs="Arial" w:eastAsia="Arial" w:hAnsi="Arial"/>
          <w:sz w:val="19"/>
          <w:szCs w:val="19"/>
          <w:color w:val="auto"/>
        </w:rPr>
        <w:t>”) and such Authorizations are valid and in full force and effect and the Company is not in violation of any term of any such Authorizations; (iii) the Company has not received any written notice of adverse finding, warning letter or other written correspondence or notice from the U.S. Food and Drug Administration (“</w:t>
      </w:r>
      <w:r>
        <w:rPr>
          <w:rFonts w:ascii="Arial" w:cs="Arial" w:eastAsia="Arial" w:hAnsi="Arial"/>
          <w:sz w:val="19"/>
          <w:szCs w:val="19"/>
          <w:b w:val="1"/>
          <w:bCs w:val="1"/>
          <w:color w:val="auto"/>
        </w:rPr>
        <w:t>FDA</w:t>
      </w:r>
      <w:r>
        <w:rPr>
          <w:rFonts w:ascii="Arial" w:cs="Arial" w:eastAsia="Arial" w:hAnsi="Arial"/>
          <w:sz w:val="19"/>
          <w:szCs w:val="19"/>
          <w:color w:val="auto"/>
        </w:rPr>
        <w:t>”) or any other governmental entity alleging or asserting noncompliance with any Applicable Laws or Authorizations relating to a Company Product; (iv) the Company has not received written notice of any ongoing claim, action, suit, proceeding, hearing, enforcement, investigation, arbitration or other action from any governmental entity or third party alleging that any Company Product, operation or activity related to a Company Product is in violation of any Applicable Laws or Authorizations or has any knowledge that any such governmental entity or third party is considering any such claim, litigation, arbitration, action, suit, investigation or proceeding, nor, to the best of the Company’s knowledge, has there been any noncompliance with or violation of any Applicable Laws by the Company that could reasonably be expected to require the issuance of any such written notice or result in an investigation, corrective action, or enforcement action by FDA or similar governmental entity with respect to a Company Product; (v) the Company has not received written notice that any governmental entity has taken, is taking or intends to take action to limit, suspend, modify or revoke any Authorizations or has any knowledge that any such governmental entity has threatened or is considering such action with respect to a Company Product; and (vi) the Company has filed, obtained, maintained or submitted all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correct and not misleading on the date filed (or were corrected or supplemented by a subsequent submission). To the Company’s knowledge, neither the Company nor any of its directors, officers, employees or agents, has made, or caused the making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false statements on, or material omissions from, any other records or documentation prepared or maintained to comply with the requirements of the FDA or any other governmental entity.</w:t>
      </w:r>
    </w:p>
    <w:p>
      <w:pPr>
        <w:spacing w:after="0" w:line="175" w:lineRule="exact"/>
        <w:rPr>
          <w:sz w:val="20"/>
          <w:szCs w:val="20"/>
          <w:color w:val="auto"/>
        </w:rPr>
      </w:pPr>
    </w:p>
    <w:p>
      <w:pPr>
        <w:jc w:val="both"/>
        <w:ind w:firstLine="656"/>
        <w:spacing w:after="0" w:line="284" w:lineRule="auto"/>
        <w:tabs>
          <w:tab w:leader="none" w:pos="1291"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Intellectual Property</w:t>
      </w:r>
      <w:r>
        <w:rPr>
          <w:rFonts w:ascii="Arial" w:cs="Arial" w:eastAsia="Arial" w:hAnsi="Arial"/>
          <w:sz w:val="19"/>
          <w:szCs w:val="19"/>
          <w:color w:val="auto"/>
        </w:rPr>
        <w:t>. Except as described in the Registration Statement and Prospectus, the Company owns, possesses, licenses or has other rights to use all foreign and domestic patents, patent applications, trade and service marks, trade and service mark registrations, trade names, copyrights, inventions, trade secrets, technology, Internet domain names, know-how and other intellectual property (collectively, the “</w:t>
      </w:r>
      <w:r>
        <w:rPr>
          <w:rFonts w:ascii="Arial" w:cs="Arial" w:eastAsia="Arial" w:hAnsi="Arial"/>
          <w:sz w:val="19"/>
          <w:szCs w:val="19"/>
          <w:b w:val="1"/>
          <w:bCs w:val="1"/>
          <w:color w:val="auto"/>
        </w:rPr>
        <w:t>Intellectual Property</w:t>
      </w:r>
      <w:r>
        <w:rPr>
          <w:rFonts w:ascii="Arial" w:cs="Arial" w:eastAsia="Arial" w:hAnsi="Arial"/>
          <w:sz w:val="19"/>
          <w:szCs w:val="19"/>
          <w:color w:val="auto"/>
        </w:rPr>
        <w:t>”), necessary for the conduct of its business as now conducted except to the extent that the failure to own, possess, license or otherwise hold adequate rights to use such Intellectual Property would not, individually or in the aggregate, reasonably be expected to have a Material Adverse Effect. Except as described in the Registration Statement and Prospectus, and except in each of (i) through (vii) below, as would not, individually or in the aggregate, reasonably be expected to result in a Material Adverse Effect: (i) to the Company’s knowledge, there are no rights of third parties to any such Intellectual Property owned by the Company, except for rights granted to independent contractors of the Company or to academic or other research institutions under research agreements; (ii) to the Company’s knowledge, there is no infringement by third parties of any such Intellectual Property; (iii) there is no pending or, to the Company’s knowledge, threatened action, suit, proceeding or claim by others challenging the Company’s rights in or to any such Intellectual Property; (iv) there is no pending or, to the Company’s knowledge, threatened action, suit, proceeding or claim by others challenging the validity or scope of any issued patent included in such Intellectual Property; (v) there is no pending or, to the Company’s knowledge, threatened action, suit, proceeding or claim by others that the Company infringes or otherwise violates any patent, trademark, copyright, trade secret or other proprietary rights of others; (vi) to the Company’s knowledge, there is no U.S. patent or published U.S. patent application owned by a third-party which contains claims for which an Interference Proceeding (as defined in 35 U.S.C. §135) has been commenced against any patent or patent application described in the Prospectus as being owned by or licensed to the Company; and (vii) the Company has not failed to comply with the terms of each agreement pursuant to which Intellectual Property has been licensed to the Company, and all such agreements are in full force and effect.</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656"/>
        <w:spacing w:after="0" w:line="288" w:lineRule="auto"/>
        <w:tabs>
          <w:tab w:leader="none" w:pos="1291"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Cybersecurity</w:t>
      </w:r>
      <w:r>
        <w:rPr>
          <w:rFonts w:ascii="Arial" w:cs="Arial" w:eastAsia="Arial" w:hAnsi="Arial"/>
          <w:sz w:val="19"/>
          <w:szCs w:val="19"/>
          <w:color w:val="auto"/>
        </w:rPr>
        <w:t>. The Company’s information technology and computer systems, networks, hardware, software, internet web sites, data and databases (including the data of their respective customers, employees, suppliers, vendors and any third party data maintained by or on behalf of them), equipment or technology (collectively, “</w:t>
      </w:r>
      <w:r>
        <w:rPr>
          <w:rFonts w:ascii="Arial" w:cs="Arial" w:eastAsia="Arial" w:hAnsi="Arial"/>
          <w:sz w:val="19"/>
          <w:szCs w:val="19"/>
          <w:b w:val="1"/>
          <w:bCs w:val="1"/>
          <w:color w:val="auto"/>
        </w:rPr>
        <w:t>IT Systems and Data</w:t>
      </w:r>
      <w:r>
        <w:rPr>
          <w:rFonts w:ascii="Arial" w:cs="Arial" w:eastAsia="Arial" w:hAnsi="Arial"/>
          <w:sz w:val="19"/>
          <w:szCs w:val="19"/>
          <w:color w:val="auto"/>
        </w:rPr>
        <w:t>”) are adequate for, and operate and perform in all material respects as required in connection with, the operation of the business of the Company as currently conducted, except as would not reasonably be expected to have a Material Adverse Effect. The Company and its former subsidiaries have implemented and maintained commercially reasonable information technology, information security, cyber security and data protection controls, policies and procedures, including to protect and prevent security breaches of, unauthorized access to and other compromises of IT Systems and Data. The Company has no knowledge of, and is not currently investigating, any cyber attack, security breach, unauthorized access or other compromise to its IT Systems and Data, which attack, breach, unauthorized access or compromise could reasonably be expected to have a</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Material Adverse Effect. The Company is presently, and at all prior times the Company and its former subsidiaries were, in compliance with all applicable laws or statutes and, to the knowledge of the Company, all judgments, orders, rules and regulations of any court or arbitrator or governmental or regulatory authority, internal policies and contractual obligations to which the Company is and its former subsidiaries were subject relating to the privacy and security of IT Systems and Data and to the protection of such IT Systems and Data from unauthorized use, access, misappropriation or modification, except as would not, individually or in the aggregate, reasonably be expected to have a Material Adverse Effect on the Company.</w:t>
      </w:r>
    </w:p>
    <w:p>
      <w:pPr>
        <w:spacing w:after="0" w:line="149" w:lineRule="exact"/>
        <w:rPr>
          <w:sz w:val="20"/>
          <w:szCs w:val="20"/>
          <w:color w:val="auto"/>
        </w:rPr>
      </w:pPr>
    </w:p>
    <w:p>
      <w:pPr>
        <w:jc w:val="both"/>
        <w:ind w:firstLine="656"/>
        <w:spacing w:after="0" w:line="285" w:lineRule="auto"/>
        <w:tabs>
          <w:tab w:leader="none" w:pos="1285"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Compliance with Data Privacy Laws</w:t>
      </w:r>
      <w:r>
        <w:rPr>
          <w:rFonts w:ascii="Arial" w:cs="Arial" w:eastAsia="Arial" w:hAnsi="Arial"/>
          <w:sz w:val="19"/>
          <w:szCs w:val="19"/>
          <w:color w:val="auto"/>
        </w:rPr>
        <w:t>. Except as would not, individually or in the aggregate, reasonably be expected to have a Material Adverse Effect, (A) the Company is, and at all prior times the Company and its former subsidiaries were, in compliance with all applicable state and federal data privacy and security laws and regulations, including without limitation HIPAA, and (B) the Company has taken commercially reasonable actions to prepare to comply with, and since May 25, 2018, has been and currently is in compliance with, to the extent applicable, the European Union General Data Protection Regulation (“</w:t>
      </w:r>
      <w:r>
        <w:rPr>
          <w:rFonts w:ascii="Arial" w:cs="Arial" w:eastAsia="Arial" w:hAnsi="Arial"/>
          <w:sz w:val="19"/>
          <w:szCs w:val="19"/>
          <w:b w:val="1"/>
          <w:bCs w:val="1"/>
          <w:color w:val="auto"/>
        </w:rPr>
        <w:t>GDPR</w:t>
      </w:r>
      <w:r>
        <w:rPr>
          <w:rFonts w:ascii="Arial" w:cs="Arial" w:eastAsia="Arial" w:hAnsi="Arial"/>
          <w:sz w:val="19"/>
          <w:szCs w:val="19"/>
          <w:color w:val="auto"/>
        </w:rPr>
        <w:t>”) (EU 2016/679) (collectively, the “</w:t>
      </w:r>
      <w:r>
        <w:rPr>
          <w:rFonts w:ascii="Arial" w:cs="Arial" w:eastAsia="Arial" w:hAnsi="Arial"/>
          <w:sz w:val="19"/>
          <w:szCs w:val="19"/>
          <w:b w:val="1"/>
          <w:bCs w:val="1"/>
          <w:color w:val="auto"/>
        </w:rPr>
        <w:t>Privacy Laws</w:t>
      </w:r>
      <w:r>
        <w:rPr>
          <w:rFonts w:ascii="Arial" w:cs="Arial" w:eastAsia="Arial" w:hAnsi="Arial"/>
          <w:sz w:val="19"/>
          <w:szCs w:val="19"/>
          <w:color w:val="auto"/>
        </w:rPr>
        <w:t>”). Except as would not, individually or in the aggregate, reasonably be expected to have a Material Adverse Effect, the Company has in place, complies with, and takes appropriate steps reasonably designed to ensure compliance with its policies and procedures relating to data privacy and security and the collection, storage, use, disclosure, handling, and analysis of Personal Data (each, a “</w:t>
      </w:r>
      <w:r>
        <w:rPr>
          <w:rFonts w:ascii="Arial" w:cs="Arial" w:eastAsia="Arial" w:hAnsi="Arial"/>
          <w:sz w:val="19"/>
          <w:szCs w:val="19"/>
          <w:b w:val="1"/>
          <w:bCs w:val="1"/>
          <w:color w:val="auto"/>
        </w:rPr>
        <w:t>Policy</w:t>
      </w:r>
      <w:r>
        <w:rPr>
          <w:rFonts w:ascii="Arial" w:cs="Arial" w:eastAsia="Arial" w:hAnsi="Arial"/>
          <w:sz w:val="19"/>
          <w:szCs w:val="19"/>
          <w:color w:val="auto"/>
        </w:rPr>
        <w:t>”). Except as would not, individually or in the aggregate, reasonably be expected to have a Material Adverse Effect, the Company and its former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The Company further certifies that neither it nor any former subsidiary: (i) has received notice of any actual or potential liability under or relating to, or actual or potential violation of, any of the Privacy Laws, and has no knowledge of any event or condition that would reasonably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65" w:lineRule="exact"/>
        <w:rPr>
          <w:rFonts w:ascii="Arial" w:cs="Arial" w:eastAsia="Arial" w:hAnsi="Arial"/>
          <w:sz w:val="19"/>
          <w:szCs w:val="19"/>
          <w:color w:val="auto"/>
        </w:rPr>
      </w:pPr>
    </w:p>
    <w:p>
      <w:pPr>
        <w:jc w:val="both"/>
        <w:ind w:firstLine="656"/>
        <w:spacing w:after="0" w:line="259" w:lineRule="auto"/>
        <w:tabs>
          <w:tab w:leader="none" w:pos="1291"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Clinical Studies</w:t>
      </w:r>
      <w:r>
        <w:rPr>
          <w:rFonts w:ascii="Arial" w:cs="Arial" w:eastAsia="Arial" w:hAnsi="Arial"/>
          <w:sz w:val="21"/>
          <w:szCs w:val="21"/>
          <w:color w:val="auto"/>
        </w:rPr>
        <w:t>. The clinical studies and tests conducted by the Company, or to the knowledge of the Company or on behalf of the Company, have been and, if still pending, are being conducted in all material respects pursuant to all Applicable Laws and Authorizations; the descriptions of the results of such clinical studies and tests contained in the Registration Statement and the Prospectus are accurate and complete in all material respects and fairly present the data derived from such clinical studies and tests; except to the extent disclosed in the Registration Statement and the Prospectus, the Company is not aware of any clinical studies or tests, the results of which the Company believes reasonably call into question the research, nonclinical or clinical study or test results described or referred to in the Registration Statement and the Prospectus when viewed in the context in which such results are described; and the Company has not received any written notices or correspondence from any governmental entity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requiring the termination, suspension or material modification of any clinical study or test conducted by or on behalf of the Company.</w:t>
      </w:r>
    </w:p>
    <w:p>
      <w:pPr>
        <w:spacing w:after="0" w:line="175" w:lineRule="exact"/>
        <w:rPr>
          <w:sz w:val="20"/>
          <w:szCs w:val="20"/>
          <w:color w:val="auto"/>
        </w:rPr>
      </w:pPr>
    </w:p>
    <w:p>
      <w:pPr>
        <w:jc w:val="both"/>
        <w:ind w:firstLine="656"/>
        <w:spacing w:after="0" w:line="290" w:lineRule="auto"/>
        <w:tabs>
          <w:tab w:leader="none" w:pos="1291"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Market Capitalization</w:t>
      </w:r>
      <w:r>
        <w:rPr>
          <w:rFonts w:ascii="Arial" w:cs="Arial" w:eastAsia="Arial" w:hAnsi="Arial"/>
          <w:sz w:val="19"/>
          <w:szCs w:val="19"/>
          <w:color w:val="auto"/>
        </w:rPr>
        <w:t>. At the time the Original Registration Statement is declared effective, and at the time the Company’s most recent Annual Report on Form 10-K was filed with the Commission, the Company met or will meet the then applicable requirements for the use of Form S-3 under the Securities Act, including, but not limited to, General Instruction I.B.1 of Form S-3. The Company satisfies the pre-1992 eligibility requirements for the use of a registration statement on Form S-3 in connection with this offering. The Company is not a shell company (as defined in Rule 405 under the Securities Act) and has not been a shell company for at least 12 calendar months previously and if it has been a shell company at any time previously, has filed current Form 10 information (as defined in General Instruction I.B.6 of Form S-3) with the Commission at least 12 calendar months previously reflecting its status as an entity that is not a shell company.</w:t>
      </w:r>
    </w:p>
    <w:p>
      <w:pPr>
        <w:spacing w:after="0" w:line="155" w:lineRule="exact"/>
        <w:rPr>
          <w:rFonts w:ascii="Arial" w:cs="Arial" w:eastAsia="Arial" w:hAnsi="Arial"/>
          <w:sz w:val="19"/>
          <w:szCs w:val="19"/>
          <w:color w:val="auto"/>
        </w:rPr>
      </w:pPr>
    </w:p>
    <w:p>
      <w:pPr>
        <w:jc w:val="both"/>
        <w:ind w:firstLine="656"/>
        <w:spacing w:after="0" w:line="286" w:lineRule="auto"/>
        <w:tabs>
          <w:tab w:leader="none" w:pos="1293"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No Material Defaults</w:t>
      </w:r>
      <w:r>
        <w:rPr>
          <w:rFonts w:ascii="Arial" w:cs="Arial" w:eastAsia="Arial" w:hAnsi="Arial"/>
          <w:sz w:val="19"/>
          <w:szCs w:val="19"/>
          <w:color w:val="auto"/>
        </w:rPr>
        <w:t>. The Company has not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10-K indicating that it (i) has failed to pay any dividend or sinking fund installment on preferred stock or</w:t>
      </w:r>
    </w:p>
    <w:p>
      <w:pPr>
        <w:spacing w:after="0" w:line="2" w:lineRule="exact"/>
        <w:rPr>
          <w:rFonts w:ascii="Arial" w:cs="Arial" w:eastAsia="Arial" w:hAnsi="Arial"/>
          <w:sz w:val="19"/>
          <w:szCs w:val="19"/>
          <w:color w:val="auto"/>
        </w:rPr>
      </w:pPr>
    </w:p>
    <w:p>
      <w:pPr>
        <w:ind w:right="20" w:firstLine="8"/>
        <w:spacing w:after="0" w:line="246" w:lineRule="auto"/>
        <w:tabs>
          <w:tab w:leader="none" w:pos="344" w:val="left"/>
        </w:tabs>
        <w:numPr>
          <w:ilvl w:val="0"/>
          <w:numId w:val="14"/>
        </w:numPr>
        <w:rPr>
          <w:rFonts w:ascii="Arial" w:cs="Arial" w:eastAsia="Arial" w:hAnsi="Arial"/>
          <w:sz w:val="22"/>
          <w:szCs w:val="22"/>
          <w:color w:val="auto"/>
        </w:rPr>
      </w:pPr>
      <w:r>
        <w:rPr>
          <w:rFonts w:ascii="Arial" w:cs="Arial" w:eastAsia="Arial" w:hAnsi="Arial"/>
          <w:sz w:val="22"/>
          <w:szCs w:val="22"/>
          <w:color w:val="auto"/>
        </w:rPr>
        <w:t>has defaulted on any installment on indebtedness for borrowed money or on any rental on one or more long-term leases, which defaults, individually or in the aggregate, would have a Material Adverse Effect.</w:t>
      </w:r>
    </w:p>
    <w:p>
      <w:pPr>
        <w:spacing w:after="0" w:line="192" w:lineRule="exact"/>
        <w:rPr>
          <w:rFonts w:ascii="Arial" w:cs="Arial" w:eastAsia="Arial" w:hAnsi="Arial"/>
          <w:sz w:val="22"/>
          <w:szCs w:val="22"/>
          <w:color w:val="auto"/>
        </w:rPr>
      </w:pPr>
    </w:p>
    <w:p>
      <w:pPr>
        <w:jc w:val="both"/>
        <w:ind w:firstLine="656"/>
        <w:spacing w:after="0" w:line="265" w:lineRule="auto"/>
        <w:tabs>
          <w:tab w:leader="none" w:pos="1294" w:val="left"/>
        </w:tabs>
        <w:numPr>
          <w:ilvl w:val="1"/>
          <w:numId w:val="14"/>
        </w:numPr>
        <w:rPr>
          <w:rFonts w:ascii="Arial" w:cs="Arial" w:eastAsia="Arial" w:hAnsi="Arial"/>
          <w:sz w:val="21"/>
          <w:szCs w:val="21"/>
          <w:color w:val="auto"/>
        </w:rPr>
      </w:pPr>
      <w:r>
        <w:rPr>
          <w:rFonts w:ascii="Arial" w:cs="Arial" w:eastAsia="Arial" w:hAnsi="Arial"/>
          <w:sz w:val="21"/>
          <w:szCs w:val="21"/>
          <w:u w:val="single" w:color="auto"/>
          <w:color w:val="auto"/>
        </w:rPr>
        <w:t>Certain Market Activities</w:t>
      </w:r>
      <w:r>
        <w:rPr>
          <w:rFonts w:ascii="Arial" w:cs="Arial" w:eastAsia="Arial" w:hAnsi="Arial"/>
          <w:sz w:val="21"/>
          <w:szCs w:val="21"/>
          <w:color w:val="auto"/>
        </w:rPr>
        <w:t>. Neither the Company, nor, to the Company’s knowledge, any of its respective directors, officers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Shares.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(ab) </w:t>
      </w:r>
      <w:r>
        <w:rPr>
          <w:rFonts w:ascii="Arial" w:cs="Arial" w:eastAsia="Arial" w:hAnsi="Arial"/>
          <w:sz w:val="22"/>
          <w:szCs w:val="22"/>
          <w:u w:val="single" w:color="auto"/>
          <w:color w:val="auto"/>
        </w:rPr>
        <w:t>Broker/Dealer Relationships</w:t>
      </w:r>
      <w:r>
        <w:rPr>
          <w:rFonts w:ascii="Arial" w:cs="Arial" w:eastAsia="Arial" w:hAnsi="Arial"/>
          <w:sz w:val="22"/>
          <w:szCs w:val="22"/>
          <w:color w:val="auto"/>
        </w:rPr>
        <w:t>. The Company (i) is not required to register as a “broker” or “dealer” in accordance with the provisions of the Exchange Act and (ii) is not, and does not directly or indirectly through one or more intermediaries, control, a “person associated with a member” or “associated person of a member” (within the meaning set forth in the FINRA Manual).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ind w:left="660"/>
              <w:spacing w:after="0"/>
              <w:rPr>
                <w:sz w:val="20"/>
                <w:szCs w:val="20"/>
                <w:color w:val="auto"/>
              </w:rPr>
            </w:pPr>
            <w:r>
              <w:rPr>
                <w:rFonts w:ascii="Arial" w:cs="Arial" w:eastAsia="Arial" w:hAnsi="Arial"/>
                <w:sz w:val="22"/>
                <w:szCs w:val="22"/>
                <w:color w:val="auto"/>
              </w:rPr>
              <w:t>(ac)</w:t>
            </w:r>
          </w:p>
        </w:tc>
        <w:tc>
          <w:tcPr>
            <w:tcW w:w="9920" w:type="dxa"/>
            <w:vAlign w:val="bottom"/>
            <w:gridSpan w:val="3"/>
          </w:tcPr>
          <w:p>
            <w:pPr>
              <w:spacing w:after="0"/>
              <w:rPr>
                <w:sz w:val="20"/>
                <w:szCs w:val="20"/>
                <w:color w:val="auto"/>
              </w:rPr>
            </w:pPr>
            <w:r>
              <w:rPr>
                <w:rFonts w:ascii="Arial" w:cs="Arial" w:eastAsia="Arial" w:hAnsi="Arial"/>
                <w:sz w:val="22"/>
                <w:szCs w:val="22"/>
                <w:color w:val="auto"/>
                <w:w w:val="94"/>
              </w:rPr>
              <w:t>No Reliance. The Company has not relied upon the Agent or legal counsel for the Agent for any legal, tax or</w:t>
            </w:r>
          </w:p>
        </w:tc>
      </w:tr>
      <w:tr>
        <w:trPr>
          <w:trHeight w:val="20"/>
        </w:trPr>
        <w:tc>
          <w:tcPr>
            <w:tcW w:w="1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287"/>
        </w:trPr>
        <w:tc>
          <w:tcPr>
            <w:tcW w:w="11240" w:type="dxa"/>
            <w:vAlign w:val="bottom"/>
            <w:gridSpan w:val="4"/>
          </w:tcPr>
          <w:p>
            <w:pPr>
              <w:spacing w:after="0"/>
              <w:rPr>
                <w:sz w:val="20"/>
                <w:szCs w:val="20"/>
                <w:color w:val="auto"/>
              </w:rPr>
            </w:pPr>
            <w:r>
              <w:rPr>
                <w:rFonts w:ascii="Arial" w:cs="Arial" w:eastAsia="Arial" w:hAnsi="Arial"/>
                <w:sz w:val="22"/>
                <w:szCs w:val="22"/>
                <w:color w:val="auto"/>
              </w:rPr>
              <w:t>accounting advice in connection with the offering and sale of the Shares.</w:t>
            </w:r>
          </w:p>
        </w:tc>
      </w:tr>
      <w:tr>
        <w:trPr>
          <w:trHeight w:val="422"/>
        </w:trPr>
        <w:tc>
          <w:tcPr>
            <w:tcW w:w="1320" w:type="dxa"/>
            <w:vAlign w:val="bottom"/>
          </w:tcPr>
          <w:p>
            <w:pPr>
              <w:ind w:left="660"/>
              <w:spacing w:after="0"/>
              <w:rPr>
                <w:sz w:val="20"/>
                <w:szCs w:val="20"/>
                <w:color w:val="auto"/>
              </w:rPr>
            </w:pPr>
            <w:r>
              <w:rPr>
                <w:rFonts w:ascii="Arial" w:cs="Arial" w:eastAsia="Arial" w:hAnsi="Arial"/>
                <w:sz w:val="22"/>
                <w:szCs w:val="22"/>
                <w:color w:val="auto"/>
              </w:rPr>
              <w:t>(ad)</w:t>
            </w:r>
          </w:p>
        </w:tc>
        <w:tc>
          <w:tcPr>
            <w:tcW w:w="9920" w:type="dxa"/>
            <w:vAlign w:val="bottom"/>
            <w:gridSpan w:val="3"/>
          </w:tcPr>
          <w:p>
            <w:pPr>
              <w:spacing w:after="0"/>
              <w:rPr>
                <w:sz w:val="20"/>
                <w:szCs w:val="20"/>
                <w:color w:val="auto"/>
              </w:rPr>
            </w:pPr>
            <w:r>
              <w:rPr>
                <w:rFonts w:ascii="Arial" w:cs="Arial" w:eastAsia="Arial" w:hAnsi="Arial"/>
                <w:sz w:val="22"/>
                <w:szCs w:val="22"/>
                <w:color w:val="auto"/>
                <w:w w:val="89"/>
              </w:rPr>
              <w:t>Taxes. The Company has filed all federal, state, local and foreign tax returns which have been required to be filed</w:t>
            </w:r>
          </w:p>
        </w:tc>
      </w:tr>
      <w:tr>
        <w:trPr>
          <w:trHeight w:val="20"/>
        </w:trPr>
        <w:tc>
          <w:tcPr>
            <w:tcW w:w="13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and paid all taxes shown thereon through the date hereof, to the extent that such taxes have become due and are not being contested in good faith, except where the failure to so file or pay would not reasonably be expected to have a Material Adverse Effect. Except as otherwise disclosed in or contemplated by the Registration Statement or the Prospectus, no tax deficiency has been determined adversely to the Company which has had, 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would reasonably be expected to have, individually or in the aggregate, a Material Adverse Effect. The Company has no knowledge of any federal, state or other governmental tax deficiency, penalty or assessment which has been asserted or threatened against it which would reasonably be expected to have a Material Adverse Effect.</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(ae) </w:t>
      </w:r>
      <w:r>
        <w:rPr>
          <w:rFonts w:ascii="Arial" w:cs="Arial" w:eastAsia="Arial" w:hAnsi="Arial"/>
          <w:sz w:val="19"/>
          <w:szCs w:val="19"/>
          <w:u w:val="single" w:color="auto"/>
          <w:color w:val="auto"/>
        </w:rPr>
        <w:t>Title to Real and Personal Property</w:t>
      </w:r>
      <w:r>
        <w:rPr>
          <w:rFonts w:ascii="Arial" w:cs="Arial" w:eastAsia="Arial" w:hAnsi="Arial"/>
          <w:sz w:val="19"/>
          <w:szCs w:val="19"/>
          <w:color w:val="auto"/>
        </w:rPr>
        <w:t>. Except as set forth in the Registration Statement or the Prospectus, the Company has good and valid title to all personal property described in the Registration Statement or Prospectus as being owned by it that are material to the businesses of the Company, in each case free and clear of all liens, encumbrances and claims, except those matters that (i) do not materially interfere with the use made and proposed to be made of such property by the Company or</w:t>
      </w:r>
    </w:p>
    <w:p>
      <w:pPr>
        <w:spacing w:after="0" w:line="3" w:lineRule="exact"/>
        <w:rPr>
          <w:sz w:val="20"/>
          <w:szCs w:val="20"/>
          <w:color w:val="auto"/>
        </w:rPr>
      </w:pPr>
    </w:p>
    <w:p>
      <w:pPr>
        <w:jc w:val="both"/>
        <w:ind w:firstLine="8"/>
        <w:spacing w:after="0" w:line="286" w:lineRule="auto"/>
        <w:tabs>
          <w:tab w:leader="none" w:pos="319" w:val="left"/>
        </w:tabs>
        <w:numPr>
          <w:ilvl w:val="0"/>
          <w:numId w:val="15"/>
        </w:numPr>
        <w:rPr>
          <w:rFonts w:ascii="Arial" w:cs="Arial" w:eastAsia="Arial" w:hAnsi="Arial"/>
          <w:sz w:val="19"/>
          <w:szCs w:val="19"/>
          <w:color w:val="auto"/>
        </w:rPr>
      </w:pPr>
      <w:r>
        <w:rPr>
          <w:rFonts w:ascii="Arial" w:cs="Arial" w:eastAsia="Arial" w:hAnsi="Arial"/>
          <w:sz w:val="19"/>
          <w:szCs w:val="19"/>
          <w:color w:val="auto"/>
        </w:rPr>
        <w:t>would not reasonably be expected, individually or in the aggregate, to have a Material Adverse Effect. The Company does not own any real property. Any real or personal property described in the Registration Statement or Prospectus as being leased by the Company is held by it under valid, existing and enforceable leases, except those that (A) do not materially interfere with the use made or proposed to be made of such property by the Company or (B) would not be reasonably expected, individually or in the aggregate, to have a Material Adverse Effect. To the Company’s knowledge, each of the properties of the Company complies in all material respects with all applicable codes, laws and regulations (including, without limitation, building and zoning codes, laws and regulations and laws relating to access to such properties), except if and to the extent disclosed in the Registration Statement or Prospectus or except for such failures to comply that would not, individually or in the aggregate, reasonably be expected to interfere in any material respect with the use made and proposed to be made of such property by the Company or otherwise have a Material Adverse Effect.</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(af) </w:t>
      </w:r>
      <w:r>
        <w:rPr>
          <w:rFonts w:ascii="Arial" w:cs="Arial" w:eastAsia="Arial" w:hAnsi="Arial"/>
          <w:sz w:val="21"/>
          <w:szCs w:val="21"/>
          <w:u w:val="single" w:color="auto"/>
          <w:color w:val="auto"/>
        </w:rPr>
        <w:t>Environmental Laws</w:t>
      </w:r>
      <w:r>
        <w:rPr>
          <w:rFonts w:ascii="Arial" w:cs="Arial" w:eastAsia="Arial" w:hAnsi="Arial"/>
          <w:sz w:val="21"/>
          <w:szCs w:val="21"/>
          <w:color w:val="auto"/>
        </w:rPr>
        <w:t>. Except as set forth in the Registration Statement or the Prospectus, the Company (i) is in compliance in all material respects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Arial" w:cs="Arial" w:eastAsia="Arial" w:hAnsi="Arial"/>
          <w:sz w:val="21"/>
          <w:szCs w:val="21"/>
          <w:b w:val="1"/>
          <w:bCs w:val="1"/>
          <w:color w:val="auto"/>
        </w:rPr>
        <w:t>Environmental Laws</w:t>
      </w:r>
      <w:r>
        <w:rPr>
          <w:rFonts w:ascii="Arial" w:cs="Arial" w:eastAsia="Arial" w:hAnsi="Arial"/>
          <w:sz w:val="21"/>
          <w:szCs w:val="21"/>
          <w:color w:val="auto"/>
        </w:rPr>
        <w:t>”); (ii) has received and is in compliance in all material respects with all permits, licenses or other approvals required of it under applicable Environmental Laws to conduct its business as described in the Registration Statement and the Prospectus; and (iii) has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 Except as set forth in the Registration Statement and the Prospectus, the Company has not been named as a “potentially responsible party” under the Comprehensive Environmental Response, Compensation, and Liability Act of 1980, as amended.</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(ag) </w:t>
      </w:r>
      <w:r>
        <w:rPr>
          <w:rFonts w:ascii="Arial" w:cs="Arial" w:eastAsia="Arial" w:hAnsi="Arial"/>
          <w:sz w:val="22"/>
          <w:szCs w:val="22"/>
          <w:u w:val="single" w:color="auto"/>
          <w:color w:val="auto"/>
        </w:rPr>
        <w:t>Periodic Review of Costs of Environmental Compliance</w:t>
      </w:r>
      <w:r>
        <w:rPr>
          <w:rFonts w:ascii="Arial" w:cs="Arial" w:eastAsia="Arial" w:hAnsi="Arial"/>
          <w:sz w:val="22"/>
          <w:szCs w:val="22"/>
          <w:color w:val="auto"/>
        </w:rPr>
        <w:t>. The Company has reasonably concluded that costs and liabilities associated with the effect of Environmental Laws on the business, operations and properties of the Company (including, without limitation, any capital or operating expenditures required for clean-up, closure of properties or compliance with</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Environmental Laws, or any permit, license or approval, any related constraints on operating activities and any potential liabilities to third parties)would not, individually or in the aggregate, have a Material Adverse Effect, whether or not arising from transactions in the ordinary course of business, except as set forth in or contemplated in the Registration Statement and the Prospectus (exclusive of any supplement thereto).</w:t>
      </w:r>
    </w:p>
    <w:p>
      <w:pPr>
        <w:spacing w:after="0" w:line="18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(ah) </w:t>
      </w:r>
      <w:r>
        <w:rPr>
          <w:rFonts w:ascii="Arial" w:cs="Arial" w:eastAsia="Arial" w:hAnsi="Arial"/>
          <w:sz w:val="19"/>
          <w:szCs w:val="19"/>
          <w:u w:val="single" w:color="auto"/>
          <w:color w:val="auto"/>
        </w:rPr>
        <w:t>Disclosure Controls</w:t>
      </w:r>
      <w:r>
        <w:rPr>
          <w:rFonts w:ascii="Arial" w:cs="Arial" w:eastAsia="Arial" w:hAnsi="Arial"/>
          <w:sz w:val="19"/>
          <w:szCs w:val="19"/>
          <w:color w:val="auto"/>
        </w:rPr>
        <w:t>.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As of the end of the Company’s most recently completed fiscal year, the Company’s internal control over financial reporting was effective and the Company was not aware of any material weaknesses in its internal control over financial reporting (other than as set forth in the Prospectus). Except as set forth in the Registration Statement or Prospectus, since the date of the latest audited financial statements of the Company included in the Prospectus, there have been no material weaknesses in the Company’s internal control over financial reporting (whether or not remediated) and, to the Company’s knowledge, there has been no change in the Company’s internal control over financial reporting that has materially and adversely affected, or is reasonably likely to materially and adversely affect, the Company’s internal control over financial reporting. The Company has established disclosure controls and procedures (as defined in Exchange Act Rules 13a-15 and 15d-</w:t>
      </w:r>
    </w:p>
    <w:p>
      <w:pPr>
        <w:spacing w:after="0" w:line="3" w:lineRule="exact"/>
        <w:rPr>
          <w:sz w:val="20"/>
          <w:szCs w:val="20"/>
          <w:color w:val="auto"/>
        </w:rPr>
      </w:pPr>
    </w:p>
    <w:p>
      <w:pPr>
        <w:jc w:val="both"/>
        <w:ind w:firstLine="8"/>
        <w:spacing w:after="0" w:line="285" w:lineRule="auto"/>
        <w:tabs>
          <w:tab w:leader="none" w:pos="366" w:val="left"/>
        </w:tabs>
        <w:numPr>
          <w:ilvl w:val="0"/>
          <w:numId w:val="16"/>
        </w:numPr>
        <w:rPr>
          <w:rFonts w:ascii="Arial" w:cs="Arial" w:eastAsia="Arial" w:hAnsi="Arial"/>
          <w:sz w:val="19"/>
          <w:szCs w:val="19"/>
          <w:color w:val="auto"/>
        </w:rPr>
      </w:pPr>
      <w:r>
        <w:rPr>
          <w:rFonts w:ascii="Arial" w:cs="Arial" w:eastAsia="Arial" w:hAnsi="Arial"/>
          <w:sz w:val="19"/>
          <w:szCs w:val="19"/>
          <w:color w:val="auto"/>
        </w:rPr>
        <w:t>for the Company and designed such disclosure controls and procedures to ensure that material information relating to the Company is made known to the certifying officers by others within the Company, particularly during the period in which the Company’s Annual Report on Form 10-K or Quarterly Report on Form 10-Q, as the case may be, is being prepared. To the extent required by law, the Company’s certifying officers have evaluated the effectiveness of the Company’s disclosure controls and procedures as of a date within 90 days prior to the filing date of the Annual Report on Form 10-K for the fiscal year most recently ended (such date, the “</w:t>
      </w:r>
      <w:r>
        <w:rPr>
          <w:rFonts w:ascii="Arial" w:cs="Arial" w:eastAsia="Arial" w:hAnsi="Arial"/>
          <w:sz w:val="19"/>
          <w:szCs w:val="19"/>
          <w:b w:val="1"/>
          <w:bCs w:val="1"/>
          <w:color w:val="auto"/>
        </w:rPr>
        <w:t>Evaluation Date</w:t>
      </w:r>
      <w:r>
        <w:rPr>
          <w:rFonts w:ascii="Arial" w:cs="Arial" w:eastAsia="Arial" w:hAnsi="Arial"/>
          <w:sz w:val="19"/>
          <w:szCs w:val="19"/>
          <w:color w:val="auto"/>
        </w:rPr>
        <w:t>”). The Company presented in its Annual Report on Form 10-K for the fiscal year most recently ended the conclusions of the certifying officers about the effectiveness of the disclosure controls and procedures based on their evaluations as of the Evaluation Date and the disclosure controls and procedures are effective in all material respects for which they were established. Since the Evaluation Date, there have been no significant adverse changes in the Company’s internal controls (as such term is defined in Item 307(b) of Regulation S-K under the Securities Act) or, to the Company’s knowledge, in other factors that would significantly and adversely affect the Company’s internal controls.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(ai) </w:t>
      </w:r>
      <w:r>
        <w:rPr>
          <w:rFonts w:ascii="Arial" w:cs="Arial" w:eastAsia="Arial" w:hAnsi="Arial"/>
          <w:sz w:val="21"/>
          <w:szCs w:val="21"/>
          <w:u w:val="single" w:color="auto"/>
          <w:color w:val="auto"/>
        </w:rPr>
        <w:t>Sarbanes-Oxley</w:t>
      </w:r>
      <w:r>
        <w:rPr>
          <w:rFonts w:ascii="Arial" w:cs="Arial" w:eastAsia="Arial" w:hAnsi="Arial"/>
          <w:sz w:val="21"/>
          <w:szCs w:val="21"/>
          <w:color w:val="auto"/>
        </w:rPr>
        <w:t>. There is and has been no failure on the part of the Company or, to the Company’s knowledge,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(aj) </w:t>
      </w:r>
      <w:r>
        <w:rPr>
          <w:rFonts w:ascii="Arial" w:cs="Arial" w:eastAsia="Arial" w:hAnsi="Arial"/>
          <w:sz w:val="22"/>
          <w:szCs w:val="22"/>
          <w:u w:val="single" w:color="auto"/>
          <w:color w:val="auto"/>
        </w:rPr>
        <w:t>Finder’s Fees</w:t>
      </w:r>
      <w:r>
        <w:rPr>
          <w:rFonts w:ascii="Arial" w:cs="Arial" w:eastAsia="Arial" w:hAnsi="Arial"/>
          <w:sz w:val="22"/>
          <w:szCs w:val="22"/>
          <w:color w:val="auto"/>
        </w:rPr>
        <w:t>. The Company has not incurred any liability for any finder’s fees, brokerage commissions or similar payments in connection with the transactions herein contemplated, except as may otherwise exist with respect to Agent pursuant to this Agreement.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ind w:left="660"/>
              <w:spacing w:after="0"/>
              <w:rPr>
                <w:sz w:val="20"/>
                <w:szCs w:val="20"/>
                <w:color w:val="auto"/>
              </w:rPr>
            </w:pPr>
            <w:r>
              <w:rPr>
                <w:rFonts w:ascii="Arial" w:cs="Arial" w:eastAsia="Arial" w:hAnsi="Arial"/>
                <w:sz w:val="22"/>
                <w:szCs w:val="22"/>
                <w:color w:val="auto"/>
              </w:rPr>
              <w:t>(ak)</w:t>
            </w:r>
          </w:p>
        </w:tc>
        <w:tc>
          <w:tcPr>
            <w:tcW w:w="9920" w:type="dxa"/>
            <w:vAlign w:val="bottom"/>
            <w:gridSpan w:val="3"/>
          </w:tcPr>
          <w:p>
            <w:pPr>
              <w:spacing w:after="0"/>
              <w:rPr>
                <w:sz w:val="20"/>
                <w:szCs w:val="20"/>
                <w:color w:val="auto"/>
              </w:rPr>
            </w:pPr>
            <w:r>
              <w:rPr>
                <w:rFonts w:ascii="Arial" w:cs="Arial" w:eastAsia="Arial" w:hAnsi="Arial"/>
                <w:sz w:val="22"/>
                <w:szCs w:val="22"/>
                <w:color w:val="auto"/>
                <w:w w:val="90"/>
              </w:rPr>
              <w:t>Labor Disputes. No labor dispute with employees of the Company exists or, to the knowledge of the Company, is</w:t>
            </w:r>
          </w:p>
        </w:tc>
      </w:tr>
      <w:tr>
        <w:trPr>
          <w:trHeight w:val="20"/>
        </w:trPr>
        <w:tc>
          <w:tcPr>
            <w:tcW w:w="13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287"/>
        </w:trPr>
        <w:tc>
          <w:tcPr>
            <w:tcW w:w="11240" w:type="dxa"/>
            <w:vAlign w:val="bottom"/>
            <w:gridSpan w:val="4"/>
          </w:tcPr>
          <w:p>
            <w:pPr>
              <w:spacing w:after="0"/>
              <w:rPr>
                <w:sz w:val="20"/>
                <w:szCs w:val="20"/>
                <w:color w:val="auto"/>
              </w:rPr>
            </w:pPr>
            <w:r>
              <w:rPr>
                <w:rFonts w:ascii="Arial" w:cs="Arial" w:eastAsia="Arial" w:hAnsi="Arial"/>
                <w:sz w:val="22"/>
                <w:szCs w:val="22"/>
                <w:color w:val="auto"/>
              </w:rPr>
              <w:t>threatened which would reasonably be expected to result in a Material Adverse Effect.</w:t>
            </w:r>
          </w:p>
        </w:tc>
      </w:tr>
      <w:tr>
        <w:trPr>
          <w:trHeight w:val="422"/>
        </w:trPr>
        <w:tc>
          <w:tcPr>
            <w:tcW w:w="1320" w:type="dxa"/>
            <w:vAlign w:val="bottom"/>
          </w:tcPr>
          <w:p>
            <w:pPr>
              <w:ind w:left="660"/>
              <w:spacing w:after="0"/>
              <w:rPr>
                <w:sz w:val="20"/>
                <w:szCs w:val="20"/>
                <w:color w:val="auto"/>
              </w:rPr>
            </w:pPr>
            <w:r>
              <w:rPr>
                <w:rFonts w:ascii="Arial" w:cs="Arial" w:eastAsia="Arial" w:hAnsi="Arial"/>
                <w:sz w:val="22"/>
                <w:szCs w:val="22"/>
                <w:color w:val="auto"/>
              </w:rPr>
              <w:t>(al)</w:t>
            </w:r>
          </w:p>
        </w:tc>
        <w:tc>
          <w:tcPr>
            <w:tcW w:w="9920" w:type="dxa"/>
            <w:vAlign w:val="bottom"/>
            <w:gridSpan w:val="3"/>
          </w:tcPr>
          <w:p>
            <w:pPr>
              <w:spacing w:after="0"/>
              <w:rPr>
                <w:sz w:val="20"/>
                <w:szCs w:val="20"/>
                <w:color w:val="auto"/>
              </w:rPr>
            </w:pPr>
            <w:r>
              <w:rPr>
                <w:rFonts w:ascii="Arial" w:cs="Arial" w:eastAsia="Arial" w:hAnsi="Arial"/>
                <w:sz w:val="22"/>
                <w:szCs w:val="22"/>
                <w:color w:val="auto"/>
                <w:w w:val="91"/>
              </w:rPr>
              <w:t>Investment Company Act. The Company is not and, after giving effect to the offering and sale of the Shares will</w:t>
            </w:r>
          </w:p>
        </w:tc>
      </w:tr>
      <w:tr>
        <w:trPr>
          <w:trHeight w:val="20"/>
        </w:trPr>
        <w:tc>
          <w:tcPr>
            <w:tcW w:w="1320" w:type="dxa"/>
            <w:vAlign w:val="bottom"/>
            <w:tcBorders>
              <w:righ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 be, an “investment company” or an entity “controlled” by an “investment company,” as such terms are defined in the Investment Company Act of 1940, as amended (the “</w:t>
      </w:r>
      <w:r>
        <w:rPr>
          <w:rFonts w:ascii="Arial" w:cs="Arial" w:eastAsia="Arial" w:hAnsi="Arial"/>
          <w:sz w:val="22"/>
          <w:szCs w:val="22"/>
          <w:b w:val="1"/>
          <w:bCs w:val="1"/>
          <w:color w:val="auto"/>
        </w:rPr>
        <w:t>Investment Company Act</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(am) </w:t>
      </w:r>
      <w:r>
        <w:rPr>
          <w:rFonts w:ascii="Arial" w:cs="Arial" w:eastAsia="Arial" w:hAnsi="Arial"/>
          <w:sz w:val="19"/>
          <w:szCs w:val="19"/>
          <w:u w:val="single" w:color="auto"/>
          <w:color w:val="auto"/>
        </w:rPr>
        <w:t>Operations</w:t>
      </w:r>
      <w:r>
        <w:rPr>
          <w:rFonts w:ascii="Arial" w:cs="Arial" w:eastAsia="Arial" w:hAnsi="Arial"/>
          <w:sz w:val="19"/>
          <w:szCs w:val="19"/>
          <w:color w:val="auto"/>
        </w:rPr>
        <w:t>. The operations of the Company are and have been conducted at all times in compliance in all material respects with applicable financial record keeping and reporting requirements of the Currency and Foreign Transactions Reporting Act of 1970, as amended, the money laundering statutes of all jurisdictions to which the Company is subject, the rules and regulations thereunder and any related or similar rules, regulations or guidelines, issued, administered or enforced by any Governmental Authority (collectively, the “</w:t>
      </w:r>
      <w:r>
        <w:rPr>
          <w:rFonts w:ascii="Arial" w:cs="Arial" w:eastAsia="Arial" w:hAnsi="Arial"/>
          <w:sz w:val="19"/>
          <w:szCs w:val="19"/>
          <w:b w:val="1"/>
          <w:bCs w:val="1"/>
          <w:color w:val="auto"/>
        </w:rPr>
        <w:t>Money Laundering Laws</w:t>
      </w:r>
      <w:r>
        <w:rPr>
          <w:rFonts w:ascii="Arial" w:cs="Arial" w:eastAsia="Arial" w:hAnsi="Arial"/>
          <w:sz w:val="19"/>
          <w:szCs w:val="19"/>
          <w:color w:val="auto"/>
        </w:rPr>
        <w:t>”), except as would not reasonably be expected to result in a Material Adverse Effect; and no action, suit or proceeding by or before any Governmental Authority involving the Company with respect to the Money Laundering Laws is pending or, to the knowledge of the Company, threatened.</w:t>
      </w:r>
    </w:p>
    <w:p>
      <w:pPr>
        <w:spacing w:after="0" w:line="15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(an) </w:t>
      </w:r>
      <w:r>
        <w:rPr>
          <w:rFonts w:ascii="Arial" w:cs="Arial" w:eastAsia="Arial" w:hAnsi="Arial"/>
          <w:sz w:val="21"/>
          <w:szCs w:val="21"/>
          <w:u w:val="single" w:color="auto"/>
          <w:color w:val="auto"/>
        </w:rPr>
        <w:t>Off-Balance Sheet Arrangements</w:t>
      </w:r>
      <w:r>
        <w:rPr>
          <w:rFonts w:ascii="Arial" w:cs="Arial" w:eastAsia="Arial" w:hAnsi="Arial"/>
          <w:sz w:val="21"/>
          <w:szCs w:val="21"/>
          <w:color w:val="auto"/>
        </w:rPr>
        <w:t>. There are no transactions, arrangements and other relationships between and/or among the Company and/or, to the knowledge of the Company, any of its affiliates and any unconsolidated entity, including, but not limited to, any structural finance, special purpose or limited purpose entity (each, an “</w:t>
      </w:r>
      <w:r>
        <w:rPr>
          <w:rFonts w:ascii="Arial" w:cs="Arial" w:eastAsia="Arial" w:hAnsi="Arial"/>
          <w:sz w:val="21"/>
          <w:szCs w:val="21"/>
          <w:b w:val="1"/>
          <w:bCs w:val="1"/>
          <w:color w:val="auto"/>
        </w:rPr>
        <w:t>Off-Balance Sheet Transaction</w:t>
      </w:r>
      <w:r>
        <w:rPr>
          <w:rFonts w:ascii="Arial" w:cs="Arial" w:eastAsia="Arial" w:hAnsi="Arial"/>
          <w:sz w:val="21"/>
          <w:szCs w:val="21"/>
          <w:color w:val="auto"/>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 xml:space="preserve">(ao) </w:t>
      </w:r>
      <w:r>
        <w:rPr>
          <w:rFonts w:ascii="Arial" w:cs="Arial" w:eastAsia="Arial" w:hAnsi="Arial"/>
          <w:sz w:val="20"/>
          <w:szCs w:val="20"/>
          <w:u w:val="single" w:color="auto"/>
          <w:color w:val="auto"/>
        </w:rPr>
        <w:t>Underwriter Agreements</w:t>
      </w:r>
      <w:r>
        <w:rPr>
          <w:rFonts w:ascii="Arial" w:cs="Arial" w:eastAsia="Arial" w:hAnsi="Arial"/>
          <w:sz w:val="20"/>
          <w:szCs w:val="20"/>
          <w:color w:val="auto"/>
        </w:rPr>
        <w:t xml:space="preserve">. The Company is not a party to any agreement with an agent or underwriter for any other “at-the-market” or continuous equity transaction, </w:t>
      </w:r>
      <w:r>
        <w:rPr>
          <w:rFonts w:ascii="Arial" w:cs="Arial" w:eastAsia="Arial" w:hAnsi="Arial"/>
          <w:sz w:val="21"/>
          <w:szCs w:val="21"/>
          <w:color w:val="auto"/>
        </w:rPr>
        <w:t>except for the Open Market Sale Agreement dated July 8, 2020 between the Company and</w:t>
      </w:r>
      <w:r>
        <w:rPr>
          <w:rFonts w:ascii="Arial" w:cs="Arial" w:eastAsia="Arial" w:hAnsi="Arial"/>
          <w:sz w:val="20"/>
          <w:szCs w:val="20"/>
          <w:color w:val="auto"/>
        </w:rPr>
        <w:t xml:space="preserve"> </w:t>
      </w:r>
      <w:r>
        <w:rPr>
          <w:rFonts w:ascii="Arial" w:cs="Arial" w:eastAsia="Arial" w:hAnsi="Arial"/>
          <w:sz w:val="21"/>
          <w:szCs w:val="21"/>
          <w:color w:val="auto"/>
        </w:rPr>
        <w:t>Jefferies LLC.</w:t>
      </w:r>
    </w:p>
    <w:p>
      <w:pPr>
        <w:spacing w:after="0" w:line="17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(ap) </w:t>
      </w:r>
      <w:r>
        <w:rPr>
          <w:rFonts w:ascii="Arial" w:cs="Arial" w:eastAsia="Arial" w:hAnsi="Arial"/>
          <w:sz w:val="22"/>
          <w:szCs w:val="22"/>
          <w:u w:val="single" w:color="auto"/>
          <w:color w:val="auto"/>
        </w:rPr>
        <w:t>ERISA</w:t>
      </w:r>
      <w:r>
        <w:rPr>
          <w:rFonts w:ascii="Arial" w:cs="Arial" w:eastAsia="Arial" w:hAnsi="Arial"/>
          <w:sz w:val="22"/>
          <w:szCs w:val="22"/>
          <w:color w:val="auto"/>
        </w:rPr>
        <w:t>. To the knowledge of the Company, each material employee benefit plan, within the meaning of Section 3(3) of the Employee Retirement Income Security Act of 1974, as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amended (“</w:t>
      </w:r>
      <w:r>
        <w:rPr>
          <w:rFonts w:ascii="Arial" w:cs="Arial" w:eastAsia="Arial" w:hAnsi="Arial"/>
          <w:sz w:val="19"/>
          <w:szCs w:val="19"/>
          <w:b w:val="1"/>
          <w:bCs w:val="1"/>
          <w:color w:val="auto"/>
        </w:rPr>
        <w:t>ERISA</w:t>
      </w:r>
      <w:r>
        <w:rPr>
          <w:rFonts w:ascii="Arial" w:cs="Arial" w:eastAsia="Arial" w:hAnsi="Arial"/>
          <w:sz w:val="19"/>
          <w:szCs w:val="19"/>
          <w:color w:val="auto"/>
        </w:rPr>
        <w:t>”), that is maintained, administered or contributed to by the Company or any of its affiliates for employees or former employees of the Company has been maintained in material compliance with the terms and requirements of any applicable statutes, orders, rules and regulations under ERISA and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431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(aq) </w:t>
      </w:r>
      <w:r>
        <w:rPr>
          <w:rFonts w:ascii="Arial" w:cs="Arial" w:eastAsia="Arial" w:hAnsi="Arial"/>
          <w:sz w:val="22"/>
          <w:szCs w:val="22"/>
          <w:u w:val="single" w:color="auto"/>
          <w:color w:val="auto"/>
        </w:rPr>
        <w:t>Forward-Looking Statements</w:t>
      </w:r>
      <w:r>
        <w:rPr>
          <w:rFonts w:ascii="Arial" w:cs="Arial" w:eastAsia="Arial" w:hAnsi="Arial"/>
          <w:sz w:val="22"/>
          <w:szCs w:val="22"/>
          <w:color w:val="auto"/>
        </w:rPr>
        <w:t>. No forward-looking statement (within the meaning of Section 27A of the Securities Act and Section 21E of the Exchange Act) (a “</w:t>
      </w:r>
      <w:r>
        <w:rPr>
          <w:rFonts w:ascii="Arial" w:cs="Arial" w:eastAsia="Arial" w:hAnsi="Arial"/>
          <w:sz w:val="22"/>
          <w:szCs w:val="22"/>
          <w:b w:val="1"/>
          <w:bCs w:val="1"/>
          <w:color w:val="auto"/>
        </w:rPr>
        <w:t>Forward-Looking Statement</w:t>
      </w:r>
      <w:r>
        <w:rPr>
          <w:rFonts w:ascii="Arial" w:cs="Arial" w:eastAsia="Arial" w:hAnsi="Arial"/>
          <w:sz w:val="22"/>
          <w:szCs w:val="22"/>
          <w:color w:val="auto"/>
        </w:rPr>
        <w:t>”) contained in the Registration Statement and the Prospectus (other than by incorporation by reference) has been made or reaffirmed without a reasonable basis or has been disclosed other than in good faith.</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(ar) </w:t>
      </w:r>
      <w:r>
        <w:rPr>
          <w:rFonts w:ascii="Arial" w:cs="Arial" w:eastAsia="Arial" w:hAnsi="Arial"/>
          <w:sz w:val="21"/>
          <w:szCs w:val="21"/>
          <w:u w:val="single" w:color="auto"/>
          <w:color w:val="auto"/>
        </w:rPr>
        <w:t>Agent Purchases</w:t>
      </w:r>
      <w:r>
        <w:rPr>
          <w:rFonts w:ascii="Arial" w:cs="Arial" w:eastAsia="Arial" w:hAnsi="Arial"/>
          <w:sz w:val="21"/>
          <w:szCs w:val="21"/>
          <w:color w:val="auto"/>
        </w:rPr>
        <w:t xml:space="preserve">. The Company acknowledges and agrees that the Agent has informed the Company that the Agent may, to the extent permitted under the Securities Act, the Exchange Act and the rules of the Exchange, purchase and sell Common Stock for its own account while this Agreement is in effect, </w:t>
      </w:r>
      <w:r>
        <w:rPr>
          <w:rFonts w:ascii="Arial" w:cs="Arial" w:eastAsia="Arial" w:hAnsi="Arial"/>
          <w:sz w:val="21"/>
          <w:szCs w:val="21"/>
          <w:i w:val="1"/>
          <w:iCs w:val="1"/>
          <w:color w:val="auto"/>
        </w:rPr>
        <w:t>provided</w:t>
      </w:r>
      <w:r>
        <w:rPr>
          <w:rFonts w:ascii="Arial" w:cs="Arial" w:eastAsia="Arial" w:hAnsi="Arial"/>
          <w:sz w:val="21"/>
          <w:szCs w:val="21"/>
          <w:color w:val="auto"/>
        </w:rPr>
        <w:t>, that (i) no such purchase or sales shall take place while a Placement Notice is in effect (except to the extent the Agent may engage in sales of Shares purchased or deemed purchased from the Company as a “riskless principal” or in a similar capacity) and (ii) the Company shall not be deemed to have authorized or consented to any such purchases or sales by the Agent.</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(as) </w:t>
      </w:r>
      <w:r>
        <w:rPr>
          <w:rFonts w:ascii="Arial" w:cs="Arial" w:eastAsia="Arial" w:hAnsi="Arial"/>
          <w:sz w:val="22"/>
          <w:szCs w:val="22"/>
          <w:u w:val="single" w:color="auto"/>
          <w:color w:val="auto"/>
        </w:rPr>
        <w:t>Margin Rules</w:t>
      </w:r>
      <w:r>
        <w:rPr>
          <w:rFonts w:ascii="Arial" w:cs="Arial" w:eastAsia="Arial" w:hAnsi="Arial"/>
          <w:sz w:val="22"/>
          <w:szCs w:val="22"/>
          <w:color w:val="auto"/>
        </w:rPr>
        <w:t>. Neither the issuance, sale and delivery of the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(at) </w:t>
      </w:r>
      <w:r>
        <w:rPr>
          <w:rFonts w:ascii="Arial" w:cs="Arial" w:eastAsia="Arial" w:hAnsi="Arial"/>
          <w:sz w:val="19"/>
          <w:szCs w:val="19"/>
          <w:u w:val="single" w:color="auto"/>
          <w:color w:val="auto"/>
        </w:rPr>
        <w:t>Insurance</w:t>
      </w:r>
      <w:r>
        <w:rPr>
          <w:rFonts w:ascii="Arial" w:cs="Arial" w:eastAsia="Arial" w:hAnsi="Arial"/>
          <w:sz w:val="19"/>
          <w:szCs w:val="19"/>
          <w:color w:val="auto"/>
        </w:rPr>
        <w:t>. The Company is insured by insurers of recognized financial responsibility against such losses and risks and in such amounts as are reasonable and customary in the business in which it is engaged; the Company is in compliance with the terms of the insurance policies and instruments insuring the Company or its businesses, assets, employees, officers and directors in all material respects, and such policies and instruments are in full force and effect; there are no claims by the Company under any such policy or instrument as to which any insurance company is denying liability or defending under a reservation of rights clause; except as would not reasonably be expected to have a Material Adverse Effect, the Company has not, within the past five years, been refused any insurance coverage sought or applied for; and the Company has no reasonable basis to believe that it will not be able to renew its existing insurance coverage as and when such coverage expires or to obtain similar coverage from similar insurers as may be necessary to continue its business at a cost that would have a Material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Adverse Effect, whether or not arising from transactions in the ordinary course of business, except as set forth in or contemplated in the Prospectus (exclusive of any supplement thereto).</w:t>
      </w:r>
    </w:p>
    <w:p>
      <w:pPr>
        <w:spacing w:after="0" w:line="1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(au) </w:t>
      </w:r>
      <w:r>
        <w:rPr>
          <w:rFonts w:ascii="Arial" w:cs="Arial" w:eastAsia="Arial" w:hAnsi="Arial"/>
          <w:sz w:val="19"/>
          <w:szCs w:val="19"/>
          <w:u w:val="single" w:color="auto"/>
          <w:color w:val="auto"/>
        </w:rPr>
        <w:t>No Improper Practices</w:t>
      </w:r>
      <w:r>
        <w:rPr>
          <w:rFonts w:ascii="Arial" w:cs="Arial" w:eastAsia="Arial" w:hAnsi="Arial"/>
          <w:sz w:val="19"/>
          <w:szCs w:val="19"/>
          <w:color w:val="auto"/>
        </w:rPr>
        <w:t>. (i) Neither the Company, nor to the Company’s knowledge, any of its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any of its affiliates, on the one hand, and the directors, officers and stockholders of the Company, on the other hand, that is required by the Securities Act to be described in the Registration Statement and the Prospectus that is not so described; (iii) no relationship, direct or indirect, exists between or among the Company or any affiliate of the Company, on the one hand, and the directors, officers, or stockholders of the Company, on the other hand, that is required by the rules of FINRA to be described in the Registration Statement and the Prospectus that is not so described; (iv) except as described in the Registration Statement and the Prospectus, there are no material outstanding loans or advances or material guarantees of indebtedness by the Company to or for the benefit of any of its officers or directors or any of the members of the families of any of them; (v) the Company has not offered, or directed any placement agent to offer, Common Stock to any person with the intent to influence unlawfully (A) a customer or supplier of the Company to alter the customer’s or supplier’s level or type of business with the Company or (B) a trade journalist or publication to write or publish favorable information about the Company or any of its products or services; and (vi) neither the Company nor, to the Company’s knowledge, any employee or agent of the Company, has made any payment of funds of the Company or received or retained any funds in violation of any law, rule or regulation (including, without limitation, the Foreign Corrupt Practices Act of 1977 (the “</w:t>
      </w:r>
      <w:r>
        <w:rPr>
          <w:rFonts w:ascii="Arial" w:cs="Arial" w:eastAsia="Arial" w:hAnsi="Arial"/>
          <w:sz w:val="19"/>
          <w:szCs w:val="19"/>
          <w:b w:val="1"/>
          <w:bCs w:val="1"/>
          <w:color w:val="auto"/>
        </w:rPr>
        <w:t>FCPA</w:t>
      </w:r>
      <w:r>
        <w:rPr>
          <w:rFonts w:ascii="Arial" w:cs="Arial" w:eastAsia="Arial" w:hAnsi="Arial"/>
          <w:sz w:val="19"/>
          <w:szCs w:val="19"/>
          <w:color w:val="auto"/>
        </w:rPr>
        <w:t>”)), which payment, receipt or retention of funds is of a character required to be disclosed in the Registration Statement or the Prospectus. The Company has conducted its business in compliance with the FCPA and has instituted and maintain policies and procedures designed to ensure, and which are reasonably expected to continue to ensure, continued compliance therewith.</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(av) </w:t>
      </w:r>
      <w:r>
        <w:rPr>
          <w:rFonts w:ascii="Arial" w:cs="Arial" w:eastAsia="Arial" w:hAnsi="Arial"/>
          <w:sz w:val="22"/>
          <w:szCs w:val="22"/>
          <w:u w:val="single" w:color="auto"/>
          <w:color w:val="auto"/>
        </w:rPr>
        <w:t>Status Under the Securities Act</w:t>
      </w:r>
      <w:r>
        <w:rPr>
          <w:rFonts w:ascii="Arial" w:cs="Arial" w:eastAsia="Arial" w:hAnsi="Arial"/>
          <w:sz w:val="22"/>
          <w:szCs w:val="22"/>
          <w:color w:val="auto"/>
        </w:rPr>
        <w:t>. The Company was not and is not an ineligible issuer as defined in Rule 405 under the Securities Act at the times specified in Rules 164 and 433 under the Securities Act in connection with the offering of the Shares.</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(aw) </w:t>
      </w:r>
      <w:r>
        <w:rPr>
          <w:rFonts w:ascii="Arial" w:cs="Arial" w:eastAsia="Arial" w:hAnsi="Arial"/>
          <w:sz w:val="22"/>
          <w:szCs w:val="22"/>
          <w:u w:val="single" w:color="auto"/>
          <w:color w:val="auto"/>
        </w:rPr>
        <w:t>No Misstatement or Omission in an Issuer Free Writing Prospectus</w:t>
      </w:r>
      <w:r>
        <w:rPr>
          <w:rFonts w:ascii="Arial" w:cs="Arial" w:eastAsia="Arial" w:hAnsi="Arial"/>
          <w:sz w:val="22"/>
          <w:szCs w:val="22"/>
          <w:color w:val="auto"/>
        </w:rPr>
        <w:t>. Each Issuer Free Writing Prospectus, as of its issue date and as of each Representation Date, did not, does not and will not, through the completion of the Placement for which such Issuer Free Writing Prospectus is used, include any information that conflicted, conflicts or will conflict with the information contained in the Registration Statement or the Prospectus, including any documents incorporated by reference therein deemed to be a part thereof, that has not been superseded or modified. The foregoing sentence does not apply to statements in or omissions from any Issuer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21" w:name="page22"/>
    <w:bookmarkEnd w:id="21"/>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Free Writing Prospectus based upon and in conformity with written information furnished to the Company by the Agent specifically for use therein.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(ax) </w:t>
      </w:r>
      <w:r>
        <w:rPr>
          <w:rFonts w:ascii="Arial" w:cs="Arial" w:eastAsia="Arial" w:hAnsi="Arial"/>
          <w:sz w:val="21"/>
          <w:szCs w:val="21"/>
          <w:u w:val="single" w:color="auto"/>
          <w:color w:val="auto"/>
        </w:rPr>
        <w:t>No Conflicts</w:t>
      </w:r>
      <w:r>
        <w:rPr>
          <w:rFonts w:ascii="Arial" w:cs="Arial" w:eastAsia="Arial" w:hAnsi="Arial"/>
          <w:sz w:val="21"/>
          <w:szCs w:val="21"/>
          <w:color w:val="auto"/>
        </w:rPr>
        <w:t>. Neither the execution of this Agreement by the Company, nor the issuance, offering or sale of the Shares by the Company, nor the consummation of any of the transactions contemplated herein and therein by the Company,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is a party or to which any of the property or assets of the Company is subject, except (i) such conflicts, breaches or defaults as may have been waived and (ii) such conflicts, breaches and defaults that would not reasonably be expected to have a Material Adverse Effect; nor will such action result (x) in any violation of the provisions of the certificate of incorporation or bylaws of the Company, or (y) in any violation of the provisions of any statute or any order, rule or regulation applicable to the Company or of any Governmental Authority having jurisdiction over the Company, except, with respect to this clause (y) only, for any violation that would not reasonably be expected to have a Material Adverse Effect.</w:t>
      </w:r>
    </w:p>
    <w:p>
      <w:pPr>
        <w:spacing w:after="0" w:line="1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(ay) </w:t>
      </w:r>
      <w:r>
        <w:rPr>
          <w:rFonts w:ascii="Arial" w:cs="Arial" w:eastAsia="Arial" w:hAnsi="Arial"/>
          <w:sz w:val="22"/>
          <w:szCs w:val="22"/>
          <w:u w:val="single" w:color="auto"/>
          <w:color w:val="auto"/>
        </w:rPr>
        <w:t>Sanctions</w:t>
      </w:r>
      <w:r>
        <w:rPr>
          <w:rFonts w:ascii="Arial" w:cs="Arial" w:eastAsia="Arial" w:hAnsi="Arial"/>
          <w:sz w:val="22"/>
          <w:szCs w:val="22"/>
          <w:color w:val="auto"/>
        </w:rPr>
        <w:t>. (i) The Company represents that, neither the Company nor, to the knowledge of the Company, any director, officer, employee, agent, affiliate or representative of the Company, is a government, individual, or entity (in this paragraph (tt), “</w:t>
      </w:r>
      <w:r>
        <w:rPr>
          <w:rFonts w:ascii="Arial" w:cs="Arial" w:eastAsia="Arial" w:hAnsi="Arial"/>
          <w:sz w:val="22"/>
          <w:szCs w:val="22"/>
          <w:b w:val="1"/>
          <w:bCs w:val="1"/>
          <w:color w:val="auto"/>
        </w:rPr>
        <w:t>Person</w:t>
      </w:r>
      <w:r>
        <w:rPr>
          <w:rFonts w:ascii="Arial" w:cs="Arial" w:eastAsia="Arial" w:hAnsi="Arial"/>
          <w:sz w:val="22"/>
          <w:szCs w:val="22"/>
          <w:color w:val="auto"/>
        </w:rPr>
        <w:t>”) that is, or is owned or controlled by, a Person that is:</w:t>
      </w:r>
    </w:p>
    <w:p>
      <w:pPr>
        <w:spacing w:after="0" w:line="185" w:lineRule="exact"/>
        <w:rPr>
          <w:sz w:val="20"/>
          <w:szCs w:val="20"/>
          <w:color w:val="auto"/>
        </w:rPr>
      </w:pPr>
    </w:p>
    <w:p>
      <w:pPr>
        <w:jc w:val="both"/>
        <w:ind w:left="660" w:firstLine="644"/>
        <w:spacing w:after="0" w:line="253" w:lineRule="auto"/>
        <w:tabs>
          <w:tab w:leader="none" w:pos="1953" w:val="left"/>
        </w:tabs>
        <w:numPr>
          <w:ilvl w:val="1"/>
          <w:numId w:val="17"/>
        </w:numPr>
        <w:rPr>
          <w:rFonts w:ascii="Arial" w:cs="Arial" w:eastAsia="Arial" w:hAnsi="Arial"/>
          <w:sz w:val="22"/>
          <w:szCs w:val="22"/>
          <w:color w:val="auto"/>
        </w:rPr>
      </w:pPr>
      <w:r>
        <w:rPr>
          <w:rFonts w:ascii="Arial" w:cs="Arial" w:eastAsia="Arial" w:hAnsi="Arial"/>
          <w:sz w:val="22"/>
          <w:szCs w:val="22"/>
          <w:color w:val="auto"/>
        </w:rPr>
        <w:t>the subject of any sanctions administered or enforced by the U.S. Department of Treasury’s Office of Foreign Assets Control, the United Nations Security Council, the European Union, Her Majesty’s Treasury, or other relevant sanctions authority (as amended, collectively, “</w:t>
      </w:r>
      <w:r>
        <w:rPr>
          <w:rFonts w:ascii="Arial" w:cs="Arial" w:eastAsia="Arial" w:hAnsi="Arial"/>
          <w:sz w:val="22"/>
          <w:szCs w:val="22"/>
          <w:b w:val="1"/>
          <w:bCs w:val="1"/>
          <w:color w:val="auto"/>
        </w:rPr>
        <w:t>Sanctions</w:t>
      </w:r>
      <w:r>
        <w:rPr>
          <w:rFonts w:ascii="Arial" w:cs="Arial" w:eastAsia="Arial" w:hAnsi="Arial"/>
          <w:sz w:val="22"/>
          <w:szCs w:val="22"/>
          <w:color w:val="auto"/>
        </w:rPr>
        <w:t>”), nor</w:t>
      </w:r>
    </w:p>
    <w:p>
      <w:pPr>
        <w:spacing w:after="0" w:line="185" w:lineRule="exact"/>
        <w:rPr>
          <w:rFonts w:ascii="Arial" w:cs="Arial" w:eastAsia="Arial" w:hAnsi="Arial"/>
          <w:sz w:val="22"/>
          <w:szCs w:val="22"/>
          <w:color w:val="auto"/>
        </w:rPr>
      </w:pPr>
    </w:p>
    <w:p>
      <w:pPr>
        <w:ind w:left="660" w:firstLine="644"/>
        <w:spacing w:after="0" w:line="263" w:lineRule="auto"/>
        <w:tabs>
          <w:tab w:leader="none" w:pos="1951" w:val="left"/>
        </w:tabs>
        <w:numPr>
          <w:ilvl w:val="1"/>
          <w:numId w:val="17"/>
        </w:numPr>
        <w:rPr>
          <w:rFonts w:ascii="Arial" w:cs="Arial" w:eastAsia="Arial" w:hAnsi="Arial"/>
          <w:sz w:val="22"/>
          <w:szCs w:val="22"/>
          <w:color w:val="auto"/>
        </w:rPr>
      </w:pPr>
      <w:r>
        <w:rPr>
          <w:rFonts w:ascii="Arial" w:cs="Arial" w:eastAsia="Arial" w:hAnsi="Arial"/>
          <w:sz w:val="22"/>
          <w:szCs w:val="22"/>
          <w:color w:val="auto"/>
        </w:rPr>
        <w:t>located, organized or resident in a country or territory that is the subject of Sanctions (including, without limitation, Burma/Myanmar, Cuba, Iran, North Korea, Sudan and Syria).</w:t>
      </w:r>
    </w:p>
    <w:p>
      <w:pPr>
        <w:spacing w:after="0" w:line="174" w:lineRule="exact"/>
        <w:rPr>
          <w:rFonts w:ascii="Arial" w:cs="Arial" w:eastAsia="Arial" w:hAnsi="Arial"/>
          <w:sz w:val="22"/>
          <w:szCs w:val="22"/>
          <w:color w:val="auto"/>
        </w:rPr>
      </w:pPr>
    </w:p>
    <w:p>
      <w:pPr>
        <w:ind w:right="20" w:firstLine="656"/>
        <w:spacing w:after="0" w:line="343" w:lineRule="auto"/>
        <w:tabs>
          <w:tab w:leader="none" w:pos="1195"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Company represents and covenants that it will not, directly or indirectly, use the proceeds of the offering, or lend, contribute or otherwise make available such proceeds to any subsidiary, joint venture partner or other Person:</w:t>
      </w:r>
    </w:p>
    <w:p>
      <w:pPr>
        <w:spacing w:after="0" w:line="104" w:lineRule="exact"/>
        <w:rPr>
          <w:rFonts w:ascii="Arial" w:cs="Arial" w:eastAsia="Arial" w:hAnsi="Arial"/>
          <w:sz w:val="19"/>
          <w:szCs w:val="19"/>
          <w:color w:val="auto"/>
        </w:rPr>
      </w:pPr>
    </w:p>
    <w:p>
      <w:pPr>
        <w:ind w:left="660" w:firstLine="644"/>
        <w:spacing w:after="0" w:line="263" w:lineRule="auto"/>
        <w:tabs>
          <w:tab w:leader="none" w:pos="1953" w:val="left"/>
        </w:tabs>
        <w:numPr>
          <w:ilvl w:val="1"/>
          <w:numId w:val="18"/>
        </w:numPr>
        <w:rPr>
          <w:rFonts w:ascii="Arial" w:cs="Arial" w:eastAsia="Arial" w:hAnsi="Arial"/>
          <w:sz w:val="22"/>
          <w:szCs w:val="22"/>
          <w:color w:val="auto"/>
        </w:rPr>
      </w:pPr>
      <w:r>
        <w:rPr>
          <w:rFonts w:ascii="Arial" w:cs="Arial" w:eastAsia="Arial" w:hAnsi="Arial"/>
          <w:sz w:val="22"/>
          <w:szCs w:val="22"/>
          <w:color w:val="auto"/>
        </w:rPr>
        <w:t>to fund or facilitate any activities or business of or with any Person or in any country or territory that, at the time of such funding or facilitation, is the subject of Sanctions; or</w:t>
      </w:r>
    </w:p>
    <w:p>
      <w:pPr>
        <w:spacing w:after="0" w:line="175" w:lineRule="exact"/>
        <w:rPr>
          <w:sz w:val="20"/>
          <w:szCs w:val="20"/>
          <w:color w:val="auto"/>
        </w:rPr>
      </w:pPr>
    </w:p>
    <w:p>
      <w:pPr>
        <w:ind w:left="660" w:right="280" w:hanging="4"/>
        <w:spacing w:after="0" w:line="263" w:lineRule="auto"/>
        <w:tabs>
          <w:tab w:leader="none" w:pos="1002"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 any other manner that will result in a violation of Sanctions by any Person (including any Person participating in the offering, whether as underwriter, advisor, investor or otherwise).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04" w:lineRule="exact"/>
        <w:rPr>
          <w:sz w:val="20"/>
          <w:szCs w:val="20"/>
          <w:color w:val="auto"/>
        </w:rPr>
      </w:pPr>
    </w:p>
    <w:p>
      <w:pPr>
        <w:jc w:val="both"/>
        <w:ind w:firstLine="656"/>
        <w:spacing w:after="0" w:line="250" w:lineRule="auto"/>
        <w:tabs>
          <w:tab w:leader="none" w:pos="1244"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Company represents and covenants that, except as detailed in the Registration Statement and the Prospectus, for the past five (5) years, it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(az) </w:t>
      </w:r>
      <w:r>
        <w:rPr>
          <w:rFonts w:ascii="Arial" w:cs="Arial" w:eastAsia="Arial" w:hAnsi="Arial"/>
          <w:sz w:val="22"/>
          <w:szCs w:val="22"/>
          <w:u w:val="single" w:color="auto"/>
          <w:color w:val="auto"/>
        </w:rPr>
        <w:t>No Rated Security</w:t>
      </w:r>
      <w:r>
        <w:rPr>
          <w:rFonts w:ascii="Arial" w:cs="Arial" w:eastAsia="Arial" w:hAnsi="Arial"/>
          <w:sz w:val="22"/>
          <w:szCs w:val="22"/>
          <w:color w:val="auto"/>
        </w:rPr>
        <w:t>. There are no debt securities or preferred stock of, or guaranteed by, the Company that are rated by a “nationally recognized statistical rating organization,” as such term is defined by the Commission for the purposes of Section 3(a)(62) of the Exchange Act.</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(ba) </w:t>
      </w:r>
      <w:r>
        <w:rPr>
          <w:rFonts w:ascii="Arial" w:cs="Arial" w:eastAsia="Arial" w:hAnsi="Arial"/>
          <w:sz w:val="22"/>
          <w:szCs w:val="22"/>
          <w:u w:val="single" w:color="auto"/>
          <w:color w:val="auto"/>
        </w:rPr>
        <w:t>Stock Transfer Taxes</w:t>
      </w:r>
      <w:r>
        <w:rPr>
          <w:rFonts w:ascii="Arial" w:cs="Arial" w:eastAsia="Arial" w:hAnsi="Arial"/>
          <w:sz w:val="22"/>
          <w:szCs w:val="22"/>
          <w:color w:val="auto"/>
        </w:rPr>
        <w:t>. On each Settlement Date, all stock transfer or other taxes (other than income taxes) which are required to be paid by the Company in connection with the sale and transfer of the Shares to be sold hereunder will be, or will have been, fully paid or provided for by the Company and all laws imposing such taxes will be or will have been complied with in all material respects.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certificate signed by any officer of the Company and delivered to the Agent or counsel for the Agent in connection with an issuance of Shares shall be deemed a representation and warranty by the Company to the Agent as to the matters covered thereby on the date of such certificate.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The Company acknowledges that the Agent and, for purposes of the opinions to be delivered pursuant to </w:t>
      </w:r>
      <w:r>
        <w:rPr>
          <w:rFonts w:ascii="Arial" w:cs="Arial" w:eastAsia="Arial" w:hAnsi="Arial"/>
          <w:sz w:val="22"/>
          <w:szCs w:val="22"/>
          <w:u w:val="single" w:color="auto"/>
          <w:color w:val="auto"/>
        </w:rPr>
        <w:t>Section 4(p)</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5(a)</w:t>
      </w:r>
      <w:r>
        <w:rPr>
          <w:rFonts w:ascii="Arial" w:cs="Arial" w:eastAsia="Arial" w:hAnsi="Arial"/>
          <w:sz w:val="22"/>
          <w:szCs w:val="22"/>
          <w:color w:val="auto"/>
        </w:rPr>
        <w:t>(v) hereof, counsel to the Company and counsel to the Agent, will rely upon the accuracy and truthfulness of the foregoing representations and hereby consents to such reliance.</w:t>
      </w:r>
    </w:p>
    <w:p>
      <w:pPr>
        <w:spacing w:after="0" w:line="179"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21"/>
          <w:szCs w:val="21"/>
          <w:b w:val="1"/>
          <w:bCs w:val="1"/>
          <w:color w:val="auto"/>
        </w:rPr>
        <w:t>ISSUANCE AND SALE OF COMMON SHARES</w:t>
      </w:r>
    </w:p>
    <w:p>
      <w:pPr>
        <w:spacing w:after="0" w:line="226" w:lineRule="exact"/>
        <w:rPr>
          <w:sz w:val="20"/>
          <w:szCs w:val="20"/>
          <w:color w:val="auto"/>
        </w:rPr>
      </w:pPr>
    </w:p>
    <w:p>
      <w:pPr>
        <w:jc w:val="both"/>
        <w:ind w:firstLine="656"/>
        <w:spacing w:after="0" w:line="248" w:lineRule="auto"/>
        <w:tabs>
          <w:tab w:leader="none" w:pos="1293"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Sale of Securities</w:t>
      </w:r>
      <w:r>
        <w:rPr>
          <w:rFonts w:ascii="Arial" w:cs="Arial" w:eastAsia="Arial" w:hAnsi="Arial"/>
          <w:sz w:val="22"/>
          <w:szCs w:val="22"/>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91" w:lineRule="exact"/>
        <w:rPr>
          <w:rFonts w:ascii="Arial" w:cs="Arial" w:eastAsia="Arial" w:hAnsi="Arial"/>
          <w:sz w:val="22"/>
          <w:szCs w:val="22"/>
          <w:color w:val="auto"/>
        </w:rPr>
      </w:pPr>
    </w:p>
    <w:p>
      <w:pPr>
        <w:ind w:left="1300" w:hanging="644"/>
        <w:spacing w:after="0"/>
        <w:tabs>
          <w:tab w:leader="none" w:pos="1300"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Mechanics of Issuances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310"/>
        <w:spacing w:after="0" w:line="294" w:lineRule="auto"/>
        <w:tabs>
          <w:tab w:leader="none" w:pos="582"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Issuance Notice</w:t>
      </w:r>
      <w:r>
        <w:rPr>
          <w:rFonts w:ascii="Arial" w:cs="Arial" w:eastAsia="Arial" w:hAnsi="Arial"/>
          <w:sz w:val="19"/>
          <w:szCs w:val="19"/>
          <w:color w:val="auto"/>
        </w:rPr>
        <w:t xml:space="preserve">. Upon the terms and subject to the conditions set forth herein, on any Trading Day during the Agency Period on which the conditions set forth in </w:t>
      </w:r>
      <w:r>
        <w:rPr>
          <w:rFonts w:ascii="Arial" w:cs="Arial" w:eastAsia="Arial" w:hAnsi="Arial"/>
          <w:sz w:val="19"/>
          <w:szCs w:val="19"/>
          <w:u w:val="single" w:color="auto"/>
          <w:color w:val="auto"/>
        </w:rPr>
        <w:t>Section 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5(b)</w:t>
      </w:r>
      <w:r>
        <w:rPr>
          <w:rFonts w:ascii="Arial" w:cs="Arial" w:eastAsia="Arial" w:hAnsi="Arial"/>
          <w:sz w:val="19"/>
          <w:szCs w:val="19"/>
          <w:color w:val="auto"/>
        </w:rPr>
        <w:t xml:space="preserve"> shall have been satisfied, the Company may exercise its right to request an issuance of Shares by delivering to the Agent an Issuance Notice;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23" w:name="page24"/>
    <w:bookmarkEnd w:id="23"/>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75" w:lineRule="exact"/>
        <w:rPr>
          <w:sz w:val="20"/>
          <w:szCs w:val="20"/>
          <w:color w:val="auto"/>
        </w:rPr>
      </w:pPr>
    </w:p>
    <w:p>
      <w:pPr>
        <w:jc w:val="both"/>
        <w:ind w:firstLine="251"/>
        <w:spacing w:after="0" w:line="294" w:lineRule="auto"/>
        <w:tabs>
          <w:tab w:leader="none" w:pos="75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Agent Efforts</w:t>
      </w:r>
      <w:r>
        <w:rPr>
          <w:rFonts w:ascii="Arial" w:cs="Arial" w:eastAsia="Arial" w:hAnsi="Arial"/>
          <w:sz w:val="19"/>
          <w:szCs w:val="19"/>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49" w:lineRule="exact"/>
        <w:rPr>
          <w:rFonts w:ascii="Arial" w:cs="Arial" w:eastAsia="Arial" w:hAnsi="Arial"/>
          <w:sz w:val="19"/>
          <w:szCs w:val="19"/>
          <w:color w:val="auto"/>
        </w:rPr>
      </w:pPr>
    </w:p>
    <w:p>
      <w:pPr>
        <w:jc w:val="both"/>
        <w:ind w:firstLine="244"/>
        <w:spacing w:after="0" w:line="294" w:lineRule="auto"/>
        <w:tabs>
          <w:tab w:leader="none" w:pos="796"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Method of Offer and Sale</w:t>
      </w:r>
      <w:r>
        <w:rPr>
          <w:rFonts w:ascii="Arial" w:cs="Arial" w:eastAsia="Arial" w:hAnsi="Arial"/>
          <w:sz w:val="19"/>
          <w:szCs w:val="19"/>
          <w:color w:val="auto"/>
        </w:rPr>
        <w:t>. The Shares may be offered and sold (A) in privately negotiated transactions with the consent of the Company; (B) 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49" w:lineRule="exact"/>
        <w:rPr>
          <w:rFonts w:ascii="Arial" w:cs="Arial" w:eastAsia="Arial" w:hAnsi="Arial"/>
          <w:sz w:val="19"/>
          <w:szCs w:val="19"/>
          <w:color w:val="auto"/>
        </w:rPr>
      </w:pPr>
    </w:p>
    <w:p>
      <w:pPr>
        <w:jc w:val="both"/>
        <w:ind w:firstLine="298"/>
        <w:spacing w:after="0" w:line="250" w:lineRule="auto"/>
        <w:tabs>
          <w:tab w:leader="none" w:pos="892" w:val="left"/>
        </w:tabs>
        <w:numPr>
          <w:ilvl w:val="2"/>
          <w:numId w:val="23"/>
        </w:numPr>
        <w:rPr>
          <w:rFonts w:ascii="Arial" w:cs="Arial" w:eastAsia="Arial" w:hAnsi="Arial"/>
          <w:sz w:val="22"/>
          <w:szCs w:val="22"/>
          <w:color w:val="auto"/>
        </w:rPr>
      </w:pPr>
      <w:r>
        <w:rPr>
          <w:rFonts w:ascii="Arial" w:cs="Arial" w:eastAsia="Arial" w:hAnsi="Arial"/>
          <w:sz w:val="22"/>
          <w:szCs w:val="22"/>
          <w:u w:val="single" w:color="auto"/>
          <w:color w:val="auto"/>
        </w:rPr>
        <w:t>Confirmation to the Company</w:t>
      </w:r>
      <w:r>
        <w:rPr>
          <w:rFonts w:ascii="Arial" w:cs="Arial" w:eastAsia="Arial" w:hAnsi="Arial"/>
          <w:sz w:val="22"/>
          <w:szCs w:val="22"/>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87" w:lineRule="exact"/>
        <w:rPr>
          <w:rFonts w:ascii="Arial" w:cs="Arial" w:eastAsia="Arial" w:hAnsi="Arial"/>
          <w:sz w:val="22"/>
          <w:szCs w:val="22"/>
          <w:color w:val="auto"/>
        </w:rPr>
      </w:pPr>
    </w:p>
    <w:p>
      <w:pPr>
        <w:jc w:val="both"/>
        <w:ind w:firstLine="278"/>
        <w:spacing w:after="0" w:line="259" w:lineRule="auto"/>
        <w:tabs>
          <w:tab w:leader="none" w:pos="792" w:val="left"/>
        </w:tabs>
        <w:numPr>
          <w:ilvl w:val="1"/>
          <w:numId w:val="23"/>
        </w:numPr>
        <w:rPr>
          <w:rFonts w:ascii="Arial" w:cs="Arial" w:eastAsia="Arial" w:hAnsi="Arial"/>
          <w:sz w:val="21"/>
          <w:szCs w:val="21"/>
          <w:color w:val="auto"/>
        </w:rPr>
      </w:pPr>
      <w:r>
        <w:rPr>
          <w:rFonts w:ascii="Arial" w:cs="Arial" w:eastAsia="Arial" w:hAnsi="Arial"/>
          <w:sz w:val="21"/>
          <w:szCs w:val="21"/>
          <w:u w:val="single" w:color="auto"/>
          <w:color w:val="auto"/>
        </w:rPr>
        <w:t>Settlement</w:t>
      </w:r>
      <w:r>
        <w:rPr>
          <w:rFonts w:ascii="Arial" w:cs="Arial" w:eastAsia="Arial" w:hAnsi="Arial"/>
          <w:sz w:val="21"/>
          <w:szCs w:val="21"/>
          <w:color w:val="auto"/>
        </w:rPr>
        <w:t xml:space="preserve">. Each issuance of Shares will be settled on the applicable Settlement Date for such issuance of Shares and, subject to the provisions of </w:t>
      </w:r>
      <w:r>
        <w:rPr>
          <w:rFonts w:ascii="Arial" w:cs="Arial" w:eastAsia="Arial" w:hAnsi="Arial"/>
          <w:sz w:val="21"/>
          <w:szCs w:val="21"/>
          <w:u w:val="single" w:color="auto"/>
          <w:color w:val="auto"/>
        </w:rPr>
        <w:t>Section 5</w:t>
      </w:r>
      <w:r>
        <w:rPr>
          <w:rFonts w:ascii="Arial" w:cs="Arial" w:eastAsia="Arial" w:hAnsi="Arial"/>
          <w:sz w:val="21"/>
          <w:szCs w:val="21"/>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21"/>
          <w:szCs w:val="21"/>
          <w:b w:val="1"/>
          <w:bCs w:val="1"/>
          <w:color w:val="auto"/>
        </w:rPr>
        <w:t>Time of Sale</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firstLine="285"/>
        <w:spacing w:after="0" w:line="253" w:lineRule="auto"/>
        <w:tabs>
          <w:tab w:leader="none" w:pos="865"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Suspension or Termination of Sales</w:t>
      </w:r>
      <w:r>
        <w:rPr>
          <w:rFonts w:ascii="Arial" w:cs="Arial" w:eastAsia="Arial" w:hAnsi="Arial"/>
          <w:sz w:val="22"/>
          <w:szCs w:val="22"/>
          <w:color w:val="auto"/>
        </w:rPr>
        <w:t>. Consistent with standard market settlement practices, the Company or the Agent may, upon notice to the other party hereto in writing (including by email correspondence to each of the individuals of the other party whose names are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24" w:name="page25"/>
    <w:bookmarkEnd w:id="24"/>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set forth on Schedule A) or by telephone (confirmed immediately by verifiable email), suspend any sale of Shares, and the period set forth in an Issuance Notice shall immediately terminate;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9"/>
          <w:szCs w:val="19"/>
          <w:u w:val="single" w:color="auto"/>
          <w:color w:val="auto"/>
        </w:rPr>
        <w:t>Section 3(b)(v)</w:t>
      </w:r>
      <w:r>
        <w:rPr>
          <w:rFonts w:ascii="Arial" w:cs="Arial" w:eastAsia="Arial" w:hAnsi="Arial"/>
          <w:sz w:val="19"/>
          <w:szCs w:val="19"/>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9"/>
          <w:szCs w:val="19"/>
          <w:u w:val="single" w:color="auto"/>
          <w:color w:val="auto"/>
        </w:rPr>
        <w:t>Section 3(b)(i)</w:t>
      </w:r>
      <w:r>
        <w:rPr>
          <w:rFonts w:ascii="Arial" w:cs="Arial" w:eastAsia="Arial" w:hAnsi="Arial"/>
          <w:sz w:val="19"/>
          <w:szCs w:val="19"/>
          <w:color w:val="auto"/>
        </w:rPr>
        <w:t>.</w:t>
      </w:r>
    </w:p>
    <w:p>
      <w:pPr>
        <w:spacing w:after="0" w:line="159" w:lineRule="exact"/>
        <w:rPr>
          <w:sz w:val="20"/>
          <w:szCs w:val="20"/>
          <w:color w:val="auto"/>
        </w:rPr>
      </w:pPr>
    </w:p>
    <w:p>
      <w:pPr>
        <w:jc w:val="both"/>
        <w:ind w:firstLine="278"/>
        <w:spacing w:after="0" w:line="265" w:lineRule="auto"/>
        <w:tabs>
          <w:tab w:leader="none" w:pos="912"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No Guarantee of Placement, Etc.</w:t>
      </w:r>
      <w:r>
        <w:rPr>
          <w:rFonts w:ascii="Arial" w:cs="Arial" w:eastAsia="Arial" w:hAnsi="Arial"/>
          <w:sz w:val="21"/>
          <w:szCs w:val="21"/>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75" w:lineRule="exact"/>
        <w:rPr>
          <w:rFonts w:ascii="Arial" w:cs="Arial" w:eastAsia="Arial" w:hAnsi="Arial"/>
          <w:sz w:val="21"/>
          <w:szCs w:val="21"/>
          <w:color w:val="auto"/>
        </w:rPr>
      </w:pPr>
    </w:p>
    <w:p>
      <w:pPr>
        <w:jc w:val="both"/>
        <w:ind w:firstLine="656"/>
        <w:spacing w:after="0" w:line="312" w:lineRule="auto"/>
        <w:tabs>
          <w:tab w:leader="none" w:pos="1336"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Material Non-Public Information.</w:t>
      </w:r>
      <w:r>
        <w:rPr>
          <w:rFonts w:ascii="Arial" w:cs="Arial" w:eastAsia="Arial" w:hAnsi="Arial"/>
          <w:sz w:val="19"/>
          <w:szCs w:val="19"/>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33" w:lineRule="exact"/>
        <w:rPr>
          <w:sz w:val="20"/>
          <w:szCs w:val="20"/>
          <w:color w:val="auto"/>
        </w:rPr>
      </w:pPr>
    </w:p>
    <w:p>
      <w:pPr>
        <w:jc w:val="both"/>
        <w:ind w:firstLine="656"/>
        <w:spacing w:after="0" w:line="312" w:lineRule="auto"/>
        <w:tabs>
          <w:tab w:leader="none" w:pos="1293"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Fees</w:t>
      </w:r>
      <w:r>
        <w:rPr>
          <w:rFonts w:ascii="Arial" w:cs="Arial" w:eastAsia="Arial" w:hAnsi="Arial"/>
          <w:sz w:val="19"/>
          <w:szCs w:val="19"/>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9"/>
          <w:szCs w:val="19"/>
          <w:u w:val="single" w:color="auto"/>
          <w:color w:val="auto"/>
        </w:rPr>
        <w:t>Section 3(b)(vi))</w:t>
      </w:r>
      <w:r>
        <w:rPr>
          <w:rFonts w:ascii="Arial" w:cs="Arial" w:eastAsia="Arial" w:hAnsi="Arial"/>
          <w:sz w:val="19"/>
          <w:szCs w:val="19"/>
          <w:color w:val="auto"/>
        </w:rPr>
        <w:t xml:space="preserve"> by the Agent deducting the Selling Commission from the applicable Issuance Amount.</w:t>
      </w:r>
    </w:p>
    <w:p>
      <w:pPr>
        <w:spacing w:after="0" w:line="133" w:lineRule="exact"/>
        <w:rPr>
          <w:rFonts w:ascii="Arial" w:cs="Arial" w:eastAsia="Arial" w:hAnsi="Arial"/>
          <w:sz w:val="19"/>
          <w:szCs w:val="19"/>
          <w:color w:val="auto"/>
        </w:rPr>
      </w:pPr>
    </w:p>
    <w:p>
      <w:pPr>
        <w:jc w:val="both"/>
        <w:ind w:firstLine="656"/>
        <w:spacing w:after="0" w:line="289" w:lineRule="auto"/>
        <w:tabs>
          <w:tab w:leader="none" w:pos="1291"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21"/>
          <w:szCs w:val="21"/>
          <w:b w:val="1"/>
          <w:bCs w:val="1"/>
          <w:color w:val="auto"/>
        </w:rPr>
        <w:t>Blue Sky Survey</w:t>
      </w:r>
      <w:r>
        <w:rPr>
          <w:rFonts w:ascii="Arial" w:cs="Arial" w:eastAsia="Arial" w:hAnsi="Arial"/>
          <w:sz w:val="21"/>
          <w:szCs w:val="21"/>
          <w:color w:val="auto"/>
        </w:rPr>
        <w:t xml:space="preserve">” or memorandum and a “Canadian wrapper,” and any supplements thereto, and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and (ix) the fees and expenses associated with listing the Shares on the Principal Market. The fees and disbursements of Agent’s counsel pursuant to subsections (vi) and (vii) above shall not exceed (A) $50,000 in connection with the execution of this Agreement and (B) $15,000 in connection with each Triggering Event Date (as defined below) on which the Company is required to provide a certificate pursuant to </w:t>
      </w:r>
      <w:r>
        <w:rPr>
          <w:rFonts w:ascii="Arial" w:cs="Arial" w:eastAsia="Arial" w:hAnsi="Arial"/>
          <w:sz w:val="21"/>
          <w:szCs w:val="21"/>
          <w:u w:val="single" w:color="auto"/>
          <w:color w:val="auto"/>
        </w:rPr>
        <w:t>Section 4(o</w:t>
      </w:r>
      <w:r>
        <w:rPr>
          <w:rFonts w:ascii="Arial" w:cs="Arial" w:eastAsia="Arial" w:hAnsi="Arial"/>
          <w:sz w:val="21"/>
          <w:szCs w:val="21"/>
          <w:color w:val="auto"/>
        </w:rPr>
        <w:t>).</w:t>
      </w:r>
    </w:p>
    <w:p>
      <w:pPr>
        <w:spacing w:after="0" w:line="176"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2"/>
          <w:szCs w:val="22"/>
          <w:b w:val="1"/>
          <w:bCs w:val="1"/>
          <w:color w:val="auto"/>
        </w:rPr>
        <w:t>ADDITIONAL COVENANTS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covenants and agrees with the Agent as follows, in addition to any other covenants and agreements made elsewhere in this Agreement:</w:t>
      </w:r>
    </w:p>
    <w:p>
      <w:pPr>
        <w:spacing w:after="0" w:line="175" w:lineRule="exact"/>
        <w:rPr>
          <w:sz w:val="20"/>
          <w:szCs w:val="20"/>
          <w:color w:val="auto"/>
        </w:rPr>
      </w:pPr>
    </w:p>
    <w:p>
      <w:pPr>
        <w:jc w:val="both"/>
        <w:ind w:firstLine="656"/>
        <w:spacing w:after="0" w:line="289" w:lineRule="auto"/>
        <w:tabs>
          <w:tab w:leader="none" w:pos="1293"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Exchange Act Compliance</w:t>
      </w:r>
      <w:r>
        <w:rPr>
          <w:rFonts w:ascii="Arial" w:cs="Arial" w:eastAsia="Arial" w:hAnsi="Arial"/>
          <w:sz w:val="19"/>
          <w:szCs w:val="19"/>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in the Company’s sole discretion, (A) include in its quarterly reports on Form 10-Q and its annual reports on Form 10-K, a summary detailing, for the relevant reporting period, (1) the number of Shares, if any, sold through the Agent pursuant to this Agreement and (2) the net proceeds, if any, received by the Company from such sales or (B) prepare a prospectus supplement containing, or include in such other filing permitted by the Securities Act or Exchange Act (each an “</w:t>
      </w:r>
      <w:r>
        <w:rPr>
          <w:rFonts w:ascii="Arial" w:cs="Arial" w:eastAsia="Arial" w:hAnsi="Arial"/>
          <w:sz w:val="19"/>
          <w:szCs w:val="19"/>
          <w:b w:val="1"/>
          <w:bCs w:val="1"/>
          <w:color w:val="auto"/>
        </w:rPr>
        <w:t>Interim Prospectus Supplement</w:t>
      </w:r>
      <w:r>
        <w:rPr>
          <w:rFonts w:ascii="Arial" w:cs="Arial" w:eastAsia="Arial" w:hAnsi="Arial"/>
          <w:sz w:val="19"/>
          <w:szCs w:val="19"/>
          <w:color w:val="auto"/>
        </w:rPr>
        <w:t>”), such summary information and, at least once a quarter and subject to this Section 4, file such Interim Prospectus Supplement pursuant to Rule 424(b) under the Securities Act (and within the time periods required by Rule 424(b) and Rule 430B under the Securities Act).</w:t>
      </w:r>
    </w:p>
    <w:p>
      <w:pPr>
        <w:spacing w:after="0" w:line="156" w:lineRule="exact"/>
        <w:rPr>
          <w:rFonts w:ascii="Arial" w:cs="Arial" w:eastAsia="Arial" w:hAnsi="Arial"/>
          <w:sz w:val="19"/>
          <w:szCs w:val="19"/>
          <w:color w:val="auto"/>
        </w:rPr>
      </w:pPr>
    </w:p>
    <w:p>
      <w:pPr>
        <w:jc w:val="both"/>
        <w:ind w:firstLine="656"/>
        <w:spacing w:after="0" w:line="289" w:lineRule="auto"/>
        <w:tabs>
          <w:tab w:leader="none" w:pos="1291"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Securities Act Compliance</w:t>
      </w:r>
      <w:r>
        <w:rPr>
          <w:rFonts w:ascii="Arial" w:cs="Arial" w:eastAsia="Arial" w:hAnsi="Arial"/>
          <w:sz w:val="19"/>
          <w:szCs w:val="19"/>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26" w:name="page27"/>
    <w:bookmarkEnd w:id="26"/>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which they are listed for trading or included or designated for quotation, or of the threatening or initiation of any proceedings for any of such purposes. If the Commission shall enter any such stop order at any time, the Company will use commercially reasonable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93" w:lineRule="exact"/>
        <w:rPr>
          <w:sz w:val="20"/>
          <w:szCs w:val="20"/>
          <w:color w:val="auto"/>
        </w:rPr>
      </w:pPr>
    </w:p>
    <w:p>
      <w:pPr>
        <w:jc w:val="both"/>
        <w:ind w:firstLine="656"/>
        <w:spacing w:after="0" w:line="285" w:lineRule="auto"/>
        <w:tabs>
          <w:tab w:leader="none" w:pos="1293"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Amendments and Supplements to the Prospectus and Other Securities Act Matters</w:t>
      </w:r>
      <w:r>
        <w:rPr>
          <w:rFonts w:ascii="Arial" w:cs="Arial" w:eastAsia="Arial" w:hAnsi="Arial"/>
          <w:sz w:val="19"/>
          <w:szCs w:val="19"/>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Sections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 provided, however that the only remedy the Agent shall have with respect to the failure by the Company to make such filing (other than the Agent’s rights under Section 3(d) or Section 6 hereof) shall be to cease making sales under this Agreement until such amendment or supplement is filed; provided further, that the failure of the Company to file such amendment or supplement request shall not relieve the Company of any obligation or liability under Section 3(d) or Section 6 hereof, or affect the Agent’s right to rely on the representations and warranties made by the Company in this Agreement. Notwithstanding the foregoing, the Company shall not be required to file such amendment or supplement if there is no pending Issuance Notice and the Company believes that it is in its best interest not to file such amendment or supplement.</w:t>
      </w:r>
    </w:p>
    <w:p>
      <w:pPr>
        <w:spacing w:after="0" w:line="162" w:lineRule="exact"/>
        <w:rPr>
          <w:rFonts w:ascii="Arial" w:cs="Arial" w:eastAsia="Arial" w:hAnsi="Arial"/>
          <w:sz w:val="19"/>
          <w:szCs w:val="19"/>
          <w:color w:val="auto"/>
        </w:rPr>
      </w:pPr>
    </w:p>
    <w:p>
      <w:pPr>
        <w:jc w:val="both"/>
        <w:ind w:firstLine="656"/>
        <w:spacing w:after="0" w:line="290" w:lineRule="auto"/>
        <w:tabs>
          <w:tab w:leader="none" w:pos="1291"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Agent’s Review of Proposed Amendments and Supplements</w:t>
      </w:r>
      <w:r>
        <w:rPr>
          <w:rFonts w:ascii="Arial" w:cs="Arial" w:eastAsia="Arial" w:hAnsi="Arial"/>
          <w:sz w:val="19"/>
          <w:szCs w:val="19"/>
          <w:color w:val="auto"/>
        </w:rPr>
        <w:t>. Prior to filing any amendment or supplement to the Registration Statement (including any registration statement filed under Rule 462(b) under the Securities Act (a “</w:t>
      </w:r>
      <w:r>
        <w:rPr>
          <w:rFonts w:ascii="Arial" w:cs="Arial" w:eastAsia="Arial" w:hAnsi="Arial"/>
          <w:sz w:val="19"/>
          <w:szCs w:val="19"/>
          <w:b w:val="1"/>
          <w:bCs w:val="1"/>
          <w:color w:val="auto"/>
        </w:rPr>
        <w:t>Rule 462(b)</w:t>
      </w:r>
      <w:r>
        <w:rPr>
          <w:rFonts w:ascii="Arial" w:cs="Arial" w:eastAsia="Arial" w:hAnsi="Arial"/>
          <w:sz w:val="19"/>
          <w:szCs w:val="19"/>
          <w:color w:val="auto"/>
        </w:rPr>
        <w:t xml:space="preserve"> </w:t>
      </w:r>
      <w:r>
        <w:rPr>
          <w:rFonts w:ascii="Arial" w:cs="Arial" w:eastAsia="Arial" w:hAnsi="Arial"/>
          <w:sz w:val="19"/>
          <w:szCs w:val="19"/>
          <w:b w:val="1"/>
          <w:bCs w:val="1"/>
          <w:color w:val="auto"/>
        </w:rPr>
        <w:t>Registration Statement</w:t>
      </w:r>
      <w:r>
        <w:rPr>
          <w:rFonts w:ascii="Arial" w:cs="Arial" w:eastAsia="Arial" w:hAnsi="Arial"/>
          <w:sz w:val="19"/>
          <w:szCs w:val="19"/>
          <w:color w:val="auto"/>
        </w:rPr>
        <w:t>”) or the Prospectus (excluding any amendment or supplement through incorporation of any report filed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Exchange Act), insofar as such proposed amendment or supplement relates to the Shares ,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the Company shall file with the Commission within the applicable period specified in Rule 424(b) under the Securities Act any prospectus required to be filed pursuant to such Rule.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27" w:name="page28"/>
    <w:bookmarkEnd w:id="27"/>
    <w:p>
      <w:pPr>
        <w:spacing w:after="0" w:line="204" w:lineRule="exact"/>
        <w:rPr>
          <w:sz w:val="20"/>
          <w:szCs w:val="20"/>
          <w:color w:val="auto"/>
        </w:rPr>
      </w:pPr>
    </w:p>
    <w:p>
      <w:pPr>
        <w:jc w:val="both"/>
        <w:ind w:firstLine="656"/>
        <w:spacing w:after="0" w:line="302" w:lineRule="auto"/>
        <w:tabs>
          <w:tab w:leader="none" w:pos="1293"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Use of Free Writing Prospectus</w:t>
      </w:r>
      <w:r>
        <w:rPr>
          <w:rFonts w:ascii="Arial" w:cs="Arial" w:eastAsia="Arial" w:hAnsi="Arial"/>
          <w:sz w:val="19"/>
          <w:szCs w:val="19"/>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9"/>
          <w:szCs w:val="19"/>
          <w:b w:val="1"/>
          <w:bCs w:val="1"/>
          <w:color w:val="auto"/>
        </w:rPr>
        <w:t>Free Writing Prospectus</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656"/>
        <w:spacing w:after="0" w:line="284" w:lineRule="auto"/>
        <w:tabs>
          <w:tab w:leader="none" w:pos="129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Free Writing Prospectuses</w:t>
      </w:r>
      <w:r>
        <w:rPr>
          <w:rFonts w:ascii="Arial" w:cs="Arial" w:eastAsia="Arial" w:hAnsi="Arial"/>
          <w:sz w:val="18"/>
          <w:szCs w:val="18"/>
          <w:color w:val="auto"/>
        </w:rPr>
        <w:t xml:space="preserve">. </w:t>
      </w:r>
      <w:r>
        <w:rPr>
          <w:rFonts w:ascii="Arial" w:cs="Arial" w:eastAsia="Arial" w:hAnsi="Arial"/>
          <w:sz w:val="19"/>
          <w:szCs w:val="19"/>
          <w:color w:val="auto"/>
        </w:rPr>
        <w:t>The Company shall furnish to the Agent for review, a reasonable amount of time prior to</w:t>
      </w:r>
      <w:r>
        <w:rPr>
          <w:rFonts w:ascii="Arial" w:cs="Arial" w:eastAsia="Arial" w:hAnsi="Arial"/>
          <w:sz w:val="18"/>
          <w:szCs w:val="18"/>
          <w:color w:val="auto"/>
        </w:rPr>
        <w:t xml:space="preserve"> </w:t>
      </w:r>
      <w:r>
        <w:rPr>
          <w:rFonts w:ascii="Arial" w:cs="Arial" w:eastAsia="Arial" w:hAnsi="Arial"/>
          <w:sz w:val="19"/>
          <w:szCs w:val="19"/>
          <w:color w:val="auto"/>
        </w:rPr>
        <w:t xml:space="preserve">the proposed time of filing or use thereof, a copy of each proposed free writing prospectus or any amendment or supplement thereto to be prepared by or on behalf of, used by, or referred to by the Company, insofar as such proposed free writing prospectus or amendment or supplement relates to the Shares, and the Company shall not file, use or refer to any proposed free writing prospectus relating to the Shares or any amendment or supplement thereto without the Agent’s consent. The Company shall furnish to the Agent, without charge, as many copies of any free writing prospectus relating to the Shares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9"/>
          <w:szCs w:val="19"/>
          <w:i w:val="1"/>
          <w:iCs w:val="1"/>
          <w:color w:val="auto"/>
        </w:rPr>
        <w:t>provided, however</w:t>
      </w:r>
      <w:r>
        <w:rPr>
          <w:rFonts w:ascii="Arial" w:cs="Arial" w:eastAsia="Arial" w:hAnsi="Arial"/>
          <w:sz w:val="19"/>
          <w:szCs w:val="19"/>
          <w:color w:val="auto"/>
        </w:rPr>
        <w:t>, that prior to amending or supplementing any such free writing prospectus relating to the Shares,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175" w:lineRule="exact"/>
        <w:rPr>
          <w:rFonts w:ascii="Arial" w:cs="Arial" w:eastAsia="Arial" w:hAnsi="Arial"/>
          <w:sz w:val="18"/>
          <w:szCs w:val="18"/>
          <w:color w:val="auto"/>
        </w:rPr>
      </w:pPr>
    </w:p>
    <w:p>
      <w:pPr>
        <w:jc w:val="both"/>
        <w:ind w:firstLine="656"/>
        <w:spacing w:after="0" w:line="312" w:lineRule="auto"/>
        <w:tabs>
          <w:tab w:leader="none" w:pos="1291"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Filing of Agent Free Writing Prospectuses</w:t>
      </w:r>
      <w:r>
        <w:rPr>
          <w:rFonts w:ascii="Arial" w:cs="Arial" w:eastAsia="Arial" w:hAnsi="Arial"/>
          <w:sz w:val="19"/>
          <w:szCs w:val="19"/>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33" w:lineRule="exact"/>
        <w:rPr>
          <w:rFonts w:ascii="Arial" w:cs="Arial" w:eastAsia="Arial" w:hAnsi="Arial"/>
          <w:sz w:val="19"/>
          <w:szCs w:val="19"/>
          <w:color w:val="auto"/>
        </w:rPr>
      </w:pPr>
    </w:p>
    <w:p>
      <w:pPr>
        <w:jc w:val="both"/>
        <w:ind w:firstLine="656"/>
        <w:spacing w:after="0" w:line="265" w:lineRule="auto"/>
        <w:tabs>
          <w:tab w:leader="none" w:pos="1291"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Copies of Registration Statement and Prospectus</w:t>
      </w:r>
      <w:r>
        <w:rPr>
          <w:rFonts w:ascii="Arial" w:cs="Arial" w:eastAsia="Arial" w:hAnsi="Arial"/>
          <w:sz w:val="21"/>
          <w:szCs w:val="21"/>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69" w:lineRule="exact"/>
        <w:rPr>
          <w:sz w:val="20"/>
          <w:szCs w:val="20"/>
          <w:color w:val="auto"/>
        </w:rPr>
      </w:pPr>
    </w:p>
    <w:p>
      <w:pPr>
        <w:jc w:val="both"/>
        <w:ind w:firstLine="656"/>
        <w:spacing w:after="0" w:line="288" w:lineRule="auto"/>
        <w:tabs>
          <w:tab w:leader="none" w:pos="1284"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Blue Sky Compliance</w:t>
      </w:r>
      <w:r>
        <w:rPr>
          <w:rFonts w:ascii="Arial" w:cs="Arial" w:eastAsia="Arial" w:hAnsi="Arial"/>
          <w:sz w:val="19"/>
          <w:szCs w:val="19"/>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commercially reasonable efforts to obtain the withdrawal thereof as soon as practicable.</w:t>
      </w:r>
    </w:p>
    <w:p>
      <w:pPr>
        <w:spacing w:after="0" w:line="159" w:lineRule="exact"/>
        <w:rPr>
          <w:rFonts w:ascii="Arial" w:cs="Arial" w:eastAsia="Arial" w:hAnsi="Arial"/>
          <w:sz w:val="19"/>
          <w:szCs w:val="19"/>
          <w:color w:val="auto"/>
        </w:rPr>
      </w:pPr>
    </w:p>
    <w:p>
      <w:pPr>
        <w:jc w:val="both"/>
        <w:ind w:firstLine="656"/>
        <w:spacing w:after="0" w:line="248" w:lineRule="auto"/>
        <w:tabs>
          <w:tab w:leader="none" w:pos="1284"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Earnings Statement</w:t>
      </w:r>
      <w:r>
        <w:rPr>
          <w:rFonts w:ascii="Arial" w:cs="Arial" w:eastAsia="Arial" w:hAnsi="Arial"/>
          <w:sz w:val="22"/>
          <w:szCs w:val="22"/>
          <w:color w:val="auto"/>
        </w:rPr>
        <w:t>. As soon as practicable, but in any event not later than 15 months after the end of the Company’s current fiscal quarter as of the date of this Agreement,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04" w:lineRule="exact"/>
        <w:rPr>
          <w:sz w:val="20"/>
          <w:szCs w:val="20"/>
          <w:color w:val="auto"/>
        </w:rPr>
      </w:pPr>
    </w:p>
    <w:p>
      <w:pPr>
        <w:jc w:val="both"/>
        <w:ind w:firstLine="656"/>
        <w:spacing w:after="0" w:line="253" w:lineRule="auto"/>
        <w:tabs>
          <w:tab w:leader="none" w:pos="1291" w:val="left"/>
        </w:tabs>
        <w:numPr>
          <w:ilvl w:val="3"/>
          <w:numId w:val="30"/>
        </w:numPr>
        <w:rPr>
          <w:rFonts w:ascii="Arial" w:cs="Arial" w:eastAsia="Arial" w:hAnsi="Arial"/>
          <w:sz w:val="22"/>
          <w:szCs w:val="22"/>
          <w:color w:val="auto"/>
        </w:rPr>
      </w:pPr>
      <w:r>
        <w:rPr>
          <w:rFonts w:ascii="Arial" w:cs="Arial" w:eastAsia="Arial" w:hAnsi="Arial"/>
          <w:sz w:val="22"/>
          <w:szCs w:val="22"/>
          <w:u w:val="single" w:color="auto"/>
          <w:color w:val="auto"/>
        </w:rPr>
        <w:t>Listing; Reservation of Shares</w:t>
      </w:r>
      <w:r>
        <w:rPr>
          <w:rFonts w:ascii="Arial" w:cs="Arial" w:eastAsia="Arial" w:hAnsi="Arial"/>
          <w:sz w:val="22"/>
          <w:szCs w:val="22"/>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3"/>
          <w:numId w:val="30"/>
        </w:numPr>
        <w:rPr>
          <w:rFonts w:ascii="Arial" w:cs="Arial" w:eastAsia="Arial" w:hAnsi="Arial"/>
          <w:sz w:val="19"/>
          <w:szCs w:val="19"/>
          <w:color w:val="auto"/>
        </w:rPr>
      </w:pPr>
      <w:r>
        <w:rPr>
          <w:rFonts w:ascii="Arial" w:cs="Arial" w:eastAsia="Arial" w:hAnsi="Arial"/>
          <w:sz w:val="19"/>
          <w:szCs w:val="19"/>
          <w:u w:val="single" w:color="auto"/>
          <w:color w:val="auto"/>
        </w:rPr>
        <w:t>Transfer Agent</w:t>
      </w:r>
      <w:r>
        <w:rPr>
          <w:rFonts w:ascii="Arial" w:cs="Arial" w:eastAsia="Arial" w:hAnsi="Arial"/>
          <w:sz w:val="19"/>
          <w:szCs w:val="19"/>
          <w:color w:val="auto"/>
        </w:rPr>
        <w:t>. The Company shall engage and maintain, at its expense, a registrar and transfer agent for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w:t>
      </w:r>
    </w:p>
    <w:p>
      <w:pPr>
        <w:spacing w:after="0" w:line="201" w:lineRule="exact"/>
        <w:rPr>
          <w:rFonts w:ascii="Arial" w:cs="Arial" w:eastAsia="Arial" w:hAnsi="Arial"/>
          <w:sz w:val="19"/>
          <w:szCs w:val="19"/>
          <w:color w:val="auto"/>
        </w:rPr>
      </w:pPr>
    </w:p>
    <w:p>
      <w:pPr>
        <w:jc w:val="both"/>
        <w:ind w:firstLine="656"/>
        <w:spacing w:after="0" w:line="265" w:lineRule="auto"/>
        <w:tabs>
          <w:tab w:leader="none" w:pos="1284" w:val="left"/>
        </w:tabs>
        <w:numPr>
          <w:ilvl w:val="3"/>
          <w:numId w:val="30"/>
        </w:numPr>
        <w:rPr>
          <w:rFonts w:ascii="Arial" w:cs="Arial" w:eastAsia="Arial" w:hAnsi="Arial"/>
          <w:sz w:val="21"/>
          <w:szCs w:val="21"/>
          <w:color w:val="auto"/>
        </w:rPr>
      </w:pPr>
      <w:r>
        <w:rPr>
          <w:rFonts w:ascii="Arial" w:cs="Arial" w:eastAsia="Arial" w:hAnsi="Arial"/>
          <w:sz w:val="21"/>
          <w:szCs w:val="21"/>
          <w:u w:val="single" w:color="auto"/>
          <w:color w:val="auto"/>
        </w:rPr>
        <w:t>Due Diligence</w:t>
      </w:r>
      <w:r>
        <w:rPr>
          <w:rFonts w:ascii="Arial" w:cs="Arial" w:eastAsia="Arial" w:hAnsi="Arial"/>
          <w:sz w:val="21"/>
          <w:szCs w:val="21"/>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75" w:lineRule="exact"/>
        <w:rPr>
          <w:rFonts w:ascii="Arial" w:cs="Arial" w:eastAsia="Arial" w:hAnsi="Arial"/>
          <w:sz w:val="21"/>
          <w:szCs w:val="21"/>
          <w:color w:val="auto"/>
        </w:rPr>
      </w:pPr>
    </w:p>
    <w:p>
      <w:pPr>
        <w:jc w:val="both"/>
        <w:ind w:firstLine="656"/>
        <w:spacing w:after="0" w:line="289" w:lineRule="auto"/>
        <w:tabs>
          <w:tab w:leader="none" w:pos="1291" w:val="left"/>
        </w:tabs>
        <w:numPr>
          <w:ilvl w:val="3"/>
          <w:numId w:val="30"/>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56" w:lineRule="exact"/>
        <w:rPr>
          <w:rFonts w:ascii="Arial" w:cs="Arial" w:eastAsia="Arial" w:hAnsi="Arial"/>
          <w:sz w:val="19"/>
          <w:szCs w:val="19"/>
          <w:color w:val="auto"/>
        </w:rPr>
      </w:pPr>
    </w:p>
    <w:p>
      <w:pPr>
        <w:ind w:firstLine="656"/>
        <w:spacing w:after="0" w:line="263" w:lineRule="auto"/>
        <w:tabs>
          <w:tab w:leader="none" w:pos="1291" w:val="left"/>
        </w:tabs>
        <w:numPr>
          <w:ilvl w:val="3"/>
          <w:numId w:val="30"/>
        </w:numPr>
        <w:rPr>
          <w:rFonts w:ascii="Arial" w:cs="Arial" w:eastAsia="Arial" w:hAnsi="Arial"/>
          <w:sz w:val="22"/>
          <w:szCs w:val="22"/>
          <w:color w:val="auto"/>
        </w:rPr>
      </w:pPr>
      <w:r>
        <w:rPr>
          <w:rFonts w:ascii="Arial" w:cs="Arial" w:eastAsia="Arial" w:hAnsi="Arial"/>
          <w:sz w:val="22"/>
          <w:szCs w:val="22"/>
          <w:u w:val="single" w:color="auto"/>
          <w:color w:val="auto"/>
        </w:rPr>
        <w:t>Deliverables at Triggering Event Dates; Certificates.</w:t>
      </w:r>
      <w:r>
        <w:rPr>
          <w:rFonts w:ascii="Arial" w:cs="Arial" w:eastAsia="Arial" w:hAnsi="Arial"/>
          <w:sz w:val="22"/>
          <w:szCs w:val="22"/>
          <w:color w:val="auto"/>
        </w:rPr>
        <w:t xml:space="preserve"> The Company agrees that on or prior to the date of the first Issuance Notice and, during the term of this Agreement after the date of the first Issuance Notice, upon:</w:t>
      </w:r>
    </w:p>
    <w:p>
      <w:pPr>
        <w:spacing w:after="0" w:line="174" w:lineRule="exact"/>
        <w:rPr>
          <w:rFonts w:ascii="Arial" w:cs="Arial" w:eastAsia="Arial" w:hAnsi="Arial"/>
          <w:sz w:val="22"/>
          <w:szCs w:val="22"/>
          <w:color w:val="auto"/>
        </w:rPr>
      </w:pPr>
    </w:p>
    <w:p>
      <w:pPr>
        <w:jc w:val="both"/>
        <w:ind w:firstLine="454"/>
        <w:spacing w:after="0" w:line="250" w:lineRule="auto"/>
        <w:tabs>
          <w:tab w:leader="none" w:pos="969"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214" w:lineRule="exact"/>
        <w:rPr>
          <w:rFonts w:ascii="Arial" w:cs="Arial" w:eastAsia="Arial" w:hAnsi="Arial"/>
          <w:sz w:val="22"/>
          <w:szCs w:val="22"/>
          <w:color w:val="auto"/>
        </w:rPr>
      </w:pPr>
    </w:p>
    <w:p>
      <w:pPr>
        <w:jc w:val="both"/>
        <w:ind w:right="20" w:firstLine="497"/>
        <w:spacing w:after="0" w:line="271" w:lineRule="auto"/>
        <w:tabs>
          <w:tab w:leader="none" w:pos="1022" w:val="left"/>
        </w:tabs>
        <w:numPr>
          <w:ilvl w:val="1"/>
          <w:numId w:val="31"/>
        </w:numPr>
        <w:rPr>
          <w:rFonts w:ascii="Arial" w:cs="Arial" w:eastAsia="Arial" w:hAnsi="Arial"/>
          <w:sz w:val="21"/>
          <w:szCs w:val="21"/>
          <w:color w:val="auto"/>
        </w:rPr>
      </w:pPr>
      <w:r>
        <w:rPr>
          <w:rFonts w:ascii="Arial" w:cs="Arial" w:eastAsia="Arial" w:hAnsi="Arial"/>
          <w:sz w:val="21"/>
          <w:szCs w:val="21"/>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94" w:lineRule="exact"/>
        <w:rPr>
          <w:rFonts w:ascii="Arial" w:cs="Arial" w:eastAsia="Arial" w:hAnsi="Arial"/>
          <w:sz w:val="21"/>
          <w:szCs w:val="21"/>
          <w:color w:val="auto"/>
        </w:rPr>
      </w:pPr>
    </w:p>
    <w:p>
      <w:pPr>
        <w:jc w:val="both"/>
        <w:ind w:firstLine="645"/>
        <w:spacing w:after="0" w:line="312" w:lineRule="auto"/>
        <w:tabs>
          <w:tab w:leader="none" w:pos="1243" w:val="left"/>
        </w:tabs>
        <w:numPr>
          <w:ilvl w:val="2"/>
          <w:numId w:val="31"/>
        </w:numPr>
        <w:rPr>
          <w:rFonts w:ascii="Arial" w:cs="Arial" w:eastAsia="Arial" w:hAnsi="Arial"/>
          <w:sz w:val="19"/>
          <w:szCs w:val="19"/>
          <w:color w:val="auto"/>
        </w:rPr>
      </w:pPr>
      <w:r>
        <w:rPr>
          <w:rFonts w:ascii="Arial" w:cs="Arial" w:eastAsia="Arial" w:hAnsi="Arial"/>
          <w:sz w:val="19"/>
          <w:szCs w:val="19"/>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0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with Statement of Financial Accounting Standards No. 144) that is material to the offering of securities of the Company in the Agent’s reasonable discretion;</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(any such event described in clauses (A) through (C) above, a “</w:t>
      </w:r>
      <w:r>
        <w:rPr>
          <w:rFonts w:ascii="Arial" w:cs="Arial" w:eastAsia="Arial" w:hAnsi="Arial"/>
          <w:sz w:val="19"/>
          <w:szCs w:val="19"/>
          <w:b w:val="1"/>
          <w:bCs w:val="1"/>
          <w:color w:val="auto"/>
        </w:rPr>
        <w:t>Triggering Event Date</w:t>
      </w:r>
      <w:r>
        <w:rPr>
          <w:rFonts w:ascii="Arial" w:cs="Arial" w:eastAsia="Arial" w:hAnsi="Arial"/>
          <w:sz w:val="19"/>
          <w:szCs w:val="19"/>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substantially in the form attached hereto as Exhibit B, executed by the Company’s principal executive officer or principal financial officer. The requirement to provide a certificate under this </w:t>
      </w:r>
      <w:r>
        <w:rPr>
          <w:rFonts w:ascii="Arial" w:cs="Arial" w:eastAsia="Arial" w:hAnsi="Arial"/>
          <w:sz w:val="19"/>
          <w:szCs w:val="19"/>
          <w:u w:val="single" w:color="auto"/>
          <w:color w:val="auto"/>
        </w:rPr>
        <w:t>Section 4(o)</w:t>
      </w:r>
      <w:r>
        <w:rPr>
          <w:rFonts w:ascii="Arial" w:cs="Arial" w:eastAsia="Arial" w:hAnsi="Arial"/>
          <w:sz w:val="19"/>
          <w:szCs w:val="19"/>
          <w:color w:val="auto"/>
        </w:rPr>
        <w:t xml:space="preserve"> shall be automatically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165" w:lineRule="exact"/>
        <w:rPr>
          <w:sz w:val="20"/>
          <w:szCs w:val="20"/>
          <w:color w:val="auto"/>
        </w:rPr>
      </w:pPr>
    </w:p>
    <w:p>
      <w:pPr>
        <w:jc w:val="both"/>
        <w:ind w:firstLine="656"/>
        <w:spacing w:after="0" w:line="286" w:lineRule="auto"/>
        <w:tabs>
          <w:tab w:leader="none" w:pos="1291"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Legal Opinions.</w:t>
      </w:r>
      <w:r>
        <w:rPr>
          <w:rFonts w:ascii="Arial" w:cs="Arial" w:eastAsia="Arial" w:hAnsi="Arial"/>
          <w:sz w:val="19"/>
          <w:szCs w:val="19"/>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to be furnished to the Agent (1) a negative assurances letter and the written legal opinion of Latham &amp; Watkins, LLP, counsel to the Company (“</w:t>
      </w:r>
      <w:r>
        <w:rPr>
          <w:rFonts w:ascii="Arial" w:cs="Arial" w:eastAsia="Arial" w:hAnsi="Arial"/>
          <w:sz w:val="19"/>
          <w:szCs w:val="19"/>
          <w:b w:val="1"/>
          <w:bCs w:val="1"/>
          <w:color w:val="auto"/>
        </w:rPr>
        <w:t>Company Counsel</w:t>
      </w:r>
      <w:r>
        <w:rPr>
          <w:rFonts w:ascii="Arial" w:cs="Arial" w:eastAsia="Arial" w:hAnsi="Arial"/>
          <w:sz w:val="19"/>
          <w:szCs w:val="19"/>
          <w:color w:val="auto"/>
        </w:rPr>
        <w:t>”), and (2) the written legal opinion of Viksnins Harris Padys Malen LLP, intellectual property counsel to the Company, or other intellectual property counsel to the Company reasonably satisfactory to the Agent (collectively, “</w:t>
      </w:r>
      <w:r>
        <w:rPr>
          <w:rFonts w:ascii="Arial" w:cs="Arial" w:eastAsia="Arial" w:hAnsi="Arial"/>
          <w:sz w:val="19"/>
          <w:szCs w:val="19"/>
          <w:b w:val="1"/>
          <w:bCs w:val="1"/>
          <w:color w:val="auto"/>
        </w:rPr>
        <w:t>IP Counsel</w:t>
      </w:r>
      <w:r>
        <w:rPr>
          <w:rFonts w:ascii="Arial" w:cs="Arial" w:eastAsia="Arial" w:hAnsi="Arial"/>
          <w:sz w:val="19"/>
          <w:szCs w:val="19"/>
          <w:color w:val="auto"/>
        </w:rPr>
        <w:t>”),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provided, however, that the Company shall be required to furnish no more than one written legal opinion and negative assurance letter of Company Counsel per filing of an annual report on Form 10-K or quarterly report on Form 10-Q; and provided further that the Company shall be required to furnish no more than one written legal opinion of IP Counsel hereunder in any twelve-month period. In lieu of such opinions for subsequent periodic filings, in the discretion of the Agent, the Company may furnish a reliance letter from such counsel to the Agent, permitting the Agent to rely on a previously delivered opinion letter and negative assurances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656"/>
        <w:spacing w:after="0" w:line="253" w:lineRule="auto"/>
        <w:tabs>
          <w:tab w:leader="none" w:pos="1291"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Comfort Letter</w:t>
      </w:r>
      <w:r>
        <w:rPr>
          <w:rFonts w:ascii="Arial" w:cs="Arial" w:eastAsia="Arial" w:hAnsi="Arial"/>
          <w:sz w:val="22"/>
          <w:szCs w:val="22"/>
          <w:color w:val="auto"/>
        </w:rPr>
        <w:t>. On or prior to the date of the first Issuance Notice and on or prior to each Triggering Event Date with respect to which the Company is obligated to deliver a certificate pursuant to Section 4(o) for which no waiver is applicable and excluding the date of</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40" w:right="339" w:bottom="1440" w:gutter="0" w:footer="0" w:header="0"/>
        </w:sectPr>
      </w:pPr>
    </w:p>
    <w:bookmarkStart w:id="31" w:name="page32"/>
    <w:bookmarkEnd w:id="31"/>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w:t>
      </w:r>
    </w:p>
    <w:p>
      <w:pPr>
        <w:spacing w:after="0" w:line="159" w:lineRule="exact"/>
        <w:rPr>
          <w:sz w:val="20"/>
          <w:szCs w:val="20"/>
          <w:color w:val="auto"/>
        </w:rPr>
      </w:pPr>
    </w:p>
    <w:p>
      <w:pPr>
        <w:jc w:val="both"/>
        <w:ind w:firstLine="278"/>
        <w:spacing w:after="0" w:line="260" w:lineRule="auto"/>
        <w:tabs>
          <w:tab w:leader="none" w:pos="553"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Secretary’s Certificate</w:t>
      </w:r>
      <w:r>
        <w:rPr>
          <w:rFonts w:ascii="Arial" w:cs="Arial" w:eastAsia="Arial" w:hAnsi="Arial"/>
          <w:sz w:val="21"/>
          <w:szCs w:val="21"/>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furnish the Agent a certificate executed by the Secretary or Assistant Secretary of the Company, signing in such capacity, dated the date of delivery substantially in the form attached as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along with such certificates of good standing or other certificates of public officials as may be reasonably requested by Company Counsel or Agent Counsel (as defined below) in connection with the rendering of their opinions and negative assurance letters as contemplated by Section 4(p) and Section 5(a)(v).</w:t>
      </w:r>
    </w:p>
    <w:p>
      <w:pPr>
        <w:spacing w:after="0" w:line="180" w:lineRule="exact"/>
        <w:rPr>
          <w:rFonts w:ascii="Arial" w:cs="Arial" w:eastAsia="Arial" w:hAnsi="Arial"/>
          <w:sz w:val="21"/>
          <w:szCs w:val="21"/>
          <w:color w:val="auto"/>
        </w:rPr>
      </w:pPr>
    </w:p>
    <w:p>
      <w:pPr>
        <w:jc w:val="both"/>
        <w:ind w:firstLine="656"/>
        <w:spacing w:after="0" w:line="253" w:lineRule="auto"/>
        <w:tabs>
          <w:tab w:leader="none" w:pos="1294"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Agent’s Own Account; Clients’ Account</w:t>
      </w:r>
      <w:r>
        <w:rPr>
          <w:rFonts w:ascii="Arial" w:cs="Arial" w:eastAsia="Arial" w:hAnsi="Arial"/>
          <w:sz w:val="22"/>
          <w:szCs w:val="22"/>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84"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Investment Limitation</w:t>
      </w:r>
      <w:r>
        <w:rPr>
          <w:rFonts w:ascii="Arial" w:cs="Arial" w:eastAsia="Arial" w:hAnsi="Arial"/>
          <w:sz w:val="22"/>
          <w:szCs w:val="22"/>
          <w:color w:val="auto"/>
        </w:rPr>
        <w:t>. The Company shall not invest, or otherwise use the proceeds received by the Company from its sale of the Shares in such a manner as would require the Company to register as an investment company under the Investment Company Act.</w:t>
      </w:r>
    </w:p>
    <w:p>
      <w:pPr>
        <w:spacing w:after="0" w:line="185" w:lineRule="exact"/>
        <w:rPr>
          <w:rFonts w:ascii="Arial" w:cs="Arial" w:eastAsia="Arial" w:hAnsi="Arial"/>
          <w:sz w:val="22"/>
          <w:szCs w:val="22"/>
          <w:color w:val="auto"/>
        </w:rPr>
      </w:pPr>
    </w:p>
    <w:p>
      <w:pPr>
        <w:jc w:val="both"/>
        <w:ind w:firstLine="656"/>
        <w:spacing w:after="0" w:line="259" w:lineRule="auto"/>
        <w:tabs>
          <w:tab w:leader="none" w:pos="1291" w:val="left"/>
        </w:tabs>
        <w:numPr>
          <w:ilvl w:val="1"/>
          <w:numId w:val="33"/>
        </w:numPr>
        <w:rPr>
          <w:rFonts w:ascii="Arial" w:cs="Arial" w:eastAsia="Arial" w:hAnsi="Arial"/>
          <w:sz w:val="21"/>
          <w:szCs w:val="21"/>
          <w:color w:val="auto"/>
        </w:rPr>
      </w:pPr>
      <w:r>
        <w:rPr>
          <w:rFonts w:ascii="Arial" w:cs="Arial" w:eastAsia="Arial" w:hAnsi="Arial"/>
          <w:sz w:val="21"/>
          <w:szCs w:val="21"/>
          <w:u w:val="single" w:color="auto"/>
          <w:color w:val="auto"/>
        </w:rPr>
        <w:t>Market Activities</w:t>
      </w:r>
      <w:r>
        <w:rPr>
          <w:rFonts w:ascii="Arial" w:cs="Arial" w:eastAsia="Arial" w:hAnsi="Arial"/>
          <w:sz w:val="21"/>
          <w:szCs w:val="21"/>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Arial" w:cs="Arial" w:eastAsia="Arial" w:hAnsi="Arial"/>
          <w:sz w:val="21"/>
          <w:szCs w:val="21"/>
          <w:b w:val="1"/>
          <w:bCs w:val="1"/>
          <w:color w:val="auto"/>
        </w:rPr>
        <w:t>Rule 102</w:t>
      </w:r>
      <w:r>
        <w:rPr>
          <w:rFonts w:ascii="Arial" w:cs="Arial" w:eastAsia="Arial" w:hAnsi="Arial"/>
          <w:sz w:val="21"/>
          <w:szCs w:val="21"/>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04" w:lineRule="exact"/>
        <w:rPr>
          <w:sz w:val="20"/>
          <w:szCs w:val="20"/>
          <w:color w:val="auto"/>
        </w:rPr>
      </w:pPr>
    </w:p>
    <w:p>
      <w:pPr>
        <w:jc w:val="both"/>
        <w:ind w:firstLine="656"/>
        <w:spacing w:after="0" w:line="284" w:lineRule="auto"/>
        <w:tabs>
          <w:tab w:leader="none" w:pos="1291"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Notice of Other Sale</w:t>
      </w:r>
      <w:r>
        <w:rPr>
          <w:rFonts w:ascii="Arial" w:cs="Arial" w:eastAsia="Arial" w:hAnsi="Arial"/>
          <w:sz w:val="19"/>
          <w:szCs w:val="19"/>
          <w:color w:val="auto"/>
        </w:rPr>
        <w:t xml:space="preserve">.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earlier of (x) the third Trading Day immediately following the Settlement Date with respect to Shares sold pursuant to such Issuance Notice and (y) the date the Company notifies the Agent of the withdrawal of such Issuance Notice; and will not directly or indirectly enter into any other “at the market” or continuous equity transaction offer pursuant to which the Company (including through another person as agent or principal) offers to sell, sells, contracts to sell, grants any option to sell or otherwise disposes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consultant or director share option, incentive or benefit plan, share purchase or ownership plan, long-term incentive plan, dividend reinvestment plan, inducement award under Nasdaq rules or other compensation plan of the Company or its subsidiaries, whether now in effect on the date of this Agreement or hereafter implemented, (ii) issuance or sale of Common Shares issuable upon exchange, conversion or redemption of securities or the exercise or vesting of warrants, options or other equity awards disclosed in filings by the Company available on EDGAR or otherwise in writing to the Agent, (iii) modification of any outstanding options, warrants or any rights to purchase or acquire Common Shares, and (iv) Common Shares or securities convertible into or exchangeable for Common Shares as consideration for mergers, acquisitions, other business combinations, collaboration agreements or strategic alliances occurring after the date of this Agreement which are not issued primarily for capital raising purposes;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any Issuance Notice is pending, the Company will not issue Common Shares pursuant to clause (iv) of this Section 4(v) while such Issuance Notice is pending if, following such issuance, the number of Common Shares issued or issuable in connection with all such issuances pursuant to clause (iv) would exceed 5% of the aggregate number of the Common Shares outstanding as of the date of this Agreement.</w:t>
      </w:r>
    </w:p>
    <w:p>
      <w:pPr>
        <w:spacing w:after="0" w:line="200" w:lineRule="exact"/>
        <w:rPr>
          <w:sz w:val="20"/>
          <w:szCs w:val="20"/>
          <w:color w:val="auto"/>
        </w:rPr>
      </w:pPr>
    </w:p>
    <w:p>
      <w:pPr>
        <w:spacing w:after="0" w:line="217"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21"/>
          <w:szCs w:val="21"/>
          <w:b w:val="1"/>
          <w:bCs w:val="1"/>
          <w:color w:val="auto"/>
        </w:rPr>
        <w:t>CONDITIONS TO DELIVERY OF ISSUANCE NOTICES AND TO SETTLEMENT</w:t>
      </w:r>
    </w:p>
    <w:p>
      <w:pPr>
        <w:spacing w:after="0" w:line="226" w:lineRule="exact"/>
        <w:rPr>
          <w:sz w:val="20"/>
          <w:szCs w:val="20"/>
          <w:color w:val="auto"/>
        </w:rPr>
      </w:pPr>
    </w:p>
    <w:p>
      <w:pPr>
        <w:jc w:val="both"/>
        <w:ind w:firstLine="656"/>
        <w:spacing w:after="0" w:line="263" w:lineRule="auto"/>
        <w:tabs>
          <w:tab w:leader="none" w:pos="1293"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Conditions Precedent to the Right of the Company to Deliver an Issuance Notice and the Obligation of the Agent to Sell Shares</w:t>
      </w:r>
      <w:r>
        <w:rPr>
          <w:rFonts w:ascii="Arial" w:cs="Arial" w:eastAsia="Arial" w:hAnsi="Arial"/>
          <w:sz w:val="21"/>
          <w:szCs w:val="21"/>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04" w:lineRule="exact"/>
        <w:rPr>
          <w:sz w:val="20"/>
          <w:szCs w:val="20"/>
          <w:color w:val="auto"/>
        </w:rPr>
      </w:pPr>
    </w:p>
    <w:p>
      <w:pPr>
        <w:ind w:left="644" w:hanging="644"/>
        <w:spacing w:after="0" w:line="261" w:lineRule="auto"/>
        <w:tabs>
          <w:tab w:leader="none" w:pos="416"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Accuracy of the Company’s Representations and Warranties; Performance by the Company</w:t>
      </w:r>
      <w:r>
        <w:rPr>
          <w:rFonts w:ascii="Arial" w:cs="Arial" w:eastAsia="Arial" w:hAnsi="Arial"/>
          <w:sz w:val="21"/>
          <w:szCs w:val="21"/>
          <w:color w:val="auto"/>
        </w:rPr>
        <w:t xml:space="preserve">. The Company shall have delivered the certificate required to be delivered pursuant to </w:t>
      </w:r>
      <w:r>
        <w:rPr>
          <w:rFonts w:ascii="Arial" w:cs="Arial" w:eastAsia="Arial" w:hAnsi="Arial"/>
          <w:sz w:val="21"/>
          <w:szCs w:val="21"/>
          <w:u w:val="single" w:color="auto"/>
          <w:color w:val="auto"/>
        </w:rPr>
        <w:t>Section 4(o)</w:t>
      </w:r>
      <w:r>
        <w:rPr>
          <w:rFonts w:ascii="Arial" w:cs="Arial" w:eastAsia="Arial" w:hAnsi="Arial"/>
          <w:sz w:val="21"/>
          <w:szCs w:val="21"/>
          <w:color w:val="auto"/>
        </w:rPr>
        <w:t xml:space="preserve"> on or before the date on which delivery of such certificate is required pursuant to </w:t>
      </w:r>
      <w:r>
        <w:rPr>
          <w:rFonts w:ascii="Arial" w:cs="Arial" w:eastAsia="Arial" w:hAnsi="Arial"/>
          <w:sz w:val="21"/>
          <w:szCs w:val="21"/>
          <w:u w:val="single" w:color="auto"/>
          <w:color w:val="auto"/>
        </w:rPr>
        <w:t>Section 4(o)</w:t>
      </w:r>
      <w:r>
        <w:rPr>
          <w:rFonts w:ascii="Arial" w:cs="Arial" w:eastAsia="Arial" w:hAnsi="Arial"/>
          <w:sz w:val="21"/>
          <w:szCs w:val="21"/>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4(p)</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4(q)</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4(r)</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644" w:hanging="644"/>
        <w:spacing w:after="0" w:line="247" w:lineRule="auto"/>
        <w:tabs>
          <w:tab w:leader="none" w:pos="557"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No Injunction</w:t>
      </w:r>
      <w:r>
        <w:rPr>
          <w:rFonts w:ascii="Arial" w:cs="Arial" w:eastAsia="Arial" w:hAnsi="Arial"/>
          <w:sz w:val="22"/>
          <w:szCs w:val="22"/>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92" w:lineRule="exact"/>
        <w:rPr>
          <w:rFonts w:ascii="Arial" w:cs="Arial" w:eastAsia="Arial" w:hAnsi="Arial"/>
          <w:sz w:val="22"/>
          <w:szCs w:val="22"/>
          <w:color w:val="auto"/>
        </w:rPr>
      </w:pPr>
    </w:p>
    <w:p>
      <w:pPr>
        <w:jc w:val="both"/>
        <w:ind w:left="644" w:hanging="644"/>
        <w:spacing w:after="0" w:line="261" w:lineRule="auto"/>
        <w:tabs>
          <w:tab w:leader="none" w:pos="671"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Material Adverse Effects</w:t>
      </w:r>
      <w:r>
        <w:rPr>
          <w:rFonts w:ascii="Arial" w:cs="Arial" w:eastAsia="Arial" w:hAnsi="Arial"/>
          <w:sz w:val="21"/>
          <w:szCs w:val="21"/>
          <w:color w:val="auto"/>
        </w:rPr>
        <w:t>. Except as disclosed in the Prospectus and the Time of Sale Information, (a) in the judgment of the Agent there shall not have occurred any Material Adverse Effect;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such term is defined for purposes of Section 3(a)(62) of the Exchange Act.</w:t>
      </w:r>
    </w:p>
    <w:p>
      <w:pPr>
        <w:spacing w:after="0" w:line="179" w:lineRule="exact"/>
        <w:rPr>
          <w:rFonts w:ascii="Arial" w:cs="Arial" w:eastAsia="Arial" w:hAnsi="Arial"/>
          <w:sz w:val="21"/>
          <w:szCs w:val="21"/>
          <w:color w:val="auto"/>
        </w:rPr>
      </w:pPr>
    </w:p>
    <w:p>
      <w:pPr>
        <w:jc w:val="both"/>
        <w:ind w:left="644" w:hanging="644"/>
        <w:spacing w:after="0" w:line="286" w:lineRule="auto"/>
        <w:tabs>
          <w:tab w:leader="none" w:pos="591"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No Suspension of Trading in or Delisting of Common Shares; Other Events</w:t>
      </w:r>
      <w:r>
        <w:rPr>
          <w:rFonts w:ascii="Arial" w:cs="Arial" w:eastAsia="Arial" w:hAnsi="Arial"/>
          <w:sz w:val="19"/>
          <w:szCs w:val="19"/>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584"/>
          </w:cols>
          <w:pgMar w:left="976" w:top="1440" w:right="339" w:bottom="1440" w:gutter="0" w:footer="0" w:header="0"/>
        </w:sectPr>
      </w:pPr>
    </w:p>
    <w:bookmarkStart w:id="34" w:name="page35"/>
    <w:bookmarkEnd w:id="34"/>
    <w:p>
      <w:pPr>
        <w:spacing w:after="0" w:line="204"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85" w:lineRule="exact"/>
        <w:rPr>
          <w:sz w:val="20"/>
          <w:szCs w:val="20"/>
          <w:color w:val="auto"/>
        </w:rPr>
      </w:pPr>
    </w:p>
    <w:p>
      <w:pPr>
        <w:ind w:left="1300" w:hanging="644"/>
        <w:spacing w:after="0" w:line="288" w:lineRule="auto"/>
        <w:tabs>
          <w:tab w:leader="none" w:pos="1147"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Agent Counsel Opinion and Negative Assurances Letter</w:t>
      </w:r>
      <w:r>
        <w:rPr>
          <w:rFonts w:ascii="Arial" w:cs="Arial" w:eastAsia="Arial" w:hAnsi="Arial"/>
          <w:sz w:val="19"/>
          <w:szCs w:val="19"/>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Davis Polk &amp; Wardwell LLP, counsel to the Agent (“</w:t>
      </w:r>
      <w:r>
        <w:rPr>
          <w:rFonts w:ascii="Arial" w:cs="Arial" w:eastAsia="Arial" w:hAnsi="Arial"/>
          <w:sz w:val="19"/>
          <w:szCs w:val="19"/>
          <w:b w:val="1"/>
          <w:bCs w:val="1"/>
          <w:color w:val="auto"/>
        </w:rPr>
        <w:t>Agent Counsel</w:t>
      </w:r>
      <w:r>
        <w:rPr>
          <w:rFonts w:ascii="Arial" w:cs="Arial" w:eastAsia="Arial" w:hAnsi="Arial"/>
          <w:sz w:val="19"/>
          <w:szCs w:val="19"/>
          <w:color w:val="auto"/>
        </w:rPr>
        <w:t>”), shall have furnished to the Agent a negative assurances letter and the written legal opinion, each dated the date of delivery, in form and substance reasonably satisfactory to the Agent, modified, as necessary, to relate to the Registration Statement and the Prospectus as then amended or supplemented. In lieu of such opinion for subsequent periodic filings, Agent Counsel may furnish a reliance letter,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59" w:lineRule="exact"/>
        <w:rPr>
          <w:rFonts w:ascii="Arial" w:cs="Arial" w:eastAsia="Arial" w:hAnsi="Arial"/>
          <w:sz w:val="19"/>
          <w:szCs w:val="19"/>
          <w:color w:val="auto"/>
        </w:rPr>
      </w:pPr>
    </w:p>
    <w:p>
      <w:pPr>
        <w:ind w:left="1300" w:hanging="644"/>
        <w:spacing w:after="0" w:line="248" w:lineRule="auto"/>
        <w:tabs>
          <w:tab w:leader="none" w:pos="1193"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No Misstatement or Material Omission</w:t>
      </w:r>
      <w:r>
        <w:rPr>
          <w:rFonts w:ascii="Arial" w:cs="Arial" w:eastAsia="Arial" w:hAnsi="Arial"/>
          <w:sz w:val="22"/>
          <w:szCs w:val="22"/>
          <w:color w:val="auto"/>
        </w:rPr>
        <w:t>. Agent shall not have advised the Company that the Registration Statement, the Prospectus or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92" w:lineRule="exact"/>
        <w:rPr>
          <w:sz w:val="20"/>
          <w:szCs w:val="20"/>
          <w:color w:val="auto"/>
        </w:rPr>
      </w:pPr>
    </w:p>
    <w:p>
      <w:pPr>
        <w:jc w:val="both"/>
        <w:ind w:firstLine="656"/>
        <w:spacing w:after="0" w:line="294" w:lineRule="auto"/>
        <w:tabs>
          <w:tab w:leader="none" w:pos="1291"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Documents Required to be Delivered on each Issuance Notice Date</w:t>
      </w:r>
      <w:r>
        <w:rPr>
          <w:rFonts w:ascii="Arial" w:cs="Arial" w:eastAsia="Arial" w:hAnsi="Arial"/>
          <w:sz w:val="19"/>
          <w:szCs w:val="19"/>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as required to be delivered pursuant to Section 4(o) (which certificate shall not be required if the foregoing representations shall be set forth in the Issuance Notice).</w:t>
      </w:r>
    </w:p>
    <w:p>
      <w:pPr>
        <w:spacing w:after="0" w:line="143"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2"/>
          <w:szCs w:val="22"/>
          <w:b w:val="1"/>
          <w:bCs w:val="1"/>
          <w:color w:val="auto"/>
        </w:rPr>
        <w:t>INDEMNIFICATION AND CONTRIBUTION</w:t>
      </w:r>
    </w:p>
    <w:p>
      <w:pPr>
        <w:spacing w:after="0" w:line="226" w:lineRule="exact"/>
        <w:rPr>
          <w:sz w:val="20"/>
          <w:szCs w:val="20"/>
          <w:color w:val="auto"/>
        </w:rPr>
      </w:pPr>
    </w:p>
    <w:p>
      <w:pPr>
        <w:jc w:val="both"/>
        <w:ind w:firstLine="656"/>
        <w:spacing w:after="0" w:line="247" w:lineRule="auto"/>
        <w:tabs>
          <w:tab w:leader="none" w:pos="1293"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Indemnification of the Agent</w:t>
      </w:r>
      <w:r>
        <w:rPr>
          <w:rFonts w:ascii="Arial" w:cs="Arial" w:eastAsia="Arial" w:hAnsi="Arial"/>
          <w:sz w:val="22"/>
          <w:szCs w:val="22"/>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35" w:name="page36"/>
    <w:bookmarkEnd w:id="35"/>
    <w:p>
      <w:pPr>
        <w:spacing w:after="0" w:line="20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 each such officer, employee and controlling person for any and all reasonable and documented 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beginning with the words: “Jefferies and its affiliates may in the future provide various investment banking, commercial banking, financial advisory and other financial services . . . .” (the “</w:t>
      </w:r>
      <w:r>
        <w:rPr>
          <w:rFonts w:ascii="Arial" w:cs="Arial" w:eastAsia="Arial" w:hAnsi="Arial"/>
          <w:sz w:val="19"/>
          <w:szCs w:val="19"/>
          <w:b w:val="1"/>
          <w:bCs w:val="1"/>
          <w:color w:val="auto"/>
        </w:rPr>
        <w:t>Agent Information</w:t>
      </w:r>
      <w:r>
        <w:rPr>
          <w:rFonts w:ascii="Arial" w:cs="Arial" w:eastAsia="Arial" w:hAnsi="Arial"/>
          <w:sz w:val="19"/>
          <w:szCs w:val="19"/>
          <w:color w:val="auto"/>
        </w:rPr>
        <w:t xml:space="preserve">”). The indemnity agreement set forth in this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shall be in addition to any liabilities that the Company may otherwise have.</w:t>
      </w:r>
    </w:p>
    <w:p>
      <w:pPr>
        <w:spacing w:after="0" w:line="163" w:lineRule="exact"/>
        <w:rPr>
          <w:sz w:val="20"/>
          <w:szCs w:val="20"/>
          <w:color w:val="auto"/>
        </w:rPr>
      </w:pPr>
    </w:p>
    <w:p>
      <w:pPr>
        <w:jc w:val="both"/>
        <w:ind w:firstLine="656"/>
        <w:spacing w:after="0" w:line="292" w:lineRule="auto"/>
        <w:tabs>
          <w:tab w:leader="none" w:pos="1291" w:val="left"/>
        </w:tabs>
        <w:numPr>
          <w:ilvl w:val="0"/>
          <w:numId w:val="40"/>
        </w:numPr>
        <w:rPr>
          <w:rFonts w:ascii="Arial" w:cs="Arial" w:eastAsia="Arial" w:hAnsi="Arial"/>
          <w:sz w:val="19"/>
          <w:szCs w:val="19"/>
          <w:color w:val="auto"/>
        </w:rPr>
      </w:pPr>
      <w:r>
        <w:rPr>
          <w:rFonts w:ascii="Arial" w:cs="Arial" w:eastAsia="Arial" w:hAnsi="Arial"/>
          <w:sz w:val="19"/>
          <w:szCs w:val="19"/>
          <w:color w:val="auto"/>
        </w:rPr>
        <w:t>Indemnification of the Company, its Directors and Officers.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Company and each such director, officer and controlling person for any and all reasonable and documented expenses (including the reasonable and documented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provided, however, that the foregoing indemnity agreement shall only apply to any loss, claim, damage, liability or expense to the extent, but only to the extent, arising out of or based upon any untrue statement or alleged untrue statement or omission or alleged omission made in reliance upon and in conformity with the Agent Information expressly for use in the Registration Statement, any such Free Writing Prospectus or the Prospectus (or any amendment or supplement thereto). The indemnity agreement set forth in this Section 6(b) shall be in addition to any liabilities that the Agent or the Company may otherwise have.</w:t>
      </w:r>
    </w:p>
    <w:p>
      <w:pPr>
        <w:spacing w:after="0" w:line="200" w:lineRule="exact"/>
        <w:rPr>
          <w:sz w:val="20"/>
          <w:szCs w:val="20"/>
          <w:color w:val="auto"/>
        </w:rPr>
      </w:pPr>
    </w:p>
    <w:p>
      <w:pPr>
        <w:spacing w:after="0" w:line="225" w:lineRule="exact"/>
        <w:rPr>
          <w:sz w:val="20"/>
          <w:szCs w:val="20"/>
          <w:color w:val="auto"/>
        </w:rPr>
      </w:pPr>
    </w:p>
    <w:p>
      <w:pPr>
        <w:jc w:val="both"/>
        <w:ind w:firstLine="656"/>
        <w:spacing w:after="0" w:line="285" w:lineRule="auto"/>
        <w:tabs>
          <w:tab w:leader="none" w:pos="1293"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Notifications and Other Indemnification Procedures</w:t>
      </w:r>
      <w:r>
        <w:rPr>
          <w:rFonts w:ascii="Arial" w:cs="Arial" w:eastAsia="Arial" w:hAnsi="Arial"/>
          <w:sz w:val="19"/>
          <w:szCs w:val="19"/>
          <w:color w:val="auto"/>
        </w:rPr>
        <w:t xml:space="preserve">. Promptly after receipt by an indemnified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of notice of the commencement of any action, such indemnified party will, if a claim in respect thereof is to be made against an indemnifying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notify the indemnifying party in writing of the commencement thereof, but the omission to so notify the indemnifying party will not relieve the indemnifying party from any liability which it may have to any indemnified party for contribution or otherwise than under the indemnity agreement contained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based on the advice of counsel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04"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 xml:space="preserve">the defense of such action and approval by the indemnified party of counsel, the indemnifying party will not be liable to such indemnified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above) or the Company (in the case of counsel for the indemnified parties referred to in Section 6(b) above), (ii) the indemnifying party shall not have employed counsel satisfactory to the indemnified party to represent the indemnified party within a reasonable time after notice of commencement of the action or</w:t>
      </w:r>
    </w:p>
    <w:p>
      <w:pPr>
        <w:spacing w:after="0" w:line="8" w:lineRule="exact"/>
        <w:rPr>
          <w:sz w:val="20"/>
          <w:szCs w:val="20"/>
          <w:color w:val="auto"/>
        </w:rPr>
      </w:pPr>
    </w:p>
    <w:p>
      <w:pPr>
        <w:jc w:val="both"/>
        <w:ind w:firstLine="8"/>
        <w:spacing w:after="0" w:line="245" w:lineRule="auto"/>
        <w:tabs>
          <w:tab w:leader="none" w:pos="389"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92" w:lineRule="exact"/>
        <w:rPr>
          <w:rFonts w:ascii="Arial" w:cs="Arial" w:eastAsia="Arial" w:hAnsi="Arial"/>
          <w:sz w:val="22"/>
          <w:szCs w:val="22"/>
          <w:color w:val="auto"/>
        </w:rPr>
      </w:pPr>
    </w:p>
    <w:p>
      <w:pPr>
        <w:jc w:val="both"/>
        <w:ind w:firstLine="656"/>
        <w:spacing w:after="0" w:line="285" w:lineRule="auto"/>
        <w:tabs>
          <w:tab w:leader="none" w:pos="1291"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Settlements</w:t>
      </w:r>
      <w:r>
        <w:rPr>
          <w:rFonts w:ascii="Arial" w:cs="Arial" w:eastAsia="Arial" w:hAnsi="Arial"/>
          <w:sz w:val="19"/>
          <w:szCs w:val="19"/>
          <w:color w:val="auto"/>
        </w:rPr>
        <w:t xml:space="preserve">. The indemnifying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9"/>
          <w:szCs w:val="19"/>
          <w:u w:val="single" w:color="auto"/>
          <w:color w:val="auto"/>
        </w:rPr>
        <w:t>Section 6(c)</w:t>
      </w:r>
      <w:r>
        <w:rPr>
          <w:rFonts w:ascii="Arial" w:cs="Arial" w:eastAsia="Arial" w:hAnsi="Arial"/>
          <w:sz w:val="19"/>
          <w:szCs w:val="19"/>
          <w:color w:val="auto"/>
        </w:rPr>
        <w:t xml:space="preserve"> hereof, the indemnifying party agrees that it shall be liable for any settlement of any proceeding effected without its written consent if</w:t>
      </w:r>
    </w:p>
    <w:p>
      <w:pPr>
        <w:ind w:left="300" w:hanging="292"/>
        <w:spacing w:after="0"/>
        <w:tabs>
          <w:tab w:leader="none" w:pos="3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such settlement is entered into more than 30 days after receipt by such indemnifying party of the aforesaid request; and</w:t>
      </w:r>
    </w:p>
    <w:p>
      <w:pPr>
        <w:spacing w:after="0" w:line="38" w:lineRule="exact"/>
        <w:rPr>
          <w:rFonts w:ascii="Arial" w:cs="Arial" w:eastAsia="Arial" w:hAnsi="Arial"/>
          <w:sz w:val="19"/>
          <w:szCs w:val="19"/>
          <w:color w:val="auto"/>
        </w:rPr>
      </w:pPr>
    </w:p>
    <w:p>
      <w:pPr>
        <w:jc w:val="both"/>
        <w:ind w:firstLine="8"/>
        <w:spacing w:after="0" w:line="257" w:lineRule="auto"/>
        <w:tabs>
          <w:tab w:leader="none" w:pos="325" w:val="left"/>
        </w:tabs>
        <w:numPr>
          <w:ilvl w:val="0"/>
          <w:numId w:val="44"/>
        </w:numPr>
        <w:rPr>
          <w:rFonts w:ascii="Arial" w:cs="Arial" w:eastAsia="Arial" w:hAnsi="Arial"/>
          <w:sz w:val="21"/>
          <w:szCs w:val="21"/>
          <w:color w:val="auto"/>
        </w:rPr>
      </w:pPr>
      <w:r>
        <w:rPr>
          <w:rFonts w:ascii="Arial" w:cs="Arial" w:eastAsia="Arial" w:hAnsi="Arial"/>
          <w:sz w:val="21"/>
          <w:szCs w:val="21"/>
          <w:color w:val="auto"/>
        </w:rPr>
        <w:t>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85" w:lineRule="exact"/>
        <w:rPr>
          <w:rFonts w:ascii="Arial" w:cs="Arial" w:eastAsia="Arial" w:hAnsi="Arial"/>
          <w:sz w:val="21"/>
          <w:szCs w:val="21"/>
          <w:color w:val="auto"/>
        </w:rPr>
      </w:pPr>
    </w:p>
    <w:p>
      <w:pPr>
        <w:jc w:val="both"/>
        <w:ind w:firstLine="656"/>
        <w:spacing w:after="0" w:line="292" w:lineRule="auto"/>
        <w:tabs>
          <w:tab w:leader="none" w:pos="1293"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xml:space="preserve">. If the indemnification provided for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net proceeds from the offering of the Shares (net of commissions to the Agent but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59" w:lineRule="exact"/>
        <w:rPr>
          <w:sz w:val="20"/>
          <w:szCs w:val="20"/>
          <w:color w:val="auto"/>
        </w:rPr>
      </w:pPr>
    </w:p>
    <w:p>
      <w:pPr>
        <w:jc w:val="both"/>
        <w:ind w:firstLine="212"/>
        <w:spacing w:after="0" w:line="261" w:lineRule="auto"/>
        <w:rPr>
          <w:sz w:val="20"/>
          <w:szCs w:val="20"/>
          <w:color w:val="auto"/>
        </w:rPr>
      </w:pPr>
      <w:r>
        <w:rPr>
          <w:rFonts w:ascii="Arial" w:cs="Arial" w:eastAsia="Arial" w:hAnsi="Arial"/>
          <w:sz w:val="21"/>
          <w:szCs w:val="21"/>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21"/>
          <w:szCs w:val="21"/>
          <w:u w:val="single" w:color="auto"/>
          <w:color w:val="auto"/>
        </w:rPr>
        <w:t>Section 6(c)</w:t>
      </w:r>
      <w:r>
        <w:rPr>
          <w:rFonts w:ascii="Arial" w:cs="Arial" w:eastAsia="Arial" w:hAnsi="Arial"/>
          <w:sz w:val="21"/>
          <w:szCs w:val="21"/>
          <w:color w:val="auto"/>
        </w:rPr>
        <w:t xml:space="preserve">, any reasonable and documented legal or other fees or expenses reasonably incurred by such party in connection with investigating or defending any action or claim. The provisions set forth in </w:t>
      </w:r>
      <w:r>
        <w:rPr>
          <w:rFonts w:ascii="Arial" w:cs="Arial" w:eastAsia="Arial" w:hAnsi="Arial"/>
          <w:sz w:val="21"/>
          <w:szCs w:val="21"/>
          <w:u w:val="single" w:color="auto"/>
          <w:color w:val="auto"/>
        </w:rPr>
        <w:t>Section 6(c)</w:t>
      </w:r>
      <w:r>
        <w:rPr>
          <w:rFonts w:ascii="Arial" w:cs="Arial" w:eastAsia="Arial" w:hAnsi="Arial"/>
          <w:sz w:val="21"/>
          <w:szCs w:val="21"/>
          <w:color w:val="auto"/>
        </w:rPr>
        <w:t xml:space="preserve"> with respect to notice of commencement of any action shall apply if a claim for contribution is to be made under this </w:t>
      </w:r>
      <w:r>
        <w:rPr>
          <w:rFonts w:ascii="Arial" w:cs="Arial" w:eastAsia="Arial" w:hAnsi="Arial"/>
          <w:sz w:val="21"/>
          <w:szCs w:val="21"/>
          <w:u w:val="single" w:color="auto"/>
          <w:color w:val="auto"/>
        </w:rPr>
        <w:t>Section 6(e)</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no additional notice shall be required with respect to any action for which notice has been given under </w:t>
      </w:r>
      <w:r>
        <w:rPr>
          <w:rFonts w:ascii="Arial" w:cs="Arial" w:eastAsia="Arial" w:hAnsi="Arial"/>
          <w:sz w:val="21"/>
          <w:szCs w:val="21"/>
          <w:u w:val="single" w:color="auto"/>
          <w:color w:val="auto"/>
        </w:rPr>
        <w:t>Section 6(c)</w:t>
      </w:r>
      <w:r>
        <w:rPr>
          <w:rFonts w:ascii="Arial" w:cs="Arial" w:eastAsia="Arial" w:hAnsi="Arial"/>
          <w:sz w:val="21"/>
          <w:szCs w:val="21"/>
          <w:color w:val="auto"/>
        </w:rPr>
        <w:t xml:space="preserve"> for purposes of indemnification.</w:t>
      </w:r>
    </w:p>
    <w:p>
      <w:pPr>
        <w:spacing w:after="0" w:line="179" w:lineRule="exact"/>
        <w:rPr>
          <w:sz w:val="20"/>
          <w:szCs w:val="20"/>
          <w:color w:val="auto"/>
        </w:rPr>
      </w:pPr>
    </w:p>
    <w:p>
      <w:pPr>
        <w:ind w:right="440" w:firstLine="212"/>
        <w:spacing w:after="0" w:line="253" w:lineRule="auto"/>
        <w:rPr>
          <w:sz w:val="20"/>
          <w:szCs w:val="20"/>
          <w:color w:val="auto"/>
        </w:rPr>
      </w:pPr>
      <w:r>
        <w:rPr>
          <w:rFonts w:ascii="Arial" w:cs="Arial" w:eastAsia="Arial" w:hAnsi="Arial"/>
          <w:sz w:val="22"/>
          <w:szCs w:val="22"/>
          <w:color w:val="auto"/>
        </w:rPr>
        <w:t xml:space="preserve">The Company and the Agent agree that it would not be just and equitable if contribution pursuant to this </w:t>
      </w:r>
      <w:r>
        <w:rPr>
          <w:rFonts w:ascii="Arial" w:cs="Arial" w:eastAsia="Arial" w:hAnsi="Arial"/>
          <w:sz w:val="22"/>
          <w:szCs w:val="22"/>
          <w:u w:val="single" w:color="auto"/>
          <w:color w:val="auto"/>
        </w:rPr>
        <w:t>Section 6(e)</w:t>
      </w:r>
      <w:r>
        <w:rPr>
          <w:rFonts w:ascii="Arial" w:cs="Arial" w:eastAsia="Arial" w:hAnsi="Arial"/>
          <w:sz w:val="22"/>
          <w:szCs w:val="22"/>
          <w:color w:val="auto"/>
        </w:rPr>
        <w:t xml:space="preserve"> were determined by pro rata allocation or by any other method of allocation which does not take account of the equitable considerations referred to in this </w:t>
      </w:r>
      <w:r>
        <w:rPr>
          <w:rFonts w:ascii="Arial" w:cs="Arial" w:eastAsia="Arial" w:hAnsi="Arial"/>
          <w:sz w:val="22"/>
          <w:szCs w:val="22"/>
          <w:u w:val="single" w:color="auto"/>
          <w:color w:val="auto"/>
        </w:rPr>
        <w:t>Section 6(e)</w:t>
      </w:r>
      <w:r>
        <w:rPr>
          <w:rFonts w:ascii="Arial" w:cs="Arial" w:eastAsia="Arial" w:hAnsi="Arial"/>
          <w:sz w:val="22"/>
          <w:szCs w:val="22"/>
          <w:color w:val="auto"/>
        </w:rPr>
        <w:t>.</w:t>
      </w:r>
    </w:p>
    <w:p>
      <w:pPr>
        <w:spacing w:after="0" w:line="185" w:lineRule="exact"/>
        <w:rPr>
          <w:sz w:val="20"/>
          <w:szCs w:val="20"/>
          <w:color w:val="auto"/>
        </w:rPr>
      </w:pPr>
    </w:p>
    <w:p>
      <w:pPr>
        <w:jc w:val="both"/>
        <w:ind w:firstLine="246"/>
        <w:spacing w:after="0" w:line="259" w:lineRule="auto"/>
        <w:rPr>
          <w:sz w:val="20"/>
          <w:szCs w:val="20"/>
          <w:color w:val="auto"/>
        </w:rPr>
      </w:pPr>
      <w:r>
        <w:rPr>
          <w:rFonts w:ascii="Arial" w:cs="Arial" w:eastAsia="Arial" w:hAnsi="Arial"/>
          <w:sz w:val="21"/>
          <w:szCs w:val="21"/>
          <w:color w:val="auto"/>
        </w:rPr>
        <w:t xml:space="preserve">Notwithstanding the provisions of this </w:t>
      </w:r>
      <w:r>
        <w:rPr>
          <w:rFonts w:ascii="Arial" w:cs="Arial" w:eastAsia="Arial" w:hAnsi="Arial"/>
          <w:sz w:val="21"/>
          <w:szCs w:val="21"/>
          <w:u w:val="single" w:color="auto"/>
          <w:color w:val="auto"/>
        </w:rPr>
        <w:t>Section 6(e)</w:t>
      </w:r>
      <w:r>
        <w:rPr>
          <w:rFonts w:ascii="Arial" w:cs="Arial" w:eastAsia="Arial" w:hAnsi="Arial"/>
          <w:sz w:val="21"/>
          <w:szCs w:val="21"/>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21"/>
          <w:szCs w:val="21"/>
          <w:u w:val="single" w:color="auto"/>
          <w:color w:val="auto"/>
        </w:rPr>
        <w:t>Section 6(e)</w:t>
      </w:r>
      <w:r>
        <w:rPr>
          <w:rFonts w:ascii="Arial" w:cs="Arial" w:eastAsia="Arial" w:hAnsi="Arial"/>
          <w:sz w:val="21"/>
          <w:szCs w:val="21"/>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177"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2"/>
          <w:szCs w:val="22"/>
          <w:b w:val="1"/>
          <w:bCs w:val="1"/>
          <w:color w:val="auto"/>
        </w:rPr>
        <w:t>TERMINATION &amp; SURVIVAL</w:t>
      </w:r>
    </w:p>
    <w:p>
      <w:pPr>
        <w:spacing w:after="0" w:line="226" w:lineRule="exact"/>
        <w:rPr>
          <w:sz w:val="20"/>
          <w:szCs w:val="20"/>
          <w:color w:val="auto"/>
        </w:rPr>
      </w:pPr>
    </w:p>
    <w:p>
      <w:pPr>
        <w:jc w:val="both"/>
        <w:ind w:firstLine="656"/>
        <w:spacing w:after="0" w:line="253" w:lineRule="auto"/>
        <w:tabs>
          <w:tab w:leader="none" w:pos="1293"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xml:space="preserve">. Subject to the provisions of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04"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Termination; Survival Following 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0" w:hanging="320"/>
        <w:spacing w:after="0" w:line="246" w:lineRule="auto"/>
        <w:tabs>
          <w:tab w:leader="none" w:pos="1535" w:val="left"/>
        </w:tabs>
        <w:numPr>
          <w:ilvl w:val="1"/>
          <w:numId w:val="46"/>
        </w:numPr>
        <w:rPr>
          <w:rFonts w:ascii="Arial" w:cs="Arial" w:eastAsia="Arial" w:hAnsi="Arial"/>
          <w:sz w:val="22"/>
          <w:szCs w:val="22"/>
          <w:color w:val="auto"/>
        </w:rPr>
      </w:pPr>
      <w:r>
        <w:rPr>
          <w:rFonts w:ascii="Arial" w:cs="Arial" w:eastAsia="Arial" w:hAnsi="Arial"/>
          <w:sz w:val="22"/>
          <w:szCs w:val="22"/>
          <w:color w:val="auto"/>
        </w:rPr>
        <w:t xml:space="preserve">Either party may terminate this Agreement prior to the end of the Agency Period, by giving written notice as required by this Agreement, upon five (5)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22"/>
          <w:szCs w:val="22"/>
          <w:u w:val="single" w:color="auto"/>
          <w:color w:val="auto"/>
        </w:rPr>
        <w:t>Section 3(b)(v)</w:t>
      </w:r>
      <w:r>
        <w:rPr>
          <w:rFonts w:ascii="Arial" w:cs="Arial" w:eastAsia="Arial" w:hAnsi="Arial"/>
          <w:sz w:val="22"/>
          <w:szCs w:val="22"/>
          <w:color w:val="auto"/>
        </w:rPr>
        <w:t xml:space="preserve"> with respect to such Shares and (B)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96" w:lineRule="exact"/>
        <w:rPr>
          <w:rFonts w:ascii="Arial" w:cs="Arial" w:eastAsia="Arial" w:hAnsi="Arial"/>
          <w:sz w:val="22"/>
          <w:szCs w:val="22"/>
          <w:color w:val="auto"/>
        </w:rPr>
      </w:pPr>
    </w:p>
    <w:p>
      <w:pPr>
        <w:jc w:val="both"/>
        <w:ind w:left="1300" w:hanging="320"/>
        <w:spacing w:after="0" w:line="261" w:lineRule="auto"/>
        <w:tabs>
          <w:tab w:leader="none" w:pos="1319" w:val="left"/>
        </w:tabs>
        <w:numPr>
          <w:ilvl w:val="1"/>
          <w:numId w:val="46"/>
        </w:numPr>
        <w:rPr>
          <w:rFonts w:ascii="Arial" w:cs="Arial" w:eastAsia="Arial" w:hAnsi="Arial"/>
          <w:sz w:val="21"/>
          <w:szCs w:val="21"/>
          <w:color w:val="auto"/>
        </w:rPr>
      </w:pPr>
      <w:r>
        <w:rPr>
          <w:rFonts w:ascii="Arial" w:cs="Arial" w:eastAsia="Arial" w:hAnsi="Arial"/>
          <w:sz w:val="21"/>
          <w:szCs w:val="21"/>
          <w:color w:val="auto"/>
        </w:rPr>
        <w:t xml:space="preserve">In addition to the survival provision of </w:t>
      </w:r>
      <w:r>
        <w:rPr>
          <w:rFonts w:ascii="Arial" w:cs="Arial" w:eastAsia="Arial" w:hAnsi="Arial"/>
          <w:sz w:val="21"/>
          <w:szCs w:val="21"/>
          <w:u w:val="single" w:color="auto"/>
          <w:color w:val="auto"/>
        </w:rPr>
        <w:t>Section 7(b)(i)</w:t>
      </w:r>
      <w:r>
        <w:rPr>
          <w:rFonts w:ascii="Arial" w:cs="Arial" w:eastAsia="Arial" w:hAnsi="Arial"/>
          <w:sz w:val="21"/>
          <w:szCs w:val="21"/>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73"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21"/>
          <w:szCs w:val="21"/>
          <w:b w:val="1"/>
          <w:bCs w:val="1"/>
          <w:color w:val="auto"/>
        </w:rPr>
        <w:t>MISCELLANEOUS</w:t>
      </w:r>
    </w:p>
    <w:p>
      <w:pPr>
        <w:spacing w:after="0" w:line="226" w:lineRule="exact"/>
        <w:rPr>
          <w:sz w:val="20"/>
          <w:szCs w:val="20"/>
          <w:color w:val="auto"/>
        </w:rPr>
      </w:pPr>
    </w:p>
    <w:p>
      <w:pPr>
        <w:jc w:val="both"/>
        <w:ind w:firstLine="656"/>
        <w:spacing w:after="0" w:line="286" w:lineRule="auto"/>
        <w:tabs>
          <w:tab w:leader="none" w:pos="1293"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Press Releases and Disclosure</w:t>
      </w:r>
      <w:r>
        <w:rPr>
          <w:rFonts w:ascii="Arial" w:cs="Arial" w:eastAsia="Arial" w:hAnsi="Arial"/>
          <w:sz w:val="19"/>
          <w:szCs w:val="19"/>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(other than disclosure regarding sales of Common Shares pursuant hereto on current reports on Form 8-K, quarterly reports on Form 10-Q or annual reports on Form 10-K),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61" w:lineRule="exact"/>
        <w:rPr>
          <w:rFonts w:ascii="Arial" w:cs="Arial" w:eastAsia="Arial" w:hAnsi="Arial"/>
          <w:sz w:val="19"/>
          <w:szCs w:val="19"/>
          <w:color w:val="auto"/>
        </w:rPr>
      </w:pPr>
    </w:p>
    <w:p>
      <w:pPr>
        <w:jc w:val="both"/>
        <w:ind w:firstLine="656"/>
        <w:spacing w:after="0" w:line="250" w:lineRule="auto"/>
        <w:tabs>
          <w:tab w:leader="none" w:pos="1291"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No Advisory or Fiduciary Relationship</w:t>
      </w:r>
      <w:r>
        <w:rPr>
          <w:rFonts w:ascii="Arial" w:cs="Arial" w:eastAsia="Arial" w:hAnsi="Arial"/>
          <w:sz w:val="22"/>
          <w:szCs w:val="22"/>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56" w:lineRule="exact"/>
        <w:rPr>
          <w:sz w:val="20"/>
          <w:szCs w:val="20"/>
          <w:color w:val="auto"/>
        </w:rPr>
      </w:pPr>
    </w:p>
    <w:p>
      <w:pPr>
        <w:jc w:val="both"/>
        <w:ind w:firstLine="656"/>
        <w:spacing w:after="0" w:line="259" w:lineRule="auto"/>
        <w:tabs>
          <w:tab w:leader="none" w:pos="1293"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Research Analyst Independence</w:t>
      </w:r>
      <w:r>
        <w:rPr>
          <w:rFonts w:ascii="Arial" w:cs="Arial" w:eastAsia="Arial" w:hAnsi="Arial"/>
          <w:sz w:val="21"/>
          <w:szCs w:val="21"/>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83" w:lineRule="exact"/>
        <w:rPr>
          <w:rFonts w:ascii="Arial" w:cs="Arial" w:eastAsia="Arial" w:hAnsi="Arial"/>
          <w:sz w:val="21"/>
          <w:szCs w:val="21"/>
          <w:color w:val="auto"/>
        </w:rPr>
      </w:pPr>
    </w:p>
    <w:p>
      <w:pPr>
        <w:ind w:firstLine="656"/>
        <w:spacing w:after="0" w:line="263" w:lineRule="auto"/>
        <w:tabs>
          <w:tab w:leader="none" w:pos="1291"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communications hereunder shall be in writing and shall be mailed, hand delivered or telecopied and confirmed to the parties hereto as follows: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If to the Agent:</w:t>
      </w:r>
    </w:p>
    <w:p>
      <w:pPr>
        <w:spacing w:after="0" w:line="26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Jefferies LLC</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520 Madison Avenue</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New York, NY 10022</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Attention: General Counsel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with a copy (which shall not constitute notice) to:</w:t>
      </w:r>
    </w:p>
    <w:p>
      <w:pPr>
        <w:spacing w:after="0" w:line="26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Davis Polk &amp; Wardwell LLP</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1600 El Camino Real #100</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Menlo Park, CA 94025</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Facsimile: (650) 752-2115</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Attention: Stephen Salmon</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Email: stephen.salmon@davispolk.com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If to the Company:</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0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Ardelyx, Inc.</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34175 Ardenwood Blvd.</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Fremont, CA 94555</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Attention: Chief Executive Officer; Chief Financial Officer; Chief Legal and Administrative Officer</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Email: mraab@ardelyx.com; jrenz@ardelyx.com; egrammer@ardelyx.com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with a copy (which shall not constitute notice) to:</w:t>
      </w:r>
    </w:p>
    <w:p>
      <w:pPr>
        <w:spacing w:after="0" w:line="26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Latham &amp; Watkins LLP</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140 Scott Drive</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Menlo Park, CA 94025</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Email: mark.roeder@lw.com</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Attention: Mark Roeder</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Any party hereto may change the address for receipt of communications by giving written notice to the others in accordance with this </w:t>
      </w:r>
      <w:r>
        <w:rPr>
          <w:rFonts w:ascii="Arial" w:cs="Arial" w:eastAsia="Arial" w:hAnsi="Arial"/>
          <w:sz w:val="22"/>
          <w:szCs w:val="22"/>
          <w:u w:val="single" w:color="auto"/>
          <w:color w:val="auto"/>
        </w:rPr>
        <w:t>Section 8(d)</w:t>
      </w:r>
      <w:r>
        <w:rPr>
          <w:rFonts w:ascii="Arial" w:cs="Arial" w:eastAsia="Arial" w:hAnsi="Arial"/>
          <w:sz w:val="22"/>
          <w:szCs w:val="22"/>
          <w:color w:val="auto"/>
        </w:rPr>
        <w:t>.</w:t>
      </w:r>
    </w:p>
    <w:p>
      <w:pPr>
        <w:spacing w:after="0" w:line="175" w:lineRule="exact"/>
        <w:rPr>
          <w:sz w:val="20"/>
          <w:szCs w:val="20"/>
          <w:color w:val="auto"/>
        </w:rPr>
      </w:pPr>
    </w:p>
    <w:p>
      <w:pPr>
        <w:jc w:val="both"/>
        <w:ind w:firstLine="656"/>
        <w:spacing w:after="0" w:line="265" w:lineRule="auto"/>
        <w:tabs>
          <w:tab w:leader="none" w:pos="1293"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21"/>
          <w:szCs w:val="21"/>
          <w:u w:val="single" w:color="auto"/>
          <w:color w:val="auto"/>
        </w:rPr>
        <w:t>Section 6</w:t>
      </w:r>
      <w:r>
        <w:rPr>
          <w:rFonts w:ascii="Arial" w:cs="Arial" w:eastAsia="Arial" w:hAnsi="Arial"/>
          <w:sz w:val="21"/>
          <w:szCs w:val="21"/>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75" w:lineRule="exact"/>
        <w:rPr>
          <w:rFonts w:ascii="Arial" w:cs="Arial" w:eastAsia="Arial" w:hAnsi="Arial"/>
          <w:sz w:val="21"/>
          <w:szCs w:val="21"/>
          <w:color w:val="auto"/>
        </w:rPr>
      </w:pPr>
    </w:p>
    <w:p>
      <w:pPr>
        <w:jc w:val="both"/>
        <w:ind w:firstLine="656"/>
        <w:spacing w:after="0" w:line="302" w:lineRule="auto"/>
        <w:tabs>
          <w:tab w:leader="none" w:pos="129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Partial Unenforceability</w:t>
      </w:r>
      <w:r>
        <w:rPr>
          <w:rFonts w:ascii="Arial" w:cs="Arial" w:eastAsia="Arial" w:hAnsi="Arial"/>
          <w:sz w:val="19"/>
          <w:szCs w:val="19"/>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42" w:lineRule="exact"/>
        <w:rPr>
          <w:rFonts w:ascii="Arial" w:cs="Arial" w:eastAsia="Arial" w:hAnsi="Arial"/>
          <w:sz w:val="19"/>
          <w:szCs w:val="19"/>
          <w:color w:val="auto"/>
        </w:rPr>
      </w:pPr>
    </w:p>
    <w:p>
      <w:pPr>
        <w:jc w:val="both"/>
        <w:ind w:firstLine="656"/>
        <w:spacing w:after="0" w:line="287" w:lineRule="auto"/>
        <w:tabs>
          <w:tab w:leader="none" w:pos="1291"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Governing Law Provisions</w:t>
      </w:r>
      <w:r>
        <w:rPr>
          <w:rFonts w:ascii="Arial" w:cs="Arial" w:eastAsia="Arial" w:hAnsi="Arial"/>
          <w:sz w:val="19"/>
          <w:szCs w:val="19"/>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9"/>
          <w:szCs w:val="19"/>
          <w:b w:val="1"/>
          <w:bCs w:val="1"/>
          <w:color w:val="auto"/>
        </w:rPr>
        <w:t>Specified Courts</w:t>
      </w:r>
      <w:r>
        <w:rPr>
          <w:rFonts w:ascii="Arial" w:cs="Arial" w:eastAsia="Arial" w:hAnsi="Arial"/>
          <w:sz w:val="19"/>
          <w:szCs w:val="19"/>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court that any such suit, action or other proceeding brought in any such court has been brought in an inconvenient forum.</w:t>
      </w:r>
    </w:p>
    <w:p>
      <w:pPr>
        <w:spacing w:after="0" w:line="231" w:lineRule="exact"/>
        <w:rPr>
          <w:sz w:val="20"/>
          <w:szCs w:val="20"/>
          <w:color w:val="auto"/>
        </w:rPr>
      </w:pPr>
    </w:p>
    <w:p>
      <w:pPr>
        <w:jc w:val="both"/>
        <w:ind w:firstLine="656"/>
        <w:spacing w:after="0" w:line="290" w:lineRule="auto"/>
        <w:tabs>
          <w:tab w:leader="none" w:pos="1291"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55" w:lineRule="exact"/>
        <w:rPr>
          <w:rFonts w:ascii="Arial" w:cs="Arial" w:eastAsia="Arial" w:hAnsi="Arial"/>
          <w:sz w:val="19"/>
          <w:szCs w:val="19"/>
          <w:color w:val="auto"/>
        </w:rPr>
      </w:pPr>
    </w:p>
    <w:p>
      <w:pPr>
        <w:ind w:left="1300" w:hanging="644"/>
        <w:spacing w:after="0"/>
        <w:tabs>
          <w:tab w:leader="none" w:pos="130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Recognition of the U.S. Special Resolution Regimes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248" w:lineRule="auto"/>
        <w:tabs>
          <w:tab w:leader="none" w:pos="1953" w:val="left"/>
        </w:tabs>
        <w:numPr>
          <w:ilvl w:val="1"/>
          <w:numId w:val="50"/>
        </w:numPr>
        <w:rPr>
          <w:rFonts w:ascii="Arial" w:cs="Arial" w:eastAsia="Arial" w:hAnsi="Arial"/>
          <w:sz w:val="22"/>
          <w:szCs w:val="22"/>
          <w:color w:val="auto"/>
        </w:rPr>
      </w:pPr>
      <w:r>
        <w:rPr>
          <w:rFonts w:ascii="Arial" w:cs="Arial" w:eastAsia="Arial" w:hAnsi="Arial"/>
          <w:sz w:val="22"/>
          <w:szCs w:val="22"/>
          <w:color w:val="auto"/>
        </w:rPr>
        <w:t>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91" w:lineRule="exact"/>
        <w:rPr>
          <w:rFonts w:ascii="Arial" w:cs="Arial" w:eastAsia="Arial" w:hAnsi="Arial"/>
          <w:sz w:val="22"/>
          <w:szCs w:val="22"/>
          <w:color w:val="auto"/>
        </w:rPr>
      </w:pPr>
    </w:p>
    <w:p>
      <w:pPr>
        <w:jc w:val="both"/>
        <w:ind w:left="660" w:firstLine="644"/>
        <w:spacing w:after="0" w:line="248" w:lineRule="auto"/>
        <w:tabs>
          <w:tab w:leader="none" w:pos="1951" w:val="left"/>
        </w:tabs>
        <w:numPr>
          <w:ilvl w:val="1"/>
          <w:numId w:val="50"/>
        </w:numPr>
        <w:rPr>
          <w:rFonts w:ascii="Arial" w:cs="Arial" w:eastAsia="Arial" w:hAnsi="Arial"/>
          <w:sz w:val="22"/>
          <w:szCs w:val="22"/>
          <w:color w:val="auto"/>
        </w:rPr>
      </w:pPr>
      <w:r>
        <w:rPr>
          <w:rFonts w:ascii="Arial" w:cs="Arial" w:eastAsia="Arial" w:hAnsi="Arial"/>
          <w:sz w:val="22"/>
          <w:szCs w:val="22"/>
          <w:color w:val="auto"/>
        </w:rPr>
        <w:t>In the event that the Agent is a Covered Entity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191" w:lineRule="exact"/>
        <w:rPr>
          <w:rFonts w:ascii="Arial" w:cs="Arial" w:eastAsia="Arial" w:hAnsi="Arial"/>
          <w:sz w:val="22"/>
          <w:szCs w:val="22"/>
          <w:color w:val="auto"/>
        </w:rPr>
      </w:pPr>
    </w:p>
    <w:p>
      <w:pPr>
        <w:ind w:left="1940" w:hanging="636"/>
        <w:spacing w:after="0"/>
        <w:tabs>
          <w:tab w:leader="none" w:pos="1940" w:val="left"/>
        </w:tabs>
        <w:numPr>
          <w:ilvl w:val="1"/>
          <w:numId w:val="50"/>
        </w:numPr>
        <w:rPr>
          <w:rFonts w:ascii="Arial" w:cs="Arial" w:eastAsia="Arial" w:hAnsi="Arial"/>
          <w:sz w:val="22"/>
          <w:szCs w:val="22"/>
          <w:color w:val="auto"/>
        </w:rPr>
      </w:pPr>
      <w:r>
        <w:rPr>
          <w:rFonts w:ascii="Arial" w:cs="Arial" w:eastAsia="Arial" w:hAnsi="Arial"/>
          <w:sz w:val="22"/>
          <w:szCs w:val="22"/>
          <w:color w:val="auto"/>
        </w:rPr>
        <w:t>As used in this Section 8(i):</w:t>
      </w:r>
    </w:p>
    <w:p>
      <w:pPr>
        <w:spacing w:after="0" w:line="220"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“BHC Act Affiliate” has the meaning assigned to the term “affiliate” in, and shall be interpreted in accordance with, 12 U.S.C. § 1841(k).</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“Covered Entity” means any of the following:</w:t>
      </w:r>
    </w:p>
    <w:p>
      <w:pPr>
        <w:spacing w:after="0" w:line="220" w:lineRule="exact"/>
        <w:rPr>
          <w:sz w:val="20"/>
          <w:szCs w:val="20"/>
          <w:color w:val="auto"/>
        </w:rPr>
      </w:pPr>
    </w:p>
    <w:p>
      <w:pPr>
        <w:ind w:left="1560" w:hanging="256"/>
        <w:spacing w:after="0"/>
        <w:tabs>
          <w:tab w:leader="none" w:pos="1560" w:val="left"/>
        </w:tabs>
        <w:numPr>
          <w:ilvl w:val="0"/>
          <w:numId w:val="51"/>
        </w:numPr>
        <w:rPr>
          <w:rFonts w:ascii="Arial" w:cs="Arial" w:eastAsia="Arial" w:hAnsi="Arial"/>
          <w:sz w:val="21"/>
          <w:szCs w:val="21"/>
          <w:color w:val="auto"/>
        </w:rPr>
      </w:pPr>
      <w:r>
        <w:rPr>
          <w:rFonts w:ascii="Arial" w:cs="Arial" w:eastAsia="Arial" w:hAnsi="Arial"/>
          <w:sz w:val="21"/>
          <w:szCs w:val="21"/>
          <w:color w:val="auto"/>
        </w:rPr>
        <w:t>a “covered entity” as that term is defined in, and interpreted in accordance with, 12 C.F.R. § 252.82(b);</w:t>
      </w:r>
    </w:p>
    <w:p>
      <w:pPr>
        <w:spacing w:after="0" w:line="231" w:lineRule="exact"/>
        <w:rPr>
          <w:rFonts w:ascii="Arial" w:cs="Arial" w:eastAsia="Arial" w:hAnsi="Arial"/>
          <w:sz w:val="21"/>
          <w:szCs w:val="21"/>
          <w:color w:val="auto"/>
        </w:rPr>
      </w:pPr>
    </w:p>
    <w:p>
      <w:pPr>
        <w:ind w:left="1620" w:hanging="316"/>
        <w:spacing w:after="0"/>
        <w:tabs>
          <w:tab w:leader="none" w:pos="1620" w:val="left"/>
        </w:tabs>
        <w:numPr>
          <w:ilvl w:val="0"/>
          <w:numId w:val="51"/>
        </w:numPr>
        <w:rPr>
          <w:rFonts w:ascii="Arial" w:cs="Arial" w:eastAsia="Arial" w:hAnsi="Arial"/>
          <w:sz w:val="21"/>
          <w:szCs w:val="21"/>
          <w:color w:val="auto"/>
        </w:rPr>
      </w:pPr>
      <w:r>
        <w:rPr>
          <w:rFonts w:ascii="Arial" w:cs="Arial" w:eastAsia="Arial" w:hAnsi="Arial"/>
          <w:sz w:val="21"/>
          <w:szCs w:val="21"/>
          <w:color w:val="auto"/>
        </w:rPr>
        <w:t>a “covered bank” as that term is defined in, and interpreted in accordance with, 12 C.F.R. § 47.3(b); or</w:t>
      </w:r>
    </w:p>
    <w:p>
      <w:pPr>
        <w:spacing w:after="0" w:line="231" w:lineRule="exact"/>
        <w:rPr>
          <w:rFonts w:ascii="Arial" w:cs="Arial" w:eastAsia="Arial" w:hAnsi="Arial"/>
          <w:sz w:val="21"/>
          <w:szCs w:val="21"/>
          <w:color w:val="auto"/>
        </w:rPr>
      </w:pPr>
    </w:p>
    <w:p>
      <w:pPr>
        <w:ind w:left="1680" w:hanging="376"/>
        <w:spacing w:after="0"/>
        <w:tabs>
          <w:tab w:leader="none" w:pos="16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a “covered FSI” as that term is defined in, and interpreted in accordance with, 12 C.F.R. § 382.2(b).</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04" w:lineRule="exact"/>
        <w:rPr>
          <w:sz w:val="20"/>
          <w:szCs w:val="20"/>
          <w:color w:val="auto"/>
        </w:rPr>
      </w:pPr>
    </w:p>
    <w:p>
      <w:pPr>
        <w:jc w:val="both"/>
        <w:ind w:left="180"/>
        <w:spacing w:after="0" w:line="263" w:lineRule="auto"/>
        <w:rPr>
          <w:sz w:val="20"/>
          <w:szCs w:val="20"/>
          <w:color w:val="auto"/>
        </w:rPr>
      </w:pPr>
      <w:r>
        <w:rPr>
          <w:rFonts w:ascii="Arial" w:cs="Arial" w:eastAsia="Arial" w:hAnsi="Arial"/>
          <w:sz w:val="22"/>
          <w:szCs w:val="22"/>
          <w:color w:val="auto"/>
        </w:rPr>
        <w:t>“Default Right” has the meaning assigned to that term in, and shall be interpreted in accordance with, 12 C.F.R. §§ 252.81, 47.2 or 382.1, as applicable.</w:t>
      </w:r>
    </w:p>
    <w:p>
      <w:pPr>
        <w:spacing w:after="0" w:line="175" w:lineRule="exact"/>
        <w:rPr>
          <w:sz w:val="20"/>
          <w:szCs w:val="20"/>
          <w:color w:val="auto"/>
        </w:rPr>
      </w:pPr>
    </w:p>
    <w:p>
      <w:pPr>
        <w:jc w:val="both"/>
        <w:ind w:left="180"/>
        <w:spacing w:after="0" w:line="253" w:lineRule="auto"/>
        <w:rPr>
          <w:sz w:val="20"/>
          <w:szCs w:val="20"/>
          <w:color w:val="auto"/>
        </w:rPr>
      </w:pPr>
      <w:r>
        <w:rPr>
          <w:rFonts w:ascii="Arial" w:cs="Arial" w:eastAsia="Arial" w:hAnsi="Arial"/>
          <w:sz w:val="22"/>
          <w:szCs w:val="22"/>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820"/>
        <w:spacing w:after="0"/>
        <w:rPr>
          <w:sz w:val="20"/>
          <w:szCs w:val="20"/>
          <w:color w:val="auto"/>
        </w:rPr>
      </w:pPr>
      <w:r>
        <w:rPr>
          <w:rFonts w:ascii="Arial" w:cs="Arial" w:eastAsia="Arial" w:hAnsi="Arial"/>
          <w:sz w:val="22"/>
          <w:szCs w:val="22"/>
          <w:i w:val="1"/>
          <w:iCs w:val="1"/>
          <w:color w:val="auto"/>
        </w:rPr>
        <w:t>[Signature Page Immediately Follows]</w:t>
      </w:r>
    </w:p>
    <w:p>
      <w:pPr>
        <w:spacing w:after="0" w:line="200" w:lineRule="exact"/>
        <w:rPr>
          <w:sz w:val="20"/>
          <w:szCs w:val="20"/>
          <w:color w:val="auto"/>
        </w:rPr>
      </w:pPr>
    </w:p>
    <w:p>
      <w:pPr>
        <w:spacing w:after="0" w:line="3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0120"/>
          </w:cols>
          <w:pgMar w:left="1440" w:top="1440" w:right="339" w:bottom="1440" w:gutter="0" w:footer="0" w:header="0"/>
        </w:sectPr>
      </w:pPr>
    </w:p>
    <w:bookmarkStart w:id="44" w:name="page45"/>
    <w:bookmarkEnd w:id="44"/>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200" w:lineRule="exact"/>
        <w:rPr>
          <w:sz w:val="20"/>
          <w:szCs w:val="20"/>
          <w:color w:val="auto"/>
        </w:rPr>
      </w:pPr>
    </w:p>
    <w:p>
      <w:pPr>
        <w:spacing w:after="0" w:line="22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Very truly yours,</w:t>
      </w:r>
    </w:p>
    <w:p>
      <w:pPr>
        <w:spacing w:after="0" w:line="241"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ARDELYX, INC.</w:t>
      </w:r>
    </w:p>
    <w:p>
      <w:pPr>
        <w:spacing w:after="0" w:line="253"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-17780</wp:posOffset>
            </wp:positionV>
            <wp:extent cx="1211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Name: Justin Renz</w:t>
      </w:r>
    </w:p>
    <w:p>
      <w:pPr>
        <w:spacing w:after="0" w:line="4"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20" w:firstLine="216"/>
        <w:spacing w:after="0" w:line="263" w:lineRule="auto"/>
        <w:rPr>
          <w:sz w:val="20"/>
          <w:szCs w:val="20"/>
          <w:color w:val="auto"/>
        </w:rPr>
      </w:pPr>
      <w:r>
        <w:rPr>
          <w:rFonts w:ascii="Arial" w:cs="Arial" w:eastAsia="Arial" w:hAnsi="Arial"/>
          <w:sz w:val="22"/>
          <w:szCs w:val="22"/>
          <w:color w:val="auto"/>
        </w:rPr>
        <w:t>The foregoing Agreement is hereby confirmed and accepted by the Agent in New York, New York as of the date first above written.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JEFFERIES LLC</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By: /s/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938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 Michael Magarro</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Managing Director</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ISSUANCE NOTICE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Jefferies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520 Madison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10022</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Attn: [__________]</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Reference is made to the Open Market Sale Agreement between Ardelyx, Inc. (the “</w:t>
      </w:r>
      <w:r>
        <w:rPr>
          <w:rFonts w:ascii="Arial" w:cs="Arial" w:eastAsia="Arial" w:hAnsi="Arial"/>
          <w:sz w:val="22"/>
          <w:szCs w:val="22"/>
          <w:b w:val="1"/>
          <w:bCs w:val="1"/>
          <w:color w:val="auto"/>
        </w:rPr>
        <w:t>Company</w:t>
      </w:r>
      <w:r>
        <w:rPr>
          <w:rFonts w:ascii="Arial" w:cs="Arial" w:eastAsia="Arial" w:hAnsi="Arial"/>
          <w:sz w:val="22"/>
          <w:szCs w:val="22"/>
          <w:color w:val="auto"/>
        </w:rPr>
        <w:t>”) and Jefferies LLC (the “</w:t>
      </w:r>
      <w:r>
        <w:rPr>
          <w:rFonts w:ascii="Arial" w:cs="Arial" w:eastAsia="Arial" w:hAnsi="Arial"/>
          <w:sz w:val="22"/>
          <w:szCs w:val="22"/>
          <w:b w:val="1"/>
          <w:bCs w:val="1"/>
          <w:color w:val="auto"/>
        </w:rPr>
        <w:t>Agent</w:t>
      </w:r>
      <w:r>
        <w:rPr>
          <w:rFonts w:ascii="Arial" w:cs="Arial" w:eastAsia="Arial" w:hAnsi="Arial"/>
          <w:sz w:val="22"/>
          <w:szCs w:val="22"/>
          <w:color w:val="auto"/>
        </w:rPr>
        <w:t>”) dated as of August [13], 2021. The Company confirms that all conditions to the delivery of this Issuance Notice are satisfied as of the date hereof.</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of Delivery of Issuance Notice (determined pursuant to </w:t>
      </w:r>
      <w:r>
        <w:rPr>
          <w:rFonts w:ascii="Arial" w:cs="Arial" w:eastAsia="Arial" w:hAnsi="Arial"/>
          <w:sz w:val="22"/>
          <w:szCs w:val="22"/>
          <w:u w:val="single" w:color="auto"/>
          <w:color w:val="auto"/>
        </w:rPr>
        <w:t>Section 3(b)(i)</w:t>
      </w:r>
      <w:r>
        <w:rPr>
          <w:rFonts w:ascii="Arial" w:cs="Arial" w:eastAsia="Arial" w:hAnsi="Arial"/>
          <w:sz w:val="22"/>
          <w:szCs w:val="22"/>
          <w:color w:val="auto"/>
        </w:rPr>
        <w:t>): 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Issuance Amount (equal to the total Sales Price for such Shares):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-17780</wp:posOffset>
            </wp:positionV>
            <wp:extent cx="548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-17780</wp:posOffset>
            </wp:positionV>
            <wp:extent cx="5486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1628140</wp:posOffset>
            </wp:positionH>
            <wp:positionV relativeFrom="paragraph">
              <wp:posOffset>-17780</wp:posOffset>
            </wp:positionV>
            <wp:extent cx="5486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1612265</wp:posOffset>
            </wp:positionH>
            <wp:positionV relativeFrom="paragraph">
              <wp:posOffset>-17780</wp:posOffset>
            </wp:positionV>
            <wp:extent cx="548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281305</wp:posOffset>
            </wp:positionV>
            <wp:extent cx="5486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Floor Price Limitation (in no event less than $1.00 without the prior written consent of the Agent, which consent may be withheld in the Agent’s sole discretion): $ ____ per share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-17780</wp:posOffset>
            </wp:positionV>
            <wp:extent cx="16459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w:t>
      </w:r>
    </w:p>
    <w:p>
      <w:pPr>
        <w:spacing w:after="0" w:line="24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-17780</wp:posOffset>
            </wp:positionV>
            <wp:extent cx="9601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OFFICER’S CERTIFICATE</w:t>
      </w:r>
    </w:p>
    <w:p>
      <w:pPr>
        <w:spacing w:after="0" w:line="220" w:lineRule="exact"/>
        <w:rPr>
          <w:sz w:val="20"/>
          <w:szCs w:val="20"/>
          <w:color w:val="auto"/>
        </w:rPr>
      </w:pPr>
    </w:p>
    <w:p>
      <w:pPr>
        <w:ind w:left="4740"/>
        <w:spacing w:after="0"/>
        <w:rPr>
          <w:sz w:val="20"/>
          <w:szCs w:val="20"/>
          <w:color w:val="auto"/>
        </w:rPr>
      </w:pPr>
      <w:r>
        <w:rPr>
          <w:rFonts w:ascii="Arial" w:cs="Arial" w:eastAsia="Arial" w:hAnsi="Arial"/>
          <w:sz w:val="22"/>
          <w:szCs w:val="22"/>
          <w:b w:val="1"/>
          <w:bCs w:val="1"/>
          <w:u w:val="single" w:color="auto"/>
          <w:color w:val="auto"/>
        </w:rPr>
        <w:t>___________</w:t>
      </w:r>
      <w:r>
        <w:rPr>
          <w:rFonts w:ascii="Arial" w:cs="Arial" w:eastAsia="Arial" w:hAnsi="Arial"/>
          <w:sz w:val="22"/>
          <w:szCs w:val="22"/>
          <w:b w:val="1"/>
          <w:bCs w:val="1"/>
          <w:color w:val="auto"/>
        </w:rPr>
        <w:t>, 20[_]</w:t>
      </w:r>
    </w:p>
    <w:p>
      <w:pPr>
        <w:spacing w:after="0" w:line="247"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Reference is made to that certain Open Market Sale Agreement, dated as of August [13], 2021 (the “</w:t>
      </w:r>
      <w:r>
        <w:rPr>
          <w:rFonts w:ascii="Arial" w:cs="Arial" w:eastAsia="Arial" w:hAnsi="Arial"/>
          <w:sz w:val="22"/>
          <w:szCs w:val="22"/>
          <w:b w:val="1"/>
          <w:bCs w:val="1"/>
          <w:color w:val="auto"/>
        </w:rPr>
        <w:t>Agreement</w:t>
      </w:r>
      <w:r>
        <w:rPr>
          <w:rFonts w:ascii="Arial" w:cs="Arial" w:eastAsia="Arial" w:hAnsi="Arial"/>
          <w:sz w:val="22"/>
          <w:szCs w:val="22"/>
          <w:color w:val="auto"/>
        </w:rPr>
        <w:t>”), by and between Ardelyx,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Jefferies LLC. Capitalized terms used without definition herein shall have the meanings assigned thereto in the Agreement.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undersigned, being the _________ of the Company, hereby certifies on behalf of the Company and not in a personal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capacity (and with no personal liability therefor) as follows:</w:t>
      </w:r>
    </w:p>
    <w:p>
      <w:pPr>
        <w:spacing w:after="0" w:line="202" w:lineRule="exact"/>
        <w:rPr>
          <w:sz w:val="20"/>
          <w:szCs w:val="20"/>
          <w:color w:val="auto"/>
        </w:rPr>
      </w:pPr>
    </w:p>
    <w:p>
      <w:pPr>
        <w:ind w:left="660" w:right="140" w:hanging="328"/>
        <w:spacing w:after="0" w:line="263" w:lineRule="auto"/>
        <w:tabs>
          <w:tab w:leader="none" w:pos="552" w:val="left"/>
        </w:tabs>
        <w:numPr>
          <w:ilvl w:val="0"/>
          <w:numId w:val="52"/>
        </w:numPr>
        <w:rPr>
          <w:rFonts w:ascii="Arial" w:cs="Arial" w:eastAsia="Arial" w:hAnsi="Arial"/>
          <w:sz w:val="22"/>
          <w:szCs w:val="22"/>
          <w:color w:val="auto"/>
        </w:rPr>
      </w:pPr>
      <w:r>
        <w:rPr>
          <w:rFonts w:ascii="Arial" w:cs="Arial" w:eastAsia="Arial" w:hAnsi="Arial"/>
          <w:sz w:val="22"/>
          <w:szCs w:val="22"/>
          <w:color w:val="auto"/>
        </w:rPr>
        <w:t>No stop order suspending the effectiveness of the Registration Statement is in effect, and no proceedings for such purpose are pending before or, to the best of my knowledge, threatened by the Commission.</w:t>
      </w:r>
    </w:p>
    <w:p>
      <w:pPr>
        <w:spacing w:after="0" w:line="174" w:lineRule="exact"/>
        <w:rPr>
          <w:rFonts w:ascii="Arial" w:cs="Arial" w:eastAsia="Arial" w:hAnsi="Arial"/>
          <w:sz w:val="22"/>
          <w:szCs w:val="22"/>
          <w:color w:val="auto"/>
        </w:rPr>
      </w:pPr>
    </w:p>
    <w:p>
      <w:pPr>
        <w:ind w:left="660" w:hanging="328"/>
        <w:spacing w:after="0" w:line="312" w:lineRule="auto"/>
        <w:tabs>
          <w:tab w:leader="none" w:pos="552"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representations and warranties of the Company in Section 2 of the Agreement are true and correct on and as of the date hereof with the same force and effect as if expressly made on and as of the date hereof, except for those representations and warranties that speak solely as of a specific date and which were true and correct as of such date.</w:t>
      </w:r>
    </w:p>
    <w:p>
      <w:pPr>
        <w:spacing w:after="0" w:line="133" w:lineRule="exact"/>
        <w:rPr>
          <w:rFonts w:ascii="Arial" w:cs="Arial" w:eastAsia="Arial" w:hAnsi="Arial"/>
          <w:sz w:val="19"/>
          <w:szCs w:val="19"/>
          <w:color w:val="auto"/>
        </w:rPr>
      </w:pPr>
    </w:p>
    <w:p>
      <w:pPr>
        <w:ind w:left="540" w:hanging="208"/>
        <w:spacing w:after="0"/>
        <w:tabs>
          <w:tab w:leader="none" w:pos="5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Company has performed all of its obligations under the Agreement to be performed on or prior to the date hereof.</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Immediately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220"/>
          </w:cols>
          <w:pgMar w:left="320" w:top="1440" w:right="359" w:bottom="1440" w:gutter="0" w:footer="0" w:header="0"/>
        </w:sectPr>
      </w:pPr>
    </w:p>
    <w:bookmarkStart w:id="47" w:name="page48"/>
    <w:bookmarkEnd w:id="47"/>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certificate to be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2797175</wp:posOffset>
            </wp:positionH>
            <wp:positionV relativeFrom="paragraph">
              <wp:posOffset>594995</wp:posOffset>
            </wp:positionV>
            <wp:extent cx="16973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0240"/>
          </w:cols>
          <w:pgMar w:left="540" w:top="1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Name:</w:t>
      </w:r>
    </w:p>
    <w:p>
      <w:pPr>
        <w:spacing w:after="0" w:line="92"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240"/>
          </w:cols>
          <w:pgMar w:left="540" w:top="1440" w:right="1119" w:bottom="1440" w:gutter="0" w:footer="0" w:header="0"/>
          <w:type w:val="continuous"/>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SECRETARY’S CERTIFICATE</w:t>
      </w:r>
    </w:p>
    <w:p>
      <w:pPr>
        <w:spacing w:after="0" w:line="226"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_____________, 20__</w:t>
      </w:r>
    </w:p>
    <w:p>
      <w:pPr>
        <w:spacing w:after="0" w:line="2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Reference is made to that certain Open Market Sale Agreement, dated as of August [13], 2021 (the “</w:t>
      </w:r>
      <w:r>
        <w:rPr>
          <w:rFonts w:ascii="Arial" w:cs="Arial" w:eastAsia="Arial" w:hAnsi="Arial"/>
          <w:sz w:val="22"/>
          <w:szCs w:val="22"/>
          <w:b w:val="1"/>
          <w:bCs w:val="1"/>
          <w:color w:val="auto"/>
        </w:rPr>
        <w:t>Agreement</w:t>
      </w:r>
      <w:r>
        <w:rPr>
          <w:rFonts w:ascii="Arial" w:cs="Arial" w:eastAsia="Arial" w:hAnsi="Arial"/>
          <w:sz w:val="22"/>
          <w:szCs w:val="22"/>
          <w:color w:val="auto"/>
        </w:rPr>
        <w:t>”) by and between Ardelyx,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Jefferies LLC. Capitalized terms used without definition herein shall have the meanings assigned thereto in the Agreement.</w:t>
      </w:r>
    </w:p>
    <w:p>
      <w:pPr>
        <w:spacing w:after="0" w:line="18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undersigned, being the [Secretary][Assistant Secretary] of the Company, hereby certifies on behalf of the Company, and not in a personal capacity (and with no personal liability therefor) as follows:</w:t>
      </w:r>
    </w:p>
    <w:p>
      <w:pPr>
        <w:spacing w:after="0" w:line="175" w:lineRule="exact"/>
        <w:rPr>
          <w:sz w:val="20"/>
          <w:szCs w:val="20"/>
          <w:color w:val="auto"/>
        </w:rPr>
      </w:pPr>
    </w:p>
    <w:p>
      <w:pPr>
        <w:jc w:val="both"/>
        <w:ind w:left="660" w:hanging="328"/>
        <w:spacing w:after="0" w:line="253" w:lineRule="auto"/>
        <w:tabs>
          <w:tab w:leader="none" w:pos="6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No proceeding for the dissolution, merger, consolidation or liquidation of the Company or for the sale of all or substantially all of its assets is pending or, to the best of my knowledge, threatened, and no such proceeding is contemplated by the Company.</w:t>
      </w:r>
    </w:p>
    <w:p>
      <w:pPr>
        <w:spacing w:after="0" w:line="185" w:lineRule="exact"/>
        <w:rPr>
          <w:rFonts w:ascii="Arial" w:cs="Arial" w:eastAsia="Arial" w:hAnsi="Arial"/>
          <w:sz w:val="22"/>
          <w:szCs w:val="22"/>
          <w:color w:val="auto"/>
        </w:rPr>
      </w:pPr>
    </w:p>
    <w:p>
      <w:pPr>
        <w:jc w:val="both"/>
        <w:ind w:left="660" w:hanging="328"/>
        <w:spacing w:after="0" w:line="248" w:lineRule="auto"/>
        <w:tabs>
          <w:tab w:leader="none" w:pos="6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Attached hereto as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is a true, correct and complete copy of the Amended and Restated Certificate of Incorporation of the Company, as amended to date (the “</w:t>
      </w:r>
      <w:r>
        <w:rPr>
          <w:rFonts w:ascii="Arial" w:cs="Arial" w:eastAsia="Arial" w:hAnsi="Arial"/>
          <w:sz w:val="22"/>
          <w:szCs w:val="22"/>
          <w:b w:val="1"/>
          <w:bCs w:val="1"/>
          <w:color w:val="auto"/>
        </w:rPr>
        <w:t>Certificate of Incorporation</w:t>
      </w:r>
      <w:r>
        <w:rPr>
          <w:rFonts w:ascii="Arial" w:cs="Arial" w:eastAsia="Arial" w:hAnsi="Arial"/>
          <w:sz w:val="22"/>
          <w:szCs w:val="22"/>
          <w:color w:val="auto"/>
        </w:rPr>
        <w:t>”), as certified by an appropriate public official of the State of Delaware and as in full force and effect as of _________, 20__. No action has been taken by the Company or its stockholders, directors or officers to effect or authorize any amendment or other modification to the Certificate of Incorporation since such date.</w:t>
      </w:r>
    </w:p>
    <w:p>
      <w:pPr>
        <w:spacing w:after="0" w:line="218" w:lineRule="exact"/>
        <w:rPr>
          <w:rFonts w:ascii="Arial" w:cs="Arial" w:eastAsia="Arial" w:hAnsi="Arial"/>
          <w:sz w:val="22"/>
          <w:szCs w:val="22"/>
          <w:color w:val="auto"/>
        </w:rPr>
      </w:pPr>
    </w:p>
    <w:p>
      <w:pPr>
        <w:jc w:val="both"/>
        <w:ind w:left="660" w:hanging="328"/>
        <w:spacing w:after="0" w:line="250" w:lineRule="auto"/>
        <w:tabs>
          <w:tab w:leader="none" w:pos="6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is a true, correct and complete copy of the Amended and Restated Bylaws of the Company (the “</w:t>
      </w:r>
      <w:r>
        <w:rPr>
          <w:rFonts w:ascii="Arial" w:cs="Arial" w:eastAsia="Arial" w:hAnsi="Arial"/>
          <w:sz w:val="22"/>
          <w:szCs w:val="22"/>
          <w:b w:val="1"/>
          <w:bCs w:val="1"/>
          <w:color w:val="auto"/>
        </w:rPr>
        <w:t>Bylaws</w:t>
      </w:r>
      <w:r>
        <w:rPr>
          <w:rFonts w:ascii="Arial" w:cs="Arial" w:eastAsia="Arial" w:hAnsi="Arial"/>
          <w:sz w:val="22"/>
          <w:szCs w:val="22"/>
          <w:color w:val="auto"/>
        </w:rPr>
        <w:t>”) as in effect at the date hereof and at all times since _________, 20__. No action has been taken by the Company or its stockholders, directors or officers to effect or authorize any amendment or other modification to the Bylaws.</w:t>
      </w:r>
    </w:p>
    <w:p>
      <w:pPr>
        <w:spacing w:after="0" w:line="187" w:lineRule="exact"/>
        <w:rPr>
          <w:rFonts w:ascii="Arial" w:cs="Arial" w:eastAsia="Arial" w:hAnsi="Arial"/>
          <w:sz w:val="22"/>
          <w:szCs w:val="22"/>
          <w:color w:val="auto"/>
        </w:rPr>
      </w:pPr>
    </w:p>
    <w:p>
      <w:pPr>
        <w:jc w:val="both"/>
        <w:ind w:left="660" w:hanging="328"/>
        <w:spacing w:after="0" w:line="246" w:lineRule="auto"/>
        <w:tabs>
          <w:tab w:leader="none" w:pos="6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Attached hereto as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is a true, correct and complete copy of resolutions duly adopted by the Board of Directors of the Company on __________, 20__ authorizing the filing of the Registration Statement and the Prospectus, the execution and delivery of the Agreement and the consummation of the transactions contemplated thereby (including, without limitation, the issuance of the Shares pursuant to the Agreement). Such resolutions have not been amended or modified, are in full force and effect in the form adopted and are the only resolutions adopted by the Board of Directors or by any committee or officers of or designated by the Board of Directors relating to the Registration Statement, the offering of the Shares and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320" w:right="20" w:hanging="319"/>
        <w:spacing w:after="0" w:line="263" w:lineRule="auto"/>
        <w:tabs>
          <w:tab w:leader="none" w:pos="300" w:val="left"/>
        </w:tabs>
        <w:rPr>
          <w:sz w:val="20"/>
          <w:szCs w:val="20"/>
          <w:color w:val="auto"/>
        </w:rPr>
      </w:pPr>
      <w:r>
        <w:rPr>
          <w:rFonts w:ascii="Arial" w:cs="Arial" w:eastAsia="Arial" w:hAnsi="Arial"/>
          <w:sz w:val="22"/>
          <w:szCs w:val="22"/>
          <w:color w:val="auto"/>
        </w:rPr>
        <w:t>5.</w:t>
        <w:tab/>
        <w:t>The Agreement as executed and delivered by the Company is in substantially the form approved by the Company’s Board of Directors in the resolutions referred to in paragraph 4 above.</w:t>
      </w:r>
    </w:p>
    <w:p>
      <w:pPr>
        <w:spacing w:after="0" w:line="175" w:lineRule="exact"/>
        <w:rPr>
          <w:sz w:val="20"/>
          <w:szCs w:val="20"/>
          <w:color w:val="auto"/>
        </w:rPr>
      </w:pPr>
    </w:p>
    <w:p>
      <w:pPr>
        <w:jc w:val="both"/>
        <w:ind w:left="320" w:hanging="319"/>
        <w:spacing w:after="0" w:line="302" w:lineRule="auto"/>
        <w:tabs>
          <w:tab w:leader="none" w:pos="300" w:val="left"/>
        </w:tabs>
        <w:rPr>
          <w:sz w:val="20"/>
          <w:szCs w:val="20"/>
          <w:color w:val="auto"/>
        </w:rPr>
      </w:pPr>
      <w:r>
        <w:rPr>
          <w:rFonts w:ascii="Arial" w:cs="Arial" w:eastAsia="Arial" w:hAnsi="Arial"/>
          <w:sz w:val="19"/>
          <w:szCs w:val="19"/>
          <w:color w:val="auto"/>
        </w:rPr>
        <w:t>6.</w:t>
        <w:tab/>
        <w:t>Each person who, as an officer or director of the Company, signed the Registration Statement and any amendment thereto was duly elected or appointed, qualified and acting as such officer or director at the respective times of the signing thereof and was duly authorized to sign such document on behalf of the Company, and the signature of each such person appearing on each such document is the genuine signature of such officer or director.</w:t>
      </w:r>
    </w:p>
    <w:p>
      <w:pPr>
        <w:spacing w:after="0" w:line="142" w:lineRule="exact"/>
        <w:rPr>
          <w:sz w:val="20"/>
          <w:szCs w:val="20"/>
          <w:color w:val="auto"/>
        </w:rPr>
      </w:pPr>
    </w:p>
    <w:p>
      <w:pPr>
        <w:jc w:val="both"/>
        <w:ind w:left="320" w:hanging="319"/>
        <w:spacing w:after="0" w:line="248" w:lineRule="auto"/>
        <w:tabs>
          <w:tab w:leader="none" w:pos="300" w:val="left"/>
        </w:tabs>
        <w:rPr>
          <w:sz w:val="20"/>
          <w:szCs w:val="20"/>
          <w:color w:val="auto"/>
        </w:rPr>
      </w:pPr>
      <w:r>
        <w:rPr>
          <w:rFonts w:ascii="Arial" w:cs="Arial" w:eastAsia="Arial" w:hAnsi="Arial"/>
          <w:sz w:val="22"/>
          <w:szCs w:val="22"/>
          <w:color w:val="auto"/>
        </w:rPr>
        <w:t>7.</w:t>
        <w:tab/>
        <w:t>Each person who, as an officer of the Company, signed (a) the Agreement or (b) any other document delivered in connection with the sale and public offering of the Shares and the settlement related thereto was duly elected or appointed, qualified and acting as such officer at the respective times of the signing and delivery thereof and was duly authorized to sign such document on behalf of the Company, and the signature of each such person appearing on each such document is the genuine signature of such officer.</w:t>
      </w:r>
    </w:p>
    <w:p>
      <w:pPr>
        <w:spacing w:after="0" w:line="192" w:lineRule="exact"/>
        <w:rPr>
          <w:sz w:val="20"/>
          <w:szCs w:val="20"/>
          <w:color w:val="auto"/>
        </w:rPr>
      </w:pPr>
    </w:p>
    <w:p>
      <w:pPr>
        <w:jc w:val="both"/>
        <w:ind w:left="320" w:hanging="319"/>
        <w:spacing w:after="0" w:line="286" w:lineRule="auto"/>
        <w:tabs>
          <w:tab w:leader="none" w:pos="300" w:val="left"/>
        </w:tabs>
        <w:rPr>
          <w:sz w:val="20"/>
          <w:szCs w:val="20"/>
          <w:color w:val="auto"/>
        </w:rPr>
      </w:pPr>
      <w:r>
        <w:rPr>
          <w:rFonts w:ascii="Arial" w:cs="Arial" w:eastAsia="Arial" w:hAnsi="Arial"/>
          <w:sz w:val="19"/>
          <w:szCs w:val="19"/>
          <w:color w:val="auto"/>
        </w:rPr>
        <w:t>8.</w:t>
        <w:tab/>
        <w:t>The minute books and records of the Company relating to all proceedings of the stockholders and the Board of Directors (and any committee of the Board of Directors) of the Company made available to Latham &amp; Watkins LLP and Davis Polk &amp; Wardwell LLP are the original minute books and records of the Company, or are true, correct and complete copies thereof, with respect to all proceedings of said stockholders, Board of Directors and committees since _________, 20__.</w:t>
      </w:r>
    </w:p>
    <w:p>
      <w:pPr>
        <w:spacing w:after="0" w:line="3" w:lineRule="exact"/>
        <w:rPr>
          <w:sz w:val="20"/>
          <w:szCs w:val="20"/>
          <w:color w:val="auto"/>
        </w:rPr>
      </w:pPr>
    </w:p>
    <w:p>
      <w:pPr>
        <w:ind w:left="320"/>
        <w:spacing w:after="0" w:line="281" w:lineRule="auto"/>
        <w:rPr>
          <w:sz w:val="20"/>
          <w:szCs w:val="20"/>
          <w:color w:val="auto"/>
        </w:rPr>
      </w:pPr>
      <w:r>
        <w:rPr>
          <w:rFonts w:ascii="Arial" w:cs="Arial" w:eastAsia="Arial" w:hAnsi="Arial"/>
          <w:sz w:val="19"/>
          <w:szCs w:val="19"/>
          <w:color w:val="auto"/>
        </w:rPr>
        <w:t>The minute books, records and other documents of the Company made available to Latham &amp; Watkins LLP and Davis Polk &amp; Wardwell LLP were true, correct and complete in all respects, except for _________. There have been no material</w:t>
      </w:r>
    </w:p>
    <w:p>
      <w:pPr>
        <w:spacing w:after="0" w:line="1" w:lineRule="exact"/>
        <w:rPr>
          <w:sz w:val="20"/>
          <w:szCs w:val="20"/>
          <w:color w:val="auto"/>
        </w:rPr>
      </w:pPr>
    </w:p>
    <w:p>
      <w:pPr>
        <w:ind w:left="320"/>
        <w:spacing w:after="0" w:line="246" w:lineRule="auto"/>
        <w:rPr>
          <w:sz w:val="20"/>
          <w:szCs w:val="20"/>
          <w:color w:val="auto"/>
        </w:rPr>
      </w:pPr>
      <w:r>
        <w:rPr>
          <w:rFonts w:ascii="Arial" w:cs="Arial" w:eastAsia="Arial" w:hAnsi="Arial"/>
          <w:sz w:val="22"/>
          <w:szCs w:val="22"/>
          <w:color w:val="auto"/>
        </w:rPr>
        <w:t>changes, additions or alterations in said minute books, records and other documents that have not been disclosed to Latham &amp; Watkins LLP Davis Polk &amp; Wardwell LLP in writing.</w:t>
      </w:r>
    </w:p>
    <w:p>
      <w:pPr>
        <w:spacing w:after="0" w:line="192" w:lineRule="exact"/>
        <w:rPr>
          <w:sz w:val="20"/>
          <w:szCs w:val="20"/>
          <w:color w:val="auto"/>
        </w:rPr>
      </w:pPr>
    </w:p>
    <w:p>
      <w:pPr>
        <w:ind w:left="3280"/>
        <w:spacing w:after="0"/>
        <w:tabs>
          <w:tab w:leader="none" w:pos="39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Signature Page Immediately Follows</w:t>
      </w:r>
      <w:r>
        <w:rPr>
          <w:rFonts w:ascii="Arial" w:cs="Arial" w:eastAsia="Arial" w:hAnsi="Arial"/>
          <w:sz w:val="22"/>
          <w:szCs w:val="22"/>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C-2</w:t>
      </w:r>
    </w:p>
    <w:p>
      <w:pPr>
        <w:sectPr>
          <w:pgSz w:w="11900" w:h="16838" w:orient="portrait"/>
          <w:cols w:equalWidth="0" w:num="1">
            <w:col w:w="10900"/>
          </w:cols>
          <w:pgMar w:left="660" w:top="1440" w:right="339" w:bottom="1440" w:gutter="0" w:footer="0" w:header="0"/>
        </w:sectPr>
      </w:pPr>
    </w:p>
    <w:bookmarkStart w:id="50" w:name="page51"/>
    <w:bookmarkEnd w:id="50"/>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certificate to be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2797175</wp:posOffset>
            </wp:positionH>
            <wp:positionV relativeFrom="paragraph">
              <wp:posOffset>749300</wp:posOffset>
            </wp:positionV>
            <wp:extent cx="16973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0240"/>
          </w:cols>
          <w:pgMar w:left="540" w:top="1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4680"/>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0240"/>
          </w:cols>
          <w:pgMar w:left="540" w:top="1440" w:right="1119" w:bottom="1440" w:gutter="0" w:footer="0" w:header="0"/>
          <w:type w:val="continuous"/>
        </w:sectPr>
      </w:pPr>
    </w:p>
    <w:bookmarkStart w:id="51" w:name="page52"/>
    <w:bookmarkEnd w:id="51"/>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Schedule A</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Notice Parties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Company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Michael Raab</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Justin Renz</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Elizabeth Grammer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21"/>
          <w:szCs w:val="21"/>
          <w:color w:val="auto"/>
        </w:rPr>
      </w:pPr>
      <w:r>
        <w:rPr>
          <w:rFonts w:ascii="Arial" w:cs="Arial" w:eastAsia="Arial" w:hAnsi="Arial"/>
          <w:sz w:val="21"/>
          <w:szCs w:val="21"/>
          <w:color w:val="auto"/>
        </w:rPr>
        <w:t>###-####</w:t>
      </w:r>
    </w:p>
    <w:p>
      <w:pPr>
        <w:spacing w:after="0" w:line="240"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u w:val="single" w:color="auto"/>
          <w:color w:val="auto"/>
        </w:rPr>
        <w:t>The Agent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Michael Maggaro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Dustin Tyner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lowerLetter"/>
      <w:start w:val="1"/>
    </w:lvl>
  </w:abstractNum>
  <w:abstractNum w:abstractNumId="2">
    <w:nsid w:val="836C40E"/>
    <w:multiLevelType w:val="hybridMultilevel"/>
    <w:lvl w:ilvl="0">
      <w:lvlJc w:val="left"/>
      <w:lvlText w:val="(%1)"/>
      <w:numFmt w:val="lowerLetter"/>
      <w:start w:val="1"/>
    </w:lvl>
  </w:abstractNum>
  <w:abstractNum w:abstractNumId="3">
    <w:nsid w:val="2901D82"/>
    <w:multiLevelType w:val="hybridMultilevel"/>
    <w:lvl w:ilvl="0">
      <w:lvlJc w:val="left"/>
      <w:lvlText w:val="(%1)"/>
      <w:numFmt w:val="lowerLetter"/>
      <w:start w:val="2"/>
    </w:lvl>
  </w:abstractNum>
  <w:abstractNum w:abstractNumId="4">
    <w:nsid w:val="3A95F874"/>
    <w:multiLevelType w:val="hybridMultilevel"/>
    <w:lvl w:ilvl="0">
      <w:lvlJc w:val="left"/>
      <w:lvlText w:val="(%1)"/>
      <w:numFmt w:val="lowerLetter"/>
      <w:start w:val="3"/>
    </w:lvl>
  </w:abstractNum>
  <w:abstractNum w:abstractNumId="5">
    <w:nsid w:val="8138641"/>
    <w:multiLevelType w:val="hybridMultilevel"/>
    <w:lvl w:ilvl="0">
      <w:lvlJc w:val="left"/>
      <w:lvlText w:val="(%1)"/>
      <w:numFmt w:val="lowerLetter"/>
      <w:start w:val="7"/>
    </w:lvl>
  </w:abstractNum>
  <w:abstractNum w:abstractNumId="6">
    <w:nsid w:val="1E7FF521"/>
    <w:multiLevelType w:val="hybridMultilevel"/>
    <w:lvl w:ilvl="0">
      <w:lvlJc w:val="left"/>
      <w:lvlText w:val="(%1)"/>
      <w:numFmt w:val="lowerLetter"/>
      <w:start w:val="11"/>
    </w:lvl>
  </w:abstractNum>
  <w:abstractNum w:abstractNumId="7">
    <w:nsid w:val="7C3DBD3D"/>
    <w:multiLevelType w:val="hybridMultilevel"/>
    <w:lvl w:ilvl="0">
      <w:lvlJc w:val="left"/>
      <w:lvlText w:val="(%1)"/>
      <w:numFmt w:val="lowerLetter"/>
      <w:start w:val="13"/>
    </w:lvl>
  </w:abstractNum>
  <w:abstractNum w:abstractNumId="8">
    <w:nsid w:val="737B8DDC"/>
    <w:multiLevelType w:val="hybridMultilevel"/>
    <w:lvl w:ilvl="0">
      <w:lvlJc w:val="left"/>
      <w:lvlText w:val="(%1)"/>
      <w:numFmt w:val="lowerLetter"/>
      <w:start w:val="16"/>
    </w:lvl>
  </w:abstractNum>
  <w:abstractNum w:abstractNumId="9">
    <w:nsid w:val="6CEAF087"/>
    <w:multiLevelType w:val="hybridMultilevel"/>
    <w:lvl w:ilvl="0">
      <w:lvlJc w:val="left"/>
      <w:lvlText w:val="(%1)"/>
      <w:numFmt w:val="lowerLetter"/>
      <w:start w:val="20"/>
    </w:lvl>
  </w:abstractNum>
  <w:abstractNum w:abstractNumId="10">
    <w:nsid w:val="22221A70"/>
    <w:multiLevelType w:val="hybridMultilevel"/>
    <w:lvl w:ilvl="0">
      <w:lvlJc w:val="left"/>
      <w:lvlText w:val="(%1)"/>
      <w:numFmt w:val="lowerLetter"/>
      <w:start w:val="21"/>
    </w:lvl>
  </w:abstractNum>
  <w:abstractNum w:abstractNumId="11">
    <w:nsid w:val="4516DDE9"/>
    <w:multiLevelType w:val="hybridMultilevel"/>
    <w:lvl w:ilvl="0">
      <w:lvlJc w:val="left"/>
      <w:lvlText w:val="(%1)"/>
      <w:numFmt w:val="lowerLetter"/>
      <w:start w:val="23"/>
    </w:lvl>
  </w:abstractNum>
  <w:abstractNum w:abstractNumId="12">
    <w:nsid w:val="3006C83E"/>
    <w:multiLevelType w:val="hybridMultilevel"/>
    <w:lvl w:ilvl="0">
      <w:lvlJc w:val="left"/>
      <w:lvlText w:val="%1"/>
      <w:numFmt w:val="lowerLetter"/>
      <w:start w:val="1"/>
    </w:lvl>
    <w:lvl w:ilvl="1">
      <w:lvlJc w:val="left"/>
      <w:lvlText w:val="(%2)"/>
      <w:numFmt w:val="lowerLetter"/>
      <w:start w:val="25"/>
    </w:lvl>
  </w:abstractNum>
  <w:abstractNum w:abstractNumId="13">
    <w:nsid w:val="614FD4A1"/>
    <w:multiLevelType w:val="hybridMultilevel"/>
    <w:lvl w:ilvl="0">
      <w:lvlJc w:val="left"/>
      <w:lvlText w:val="(%1)"/>
      <w:numFmt w:val="lowerLetter"/>
      <w:start w:val="35"/>
    </w:lvl>
    <w:lvl w:ilvl="1">
      <w:lvlJc w:val="left"/>
      <w:lvlText w:val="(%2)"/>
      <w:numFmt w:val="lowerLetter"/>
      <w:start w:val="27"/>
    </w:lvl>
  </w:abstractNum>
  <w:abstractNum w:abstractNumId="14">
    <w:nsid w:val="419AC241"/>
    <w:multiLevelType w:val="hybridMultilevel"/>
    <w:lvl w:ilvl="0">
      <w:lvlJc w:val="left"/>
      <w:lvlText w:val="(%1)"/>
      <w:numFmt w:val="lowerRoman"/>
      <w:start w:val="2"/>
    </w:lvl>
  </w:abstractNum>
  <w:abstractNum w:abstractNumId="15">
    <w:nsid w:val="5577F8E1"/>
    <w:multiLevelType w:val="hybridMultilevel"/>
    <w:lvl w:ilvl="0">
      <w:lvlJc w:val="left"/>
      <w:lvlText w:val="%1)"/>
      <w:numFmt w:val="decimal"/>
      <w:start w:val="15"/>
    </w:lvl>
  </w:abstractNum>
  <w:abstractNum w:abstractNumId="16">
    <w:nsid w:val="440BADFC"/>
    <w:multiLevelType w:val="hybridMultilevel"/>
    <w:lvl w:ilvl="0">
      <w:lvlJc w:val="left"/>
      <w:lvlText w:val="%1"/>
      <w:numFmt w:val="lowerLetter"/>
      <w:start w:val="1"/>
    </w:lvl>
    <w:lvl w:ilvl="1">
      <w:lvlJc w:val="left"/>
      <w:lvlText w:val="(%2)"/>
      <w:numFmt w:val="lowerLetter"/>
      <w:start w:val="1"/>
    </w:lvl>
  </w:abstractNum>
  <w:abstractNum w:abstractNumId="17">
    <w:nsid w:val="5072367"/>
    <w:multiLevelType w:val="hybridMultilevel"/>
    <w:lvl w:ilvl="0">
      <w:lvlJc w:val="left"/>
      <w:lvlText w:val="(%1)"/>
      <w:numFmt w:val="lowerLetter"/>
      <w:start w:val="35"/>
    </w:lvl>
    <w:lvl w:ilvl="1">
      <w:lvlJc w:val="left"/>
      <w:lvlText w:val="(%2)"/>
      <w:numFmt w:val="lowerLetter"/>
      <w:start w:val="1"/>
    </w:lvl>
  </w:abstractNum>
  <w:abstractNum w:abstractNumId="18">
    <w:nsid w:val="3804823E"/>
    <w:multiLevelType w:val="hybridMultilevel"/>
    <w:lvl w:ilvl="0">
      <w:lvlJc w:val="left"/>
      <w:lvlText w:val="(%1)"/>
      <w:numFmt w:val="upperLetter"/>
      <w:start w:val="2"/>
    </w:lvl>
  </w:abstractNum>
  <w:abstractNum w:abstractNumId="19">
    <w:nsid w:val="77465F01"/>
    <w:multiLevelType w:val="hybridMultilevel"/>
    <w:lvl w:ilvl="0">
      <w:lvlJc w:val="left"/>
      <w:lvlText w:val="(%1)"/>
      <w:numFmt w:val="lowerRoman"/>
      <w:start w:val="3"/>
    </w:lvl>
  </w:abstractNum>
  <w:abstractNum w:abstractNumId="20">
    <w:nsid w:val="7724C67E"/>
    <w:multiLevelType w:val="hybridMultilevel"/>
    <w:lvl w:ilvl="0">
      <w:lvlJc w:val="left"/>
      <w:lvlText w:val="%1"/>
      <w:numFmt w:val="lowerLetter"/>
      <w:start w:val="1"/>
    </w:lvl>
    <w:lvl w:ilvl="1">
      <w:lvlJc w:val="left"/>
      <w:lvlText w:val="(%2)"/>
      <w:numFmt w:val="lowerLetter"/>
      <w:start w:val="1"/>
    </w:lvl>
  </w:abstractNum>
  <w:abstractNum w:abstractNumId="21">
    <w:nsid w:val="5C482A97"/>
    <w:multiLevelType w:val="hybridMultilevel"/>
    <w:lvl w:ilvl="0">
      <w:lvlJc w:val="left"/>
      <w:lvlText w:val="(%1)"/>
      <w:numFmt w:val="lowerLetter"/>
      <w:start w:val="9"/>
    </w:lvl>
    <w:lvl w:ilvl="1">
      <w:lvlJc w:val="left"/>
      <w:lvlText w:val="%2"/>
      <w:numFmt w:val="lowerLetter"/>
      <w:start w:val="1"/>
    </w:lvl>
  </w:abstractNum>
  <w:abstractNum w:abstractNumId="22">
    <w:nsid w:val="2463B9EA"/>
    <w:multiLevelType w:val="hybridMultilevel"/>
    <w:lvl w:ilvl="0">
      <w:lvlJc w:val="left"/>
      <w:lvlText w:val="(%1)"/>
      <w:numFmt w:val="lowerRoman"/>
      <w:start w:val="2"/>
    </w:lvl>
    <w:lvl w:ilvl="1">
      <w:lvlJc w:val="left"/>
      <w:lvlText w:val="(%2)"/>
      <w:numFmt w:val="lowerRoman"/>
      <w:start w:val="4"/>
    </w:lvl>
    <w:lvl w:ilvl="2">
      <w:lvlJc w:val="left"/>
      <w:lvlText w:val="(%3)"/>
      <w:numFmt w:val="lowerRoman"/>
      <w:start w:val="4"/>
    </w:lvl>
  </w:abstractNum>
  <w:abstractNum w:abstractNumId="23">
    <w:nsid w:val="5E884ADC"/>
    <w:multiLevelType w:val="hybridMultilevel"/>
    <w:lvl w:ilvl="0">
      <w:lvlJc w:val="left"/>
      <w:lvlText w:val="(%1)"/>
      <w:numFmt w:val="lowerRoman"/>
      <w:start w:val="7"/>
    </w:lvl>
    <w:lvl w:ilvl="1">
      <w:lvlJc w:val="left"/>
      <w:lvlText w:val="(%2)"/>
      <w:numFmt w:val="lowerRoman"/>
      <w:start w:val="8"/>
    </w:lvl>
  </w:abstractNum>
  <w:abstractNum w:abstractNumId="24">
    <w:nsid w:val="51EAD36B"/>
    <w:multiLevelType w:val="hybridMultilevel"/>
    <w:lvl w:ilvl="0">
      <w:lvlJc w:val="left"/>
      <w:lvlText w:val="(%1)"/>
      <w:numFmt w:val="lowerLetter"/>
      <w:start w:val="3"/>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1)"/>
      <w:numFmt w:val="lowerLetter"/>
      <w:start w:val="3"/>
    </w:lvl>
  </w:abstractNum>
  <w:abstractNum w:abstractNumId="27">
    <w:nsid w:val="153EA438"/>
    <w:multiLevelType w:val="hybridMultilevel"/>
    <w:lvl w:ilvl="0">
      <w:lvlJc w:val="left"/>
      <w:lvlText w:val="(%1)"/>
      <w:numFmt w:val="lowerLetter"/>
      <w:start w:val="5"/>
    </w:lvl>
  </w:abstractNum>
  <w:abstractNum w:abstractNumId="28">
    <w:nsid w:val="3855585C"/>
    <w:multiLevelType w:val="hybridMultilevel"/>
    <w:lvl w:ilvl="0">
      <w:lvlJc w:val="left"/>
      <w:lvlText w:val="(%1)"/>
      <w:numFmt w:val="lowerLetter"/>
      <w:start w:val="9"/>
    </w:lvl>
  </w:abstractNum>
  <w:abstractNum w:abstractNumId="29">
    <w:nsid w:val="70A64E2A"/>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lvl w:ilvl="3">
      <w:lvlJc w:val="left"/>
      <w:lvlText w:val="(%4)"/>
      <w:numFmt w:val="lowerLetter"/>
      <w:start w:val="11"/>
    </w:lvl>
  </w:abstractNum>
  <w:abstractNum w:abstractNumId="30">
    <w:nsid w:val="6A2342EC"/>
    <w:multiLevelType w:val="hybridMultilevel"/>
    <w:lvl w:ilvl="0">
      <w:lvlJc w:val="left"/>
      <w:lvlText w:val="(%1)"/>
      <w:numFmt w:val="upperLetter"/>
      <w:start w:val="1"/>
    </w:lvl>
    <w:lvl w:ilvl="1">
      <w:lvlJc w:val="left"/>
      <w:lvlText w:val="(%2)"/>
      <w:numFmt w:val="upperLetter"/>
      <w:start w:val="2"/>
    </w:lvl>
    <w:lvl w:ilvl="2">
      <w:lvlJc w:val="left"/>
      <w:lvlText w:val="(%3)"/>
      <w:numFmt w:val="upperLetter"/>
      <w:start w:val="3"/>
    </w:lvl>
    <w:lvl w:ilvl="3">
      <w:lvlJc w:val="left"/>
      <w:lvlText w:val="%4"/>
      <w:numFmt w:val="lowerLetter"/>
      <w:start w:val="1"/>
    </w:lvl>
  </w:abstractNum>
  <w:abstractNum w:abstractNumId="31">
    <w:nsid w:val="2A487CB0"/>
    <w:multiLevelType w:val="hybridMultilevel"/>
    <w:lvl w:ilvl="0">
      <w:lvlJc w:val="left"/>
      <w:lvlText w:val="(%1)"/>
      <w:numFmt w:val="lowerLetter"/>
      <w:start w:val="16"/>
    </w:lvl>
  </w:abstractNum>
  <w:abstractNum w:abstractNumId="32">
    <w:nsid w:val="1D4ED43B"/>
    <w:multiLevelType w:val="hybridMultilevel"/>
    <w:lvl w:ilvl="0">
      <w:lvlJc w:val="left"/>
      <w:lvlText w:val="(%1)"/>
      <w:numFmt w:val="lowerLetter"/>
      <w:start w:val="18"/>
    </w:lvl>
    <w:lvl w:ilvl="1">
      <w:lvlJc w:val="left"/>
      <w:lvlText w:val="(%2)"/>
      <w:numFmt w:val="lowerLetter"/>
      <w:start w:val="19"/>
    </w:lvl>
  </w:abstractNum>
  <w:abstractNum w:abstractNumId="33">
    <w:nsid w:val="725A06FB"/>
    <w:multiLevelType w:val="hybridMultilevel"/>
    <w:lvl w:ilvl="0">
      <w:lvlJc w:val="left"/>
      <w:lvlText w:val="(%1)"/>
      <w:numFmt w:val="lowerRoman"/>
      <w:start w:val="5"/>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lowerRoman"/>
      <w:start w:val="1"/>
    </w:lvl>
  </w:abstractNum>
  <w:abstractNum w:abstractNumId="36">
    <w:nsid w:val="7A6D8D3C"/>
    <w:multiLevelType w:val="hybridMultilevel"/>
    <w:lvl w:ilvl="0">
      <w:lvlJc w:val="left"/>
      <w:lvlText w:val="(%1)"/>
      <w:numFmt w:val="lowerRoman"/>
      <w:start w:val="5"/>
    </w:lvl>
  </w:abstractNum>
  <w:abstractNum w:abstractNumId="37">
    <w:nsid w:val="4B588F54"/>
    <w:multiLevelType w:val="hybridMultilevel"/>
    <w:lvl w:ilvl="0">
      <w:lvlJc w:val="left"/>
      <w:lvlText w:val="(%1)"/>
      <w:numFmt w:val="lowerLetter"/>
      <w:start w:val="2"/>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lowerLetter"/>
      <w:start w:val="2"/>
    </w:lvl>
  </w:abstractNum>
  <w:abstractNum w:abstractNumId="40">
    <w:nsid w:val="38437FDB"/>
    <w:multiLevelType w:val="hybridMultilevel"/>
    <w:lvl w:ilvl="0">
      <w:lvlJc w:val="left"/>
      <w:lvlText w:val="(%1)"/>
      <w:numFmt w:val="lowerLetter"/>
      <w:start w:val="3"/>
    </w:lvl>
  </w:abstractNum>
  <w:abstractNum w:abstractNumId="41">
    <w:nsid w:val="7644A45C"/>
    <w:multiLevelType w:val="hybridMultilevel"/>
    <w:lvl w:ilvl="0">
      <w:lvlJc w:val="left"/>
      <w:lvlText w:val="(%1)"/>
      <w:numFmt w:val="lowerLetter"/>
      <w:start w:val="61"/>
    </w:lvl>
    <w:lvl w:ilvl="1">
      <w:lvlJc w:val="left"/>
      <w:lvlText w:val="(%2)"/>
      <w:numFmt w:val="lowerLetter"/>
      <w:start w:val="4"/>
    </w:lvl>
  </w:abstractNum>
  <w:abstractNum w:abstractNumId="42">
    <w:nsid w:val="32FFF902"/>
    <w:multiLevelType w:val="hybridMultilevel"/>
    <w:lvl w:ilvl="0">
      <w:lvlJc w:val="left"/>
      <w:lvlText w:val="(%1)"/>
      <w:numFmt w:val="lowerLetter"/>
      <w:start w:val="9"/>
    </w:lvl>
    <w:lvl w:ilvl="1">
      <w:lvlJc w:val="left"/>
      <w:lvlText w:val="%2"/>
      <w:numFmt w:val="lowerLetter"/>
      <w:start w:val="1"/>
    </w:lvl>
  </w:abstractNum>
  <w:abstractNum w:abstractNumId="43">
    <w:nsid w:val="684A481A"/>
    <w:multiLevelType w:val="hybridMultilevel"/>
    <w:lvl w:ilvl="0">
      <w:lvlJc w:val="left"/>
      <w:lvlText w:val="(%1)"/>
      <w:numFmt w:val="lowerLetter"/>
      <w:start w:val="35"/>
    </w:lvl>
    <w:lvl w:ilvl="1">
      <w:lvlJc w:val="left"/>
      <w:lvlText w:val="(%2)"/>
      <w:numFmt w:val="lowerLetter"/>
      <w:start w:val="5"/>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lowerLetter"/>
      <w:start w:val="2"/>
    </w:lvl>
    <w:lvl w:ilvl="1">
      <w:lvlJc w:val="left"/>
      <w:lvlText w:val="(%2)"/>
      <w:numFmt w:val="lowerRoman"/>
      <w:start w:val="1"/>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lowerLetter"/>
      <w:start w:val="3"/>
    </w:lvl>
  </w:abstractNum>
  <w:abstractNum w:abstractNumId="48">
    <w:nsid w:val="79A1DEAA"/>
    <w:multiLevelType w:val="hybridMultilevel"/>
    <w:lvl w:ilvl="0">
      <w:lvlJc w:val="left"/>
      <w:lvlText w:val="(%1)"/>
      <w:numFmt w:val="lowerLetter"/>
      <w:start w:val="5"/>
    </w:lvl>
  </w:abstractNum>
  <w:abstractNum w:abstractNumId="49">
    <w:nsid w:val="75C6C33A"/>
    <w:multiLevelType w:val="hybridMultilevel"/>
    <w:lvl w:ilvl="0">
      <w:lvlJc w:val="left"/>
      <w:lvlText w:val="(%1)"/>
      <w:numFmt w:val="lowerLetter"/>
      <w:start w:val="8"/>
    </w:lvl>
    <w:lvl w:ilvl="1">
      <w:lvlJc w:val="left"/>
      <w:lvlText w:val="(%2)"/>
      <w:numFmt w:val="lowerLetter"/>
      <w:start w:val="1"/>
    </w:lvl>
  </w:abstractNum>
  <w:abstractNum w:abstractNumId="50">
    <w:nsid w:val="12E685FB"/>
    <w:multiLevelType w:val="hybridMultilevel"/>
    <w:lvl w:ilvl="0">
      <w:lvlJc w:val="left"/>
      <w:lvlText w:val="(%1)"/>
      <w:numFmt w:val="lowerRoman"/>
      <w:start w:val="1"/>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2021-08-17T16:37:48Z</dcterms:created>
  <dcterms:modified xsi:type="dcterms:W3CDTF">2021-08-17T16:37:48Z</dcterms:modified>
</cp:coreProperties>
</file>