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18, 2023</w:t>
      </w:r>
    </w:p>
    <w:p>
      <w:pPr>
        <w:spacing w:after="0" w:line="31" w:lineRule="exact"/>
        <w:rPr>
          <w:sz w:val="24"/>
          <w:szCs w:val="24"/>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400 Fifth Avenue, Suite 210</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(510) 745-1700</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President &amp; Chief Executive Officer</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400 Fifth Avenue, Suite 210</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(510) 745-1700</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92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54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6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7"/>
              </w:rPr>
              <w:t>Mark V. Roeder, Esq.</w:t>
            </w:r>
          </w:p>
        </w:tc>
        <w:tc>
          <w:tcPr>
            <w:tcW w:w="54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Elizabeth Grammer, Esq.</w:t>
            </w:r>
          </w:p>
        </w:tc>
      </w:tr>
      <w:tr>
        <w:trPr>
          <w:trHeight w:val="216"/>
        </w:trPr>
        <w:tc>
          <w:tcPr>
            <w:tcW w:w="26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54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rPr>
              <w:t>Chief Legal and Administrative Officer</w:t>
            </w:r>
          </w:p>
        </w:tc>
      </w:tr>
      <w:tr>
        <w:trPr>
          <w:trHeight w:val="216"/>
        </w:trPr>
        <w:tc>
          <w:tcPr>
            <w:tcW w:w="26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140 Scott Drive</w:t>
            </w:r>
          </w:p>
        </w:tc>
        <w:tc>
          <w:tcPr>
            <w:tcW w:w="54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Ardelyx, Inc.</w:t>
            </w:r>
          </w:p>
        </w:tc>
      </w:tr>
      <w:tr>
        <w:trPr>
          <w:trHeight w:val="216"/>
        </w:trPr>
        <w:tc>
          <w:tcPr>
            <w:tcW w:w="26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Menlo Park, CA 94025</w:t>
            </w:r>
          </w:p>
        </w:tc>
        <w:tc>
          <w:tcPr>
            <w:tcW w:w="54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400 Fifth Avenue, Suite 210</w:t>
            </w:r>
          </w:p>
        </w:tc>
      </w:tr>
      <w:tr>
        <w:trPr>
          <w:trHeight w:val="216"/>
        </w:trPr>
        <w:tc>
          <w:tcPr>
            <w:tcW w:w="26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Facsimile: (650) 463-2600</w:t>
            </w:r>
          </w:p>
        </w:tc>
        <w:tc>
          <w:tcPr>
            <w:tcW w:w="54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Waltham, MA 02451</w:t>
            </w:r>
          </w:p>
        </w:tc>
      </w:tr>
      <w:tr>
        <w:trPr>
          <w:trHeight w:val="238"/>
        </w:trPr>
        <w:tc>
          <w:tcPr>
            <w:tcW w:w="2640" w:type="dxa"/>
            <w:vAlign w:val="bottom"/>
          </w:tcPr>
          <w:p>
            <w:pPr>
              <w:spacing w:after="0"/>
              <w:rPr>
                <w:sz w:val="20"/>
                <w:szCs w:val="20"/>
                <w:color w:val="auto"/>
              </w:rPr>
            </w:pPr>
          </w:p>
        </w:tc>
        <w:tc>
          <w:tcPr>
            <w:tcW w:w="54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(510) 745-1700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w:t>
      </w:r>
    </w:p>
    <w:p>
      <w:pPr>
        <w:spacing w:after="0" w:line="159" w:lineRule="exact"/>
        <w:rPr>
          <w:sz w:val="24"/>
          <w:szCs w:val="24"/>
          <w:color w:val="auto"/>
        </w:rPr>
      </w:pPr>
    </w:p>
    <w:p>
      <w:pPr>
        <w:ind w:left="120"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120"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1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left="120" w:right="2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left="120" w:right="1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40"/>
          </w:cols>
          <w:pgMar w:left="320" w:top="226" w:right="539" w:bottom="37" w:gutter="0" w:footer="0" w:header="0"/>
        </w:sectPr>
      </w:pPr>
    </w:p>
    <w:bookmarkStart w:id="1" w:name="page2"/>
    <w:bookmarkEnd w:id="1"/>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ind w:right="72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We are filing this registration statement with the Securities and Exchange Commission (the SEC) using a “shelf registration process. Under this registered “shelf,” in the future, we may, from time to time, sell any combination of the securities described herein, in one or more offerings, up to a maximum offering price of $250,000,000.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131" w:lineRule="exact"/>
        <w:rPr>
          <w:sz w:val="20"/>
          <w:szCs w:val="20"/>
          <w:color w:val="auto"/>
        </w:rPr>
      </w:pPr>
    </w:p>
    <w:p>
      <w:pPr>
        <w:ind w:left="1080" w:right="8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the registrant of up to a maximum aggregate offering price of $250,000,000 of our common stock, preferred stock, debt securities, warrants, and/or units; and</w:t>
      </w:r>
    </w:p>
    <w:p>
      <w:pPr>
        <w:spacing w:after="0" w:line="67" w:lineRule="exact"/>
        <w:rPr>
          <w:rFonts w:ascii="Times New Roman" w:cs="Times New Roman" w:eastAsia="Times New Roman" w:hAnsi="Times New Roman"/>
          <w:sz w:val="18"/>
          <w:szCs w:val="18"/>
          <w:color w:val="auto"/>
        </w:rPr>
      </w:pPr>
    </w:p>
    <w:p>
      <w:pPr>
        <w:ind w:left="1080" w:hanging="424"/>
        <w:spacing w:after="0" w:line="224"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supplement covering the offering, issuance and sale by the registrant of up to a maximum aggregate offering price of $150,000,000 of our common stock that may be issued and sold from time to time under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with Jefferies LLC, as sales agent.</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other securities to be offered pursuant to the base 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be specified in one or more prospectus supplements to the base prospectus. The sales agreement prospectus supplement immediately follows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 prospectus. The $150,000,000 of common stock that may be offered, issued and sold under the prospectus supplement is included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$250,000,000 of securities that may be offered, issued and sold by the registrant under the base prospectus. Upon termination of the sales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portion of the $150,000,000 included in the sales agreement prospectus supplement that is not previously sold will be available for sale in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offerings pursuant to the base prospectus, and if no shares are sold under the sales agreement, the full $250,000,000 of securities may be sold in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offerings pursuant to the base prospectus and a corresponding prospectus supplement.</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January 18,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time we offer and sell securities, we will file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“ARDX.” On January 17, 2023, the last reported sale price of our common stock on the Nasdaq Global Market was $3.31 per share</w:t>
      </w:r>
    </w:p>
    <w:p>
      <w:pPr>
        <w:spacing w:after="0" w:line="158" w:lineRule="exact"/>
        <w:rPr>
          <w:sz w:val="20"/>
          <w:szCs w:val="20"/>
          <w:color w:val="auto"/>
        </w:rPr>
      </w:pPr>
    </w:p>
    <w:p>
      <w:pPr>
        <w:ind w:left="120"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5 OF THIS PROSPECTUS AND ANY SIMILAR SECTION CONTAINED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tbl>
      <w:tblPr>
        <w:tblLayout w:type="fixed"/>
        <w:tblInd w:w="388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ectPr>
          <w:pgSz w:w="11900" w:h="16838" w:orient="portrait"/>
          <w:cols w:equalWidth="0" w:num="1">
            <w:col w:w="11100"/>
          </w:cols>
          <w:pgMar w:left="320" w:top="455" w:right="4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8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2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7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 INCORPORATION BY REFERENCE</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5440" w:type="dxa"/>
            <w:vAlign w:val="bottom"/>
            <w:gridSpan w:val="10"/>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5140" w:type="dxa"/>
            <w:vAlign w:val="bottom"/>
            <w:gridSpan w:val="8"/>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3700" w:type="dxa"/>
            <w:vAlign w:val="bottom"/>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4240" w:type="dxa"/>
            <w:vAlign w:val="bottom"/>
            <w:gridSpan w:val="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4700" w:type="dxa"/>
            <w:vAlign w:val="bottom"/>
            <w:gridSpan w:val="6"/>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GLOBAL SECURITIES</w:t>
            </w:r>
          </w:p>
        </w:tc>
        <w:tc>
          <w:tcPr>
            <w:tcW w:w="4920" w:type="dxa"/>
            <w:vAlign w:val="bottom"/>
            <w:gridSpan w:val="7"/>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4680" w:type="dxa"/>
            <w:vAlign w:val="bottom"/>
            <w:gridSpan w:val="5"/>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ectPr>
          <w:pgSz w:w="11900" w:h="16838" w:orient="portrait"/>
          <w:cols w:equalWidth="0" w:num="1">
            <w:col w:w="11080"/>
          </w:cols>
          <w:pgMar w:left="320" w:top="446"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When we refer to “Ardelyx,” “we,” “our,” “us” and the “Company” in this prospectus, we mean Ardelyx, Inc., unless otherwise specified. When we refer to “you,” we mean the potential holders of the applicable series of securities.</w:t>
      </w:r>
    </w:p>
    <w:p>
      <w:pPr>
        <w:spacing w:after="0" w:line="162" w:lineRule="exact"/>
        <w:rPr>
          <w:sz w:val="20"/>
          <w:szCs w:val="20"/>
          <w:color w:val="auto"/>
        </w:rPr>
      </w:pPr>
    </w:p>
    <w:p>
      <w:pPr>
        <w:ind w:left="120" w:right="80" w:firstLine="440"/>
        <w:spacing w:after="0" w:line="209" w:lineRule="auto"/>
        <w:rPr>
          <w:sz w:val="20"/>
          <w:szCs w:val="20"/>
          <w:color w:val="auto"/>
        </w:rPr>
      </w:pPr>
      <w:r>
        <w:rPr>
          <w:rFonts w:ascii="Times New Roman" w:cs="Times New Roman" w:eastAsia="Times New Roman" w:hAnsi="Times New Roman"/>
          <w:sz w:val="18"/>
          <w:szCs w:val="18"/>
          <w:color w:val="auto"/>
        </w:rPr>
        <w:t>ARDELYX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IBSRELA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XPHOZAH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logos are some of our trademarks used in this prospectus. This prospectus also includes trademarks, tradenames, and service marks that are the property of other organizations. Solely for convenience, our trademarks and tradenames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web site address is www.ardelyx.com. The information on our web site, however, is not, and should not be deemed to be, a part of this prospectus or any prospectus supplement. We have included our web site address as an inactive textual reference only.</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7" w:lineRule="exact"/>
        <w:rPr>
          <w:sz w:val="20"/>
          <w:szCs w:val="20"/>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27">
        <w:r>
          <w:rPr>
            <w:rFonts w:ascii="Times New Roman" w:cs="Times New Roman" w:eastAsia="Times New Roman" w:hAnsi="Times New Roman"/>
            <w:sz w:val="18"/>
            <w:szCs w:val="18"/>
            <w:u w:val="single" w:color="auto"/>
            <w:color w:val="0000EE"/>
          </w:rPr>
          <w:t>February 28,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filed with the SEC on </w:t>
      </w:r>
      <w:hyperlink r:id="rId28">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 xml:space="preserve">, June 30, 2022, filed with the SEC on </w:t>
      </w:r>
      <w:hyperlink r:id="rId29">
        <w:r>
          <w:rPr>
            <w:rFonts w:ascii="Times New Roman" w:cs="Times New Roman" w:eastAsia="Times New Roman" w:hAnsi="Times New Roman"/>
            <w:sz w:val="18"/>
            <w:szCs w:val="18"/>
            <w:u w:val="single" w:color="auto"/>
            <w:color w:val="0000EE"/>
          </w:rPr>
          <w:t>August 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September 30, 2022, filed with the SEC on </w:t>
      </w:r>
      <w:hyperlink r:id="rId30">
        <w:r>
          <w:rPr>
            <w:rFonts w:ascii="Times New Roman" w:cs="Times New Roman" w:eastAsia="Times New Roman" w:hAnsi="Times New Roman"/>
            <w:sz w:val="18"/>
            <w:szCs w:val="18"/>
            <w:u w:val="single" w:color="auto"/>
            <w:color w:val="0000EE"/>
          </w:rPr>
          <w:t>November 3,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right="200" w:hanging="331"/>
        <w:spacing w:after="0" w:line="266" w:lineRule="auto"/>
        <w:tabs>
          <w:tab w:leader="none" w:pos="154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1">
        <w:r>
          <w:rPr>
            <w:rFonts w:ascii="Times New Roman" w:cs="Times New Roman" w:eastAsia="Times New Roman" w:hAnsi="Times New Roman"/>
            <w:sz w:val="18"/>
            <w:szCs w:val="18"/>
            <w:u w:val="single" w:color="auto"/>
            <w:color w:val="0000EE"/>
          </w:rPr>
          <w:t>February 10, 2022</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February 25, 2022</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March 14, 2022</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April 1, 2022</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April 11,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April 25,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May 27,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June 22,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July 15,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 xml:space="preserve">September 19,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December 29, 2022</w:t>
        </w:r>
      </w:hyperlink>
      <w:r>
        <w:rPr>
          <w:rFonts w:ascii="Times New Roman" w:cs="Times New Roman" w:eastAsia="Times New Roman" w:hAnsi="Times New Roman"/>
          <w:sz w:val="18"/>
          <w:szCs w:val="18"/>
          <w:color w:val="000000"/>
        </w:rPr>
        <w:t>.</w:t>
      </w:r>
    </w:p>
    <w:p>
      <w:pPr>
        <w:spacing w:after="0" w:line="81" w:lineRule="exact"/>
        <w:rPr>
          <w:rFonts w:ascii="Times New Roman" w:cs="Times New Roman" w:eastAsia="Times New Roman" w:hAnsi="Times New Roman"/>
          <w:sz w:val="18"/>
          <w:szCs w:val="18"/>
          <w:color w:val="0000EE"/>
        </w:rPr>
      </w:pPr>
    </w:p>
    <w:p>
      <w:pPr>
        <w:ind w:left="1540" w:right="180" w:hanging="331"/>
        <w:spacing w:after="0" w:line="266" w:lineRule="auto"/>
        <w:tabs>
          <w:tab w:leader="none" w:pos="154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incorporated by reference in our Registration Statement on Form 8-A, filed with the SEC on </w:t>
      </w:r>
      <w:hyperlink r:id="rId43">
        <w:r>
          <w:rPr>
            <w:rFonts w:ascii="Times New Roman" w:cs="Times New Roman" w:eastAsia="Times New Roman" w:hAnsi="Times New Roman"/>
            <w:sz w:val="18"/>
            <w:szCs w:val="18"/>
            <w:u w:val="single" w:color="auto"/>
            <w:color w:val="0000EE"/>
          </w:rPr>
          <w:t>June 9, 2014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any amendment or report filed with the SEC for the purpose of updating the description and any amendment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filed with the SEC for the purpose of updating the description.</w:t>
      </w:r>
    </w:p>
    <w:p>
      <w:pPr>
        <w:spacing w:after="0" w:line="176" w:lineRule="exact"/>
        <w:rPr>
          <w:rFonts w:ascii="Times New Roman" w:cs="Times New Roman" w:eastAsia="Times New Roman" w:hAnsi="Times New Roman"/>
          <w:sz w:val="18"/>
          <w:szCs w:val="18"/>
          <w:color w:val="0000EE"/>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16"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400 Fifth Avenue, Suite 210</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(510) 745-1700</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Attention: Chief Legal and Administrative Officer</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5"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a biopharmaceutical company founded with a mission to discover, develop and commercialize innovative first-in-class medicines that meet significant unmet medical needs.</w:t>
      </w:r>
    </w:p>
    <w:p>
      <w:pPr>
        <w:spacing w:after="0" w:line="162" w:lineRule="exact"/>
        <w:rPr>
          <w:sz w:val="20"/>
          <w:szCs w:val="20"/>
          <w:color w:val="auto"/>
        </w:rPr>
      </w:pPr>
    </w:p>
    <w:p>
      <w:pPr>
        <w:ind w:left="120" w:right="40" w:firstLine="440"/>
        <w:spacing w:after="0" w:line="227" w:lineRule="auto"/>
        <w:rPr>
          <w:sz w:val="20"/>
          <w:szCs w:val="20"/>
          <w:color w:val="auto"/>
        </w:rPr>
      </w:pPr>
      <w:r>
        <w:rPr>
          <w:rFonts w:ascii="Times New Roman" w:cs="Times New Roman" w:eastAsia="Times New Roman" w:hAnsi="Times New Roman"/>
          <w:sz w:val="18"/>
          <w:szCs w:val="18"/>
          <w:color w:val="auto"/>
        </w:rPr>
        <w:t>Our first approved product, IBSRELA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(tenapanor) for the treatment of irritable bowel syndrome with constipation (IBS-C) in adult patients, is available in the United States and Canada. We are developing XPHOZAH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(tenapanor), a novel product candidate for the management of elevated serum phosphorus, or hyperphosphatemia in adult patients with chronic kidney disease (CKD) on dialysis, which has completed three Phase 3 trials. We have a Phase 2 potassium lowering compound, RDX013, for the potential treatment of elevated serum potassium, or hyperkalemia, a problem among certain patients with kidney and/or heart disease and an early-stage program in metabolic acidosis, a serious electrolyte disorder in patients with CKD. 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204"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We were founded in October 2007 as a Delaware corporation under the name Nteryx, Inc. Our principal executive offices are located at 400 Fifth Avenue, Suite 210, Waltham, MA 02451, and our telephone number is (510) 745-1700. Our website address is www.ardelyx.com. The information on, or that can be accessed through, our website is not part of this prospectus and is not incorporated by reference herein. We have included our website address as an inactive textual reference only. References in this prospectus to “we,” “us,” “our,” “our company” or “Ardelyx” refer to Ardelyx, Inc.</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titled “Note Regarding Forward-Looking Statements” included in our most recent Annual Report on Form 10-K and any subsequent Quarterly Reports on Form 10-Q or Current Reports on Form 8-K.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39"/>
          </w:cols>
          <w:pgMar w:left="320" w:top="45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 For a complete description, you should refer to our amended and restated certificate of incorporation and amended and restated bylaws, copies of which are incorporated by reference as exhibits to the registration statement of which this prospectus is a part.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300,000,000 shares of common stock, $0.0001 par value per share, and 5,000,000 shares of preferred stock, $0.0001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our outstanding shares of common stock are, and the shares of common stock to be issued in this offering will be, fully paid and nonassessable.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293"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51" w:lineRule="exact"/>
        <w:rPr>
          <w:sz w:val="20"/>
          <w:szCs w:val="20"/>
          <w:color w:val="auto"/>
        </w:rPr>
      </w:pPr>
    </w:p>
    <w:p>
      <w:pPr>
        <w:ind w:left="120" w:right="40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spacing w:after="0" w:line="81" w:lineRule="exact"/>
        <w:rPr>
          <w:sz w:val="20"/>
          <w:szCs w:val="20"/>
          <w:color w:val="auto"/>
        </w:rPr>
      </w:pPr>
    </w:p>
    <w:p>
      <w:pPr>
        <w:ind w:left="1080" w:right="1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this time,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Section 203, a “business combination” includes:</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results in the issuance or transfer by the corporation of any stock of the corporation to the interested stockholder, subject to limited exceptions;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eliminates the right of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would require approval by holders of at least 66 2/3% of the voting power of our then outstanding voting stock.</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8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Nasdaq Global Market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“ARDX.”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The transfer agent and registrar’s address is 6201 15th Avenue, Brooklyn, New York 11219.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(DTC), or a nominee of DTC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jc w:val="both"/>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5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DTC, and registered in the name of DTC or a nominee of DTC. Please see “Global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successor person (if other than Ardelyx, Inc.) is a corporation, partnership, trust or other entity organized and validly existing under the laws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Inc.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Ardelyx, Inc.;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62"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16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85"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compliance with certain conditions:</w:t>
      </w:r>
    </w:p>
    <w:p>
      <w:pPr>
        <w:spacing w:after="0" w:line="66" w:lineRule="exact"/>
        <w:rPr>
          <w:sz w:val="20"/>
          <w:szCs w:val="20"/>
          <w:color w:val="auto"/>
        </w:rPr>
      </w:pPr>
    </w:p>
    <w:p>
      <w:pPr>
        <w:ind w:left="1080" w:right="2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24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1" w:lineRule="exact"/>
        <w:rPr>
          <w:sz w:val="20"/>
          <w:szCs w:val="20"/>
          <w:color w:val="auto"/>
        </w:rPr>
      </w:pPr>
    </w:p>
    <w:p>
      <w:pPr>
        <w:ind w:left="1080" w:right="6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rights as stockholders of Ardelyx, Inc.</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320" w:top="455" w:right="5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as depositary,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such circumstances, in the event that a successor depositary is not obtained, securities certificates are required to be printed and delivered.</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2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 the 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320" w:top="455"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Ardelyx, Inc.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2021, and the effectiveness of our internal control over financial reporting as of December 31, 2021,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supplement is not complete and may be changed. These securities may not be sold until the registration statement filed with the Securities and Exchange Commission is effective. This prospectus supplement is not an offer to sell nor does it seek an offer to buy these securities in any jurisdiction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January 18,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$150,000,000</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100" w:firstLine="440"/>
        <w:spacing w:after="0" w:line="230" w:lineRule="auto"/>
        <w:rPr>
          <w:sz w:val="20"/>
          <w:szCs w:val="20"/>
          <w:color w:val="auto"/>
        </w:rPr>
      </w:pPr>
      <w:r>
        <w:rPr>
          <w:rFonts w:ascii="Times New Roman" w:cs="Times New Roman" w:eastAsia="Times New Roman" w:hAnsi="Times New Roman"/>
          <w:sz w:val="18"/>
          <w:szCs w:val="18"/>
          <w:color w:val="auto"/>
        </w:rPr>
        <w:t>We have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(the 2023 Sales Agreement) with Jefferies LLC (Jefferies), dated January 18, 2023, relating to shares of our common stock offered by this prospectus supplement and the accompanying prospectus. In accordance with the terms of the 2023 Sales Agreement, pursuant to this prospectus supplement, we may offer and sell shares of our common stock, $0.0001 par value per share, having an aggregate offering price of up to $150,000,000 from time to time through Jefferies acting as our sales agent.</w:t>
      </w:r>
    </w:p>
    <w:p>
      <w:pPr>
        <w:spacing w:after="0" w:line="19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“ARDX.” On January 17, 2023, the last reported sale price of our common stock on the Nasdaq Global Market was $3.31 per share.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will be made by any method permitted that is deemed to be an “at the market offering” as defined in Rule 415(a)(4) promulgated under the Securities Act of 1933, as amended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to Jefferies for sales of common stock pursuant to the 2023 Sales Agreement will be an amount up to 3.0% of the gross proceeds of any shares of common stock sold under the sales agreement.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(the Exchange Act). See “Plan of Distribution” beginning on page S-3 for additional information regarding the compensation to be paid to 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2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Before making an investment decision, please read the information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S-7 of this prospectus supplement and in the documents incorporated by reference into this prospectus supplement.</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b w:val="1"/>
          <w:bCs w:val="1"/>
          <w:color w:val="auto"/>
        </w:rPr>
        <w:t>Jefferies</w:t>
      </w:r>
    </w:p>
    <w:p>
      <w:pPr>
        <w:sectPr>
          <w:pgSz w:w="11900" w:h="16838" w:orient="portrait"/>
          <w:cols w:equalWidth="0" w:num="1">
            <w:col w:w="11120"/>
          </w:cols>
          <w:pgMar w:left="320" w:top="455" w:right="459" w:bottom="1440" w:gutter="0" w:footer="0" w:header="0"/>
        </w:sectPr>
      </w:pPr>
    </w:p>
    <w:p>
      <w:pPr>
        <w:spacing w:after="0" w:line="215" w:lineRule="exact"/>
        <w:rPr>
          <w:sz w:val="20"/>
          <w:szCs w:val="20"/>
          <w:color w:val="auto"/>
        </w:rPr>
      </w:pPr>
    </w:p>
    <w:p>
      <w:pPr>
        <w:ind w:left="388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The date of this prospectus is</w:t>
      </w:r>
      <w:r>
        <w:rPr>
          <w:sz w:val="20"/>
          <w:szCs w:val="20"/>
          <w:color w:val="auto"/>
        </w:rPr>
        <w:tab/>
      </w:r>
      <w:r>
        <w:rPr>
          <w:rFonts w:ascii="Times New Roman" w:cs="Times New Roman" w:eastAsia="Times New Roman" w:hAnsi="Times New Roman"/>
          <w:sz w:val="17"/>
          <w:szCs w:val="17"/>
          <w:b w:val="1"/>
          <w:bCs w:val="1"/>
          <w:color w:val="auto"/>
        </w:rPr>
        <w:t>, 2023.</w:t>
      </w:r>
    </w:p>
    <w:p>
      <w:pPr>
        <w:sectPr>
          <w:pgSz w:w="11900" w:h="16838" w:orient="portrait"/>
          <w:cols w:equalWidth="0" w:num="1">
            <w:col w:w="11120"/>
          </w:cols>
          <w:pgMar w:left="320" w:top="455" w:right="45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6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3"/>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3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522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5"/>
          </w:tcPr>
          <w:p>
            <w:pPr>
              <w:spacing w:after="0"/>
              <w:rPr>
                <w:sz w:val="17"/>
                <w:szCs w:val="17"/>
                <w:color w:val="auto"/>
              </w:rPr>
            </w:pPr>
          </w:p>
        </w:tc>
        <w:tc>
          <w:tcPr>
            <w:tcW w:w="526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5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NOTE REGARDING FORWARD-LOOKING STATEMENTS</w:t>
            </w:r>
          </w:p>
        </w:tc>
        <w:tc>
          <w:tcPr>
            <w:tcW w:w="398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6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0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474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U.S. Securities and Exchange Commission (the SEC) utilizing a “shelf” registration process. By using a shelf registration statement, we may offer shares of our common stock having an aggregate offering price of up to $150,000,000 from time to time under this prospectus supplement at prices and on terms to be determined by market conditions at the time of offering.</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and in any free writing prospectus that we may authorize for use in connection with this offering. We have not, and Jefferies has not, authorized any other person to provide you with different information. If anyone provides you with different or inconsistent information, you should not rely on it. We are not, and Jefferies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by Reference.”</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When we refer to “Ardelyx” “we,” “our,” “us” and the “Company” in this prospectus, we mean Ardelyx, Inc., unless otherwise specified. When we refer to “you,” we mean the holders of common stock of the Company.</w:t>
      </w:r>
    </w:p>
    <w:p>
      <w:pPr>
        <w:spacing w:after="0" w:line="162" w:lineRule="exact"/>
        <w:rPr>
          <w:sz w:val="20"/>
          <w:szCs w:val="20"/>
          <w:color w:val="auto"/>
        </w:rPr>
      </w:pPr>
    </w:p>
    <w:p>
      <w:pPr>
        <w:ind w:left="120" w:right="100" w:firstLine="440"/>
        <w:spacing w:after="0" w:line="216" w:lineRule="auto"/>
        <w:rPr>
          <w:sz w:val="20"/>
          <w:szCs w:val="20"/>
          <w:color w:val="auto"/>
        </w:rPr>
      </w:pPr>
      <w:r>
        <w:rPr>
          <w:rFonts w:ascii="Times New Roman" w:cs="Times New Roman" w:eastAsia="Times New Roman" w:hAnsi="Times New Roman"/>
          <w:sz w:val="18"/>
          <w:szCs w:val="18"/>
          <w:color w:val="auto"/>
        </w:rPr>
        <w:t>Ardelyx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IBSRELA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XPHOZAH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logos are some of our trademarks used in this prospectus supplement and the accompanying prospectus. This prospectus supplement and the accompanying prospectus also include trademarks, tradenames, and service marks that are the property of other organizations. Solely for convenience, our trademarks and tradenames referred to in this prospectus supplement and the accompanying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accompanying prospectus, including the information incorporated by reference herein,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436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6998970" cy="7436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80"/>
        <w:spacing w:after="0" w:line="273"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review the risks and uncertainties described below and under the section titled “Risk Factors” in our Annual Report on Form 10-K for the year ended December 31, 2021, as updated by our quarterly, annual and other reports and documents that we have filed or subsequently file that are incorporated by reference into this prospectus supplement, before deciding whether to purchase any common stock in this offering. Each of the risk factors could adversely affect our business, operating results and financial condition, as well as adversely affect the value of an investment in our common stock,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“Note Regarding Forward-Looking Statements.”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founded with a mission to discover, develop and commercialize innovative first-in-class medicines that meet significant unmet medical needs. This includes adult patients with irritable bowel syndrome with constipation (IBS-C); adult patients with chronic kidney disease (CKD) on dialysis suffering from elevated serum phosphorus, or hyperphosphatemia; adult patients with CKD and/or heart failure with elevated serum potassium, or hyperkalemia; and adult patients with metabolic acidosis, a serious electrolyte disorder, in patients with CKD.</w:t>
      </w:r>
    </w:p>
    <w:p>
      <w:pPr>
        <w:spacing w:after="0" w:line="183"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realized our first product sales of IBSRELA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(tenapanor) in the U.S. in March 2022. As of September 30, 2022, we had an accumulated deficit of $790.8 million.</w:t>
      </w:r>
    </w:p>
    <w:p>
      <w:pPr>
        <w:spacing w:after="0" w:line="41" w:lineRule="exact"/>
        <w:rPr>
          <w:sz w:val="20"/>
          <w:szCs w:val="20"/>
          <w:color w:val="auto"/>
        </w:rPr>
      </w:pPr>
    </w:p>
    <w:p>
      <w:pPr>
        <w:ind w:left="300" w:right="20" w:firstLine="426"/>
        <w:spacing w:after="0" w:line="233" w:lineRule="auto"/>
        <w:rPr>
          <w:sz w:val="20"/>
          <w:szCs w:val="20"/>
          <w:color w:val="auto"/>
        </w:rPr>
      </w:pPr>
      <w:r>
        <w:rPr>
          <w:rFonts w:ascii="Times New Roman" w:cs="Times New Roman" w:eastAsia="Times New Roman" w:hAnsi="Times New Roman"/>
          <w:sz w:val="18"/>
          <w:szCs w:val="18"/>
          <w:color w:val="auto"/>
        </w:rPr>
        <w:t>We expect to continue to incur substantial operating losses for the foreseeable future as we commercialize IBSRELA, seek to gain approval in the U.S. for XPHOZAH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(tenapanor) for hyperphosphatemia in adult patients with CKD on dialysis; prepare for the potential commercialization of XPHOZAH in the U.S., if approved; and incur manufacturing and development cost for, tenapanor. To date, we have funded our operations from the sale and issuance of common stock and convertible preferred stock, funds from our collaboration partnerships, which includes license fees, milestones and product supply revenue, funds from our loan agreements with our lenders as well as from sales of IBSRELA.</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Commercial Product</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IBSRELA for IBS-C</w:t>
      </w:r>
    </w:p>
    <w:p>
      <w:pPr>
        <w:spacing w:after="0" w:line="119"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Our unique discovery platform and deep understanding of the primary mechanism of sodium transport in the intestine resulted in our discovery and development of IBSRELA for the treatment of IBS-C in adults. IBS-C is a gastrointestinal (GI) disorder characterized by both abdominal pain and altered bowel movements, estimated to affect 12 million people in the U.S. IBS-C is associated with significantly impaired quality of life, reduced productivity, and substantial economic burden. IBSRELA is a first-in-class, FDA approved, sodium hydrogen exchange 3 (NHE3) inhibitor that acts locally in the gut and is minimally absorbed.</w:t>
      </w:r>
    </w:p>
    <w:p>
      <w:pPr>
        <w:spacing w:after="0" w:line="183" w:lineRule="exact"/>
        <w:rPr>
          <w:sz w:val="20"/>
          <w:szCs w:val="20"/>
          <w:color w:val="auto"/>
        </w:rPr>
      </w:pPr>
    </w:p>
    <w:p>
      <w:pPr>
        <w:ind w:left="300" w:right="140" w:firstLine="426"/>
        <w:spacing w:after="0" w:line="254" w:lineRule="auto"/>
        <w:rPr>
          <w:sz w:val="20"/>
          <w:szCs w:val="20"/>
          <w:color w:val="auto"/>
        </w:rPr>
      </w:pPr>
      <w:r>
        <w:rPr>
          <w:rFonts w:ascii="Times New Roman" w:cs="Times New Roman" w:eastAsia="Times New Roman" w:hAnsi="Times New Roman"/>
          <w:sz w:val="18"/>
          <w:szCs w:val="18"/>
          <w:color w:val="auto"/>
        </w:rPr>
        <w:t>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reflected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concentrated promotional focus on patients currently being managed for IBS-C by the approximately 9,000 high-writing healthcare providers (HCPs) that account for 50% of IBS-C prescriptions. Central to the go to market strategy for IBSRELA is a highly experienced specialty sales force, many with existing relationships across their GI target base, full company engagement, and innovative peer-to-peer and digital initiatives.</w:t>
      </w:r>
    </w:p>
    <w:p>
      <w:pPr>
        <w:spacing w:after="0" w:line="192"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We expect competition for IBSRELA will come largely from the four prescription products indicated for IBS-C: Linzess (linaclotide); Amitiza (lubiprostone); Trulance (plecanatide) and Zelnorm (tegaserod). Additionally, over-the-counter products are commonly used to treat the constipation component of IBS-C, both alone, and in combination with the IBS-C indicated Rx therapies.</w:t>
      </w:r>
    </w:p>
    <w:p>
      <w:pPr>
        <w:spacing w:after="0" w:line="176"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We have established commercial agreements with Shanghai Fosun Pharmaceutical Industrial Development Co. Ltd. (Fosun Pharma) in China and Knight Therapeutics, Inc. (Knight) in Canada for IBSRELA for IBS-C. Knight is currently marketing IBSRELA in Canada.</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367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6998970" cy="73679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Product Pipeline</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Development Candidate XPHOZAH: A Potential New Treatment Approach for Hyperphosphatemia in Adult Patients with CKD on Dialysis</w:t>
      </w:r>
    </w:p>
    <w:p>
      <w:pPr>
        <w:spacing w:after="0" w:line="119" w:lineRule="exact"/>
        <w:rPr>
          <w:sz w:val="20"/>
          <w:szCs w:val="20"/>
          <w:color w:val="auto"/>
        </w:rPr>
      </w:pPr>
    </w:p>
    <w:p>
      <w:pPr>
        <w:ind w:left="300" w:right="120" w:firstLine="426"/>
        <w:spacing w:after="0" w:line="281" w:lineRule="auto"/>
        <w:rPr>
          <w:sz w:val="20"/>
          <w:szCs w:val="20"/>
          <w:color w:val="auto"/>
        </w:rPr>
      </w:pPr>
      <w:r>
        <w:rPr>
          <w:rFonts w:ascii="Times New Roman" w:cs="Times New Roman" w:eastAsia="Times New Roman" w:hAnsi="Times New Roman"/>
          <w:sz w:val="17"/>
          <w:szCs w:val="17"/>
          <w:color w:val="auto"/>
        </w:rPr>
        <w:t>XPHOZAH (tenapanor) is a first-in-class medicine being developed to treat hyperphosphatemia in adult patients with CKD on dialysis. XPHOZAH has a unique mechanism of action and acts locally in the gut to inhibit NHE3. This results in the tightening of the epithelial cell junctions, thereby significantly reducing paracellular uptake of phosphate, the primary pathway of phosphate absorption. If approved, XPHOZAH would be the first therapy for phosphate management that blocks phosphorus absorption at the primary site of uptake. It is not a phosphate binder.</w:t>
      </w:r>
    </w:p>
    <w:p>
      <w:pPr>
        <w:spacing w:after="0" w:line="164" w:lineRule="exact"/>
        <w:rPr>
          <w:sz w:val="20"/>
          <w:szCs w:val="20"/>
          <w:color w:val="auto"/>
        </w:rPr>
      </w:pPr>
    </w:p>
    <w:p>
      <w:pPr>
        <w:jc w:val="both"/>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In June 2020, we submitted a new drug application (NDA) to the U.S. Food and Drug Administration (FDA) for tenapanor for the control of serum phosphorus in adult patients with CKD on dialysis. The NDA was supported by three Phase 3 trials involving more than 1,200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w:t>
      </w:r>
    </w:p>
    <w:p>
      <w:pPr>
        <w:spacing w:after="0" w:line="18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On July 28, 2021, we received a Complete Response Letter (CRL) from the FDA’s Division of Cardiology and Nephrology (DCN) regarding our NDA for tenapanor for the control of serum phosphorus in adult patients with CKD on dialysis. In December 2021 we submitted a Formal Dispute Resolution Request (FDRR) to the Office of Cardiology, Hematology, Endocrinology and Nephrology. At the request of the FDA’s Office of New Drugs (OND) as part of our second level of appeal of the Complete Response Letter, a Cardiovascular and Renal Drug Advisory Committee meeting on was held on November 16, 2022 with the committee voting that the benefits of XPHOZAH outweigh its risks nine to four as a monotherapy and ten to two, with one abstention, in combination with phosphate binder therapy. In December 2022, the OND granted our appeal to the CRL for the NDA for XPHOZAH, and directed the DCN to work with us to develop an appropriate label for the commercialization of XPHOZAH. We believe that a label could reflect an indication for patients whose hyperphosphatemia is insufficiently managed on binder therapy. The OND requested that we request a meeting with the DCN to discuss what will be required in our resubmission of the NDA, and we intend to request such a meeting as soon as possible. We currently expect to resubmit the NDA in the first half of 2023. Within thirty (30) days of resubmitting the NDA, we expect to receive notification from the FDA as to the classification of the resubmission (Class 1 or Class 2) at which point the expected timing for review will also be known (2-months for a Class 1 and 6-months for a Class 2) as well as a goal review date.</w:t>
      </w:r>
    </w:p>
    <w:p>
      <w:pPr>
        <w:spacing w:after="0" w:line="190"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have established commercial agreements with Kyowa Kirin, Co. Ltd. (KKC) in Japan, Fosun Pharma in China and Knight in Canada for tenapanor for hyperphosphatemia. In October 2022, KKC submitted a NDA to the Japanese Ministry of Health, Labour and Welfare for tenapanor for the improvement of hyperphosphatemia in adult patients with CKD on dialysis.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RDX013 Program: Small Molecule for Treating Hyperkalemia</w:t>
      </w:r>
    </w:p>
    <w:p>
      <w:pPr>
        <w:spacing w:after="0" w:line="119"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We have a small molecule potassium secretagogue program, RDX013, for the potential treatment of hyperkalemia, or elevated serum potassium..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We have completed a Phase 2 dose ranging clinical trial evaluating the safety and efficacy of RDX013 for the treatment of hyperkalemia, or elevated potassium, in chronic kidney disease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steps for the program will be to evaluate a new formulation that potentially enhances subject compliance and the efficacy of RDX013 in an additional Phase 2 clinical study at such time as we have determined our available resources support conducting such an additional clinical study after prioritization of the commercialization of IBSRELA and, if approved, XPHOZAH.</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RDX020 Program: Small molecule for Treating Metabolic Acidosis</w:t>
      </w:r>
    </w:p>
    <w:p>
      <w:pPr>
        <w:spacing w:after="0" w:line="119"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have an ongoing discovery program targeting the inhibition of bicarbonate exchange inhibitor for the treatment of metabolic acidosis, a highly prevalent comorbidity in CKD patients that is strongly correlated with disease progression and adverse outcomes. We have identified lead compounds that are potent, selective and proprietary inhibitors of bicarbonate secretion. Our research organization was eliminated as part of our October 2021 restructuring, and therefore, we currently expect to continue to advance this discovery program utilizing third-party resources managed by internal non-clinical expertise.</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89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6998970" cy="9899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were founded in October 2007 as a Delaware corporation under the name Nteryx, Inc. We changed our name to Ardelyx, Inc. in June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2008. Our principal executive offices are located at 400 Fifth Avenue, Suite 210, Waltham, MA 02451, and our telephone number is (510)</w:t>
      </w:r>
    </w:p>
    <w:p>
      <w:pPr>
        <w:spacing w:after="0" w:line="9"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8"/>
          <w:szCs w:val="18"/>
          <w:color w:val="auto"/>
        </w:rPr>
        <w:t xml:space="preserve">745-1700. Our website address is </w:t>
      </w:r>
      <w:r>
        <w:rPr>
          <w:rFonts w:ascii="Times New Roman" w:cs="Times New Roman" w:eastAsia="Times New Roman" w:hAnsi="Times New Roman"/>
          <w:sz w:val="18"/>
          <w:szCs w:val="18"/>
          <w:i w:val="1"/>
          <w:iCs w:val="1"/>
          <w:color w:val="auto"/>
        </w:rPr>
        <w:t>www.ardelyx.com</w:t>
      </w:r>
      <w:r>
        <w:rPr>
          <w:rFonts w:ascii="Times New Roman" w:cs="Times New Roman" w:eastAsia="Times New Roman" w:hAnsi="Times New Roman"/>
          <w:sz w:val="18"/>
          <w:szCs w:val="18"/>
          <w:color w:val="auto"/>
        </w:rPr>
        <w:t>. The information on, or that can be accessed through, our website is not part of this prospectus supplement and is not incorporated by reference herein. We have included our website address as an inactive textual reference only.</w:t>
      </w: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60"/>
          </w:cols>
          <w:pgMar w:left="320" w:top="455" w:right="7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having an aggregate offering price of up to $150,000,000.</w:t>
      </w:r>
    </w:p>
    <w:p>
      <w:pPr>
        <w:spacing w:after="0" w:line="125" w:lineRule="exact"/>
        <w:rPr>
          <w:sz w:val="20"/>
          <w:szCs w:val="20"/>
          <w:color w:val="auto"/>
        </w:rPr>
      </w:pPr>
    </w:p>
    <w:p>
      <w:pPr>
        <w:sectPr>
          <w:pgSz w:w="11900" w:h="16838" w:orient="portrait"/>
          <w:cols w:equalWidth="0" w:num="2">
            <w:col w:w="3960" w:space="720"/>
            <w:col w:w="626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Times New Roman" w:cs="Times New Roman" w:eastAsia="Times New Roman" w:hAnsi="Times New Roman"/>
          <w:sz w:val="18"/>
          <w:szCs w:val="18"/>
          <w:color w:val="auto"/>
        </w:rPr>
        <w:t>Up to 243,892,236 shares, assuming sales of 45,317,220 shares of our common stock in this offering at an offering price of $3.31 per share, which was the last reported sale price of our common stock on the Nasdaq Global Market on January 17, 2023. The actual number of shares issued will vary depending on the sales price under this offering.</w:t>
      </w:r>
    </w:p>
    <w:p>
      <w:pPr>
        <w:spacing w:after="0" w:line="71" w:lineRule="exact"/>
        <w:rPr>
          <w:sz w:val="20"/>
          <w:szCs w:val="20"/>
          <w:color w:val="auto"/>
        </w:rPr>
      </w:pPr>
    </w:p>
    <w:p>
      <w:pPr>
        <w:sectPr>
          <w:pgSz w:w="11900" w:h="16838" w:orient="portrait"/>
          <w:cols w:equalWidth="0" w:num="2">
            <w:col w:w="4220" w:space="460"/>
            <w:col w:w="626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on the Nasdaq Global Market through our sales agent, Jefferies LLC. See “Plan of Distribution”.</w:t>
      </w:r>
    </w:p>
    <w:p>
      <w:pPr>
        <w:spacing w:after="0" w:line="50" w:lineRule="exact"/>
        <w:rPr>
          <w:sz w:val="20"/>
          <w:szCs w:val="20"/>
          <w:color w:val="auto"/>
        </w:rPr>
      </w:pPr>
    </w:p>
    <w:p>
      <w:pPr>
        <w:sectPr>
          <w:pgSz w:w="11900" w:h="16838" w:orient="portrait"/>
          <w:cols w:equalWidth="0" w:num="2">
            <w:col w:w="3960" w:space="720"/>
            <w:col w:w="626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if any, for general corporate purposes. See “Use of Proceeds”.</w:t>
      </w:r>
    </w:p>
    <w:p>
      <w:pPr>
        <w:spacing w:after="0" w:line="50" w:lineRule="exact"/>
        <w:rPr>
          <w:sz w:val="20"/>
          <w:szCs w:val="20"/>
          <w:color w:val="auto"/>
        </w:rPr>
      </w:pPr>
    </w:p>
    <w:p>
      <w:pPr>
        <w:sectPr>
          <w:pgSz w:w="11900" w:h="16838" w:orient="portrait"/>
          <w:cols w:equalWidth="0" w:num="2">
            <w:col w:w="3960" w:space="720"/>
            <w:col w:w="626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260"/>
        <w:spacing w:after="0" w:line="266"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and in the documents incorporated by reference in this prospectus for a discussion of factors to consider before deciding to purchase shares of our common stock.</w:t>
      </w:r>
    </w:p>
    <w:p>
      <w:pPr>
        <w:spacing w:after="0" w:line="64" w:lineRule="exact"/>
        <w:rPr>
          <w:sz w:val="20"/>
          <w:szCs w:val="20"/>
          <w:color w:val="auto"/>
        </w:rPr>
      </w:pPr>
    </w:p>
    <w:p>
      <w:pPr>
        <w:sectPr>
          <w:pgSz w:w="11900" w:h="16838" w:orient="portrait"/>
          <w:cols w:equalWidth="0" w:num="2">
            <w:col w:w="3960" w:space="720"/>
            <w:col w:w="626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Symbol on the Nasdaq Global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“ARDX”</w:t>
      </w:r>
    </w:p>
    <w:p>
      <w:pPr>
        <w:spacing w:after="0" w:line="207" w:lineRule="exact"/>
        <w:rPr>
          <w:sz w:val="20"/>
          <w:szCs w:val="20"/>
          <w:color w:val="auto"/>
        </w:rPr>
      </w:pPr>
    </w:p>
    <w:p>
      <w:pPr>
        <w:sectPr>
          <w:pgSz w:w="11900" w:h="16838" w:orient="portrait"/>
          <w:cols w:equalWidth="0" w:num="2">
            <w:col w:w="3960" w:space="720"/>
            <w:col w:w="6260"/>
          </w:cols>
          <w:pgMar w:left="320" w:top="455" w:right="639" w:bottom="1440" w:gutter="0" w:footer="0" w:header="0"/>
          <w:type w:val="continuous"/>
        </w:sectPr>
      </w:pPr>
    </w:p>
    <w:p>
      <w:pPr>
        <w:spacing w:after="0" w:line="29"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198,575,016 shares of common stock outstanding as of December 31, 2022, and excludes, in each case as of December 31, 2022:</w:t>
      </w:r>
    </w:p>
    <w:p>
      <w:pPr>
        <w:spacing w:after="0" w:line="67" w:lineRule="exact"/>
        <w:rPr>
          <w:sz w:val="20"/>
          <w:szCs w:val="20"/>
          <w:color w:val="auto"/>
        </w:rPr>
      </w:pPr>
    </w:p>
    <w:p>
      <w:pPr>
        <w:ind w:left="1240" w:right="8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13,959,967 shares of common stock issuable upon the exercise of outstanding stock options having a weighted-average exercise price of $4.83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1,406,269 shares of common stock issuable upon the settlement of outstanding restricted stock units;</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2,372,362 shares of common stock reserved for issuance pursuant to future awards under our 2014 Equity Incentive Award Plan, as well as any automatic increases in the number of shares of our common stock reserved for future issuance under this plan;</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590,626 shares of common stock reserved for future issuance under our Employee Stock Purchase Plan, as well as any automatic increases in the number of shares of our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4,690,580 shares of common stock reserved for issuance pursuant to future awards under our 2016 Employment Commencement Inducement Plan.</w:t>
      </w:r>
    </w:p>
    <w:p>
      <w:pPr>
        <w:spacing w:after="0" w:line="162"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Unless otherwise stated, all information contained in this prospectus supplement reflects an assumed public offering price of $3.31 per share, which was the last reported sale price of our common stock on the Nasdaq Global Market on January 17, 2023.</w:t>
      </w:r>
    </w:p>
    <w:p>
      <w:pPr>
        <w:spacing w:after="0" w:line="162"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Further, the dilution information provided in this prospectus supplement is as of December 31, 2022 and includes 11,009,160 shares of common stock issued between October 1, 2022 and December 31, 2022 under our existing “at the market” program pursuant to that certain Open Market Sale Agreement, dated August 13, 2021 (the 2021 Sales Agreement) with Jefferies. The dilution information provided in this prospectus supplement does not take into account up to an aggregate of approximately $52.0 million of shares of common stock that may be sold from time to time subsequent to December 31, 2022 pursuant to the 2021 Sales Agreement.</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and discussed under the section captioned “Risk Factors” contained in our most recent Quarterly Report for the quarter ended September 30, 2022, as updated by our subsequent filings under the Exchange Act, each of which is incorporated by reference in this prospectus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We intend to use the net proceeds from this offering, if any, for general corporate purposes.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common stock you purchase in this offering.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common stock outstanding prior to this offering. Assuming that an aggregate of 45,317,220 shares are sold at a price of $3.31 per share, the last reported sale price of our common stock on the Nasdaq Global Market on January 17, 2023, for aggregate proceeds of $150 million in this offering, and after deducting commissions and estimated aggregate offering expenses payable by us, you will suffer immediate and substantial dilution of $2.30 per share, representing the difference between the as adjusted net tangible book value per share of our common stock as of December 31, 2022 after giving effect to this offering and the assumed offering price. See the section entitled “Dilution” below for a more detailed discussion of the dilution you will incur if you purchase common stock in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December 31, 2022, approximately 23,019,804 shares of common stock that are either subject to outstanding options, issuable upon the settlement of outstanding restricted stock units or reserved for future issuance under our equity incentive plans are eligible for sale in the public market to the extent permitted by the provisions of various vesting schedules and Rule 144 and Rule 701 under the Securities Act.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2023 Sales Agreement in this offering and gross proceeds resulting from those sales, at any one time or in total, is uncertain.</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2023 Sales Agreement and compliance with applicable law, we have the discretion to deliver a placement notice to Jefferies at any time throughout the term of the sales agreement. The number of shares that are sold by Jefferies after delivering a placement notice will fluctuate based on the market price of our common stock during the sales period and limits we set with Jefferies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that will be ultimately issued or the gross proceeds to be raised in connection with those sales, if any.</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and the terms of the 2023 Sales Agreement, to vary the timing, prices and numbers of shares sold, and there is no minimum or maximum sales price for shares to be sold in this offering. Investors may experience a decline in the value of their shares as a result of share sales made at prices lower than the prices they paid.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the context requires otherwise, in this prospectus supplement the terms “Ardelyx”, “we,” “us,” “our” and “the Company” refer to Ardelyx,</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including the documents incorporated by reference herein and therein, and any free writing prospectus that we have authorized for use in connection with this offering contain forward-looking statements that involve risks and uncertainties. Any statements contained or incorporated by reference herein or therein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94" w:lineRule="exact"/>
        <w:rPr>
          <w:sz w:val="20"/>
          <w:szCs w:val="20"/>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indication for XPHOZAH, if approved, and our expectations regarding the timing to resubmit the NDA for XPHOZAH and the potential timing of review of the resubmission.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30"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address our operating cash flow requirements with our current cash and investments, cash generated from the sales of IBSRELA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potential receipt of anticipated milestones from our collaboration partners, our potential receipt of anticipated payments from our Japanese collaboration partner under the second amendment to our License Agreement; our ability to access the capital markets, as well as through the implementation of cash preservation activities to reduce or defer discretionary spending;</w:t>
      </w:r>
    </w:p>
    <w:p>
      <w:pPr>
        <w:spacing w:after="0" w:line="10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RDX013 and RDX020;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or incorporated by reference in, this prospectus supplement may turn out to be inaccurate. Factors that may cause actual results to differ materially from current expectations include, among other things, those listed under “Risk Factors” and elsewhere in this prospectus supplement, the accompanying prospectus, and the documents incorporated by reference herein and the discussion in our Annual Report on Form 10-K for the year ended December 31, 2021 and in our Quarterly Report on Form 10-Q for the quarterly period ended September 30, 2022, in each of “Risk Factors” and “Management’s Discussion and Analysis of Financial Condition and Results of Operations.” Potential investors are urged to consider these factors carefully in evaluating the forward-looking statements. These forward-looking statements speak only as of the date of this prospectus supplement, the accompanying prospectus and the documents incorporated by reference herein and therein, and any free writing prospectus, as applicable.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supplement. See “Where You Can Find More Information.”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Jefferies as a source of financing. We intend to use the net proceeds, if any, from this offering for general corporate purposes, which may include, among other things, activities associated with the commercialization of IBSRELA and XPHOZAH, if approved, conducting post-approval pediatric clinical studies for IBSRELA and XPHOZAH, if approved and for general corporate purposes and working capital.</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pre-commercial activities for XPHOZAH and our commercial activities for IBSRELA, and if approved, XPHOZAH, the timing of potential future milestone payments from our current and future collaboration partners, as well as the amount of cash used in our operations and the amount and timing of payments under our loan and security agreement with SLR Investment Corp.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if any, from this offering in interest-bearing investment-grade securities, certificates of deposit or government securities.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Our historical net tangible book value as of December 31, 2022 was approximately $98.5 million, or $0.50 per share. Our net tangible book value represents total tangible assets less total liabilities and convertible preferred stock, all divided by the number of shares of common stock outstanding on December 31, 2022.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6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our common stock in the aggregate amount of $150.0 million in this offering at an assumed offering price of $3.31, the last reported sale price of our common stock on the Nasdaq Global Market on January 17, 2023, and after deducting commissions and estimated aggregate offering expenses payable by us, our as adjusted net tangible book value as of December 31, 2022 would have been approximately $245.2 million, or $1.01 per share. This represents an immediate increase in net tangible book value of $0.51 per share to existing stockholders and immediate dilution in net tangible book value of $2.30 per share to new investors purchasing our common stock in this offering. The following table illustrates this dilution on a per share basis: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20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2022</w:t>
            </w:r>
          </w:p>
        </w:tc>
        <w:tc>
          <w:tcPr>
            <w:tcW w:w="16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$0.50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new investors</w:t>
            </w:r>
          </w:p>
        </w:tc>
        <w:tc>
          <w:tcPr>
            <w:tcW w:w="160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0.51</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7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20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An increase of $1.00 per share in the price at which the shares are sold from the assumed offering price of $3.31 per share shown in the table above, assuming all of our common stock in the aggregate amount of $150.0 million is sold at that price, would cause our as adjusted net tangible book value per share after the offering to be $1.05 per share and would increase the dilution in net tangible book value per share to new investors to $3.26 per share, after deducting commissions and estimated aggregate offering expenses payable by us. A decrease of $1.00 per share in the price at which the shares are sold from the assumed offering price of $3.31 per share shown in the table above, assuming all of our common stock in the aggregate amount of $150.0 million is sold at that price, would cause our as adjusted net tangible book value per share after the offering to be $0.93 per share and would result in dilution of $1.38 in net tangible book value per share to new investors, after deducting commissions and estimated aggregate offering expenses payable by us. This information is supplied for illustrative purposes only.</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or outstanding restricted stock awards vest,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and tables are based on 198,575,016 shares of common stock outstanding as of December 31, 2022, and excludes, in each case as of December 31, 2022:</w:t>
      </w:r>
    </w:p>
    <w:p>
      <w:pPr>
        <w:spacing w:after="0" w:line="67" w:lineRule="exact"/>
        <w:rPr>
          <w:sz w:val="20"/>
          <w:szCs w:val="20"/>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13,959,967 shares of common stock issuable upon the exercise of outstanding stock options having a weighted-average exercise price of $4.83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1,406,269 shares of common stock issuable upon the settlement of outstanding restricted stock units;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2,372,362 shares of common stock reserved for issuance pursuant to future awards under our 2014 Equity Incentive Award Plan, as well as any automatic increases in the number of shares of our common stock reserved for future issuance under this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590,626 shares of common stock reserved for future issuance under our Employee Stock Purchase Plan, as well as any automatic increases in the number of shares of our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4,690,580 shares of common stock reserved for issuance pursuant to future awards under our 2016 Employment Commencement Inducement Plan.</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stated, all information contained in this prospectus supplement reflects an assumed public offering price of $3.31 per share, which was the last reported sale price of our common stock on the Nasdaq Global Market on January 17, 2023.</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the dilution information provided in this prospectus supplement is as of December 31, 2022 and includes 11,009,160 shares of common stock issued between October 1, 2022 and December 31, 2022 under our existing “at the market” program pursuant to that certain Open Market Sale Agreement, dated August 13, 2021 (the 2021 Sales Agreement) with Jefferies. The dilution information provided in this prospectus supplement does not take into account up to an aggregate of approximately $52.0 million of shares of common stock that may be sold from time to time subsequent to December 31, 2022 pursuant to the 2021 Sales Agreement.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entered into an Open Market Sale Agreement, dated as of January 18, 2023, with Jefferies, under which we may offer and sell up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$150,000,000 of our shares of common stock from time to time through Jefferies acting as agent. Sales of our shares of common stock, if any, under this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 supplement and the accompanying prospectus will be made by any method that is deemed to be an “at the market offering” as defined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 415(a)(4) under the Securities Act.</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$321,000. The remaining sale proceeds, after deducting any other transaction fees, will equal our net proceeds from the sale of such shares.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Jefferies will provide written confirmation to us before the open on the Nasdaq Global Market on the day following each day on which shares of common stock are sold under the sales agreement. Each confirmation will include the number of shares sold on that day, the aggregate gross proceeds of such sales and the proceeds to us.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Jefferies and its affiliates have provided, and may in the future provide various investment banking, commercial banking, financial advisory and other financial services for us and our affiliates, for which services they have received, and may in the future receive customary fees. Jefferies is the agent under the 2021 Sales Agreement. Under the 2021 Sales Agreement, we may offer and sell, from time to time, shares of our common stock through Jefferies through an “at the market offering” as defined in Rule 415(a)(4) promulgated under the Securities Act. In the course of its business, Jefferies may actively trade our securities for its own account or for the accounts of customers, and, accordingly, Jefferies may at any time hold long or short positions in such securities.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Ardelyx, Inc. Jefferies LLC is being represented in connection with this offering by Davis Polk &amp; Wardwell LLP, Menlo Park, California.</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2021, and the effectiveness of our internal control over financial reporting as of December 31, 2021,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and the accompanying prospectus,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under the Exchange Act. The SEC also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SEC allows us to “incorporate by reference” the information we file with them which means that we can disclose important information to you by referring you to those documents instead of having to repeat the information in this prospectus supplement and the accompanying prospectus. The information incorporated by reference is considered to be part of this prospectus supplement and the accompanying prospectus, and later information that we file with the SEC will automatically update and supersede this information. Any statement contained in a previously filed document incorporated by reference will be deemed to be modified or superseded for purposes of this prospectus to the extent that a statement contained in this prospectus modifies or replaces that statement. We incorporate by reference the documents listed below and any future information filed (rather than furnished) with the SEC under 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documents set forth below that have previously been filed with the SEC:</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27">
        <w:r>
          <w:rPr>
            <w:rFonts w:ascii="Times New Roman" w:cs="Times New Roman" w:eastAsia="Times New Roman" w:hAnsi="Times New Roman"/>
            <w:sz w:val="18"/>
            <w:szCs w:val="18"/>
            <w:u w:val="single" w:color="auto"/>
            <w:color w:val="0000EE"/>
          </w:rPr>
          <w:t>February 28,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filed with the SEC on </w:t>
      </w:r>
      <w:hyperlink r:id="rId28">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 xml:space="preserve">, June 30, 2022, filed with the SEC on </w:t>
      </w:r>
      <w:hyperlink r:id="rId29">
        <w:r>
          <w:rPr>
            <w:rFonts w:ascii="Times New Roman" w:cs="Times New Roman" w:eastAsia="Times New Roman" w:hAnsi="Times New Roman"/>
            <w:sz w:val="18"/>
            <w:szCs w:val="18"/>
            <w:u w:val="single" w:color="auto"/>
            <w:color w:val="0000EE"/>
          </w:rPr>
          <w:t>August 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September 30, 2022, filed with the SEC on </w:t>
      </w:r>
      <w:hyperlink r:id="rId30">
        <w:r>
          <w:rPr>
            <w:rFonts w:ascii="Times New Roman" w:cs="Times New Roman" w:eastAsia="Times New Roman" w:hAnsi="Times New Roman"/>
            <w:sz w:val="18"/>
            <w:szCs w:val="18"/>
            <w:u w:val="single" w:color="auto"/>
            <w:color w:val="0000EE"/>
          </w:rPr>
          <w:t>November 3, 2022</w:t>
        </w:r>
      </w:hyperlink>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hyperlink r:id="rId35">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p>
    <w:p>
      <w:pPr>
        <w:spacing w:after="0" w:line="27" w:lineRule="exact"/>
        <w:rPr>
          <w:sz w:val="20"/>
          <w:szCs w:val="20"/>
          <w:color w:val="auto"/>
        </w:rPr>
      </w:pPr>
    </w:p>
    <w:p>
      <w:pPr>
        <w:ind w:left="1080"/>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u w:val="single" w:color="auto"/>
            <w:color w:val="0000EE"/>
          </w:rPr>
          <w:t>11, 2022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April 25, 2022</w:t>
        </w:r>
      </w:hyperlink>
      <w:hyperlink r:id="rId3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May 27, 2022</w:t>
        </w:r>
      </w:hyperlink>
      <w:hyperlink r:id="rId3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June 22, 2022</w:t>
        </w:r>
      </w:hyperlink>
      <w:hyperlink r:id="rId3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June 30, 2022</w:t>
        </w:r>
      </w:hyperlink>
      <w:hyperlink r:id="rId3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July 15, 2022</w:t>
        </w:r>
      </w:hyperlink>
      <w:hyperlink r:id="rId3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 xml:space="preserve">September 19, 2022 </w:t>
        </w:r>
      </w:hyperlink>
      <w:hyperlink r:id="rId35">
        <w:r>
          <w:rPr>
            <w:rFonts w:ascii="Times New Roman" w:cs="Times New Roman" w:eastAsia="Times New Roman" w:hAnsi="Times New Roman"/>
            <w:sz w:val="18"/>
            <w:szCs w:val="18"/>
            <w:color w:val="000000"/>
          </w:rPr>
          <w:t>and</w:t>
        </w:r>
      </w:hyperlink>
      <w:hyperlink r:id="rId42">
        <w:r>
          <w:rPr>
            <w:rFonts w:ascii="Times New Roman" w:cs="Times New Roman" w:eastAsia="Times New Roman" w:hAnsi="Times New Roman"/>
            <w:sz w:val="18"/>
            <w:szCs w:val="18"/>
            <w:u w:val="single" w:color="auto"/>
            <w:color w:val="0000EE"/>
          </w:rPr>
          <w:t>December 29, 2022</w:t>
        </w:r>
      </w:hyperlink>
      <w:hyperlink r:id="rId35">
        <w:r>
          <w:rPr>
            <w:rFonts w:ascii="Times New Roman" w:cs="Times New Roman" w:eastAsia="Times New Roman" w:hAnsi="Times New Roman"/>
            <w:sz w:val="18"/>
            <w:szCs w:val="18"/>
            <w:color w:val="000000"/>
          </w:rPr>
          <w:t>.</w:t>
        </w:r>
      </w:hyperlink>
    </w:p>
    <w:p>
      <w:pPr>
        <w:spacing w:after="0" w:line="112" w:lineRule="exact"/>
        <w:rPr>
          <w:rFonts w:ascii="Times New Roman" w:cs="Times New Roman" w:eastAsia="Times New Roman" w:hAnsi="Times New Roman"/>
          <w:sz w:val="18"/>
          <w:szCs w:val="18"/>
          <w:color w:val="0000EE"/>
        </w:rPr>
      </w:pPr>
    </w:p>
    <w:p>
      <w:pPr>
        <w:jc w:val="both"/>
        <w:ind w:left="1080" w:right="40" w:hanging="424"/>
        <w:spacing w:after="0" w:line="266" w:lineRule="auto"/>
        <w:tabs>
          <w:tab w:leader="none" w:pos="1080" w:val="left"/>
        </w:tabs>
        <w:numPr>
          <w:ilvl w:val="0"/>
          <w:numId w:val="31"/>
        </w:numPr>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auto"/>
          </w:rPr>
          <w:t xml:space="preserve">The description of our common stock incorporated by reference in our Registration Statement on Form 8-A, filed with the SEC on </w:t>
        </w:r>
        <w:r>
          <w:rPr>
            <w:rFonts w:ascii="Times New Roman" w:cs="Times New Roman" w:eastAsia="Times New Roman" w:hAnsi="Times New Roman"/>
            <w:sz w:val="18"/>
            <w:szCs w:val="18"/>
            <w:u w:val="single" w:color="auto"/>
            <w:color w:val="0000EE"/>
          </w:rPr>
          <w:t>June 9,</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2014</w:t>
        </w:r>
        <w:r>
          <w:rPr>
            <w:rFonts w:ascii="Times New Roman" w:cs="Times New Roman" w:eastAsia="Times New Roman" w:hAnsi="Times New Roman"/>
            <w:sz w:val="18"/>
            <w:szCs w:val="18"/>
            <w:color w:val="000000"/>
          </w:rPr>
          <w:t>, and any amendment or report filed with the SEC for the purpose of updating the description and any amendment or report filed with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SEC for the purpose of updating the description.</w:t>
      </w:r>
    </w:p>
    <w:p>
      <w:pPr>
        <w:spacing w:after="0" w:line="176"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deemed to be part of this prospectus supplement from the date of the filing of such reports and documents.</w:t>
      </w:r>
    </w:p>
    <w:p>
      <w:pPr>
        <w:spacing w:after="0" w:line="178" w:lineRule="exact"/>
        <w:rPr>
          <w:rFonts w:ascii="Times New Roman" w:cs="Times New Roman" w:eastAsia="Times New Roman" w:hAnsi="Times New Roman"/>
          <w:sz w:val="18"/>
          <w:szCs w:val="18"/>
          <w:color w:val="auto"/>
        </w:rPr>
      </w:pPr>
    </w:p>
    <w:p>
      <w:pPr>
        <w:jc w:val="both"/>
        <w:ind w:left="120" w:right="2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These documents may also be accessed on our website at </w:t>
      </w:r>
      <w:r>
        <w:rPr>
          <w:rFonts w:ascii="Times New Roman" w:cs="Times New Roman" w:eastAsia="Times New Roman" w:hAnsi="Times New Roman"/>
          <w:sz w:val="18"/>
          <w:szCs w:val="18"/>
          <w:i w:val="1"/>
          <w:iCs w:val="1"/>
          <w:u w:val="single" w:color="auto"/>
          <w:color w:val="auto"/>
        </w:rPr>
        <w:t>www.ardelyx.com</w:t>
      </w:r>
      <w:r>
        <w:rPr>
          <w:rFonts w:ascii="Times New Roman" w:cs="Times New Roman" w:eastAsia="Times New Roman" w:hAnsi="Times New Roman"/>
          <w:sz w:val="18"/>
          <w:szCs w:val="18"/>
          <w:color w:val="auto"/>
        </w:rPr>
        <w:t>. Except as otherwise specifically incorporated by reference in this prospectus supplement and the accompanying prospectus, information contained in, or accessible through, our website is not a part of this prospectus supplement and the accompanying prospectus.</w:t>
      </w:r>
    </w:p>
    <w:p>
      <w:pPr>
        <w:spacing w:after="0" w:line="175" w:lineRule="exact"/>
        <w:rPr>
          <w:rFonts w:ascii="Times New Roman" w:cs="Times New Roman" w:eastAsia="Times New Roman" w:hAnsi="Times New Roman"/>
          <w:sz w:val="18"/>
          <w:szCs w:val="18"/>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supplement by writing or telephoning us at the following address:</w:t>
      </w:r>
    </w:p>
    <w:p>
      <w:pPr>
        <w:spacing w:after="0" w:line="16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400 Fifth Avenue, Suite 210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(510) 745-1700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Chief Legal and Administrative Officer</w:t>
      </w:r>
    </w:p>
    <w:p>
      <w:pPr>
        <w:spacing w:after="0" w:line="207" w:lineRule="exact"/>
        <w:rPr>
          <w:rFonts w:ascii="Times New Roman" w:cs="Times New Roman" w:eastAsia="Times New Roman" w:hAnsi="Times New Roman"/>
          <w:sz w:val="18"/>
          <w:szCs w:val="18"/>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supplement or any accompanying prospectus supplement.</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729615</wp:posOffset>
            </wp:positionV>
            <wp:extent cx="4105910" cy="942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4105910" cy="94297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Up to $150,000,000</w:t>
      </w:r>
    </w:p>
    <w:p>
      <w:pPr>
        <w:spacing w:after="0" w:line="22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200" w:lineRule="exact"/>
        <w:rPr>
          <w:sz w:val="20"/>
          <w:szCs w:val="20"/>
          <w:color w:val="auto"/>
        </w:rPr>
      </w:pP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08"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(other than the SEC registration fee and FINRA filing fee) of the expenses (all of which are to be paid by the registrant) that we may incur in connection with the securities being registered hereby.</w:t>
      </w:r>
    </w:p>
    <w:p>
      <w:pPr>
        <w:sectPr>
          <w:pgSz w:w="11900" w:h="16838" w:orient="portrait"/>
          <w:cols w:equalWidth="0" w:num="1">
            <w:col w:w="11100"/>
          </w:cols>
          <w:pgMar w:left="320" w:top="455" w:right="479" w:bottom="1440" w:gutter="0" w:footer="0" w:header="0"/>
        </w:sectPr>
      </w:pPr>
    </w:p>
    <w:p>
      <w:pPr>
        <w:spacing w:after="0" w:line="1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7"/>
          <w:szCs w:val="17"/>
          <w:color w:val="auto"/>
        </w:rPr>
        <w:t>Blue Sky, qualification fees and expenses</w:t>
      </w:r>
    </w:p>
    <w:p>
      <w:pPr>
        <w:spacing w:after="0" w:line="2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Trustee fees and expenses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Warrant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$27,550</w:t>
      </w:r>
    </w:p>
    <w:p>
      <w:pPr>
        <w:spacing w:after="0" w:line="27" w:lineRule="exact"/>
        <w:rPr>
          <w:sz w:val="20"/>
          <w:szCs w:val="20"/>
          <w:color w:val="auto"/>
        </w:rPr>
      </w:pPr>
    </w:p>
    <w:p>
      <w:pPr>
        <w:ind w:left="440" w:hanging="439"/>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440" w:hanging="439"/>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17"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3771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17145</wp:posOffset>
            </wp:positionV>
            <wp:extent cx="3771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34290</wp:posOffset>
            </wp:positionV>
            <wp:extent cx="3771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440"/>
          </w:cols>
          <w:pgMar w:left="320" w:top="455" w:right="479" w:bottom="1440" w:gutter="0" w:footer="0" w:header="0"/>
          <w:type w:val="continuous"/>
        </w:sectPr>
      </w:pPr>
    </w:p>
    <w:p>
      <w:pPr>
        <w:spacing w:after="0" w:line="106"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and amended and restated bylaws that will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89" w:lineRule="exact"/>
        <w:rPr>
          <w:sz w:val="20"/>
          <w:szCs w:val="20"/>
          <w:color w:val="auto"/>
        </w:rPr>
      </w:pPr>
    </w:p>
    <w:p>
      <w:pPr>
        <w:ind w:left="1540" w:hanging="331"/>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amended and restated certificate of incorporation will also authorize us to indemnify our officers, directors and other agents to the fullest extent permitted under Delaware law.</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131" w:lineRule="exact"/>
        <w:rPr>
          <w:sz w:val="20"/>
          <w:szCs w:val="20"/>
          <w:color w:val="auto"/>
        </w:rPr>
      </w:pPr>
    </w:p>
    <w:p>
      <w:pPr>
        <w:ind w:left="1540" w:right="180" w:hanging="331"/>
        <w:spacing w:after="0" w:line="282"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67" w:lineRule="exact"/>
        <w:rPr>
          <w:rFonts w:ascii="Times New Roman" w:cs="Times New Roman" w:eastAsia="Times New Roman" w:hAnsi="Times New Roman"/>
          <w:sz w:val="18"/>
          <w:szCs w:val="18"/>
          <w:color w:val="auto"/>
        </w:rPr>
      </w:pPr>
    </w:p>
    <w:p>
      <w:pPr>
        <w:ind w:left="1540" w:right="640" w:hanging="331"/>
        <w:spacing w:after="0" w:line="282"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7120" w:type="dxa"/>
            <w:vAlign w:val="bottom"/>
            <w:gridSpan w:val="15"/>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2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52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Filed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gridSpan w:val="7"/>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04"/>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690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8"/>
              </w:rPr>
              <w:t>Open Market Sale Agreement</w:t>
            </w:r>
          </w:p>
        </w:tc>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SM</w:t>
            </w:r>
          </w:p>
        </w:tc>
        <w:tc>
          <w:tcPr>
            <w:tcW w:w="47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 dated January 18, 2023, by and between Ardelyx, Inc. and</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gridSpan w:val="9"/>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Jefferies LLC.</w:t>
            </w:r>
          </w:p>
        </w:tc>
        <w:tc>
          <w:tcPr>
            <w:tcW w:w="200" w:type="dxa"/>
            <w:vAlign w:val="bottom"/>
            <w:gridSpan w:val="2"/>
          </w:tcPr>
          <w:p>
            <w:pPr>
              <w:spacing w:after="0"/>
              <w:rPr>
                <w:sz w:val="17"/>
                <w:szCs w:val="17"/>
                <w:color w:val="auto"/>
              </w:rPr>
            </w:pPr>
          </w:p>
        </w:tc>
        <w:tc>
          <w:tcPr>
            <w:tcW w:w="4280" w:type="dxa"/>
            <w:vAlign w:val="bottom"/>
            <w:tcBorders>
              <w:top w:val="single" w:sz="8" w:color="0000EE"/>
            </w:tcBorders>
            <w:gridSpan w:val="7"/>
          </w:tcPr>
          <w:p>
            <w:pPr>
              <w:spacing w:after="0"/>
              <w:rPr>
                <w:sz w:val="17"/>
                <w:szCs w:val="17"/>
                <w:color w:val="auto"/>
              </w:rPr>
            </w:pPr>
          </w:p>
        </w:tc>
        <w:tc>
          <w:tcPr>
            <w:tcW w:w="5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7120" w:type="dxa"/>
            <w:vAlign w:val="bottom"/>
            <w:gridSpan w:val="15"/>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Certificate of Incorporation.</w:t>
              </w:r>
            </w:hyperlink>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6/24/2014</w:t>
            </w:r>
          </w:p>
        </w:tc>
        <w:tc>
          <w:tcPr>
            <w:tcW w:w="220" w:type="dxa"/>
            <w:vAlign w:val="bottom"/>
          </w:tcPr>
          <w:p>
            <w:pPr>
              <w:spacing w:after="0"/>
              <w:rPr>
                <w:sz w:val="24"/>
                <w:szCs w:val="24"/>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3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Amended and Restated Bylaws.</w:t>
              </w:r>
            </w:hyperlink>
          </w:p>
        </w:tc>
        <w:tc>
          <w:tcPr>
            <w:tcW w:w="1420" w:type="dxa"/>
            <w:vAlign w:val="bottom"/>
            <w:tcBorders>
              <w:top w:val="single" w:sz="8" w:color="0000EE"/>
            </w:tcBorders>
            <w:gridSpan w:val="4"/>
          </w:tcPr>
          <w:p>
            <w:pPr>
              <w:spacing w:after="0"/>
              <w:rPr>
                <w:sz w:val="24"/>
                <w:szCs w:val="24"/>
                <w:color w:val="auto"/>
              </w:rPr>
            </w:pPr>
          </w:p>
        </w:tc>
        <w:tc>
          <w:tcPr>
            <w:tcW w:w="3400" w:type="dxa"/>
            <w:vAlign w:val="bottom"/>
            <w:gridSpan w:val="6"/>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6/24/2014</w:t>
            </w:r>
          </w:p>
        </w:tc>
        <w:tc>
          <w:tcPr>
            <w:tcW w:w="220" w:type="dxa"/>
            <w:vAlign w:val="bottom"/>
          </w:tcPr>
          <w:p>
            <w:pPr>
              <w:spacing w:after="0"/>
              <w:rPr>
                <w:sz w:val="24"/>
                <w:szCs w:val="24"/>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26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Form of Common Stock Certificate.</w:t>
              </w:r>
            </w:hyperlink>
          </w:p>
        </w:tc>
        <w:tc>
          <w:tcPr>
            <w:tcW w:w="4520" w:type="dxa"/>
            <w:vAlign w:val="bottom"/>
            <w:gridSpan w:val="7"/>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S-1/A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6/18/2014</w:t>
            </w:r>
          </w:p>
        </w:tc>
        <w:tc>
          <w:tcPr>
            <w:tcW w:w="220" w:type="dxa"/>
            <w:vAlign w:val="bottom"/>
          </w:tcPr>
          <w:p>
            <w:pPr>
              <w:spacing w:after="0"/>
              <w:rPr>
                <w:sz w:val="24"/>
                <w:szCs w:val="24"/>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Form of Indenture</w:t>
            </w:r>
          </w:p>
        </w:tc>
        <w:tc>
          <w:tcPr>
            <w:tcW w:w="580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4"/>
                <w:szCs w:val="24"/>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2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Opinion of Latham &amp; Watkins LLP</w:t>
            </w:r>
          </w:p>
        </w:tc>
        <w:tc>
          <w:tcPr>
            <w:tcW w:w="456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Latham &amp; Watkins LLP (included in Exhibit 5.1)</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100" w:type="dxa"/>
            <w:vAlign w:val="bottom"/>
            <w:gridSpan w:val="8"/>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4"/>
                <w:szCs w:val="24"/>
                <w:color w:val="auto"/>
              </w:rPr>
            </w:pPr>
          </w:p>
        </w:tc>
        <w:tc>
          <w:tcPr>
            <w:tcW w:w="5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w:t>
            </w:r>
          </w:p>
        </w:tc>
        <w:tc>
          <w:tcPr>
            <w:tcW w:w="146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4"/>
                <w:szCs w:val="24"/>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Powers of Attorney (incorporated by reference to the signature page hereto)</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180" w:type="dxa"/>
            <w:vAlign w:val="bottom"/>
            <w:gridSpan w:val="9"/>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25.1**</w:t>
            </w:r>
          </w:p>
        </w:tc>
        <w:tc>
          <w:tcPr>
            <w:tcW w:w="220" w:type="dxa"/>
            <w:vAlign w:val="bottom"/>
          </w:tcPr>
          <w:p>
            <w:pPr>
              <w:spacing w:after="0"/>
              <w:rPr>
                <w:sz w:val="24"/>
                <w:szCs w:val="24"/>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Statement of Eligibility on Form T-1 under the Trust Indenture Act of 1939, as amended, of , as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trustee under the indenture filed as Exhibit 4.3 above Certificate</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Pr>
          <w:p>
            <w:pPr>
              <w:spacing w:after="0"/>
              <w:rPr>
                <w:sz w:val="24"/>
                <w:szCs w:val="24"/>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Fee Table Exhibit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20" w:right="3120" w:hanging="4"/>
        <w:spacing w:after="0" w:line="282" w:lineRule="auto"/>
        <w:tabs>
          <w:tab w:leader="none" w:pos="5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securities. ** To be filed pursuant to Section 305(b)(2) of the Trust Indenture Act of 1939.</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7" w:lineRule="exact"/>
        <w:rPr>
          <w:sz w:val="20"/>
          <w:szCs w:val="20"/>
          <w:color w:val="auto"/>
        </w:rPr>
      </w:pPr>
    </w:p>
    <w:p>
      <w:pPr>
        <w:ind w:left="820" w:hanging="264"/>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117" w:lineRule="exact"/>
        <w:rPr>
          <w:rFonts w:ascii="Times New Roman" w:cs="Times New Roman" w:eastAsia="Times New Roman" w:hAnsi="Times New Roman"/>
          <w:sz w:val="18"/>
          <w:szCs w:val="18"/>
          <w:color w:val="auto"/>
        </w:rPr>
      </w:pPr>
    </w:p>
    <w:p>
      <w:pPr>
        <w:ind w:left="560" w:right="240" w:firstLine="419"/>
        <w:spacing w:after="0" w:line="255" w:lineRule="auto"/>
        <w:tabs>
          <w:tab w:leader="none" w:pos="12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560" w:right="80" w:firstLine="419"/>
        <w:spacing w:after="0" w:line="282" w:lineRule="auto"/>
        <w:tabs>
          <w:tab w:leader="none" w:pos="129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a part of the registration statement.</w:t>
      </w:r>
    </w:p>
    <w:p>
      <w:pPr>
        <w:spacing w:after="0" w:line="182" w:lineRule="exact"/>
        <w:rPr>
          <w:sz w:val="20"/>
          <w:szCs w:val="20"/>
          <w:color w:val="auto"/>
        </w:rPr>
      </w:pPr>
    </w:p>
    <w:p>
      <w:pPr>
        <w:ind w:left="120" w:right="120" w:firstLine="436"/>
        <w:spacing w:after="0" w:line="266"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20" w:right="620" w:firstLine="43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820" w:hanging="264"/>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2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560" w:firstLine="419"/>
        <w:spacing w:after="0" w:line="253" w:lineRule="auto"/>
        <w:tabs>
          <w:tab w:leader="none" w:pos="12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40" w:firstLine="436"/>
        <w:spacing w:after="0" w:line="282"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54"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2" w:lineRule="exact"/>
        <w:rPr>
          <w:sz w:val="20"/>
          <w:szCs w:val="20"/>
          <w:color w:val="auto"/>
        </w:rPr>
      </w:pPr>
    </w:p>
    <w:p>
      <w:pPr>
        <w:ind w:left="1200" w:hanging="221"/>
        <w:spacing w:after="0"/>
        <w:tabs>
          <w:tab w:leader="none" w:pos="1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560" w:right="220" w:firstLine="419"/>
        <w:spacing w:after="0" w:line="282" w:lineRule="auto"/>
        <w:tabs>
          <w:tab w:leader="none" w:pos="12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firstLine="419"/>
        <w:spacing w:after="0" w:line="282" w:lineRule="auto"/>
        <w:tabs>
          <w:tab w:leader="none" w:pos="12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firstLine="436"/>
        <w:spacing w:after="0" w:line="258" w:lineRule="auto"/>
        <w:tabs>
          <w:tab w:leader="none" w:pos="8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83" w:lineRule="exact"/>
        <w:rPr>
          <w:sz w:val="20"/>
          <w:szCs w:val="20"/>
          <w:color w:val="auto"/>
        </w:rPr>
      </w:pPr>
    </w:p>
    <w:p>
      <w:pPr>
        <w:ind w:left="120" w:right="140" w:firstLine="436"/>
        <w:spacing w:after="0" w:line="254"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120" w:right="80" w:firstLine="436"/>
        <w:spacing w:after="0" w:line="266" w:lineRule="auto"/>
        <w:tabs>
          <w:tab w:leader="none" w:pos="7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of 1939 in accordance with the rules and regulations prescribed by the Commission under Section 305(b)(2) of the Trust Indenture Act of 1939.</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Waltham, Massachusetts, on January 18, 2023.</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Ardelyx,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Michael Raab</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at each person whose signature appears below constitutes and appoints Michael Raab and Elizabeth Grammer,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and to file the same, with all exhibits thereto and other documents in connection therewith, to this registration statement, with the Securities and Exchange Commission, granting unto said attorneys-in-fact and agents,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8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on behalf of the registrant in the capacities and on the dates indicated.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Raab</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18,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Raab</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Justin Renz</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18,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Justin Renz</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Felsch</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Finance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18,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Felsch</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Mott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18,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Mott</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Bazemore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18,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Bazemore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Bertrand, Jr.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18,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Bertrand, Jr.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1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w w:val="98"/>
              </w:rPr>
              <w:t>/s/ Geoffrey A. Block</w:t>
            </w:r>
          </w:p>
        </w:tc>
        <w:tc>
          <w:tcPr>
            <w:tcW w:w="41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January 18, 2023</w:t>
            </w:r>
          </w:p>
        </w:tc>
      </w:tr>
      <w:tr>
        <w:trPr>
          <w:trHeight w:val="228"/>
        </w:trPr>
        <w:tc>
          <w:tcPr>
            <w:tcW w:w="120" w:type="dxa"/>
            <w:vAlign w:val="bottom"/>
          </w:tcPr>
          <w:p>
            <w:pPr>
              <w:spacing w:after="0"/>
              <w:rPr>
                <w:sz w:val="19"/>
                <w:szCs w:val="19"/>
                <w:color w:val="auto"/>
              </w:rPr>
            </w:pPr>
          </w:p>
        </w:tc>
        <w:tc>
          <w:tcPr>
            <w:tcW w:w="4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Geoffrey A. Block, M.D.</w:t>
            </w:r>
          </w:p>
        </w:tc>
        <w:tc>
          <w:tcPr>
            <w:tcW w:w="4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Onaiza Cadoret-Manier</w:t>
            </w:r>
          </w:p>
        </w:tc>
        <w:tc>
          <w:tcPr>
            <w:tcW w:w="41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January 18, 2023</w:t>
            </w: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Onaiza Cadoret-Manier</w:t>
            </w:r>
          </w:p>
        </w:tc>
        <w:tc>
          <w:tcPr>
            <w:tcW w:w="4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w w:val="98"/>
              </w:rPr>
              <w:t>/s/ Jan M. Lunberg</w:t>
            </w:r>
          </w:p>
        </w:tc>
        <w:tc>
          <w:tcPr>
            <w:tcW w:w="41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January 18, 2023</w:t>
            </w: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Jan M. Lunberg, Ph.D.</w:t>
            </w:r>
          </w:p>
        </w:tc>
        <w:tc>
          <w:tcPr>
            <w:tcW w:w="4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/s/ Muna Bhanji</w:t>
            </w:r>
          </w:p>
        </w:tc>
        <w:tc>
          <w:tcPr>
            <w:tcW w:w="41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January 18, 2023</w:t>
            </w: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Muna Bhanji, R.Ph.</w:t>
            </w:r>
          </w:p>
        </w:tc>
        <w:tc>
          <w:tcPr>
            <w:tcW w:w="4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w w:val="99"/>
              </w:rPr>
              <w:t>/s/ Richard Rodgers</w:t>
            </w:r>
          </w:p>
        </w:tc>
        <w:tc>
          <w:tcPr>
            <w:tcW w:w="41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January 18, 2023</w:t>
            </w: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Richard Rodgers</w:t>
            </w:r>
          </w:p>
        </w:tc>
        <w:tc>
          <w:tcPr>
            <w:tcW w:w="4100" w:type="dxa"/>
            <w:vAlign w:val="bottom"/>
          </w:tcPr>
          <w:p>
            <w:pPr>
              <w:spacing w:after="0"/>
              <w:rPr>
                <w:sz w:val="19"/>
                <w:szCs w:val="19"/>
                <w:color w:val="auto"/>
              </w:rPr>
            </w:pPr>
          </w:p>
        </w:tc>
        <w:tc>
          <w:tcPr>
            <w:tcW w:w="2480" w:type="dxa"/>
            <w:vAlign w:val="bottom"/>
          </w:tcPr>
          <w:p>
            <w:pPr>
              <w:spacing w:after="0"/>
              <w:rPr>
                <w:sz w:val="19"/>
                <w:szCs w:val="19"/>
                <w:color w:val="auto"/>
              </w:rPr>
            </w:pPr>
          </w:p>
        </w:tc>
      </w:tr>
    </w:tbl>
    <w:p>
      <w:pPr>
        <w:sectPr>
          <w:pgSz w:w="11900" w:h="16838" w:orient="portrait"/>
          <w:cols w:equalWidth="0" w:num="1">
            <w:col w:w="10880"/>
          </w:cols>
          <w:pgMar w:left="320" w:top="446" w:right="6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OPEN MARKET SALE AGREEMENT</w:t>
      </w:r>
      <w:r>
        <w:rPr>
          <w:rFonts w:ascii="Times New Roman" w:cs="Times New Roman" w:eastAsia="Times New Roman" w:hAnsi="Times New Roman"/>
          <w:sz w:val="26"/>
          <w:szCs w:val="26"/>
          <w:b w:val="1"/>
          <w:bCs w:val="1"/>
          <w:color w:val="auto"/>
          <w:vertAlign w:val="superscript"/>
        </w:rPr>
        <w:t>SM</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18,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Ardelyx,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shares of the Company’s common stock, par value $0.0001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having an aggregate offering price of up to $150,000,000 on the terms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121" w:lineRule="exact"/>
        <w:rPr>
          <w:sz w:val="20"/>
          <w:szCs w:val="20"/>
          <w:color w:val="auto"/>
        </w:rPr>
      </w:pPr>
    </w:p>
    <w:p>
      <w:pPr>
        <w:ind w:right="720" w:firstLine="436"/>
        <w:spacing w:after="0" w:line="282"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herein and not otherwise defined shall have the following respective meanings:</w:t>
      </w:r>
    </w:p>
    <w:p>
      <w:pPr>
        <w:spacing w:after="0" w:line="50"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Agency Period</w:t>
      </w:r>
      <w:r>
        <w:rPr>
          <w:rFonts w:ascii="Times New Roman" w:cs="Times New Roman" w:eastAsia="Times New Roman" w:hAnsi="Times New Roman"/>
          <w:sz w:val="17"/>
          <w:szCs w:val="17"/>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SM</w:t>
      </w:r>
      <w:r>
        <w:rPr>
          <w:sz w:val="20"/>
          <w:szCs w:val="20"/>
          <w:color w:val="auto"/>
        </w:rPr>
        <w:tab/>
      </w:r>
      <w:r>
        <w:rPr>
          <w:rFonts w:ascii="Times New Roman" w:cs="Times New Roman" w:eastAsia="Times New Roman" w:hAnsi="Times New Roman"/>
          <w:sz w:val="18"/>
          <w:szCs w:val="18"/>
          <w:color w:val="auto"/>
        </w:rPr>
        <w:t>“Open Market Sale Agreement” is a service mark of Jefferies LLC</w:t>
      </w:r>
    </w:p>
    <w:p>
      <w:pPr>
        <w:sectPr>
          <w:pgSz w:w="11900" w:h="16838" w:orient="portrait"/>
          <w:cols w:equalWidth="0" w:num="1">
            <w:col w:w="11020"/>
          </w:cols>
          <w:pgMar w:left="440" w:top="117" w:right="43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Issuance Amount</w:t>
      </w:r>
      <w:r>
        <w:rPr>
          <w:rFonts w:ascii="Times New Roman" w:cs="Times New Roman" w:eastAsia="Times New Roman" w:hAnsi="Times New Roman"/>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is executed by its Chief Executive Officer, President or Chief Financial Officer.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 Date</w:t>
      </w:r>
      <w:r>
        <w:rPr>
          <w:rFonts w:ascii="Times New Roman" w:cs="Times New Roman" w:eastAsia="Times New Roman" w:hAnsi="Times New Roman"/>
          <w:sz w:val="18"/>
          <w:szCs w:val="18"/>
          <w:color w:val="auto"/>
        </w:rPr>
        <w:t xml:space="preserve">” means any Trading Day during the Agency Period that an Issuance Notice is delivered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means the Sales Price less the Selling Commission.</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Program Amount</w:t>
      </w:r>
      <w:r>
        <w:rPr>
          <w:rFonts w:ascii="Times New Roman" w:cs="Times New Roman" w:eastAsia="Times New Roman" w:hAnsi="Times New Roman"/>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2"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Market or such other national securities exchange on which the Common Shares, including any Shares, are then listed.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Price</w:t>
      </w:r>
      <w:r>
        <w:rPr>
          <w:rFonts w:ascii="Times New Roman" w:cs="Times New Roman" w:eastAsia="Times New Roman" w:hAnsi="Times New Roman"/>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Commission</w:t>
      </w:r>
      <w:r>
        <w:rPr>
          <w:rFonts w:ascii="Times New Roman" w:cs="Times New Roman" w:eastAsia="Times New Roman" w:hAnsi="Times New Roman"/>
          <w:sz w:val="18"/>
          <w:szCs w:val="18"/>
          <w:color w:val="auto"/>
        </w:rPr>
        <w:t>” means up to three percent (3.0%) of the gross proceeds of Shares sold pursuant to this Agreement, or as otherwise agreed between the Company and the Agent with respect to any Shares sold pursuant to this Agreement.</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mean the Company’s Common Shares issued or issuable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Market is open for trading.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REPRESENTATIONS AND WARRANTIES OF THE COMPANY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and agrees with, the Agent that as of (1) the date of this Agreement, (2) each Issuance Notice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each Settlement Date, (4) each Triggering Event Date and (5) as of each Time of Sale (each of the times referenced above is referred to herein as a</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except as may be disclosed in the Prospectus (including any documents incorporated by reference therein and any supplements thereto) on or before a Representation Date, and unless such representation, warranty or agreement specifies a different time:</w:t>
      </w:r>
    </w:p>
    <w:p>
      <w:pPr>
        <w:spacing w:after="0" w:line="181" w:lineRule="exact"/>
        <w:rPr>
          <w:sz w:val="20"/>
          <w:szCs w:val="20"/>
          <w:color w:val="auto"/>
        </w:rPr>
      </w:pPr>
    </w:p>
    <w:p>
      <w:pPr>
        <w:ind w:firstLine="436"/>
        <w:spacing w:after="0" w:line="252"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has filed, or will file, with the Commission a shelf registration statement on Form S-3 that contains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under the Securities Act as from time to time amended or supplemented, is herein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Base Prospectus constituting a part of such registration statement(s), together with any prospectus supplement filed with the Commission pursuant to Rule 424(b) under the Securities Act relating to the Shares to be issued from time to time by the Company,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from and after the time it is first provided to the Agent for such use. The Registration Statement at the time it first becomes effective is herein called the “</w:t>
      </w:r>
      <w:r>
        <w:rPr>
          <w:rFonts w:ascii="Times New Roman" w:cs="Times New Roman" w:eastAsia="Times New Roman" w:hAnsi="Times New Roman"/>
          <w:sz w:val="18"/>
          <w:szCs w:val="18"/>
          <w:b w:val="1"/>
          <w:bCs w:val="1"/>
          <w:color w:val="auto"/>
        </w:rPr>
        <w:t>Original Registration Statement</w:t>
      </w:r>
      <w:r>
        <w:rPr>
          <w:rFonts w:ascii="Times New Roman" w:cs="Times New Roman" w:eastAsia="Times New Roman" w:hAnsi="Times New Roman"/>
          <w:sz w:val="18"/>
          <w:szCs w:val="18"/>
          <w:color w:val="auto"/>
        </w:rPr>
        <w:t>.” As used in this Agreement, the terms “amend,” “amendment” or “supplement” when applied to the Registration Statement, the Prospectus or any Issuer Free Writing Prospectus shall be deemed to refer to and include the filing by the Company with the Commission of any document under the Exchange Act on or after the most-recent effective date of the Registration Statement, or the date of the Prospectus or such Issuer Free Writing Prospectus, as the case may be, that is or is deemed to be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58" w:name="page59"/>
    <w:bookmarkEnd w:id="5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During the Agency Period, each time the Company files an annual report on Form 10-K the Company will meet the then-applicable requirements for use of Form S-3 under the Securities Act.</w:t>
      </w:r>
    </w:p>
    <w:p>
      <w:pPr>
        <w:spacing w:after="0" w:line="162" w:lineRule="exact"/>
        <w:rPr>
          <w:sz w:val="20"/>
          <w:szCs w:val="20"/>
          <w:color w:val="auto"/>
        </w:rPr>
      </w:pPr>
    </w:p>
    <w:p>
      <w:pPr>
        <w:ind w:right="80" w:firstLine="436"/>
        <w:spacing w:after="0" w:line="258"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Original Registration Statement and any Rule 462(b) Registration Statement (as defined below) will be declared effective by the Commission under the Securities Act prior to the date of their first use.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Prospectus as of its date complied or will comply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all subsequent times, complied and will comply in all material respects with the Securities Act and, at the time it became or becomes effective and at each Settlement Date,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did not and, at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There are no contracts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59" w:name="page60"/>
    <w:bookmarkEnd w:id="59"/>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76" w:lineRule="exact"/>
        <w:rPr>
          <w:sz w:val="20"/>
          <w:szCs w:val="20"/>
          <w:color w:val="auto"/>
        </w:rPr>
      </w:pPr>
    </w:p>
    <w:p>
      <w:pPr>
        <w:ind w:right="80" w:firstLine="436"/>
        <w:spacing w:after="0" w:line="258"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3"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any documents incorporated by reference therein,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6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as of the dates indicated and the results of operations, cash flows and changes in stockholders’ equity of the Company for the periods specified (subject, in the case of unaudited statements, to normal and recurring year-end audit adjustments) and have been prepared in compliance with the requirements of the Securities Act and Exchange Act, as applicable, and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(except for such adjustments to accounting standards and practices as are noted therein) during the periods involved (except that any interim statements are in condensed form and do not contain all footnotes that would be required under GAAP and are subject to year-end audit adjustments); the other financial and statistical data with respect to the Company contained or incorporated by reference in the Registration Statement, the Prospectus and the Issuer Free Writing Prospectuses, if any, are accurately and fairly presented in all material respects and prepared on a basis consistent, in all material respects, with the financial statements (in the case of financial data only)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does not have any material liabilities or obligations, direct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60" w:name="page61"/>
    <w:bookmarkEnd w:id="6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contingent (including any off-balance sheet obligations), that are required to be described in the Registration Statement and the Prospectus that are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89" w:lineRule="exact"/>
        <w:rPr>
          <w:sz w:val="20"/>
          <w:szCs w:val="20"/>
          <w:color w:val="auto"/>
        </w:rPr>
      </w:pPr>
    </w:p>
    <w:p>
      <w:pPr>
        <w:ind w:right="280" w:firstLine="436"/>
        <w:spacing w:after="0" w:line="266"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EDGAR Filing</w:t>
      </w:r>
      <w:r>
        <w:rPr>
          <w:rFonts w:ascii="Times New Roman" w:cs="Times New Roman" w:eastAsia="Times New Roman" w:hAnsi="Times New Roman"/>
          <w:sz w:val="18"/>
          <w:szCs w:val="18"/>
          <w:color w:val="auto"/>
        </w:rPr>
        <w:t>. The Prospectus delivered to Agent for use in connection with the sale of the Shares pursuant to this Agreement will be identical to the versions of the Prospectus created to be transmitted to the Commission for filing via EDGAR, except to the extent permitted by Regulation S-T under the Securities Act.</w:t>
      </w:r>
    </w:p>
    <w:p>
      <w:pPr>
        <w:spacing w:after="0" w:line="17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is duly incorporated, validly existing as a corporation and in good standing under the laws of its jurisdiction of incorporation. The Company is duly licensed or qualified as a foreign corporation for the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or results of operations of the Company, or prevent or materially interfere with consummation of the transactions contemplated hereby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has no subsidiaries (as defined in Rule 405 under the Securities Act).</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The Company is not (i) in violation of its certificate of incorporation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are subject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or (iii) in violation of any law or statute or any judgment, order, rule or regulation of any Governmental Authority, except, in the case of each of clauses (ii) and (iii) above, for any such violation or default that would not, individually or in the aggregate, reasonably be expected to have a Material Adverse Effect.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61" w:name="page62"/>
    <w:bookmarkEnd w:id="6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not result in any violation of the provisions of the certificate of incorporation or bylaws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except as could not be expected, individually or in the aggregate, to have a Material Adverse Effect and (iii) will not result in any violation of any law, administrative regulation or administrative or court decree applicable to the Company, except as could not be expected, individually or in the aggregate, to have a Material Adverse Effect.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192" w:lineRule="exact"/>
        <w:rPr>
          <w:sz w:val="20"/>
          <w:szCs w:val="20"/>
          <w:color w:val="auto"/>
        </w:rPr>
      </w:pPr>
    </w:p>
    <w:p>
      <w:pPr>
        <w:ind w:firstLine="436"/>
        <w:spacing w:after="0" w:line="253"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respective dates as of which information is given in the Registration Statement, the Prospectus and the Issuer Free Writing Prospectuses, if any (including any documents incorporated by reference therein), there has not been (i) any Material Adverse Effect or the occurrence of any development that the Company reasonably expects will result in a Material Adverse Effect, (ii) any transaction which is material to the Company, (iii) any material obligation or liability, direct or contingent (including any off-balance sheet obligations), incurred by the Company, (iv) any material change in the capital stock or any material increase in the outstanding long-term indebtedness of the Company (other than (a) as a result of the sale of Shares, or (b) changes in the number of shares of outstanding Common Stock of the Company due to the issuance of shares upon the exercise or conversion of securities exercisable for, or convertible into, shares of Common Stock outstanding on the date hereof, or the vesting of restricted stock units outstanding on the date hereof) or (v) any dividend or distribution of any kind declared, paid or made on the capital stock of the Company, other than in each case above in the ordinary course of business or as otherwise disclosed in the Registration Statement or Prospectus (including any document deemed incorporated by reference therein).</w:t>
      </w:r>
    </w:p>
    <w:p>
      <w:pPr>
        <w:spacing w:after="0" w:line="194" w:lineRule="exact"/>
        <w:rPr>
          <w:rFonts w:ascii="Times New Roman" w:cs="Times New Roman" w:eastAsia="Times New Roman" w:hAnsi="Times New Roman"/>
          <w:sz w:val="18"/>
          <w:szCs w:val="18"/>
          <w:color w:val="auto"/>
        </w:rPr>
      </w:pPr>
    </w:p>
    <w:p>
      <w:pPr>
        <w:ind w:right="60" w:firstLine="436"/>
        <w:spacing w:after="0" w:line="253"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to subscribe for or purchase securities of the Company. The Company has an authorized, issued and outstanding capitalization as set forth in the Registration Statement and the Prospectus as of the dates referred to therein (other than the grant of additional options or other securities under the Company’s existing employee benefits plans, or changes in the number of outstanding shares of Common Stock of the Company due to the issuance of shares upon the exercise or conversion of securities exercisable for, or convertible into, Common Stock outstanding on the date hereof, or due to the issuance of shares in connection with Company’s Employee Stock Purchase Plan)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62" w:name="page63"/>
    <w:bookmarkEnd w:id="62"/>
    <w:p>
      <w:pPr>
        <w:ind w:right="160" w:firstLine="436"/>
        <w:spacing w:after="0" w:line="258" w:lineRule="auto"/>
        <w:tabs>
          <w:tab w:leader="none" w:pos="7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Enforceability</w:t>
      </w:r>
      <w:r>
        <w:rPr>
          <w:rFonts w:ascii="Times New Roman" w:cs="Times New Roman" w:eastAsia="Times New Roman" w:hAnsi="Times New Roman"/>
          <w:sz w:val="18"/>
          <w:szCs w:val="18"/>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and that the enforceability of the indemnification and contribution provisions may be limited by federal and state securities laws and principles of public policy.</w:t>
      </w:r>
    </w:p>
    <w:p>
      <w:pPr>
        <w:spacing w:after="0" w:line="183"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Shares</w:t>
      </w:r>
      <w:r>
        <w:rPr>
          <w:rFonts w:ascii="Times New Roman" w:cs="Times New Roman" w:eastAsia="Times New Roman" w:hAnsi="Times New Roman"/>
          <w:sz w:val="18"/>
          <w:szCs w:val="18"/>
          <w:color w:val="auto"/>
        </w:rPr>
        <w:t>. The Shares, when issued and delivered pursuant to the terms approved by the board of directors of the Company or a duly authorized committee thereof, or a duly authorized Executive Committee, against payment therefor as provided herein, will be duly authorized, validly issued, fully paid and nonassessable, free and clear of any pledge, lien, encumbrance, security interest or other claim (other than any pledge, lien, encumbrance, security interest or other claim arising from an act or omission of the Agent or a purchaser), including any statutory or contractual preemptive rights, resale rights, rights of first refusal or other similar rights to subscribe for or purchase the Shares, and will be registered pursuant to Section 12 of the Exchange Act. The Shares, when issued, will conform in all material respects to the description thereof set forth in or incorporated into the Prospectus.</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Governmental Authority is required for the execution, delivery and performance by the Company of this Agreement, the issuance and sale by the Company of the Shares, except for the registration of the Shares under the Securities Act and such consents, approvals, authorizations, orders and registrations or qualifications as may be required under applicable state securities laws or by the by-laws and rules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or the Exchange in connection with the sale of the Shares by the Agent.</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Except as set forth in the Registration Statement and the Prospectus, (i) no person, as such term is defined in Rule 1-02 of Regulation S-X promulgated under the Securities Act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right, contractual or otherwise, to cause the Company to issue or sell to such Person any Common Stock or shares of any other capital stock or other securities of the Company (other than upon the exercise of options or warrants to purchase Common Stock or upon the exercise of options or other securities that may be granted from time to time under the Company’s equity incentive plans and which are disclosed in the Registration Statement and Prospectus),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Shares as contemplated thereby or otherwise, except for such rights as have been waived in writing on or prior to the date 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63" w:name="page64"/>
    <w:bookmarkEnd w:id="63"/>
    <w:p>
      <w:pPr>
        <w:ind w:left="-80" w:right="20" w:firstLine="436"/>
        <w:spacing w:after="0" w:line="256" w:lineRule="auto"/>
        <w:tabs>
          <w:tab w:leader="none" w:pos="6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Public Accounting Firm</w:t>
      </w:r>
      <w:r>
        <w:rPr>
          <w:rFonts w:ascii="Times New Roman" w:cs="Times New Roman" w:eastAsia="Times New Roman" w:hAnsi="Times New Roman"/>
          <w:sz w:val="18"/>
          <w:szCs w:val="18"/>
          <w:color w:val="auto"/>
        </w:rPr>
        <w:t>. Ernst &amp; Young LLP, whose report on the financial statements of the Company is filed with the Commission as part of the Company’s most recent Annual Report on Form 10-K filed with the Commission and incorporated by reference into the Registration Statement and the Prospectus, is, and during the periods covered by Ernst &amp; Young LLP’s report was, an independent registered public accounting firm within the meaning of the Securities Act and the Public Company Accounting Oversight Board (United States)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To the Company’s knowledge, Ernst &amp; Young LLP is not in violation of the auditor independence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with respect to the Company.</w:t>
      </w:r>
    </w:p>
    <w:p>
      <w:pPr>
        <w:spacing w:after="0" w:line="187" w:lineRule="exact"/>
        <w:rPr>
          <w:rFonts w:ascii="Times New Roman" w:cs="Times New Roman" w:eastAsia="Times New Roman" w:hAnsi="Times New Roman"/>
          <w:sz w:val="18"/>
          <w:szCs w:val="18"/>
          <w:color w:val="auto"/>
        </w:rPr>
      </w:pPr>
    </w:p>
    <w:p>
      <w:pPr>
        <w:ind w:left="-80" w:right="40" w:firstLine="436"/>
        <w:spacing w:after="0" w:line="254" w:lineRule="auto"/>
        <w:tabs>
          <w:tab w:leader="none" w:pos="5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Except as set forth in the Registration Statement or the Prospectus, there are no legal, governmental or regulatory actions, suits, or proceedings pending, nor, to the Company’s knowledge, any legal, governmental or regulatory audits or investigations, to which the Company is a party or of which any property of the Company is the subject that, if determined adversely to the Company, would reasonably be expected to have a Material Adverse Effect, and, to the Company’s knowledge, no such actions, suits or proceedings are threatened by any Governmental Authority or threatened by others that, individually or in the aggregate, if determined adversely to the Company, would reasonably be expected to have a Material Adverse Effect; and (i) there are no pending legal, governmental or regulatory audits, actions, suits or proceedings, or, to the Company’s knowledge, investigations,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91" w:lineRule="exact"/>
        <w:rPr>
          <w:rFonts w:ascii="Times New Roman" w:cs="Times New Roman" w:eastAsia="Times New Roman" w:hAnsi="Times New Roman"/>
          <w:sz w:val="18"/>
          <w:szCs w:val="18"/>
          <w:color w:val="auto"/>
        </w:rPr>
      </w:pPr>
    </w:p>
    <w:p>
      <w:pPr>
        <w:ind w:left="-80" w:right="140" w:firstLine="436"/>
        <w:spacing w:after="0" w:line="258" w:lineRule="auto"/>
        <w:tabs>
          <w:tab w:leader="none" w:pos="5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possesses all licenses, certificates, permits and other authorizations issued by all applicable authorities necessary to conduct its business, and the Company has not received any notice of proceedings relating to the revocation or modification of any such certificate, authorization or permit which, singly or in the aggregate, if the subject of an unfavorable decision, ruling or finding, would have a Material Adverse Effect, whether or not arising from transactions in the ordinary course of business, except as set forth in or contemplated in the Registration Statement and the Prospectus (exclusive of any supplement thereto).</w:t>
      </w:r>
    </w:p>
    <w:p>
      <w:pPr>
        <w:spacing w:after="0" w:line="183" w:lineRule="exact"/>
        <w:rPr>
          <w:rFonts w:ascii="Times New Roman" w:cs="Times New Roman" w:eastAsia="Times New Roman" w:hAnsi="Times New Roman"/>
          <w:sz w:val="18"/>
          <w:szCs w:val="18"/>
          <w:color w:val="auto"/>
        </w:rPr>
      </w:pPr>
    </w:p>
    <w:p>
      <w:pPr>
        <w:ind w:left="-80" w:firstLine="436"/>
        <w:spacing w:after="0" w:line="254" w:lineRule="auto"/>
        <w:tabs>
          <w:tab w:leader="none" w:pos="5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Except as described in the Registration Statement and Prospectus, and as would not, individually or in the aggregate, result in a Material Adverse Effect: (i) the Company is and has been in compliance with statutes, laws, ordinances, rules and regulations applicable to the Company for the ownership, testing, development, manufacture, packaging, processing, use, labeling, storage, or disposal of any product manufactured by or on behalf of the Company (a “</w:t>
      </w:r>
      <w:r>
        <w:rPr>
          <w:rFonts w:ascii="Times New Roman" w:cs="Times New Roman" w:eastAsia="Times New Roman" w:hAnsi="Times New Roman"/>
          <w:sz w:val="18"/>
          <w:szCs w:val="18"/>
          <w:b w:val="1"/>
          <w:bCs w:val="1"/>
          <w:color w:val="auto"/>
        </w:rPr>
        <w:t>Company Product</w:t>
      </w:r>
      <w:r>
        <w:rPr>
          <w:rFonts w:ascii="Times New Roman" w:cs="Times New Roman" w:eastAsia="Times New Roman" w:hAnsi="Times New Roman"/>
          <w:sz w:val="18"/>
          <w:szCs w:val="18"/>
          <w:color w:val="auto"/>
        </w:rPr>
        <w:t>”), including without limitation, the Federal Food, Drug, and Cosmetic Act, 21 U.S.C. §301, et seq., the Public Health Service Act, 42 U.S.C. §262, similar laws of other governmental entities and the regulations promulgated pursuant to such laws (collectively,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(ii) the Company possesses all licenses, certificates, approvals, authorizations, permits and supplements or amendments thereto required by any such Applicable Laws and/or for the ownership of its properties or the conduct of its business as it relates to a Company Product and as described in the Registration Statement and the Prospectus (collectively,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520" w:top="270" w:right="519" w:bottom="1440" w:gutter="0" w:footer="0" w:header="0"/>
        </w:sectPr>
      </w:pPr>
    </w:p>
    <w:bookmarkStart w:id="64" w:name="page65"/>
    <w:bookmarkEnd w:id="64"/>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and such Authorizations are valid and in full force and effect and the Company is not in violation of any term of any such Authorizations; (iii) the Company has not received any written notice of adverse finding, warning letter or other written correspondence or notice from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other governmental entity alleging or asserting noncompliance with any Applicable Laws or Authorizations relating to a Company Product; (iv) the Company has not received written notice of any ongoing claim, action, suit, proceeding, hearing, enforcement, investigation, arbitration or other action from any governmental entity or third party alleging that any Company Product, operation or activity related to a Company Product is in violation of any Applicable Laws or Authorizations or has any knowledge that any such governmental entity or third party is considering any such claim, litigation, arbitration, action, suit, investigation or proceeding, nor, to the best of the Company’s knowledge, has there been any noncompliance with or violation of any Applicable Laws by the Company that could reasonably be expected to require the issuance of any such written notice or result in an investigation, corrective action, or enforcement action by FDA or similar governmental entity with respect to a Company Product; (v) the Company has not received written notice that any governmental entity has taken, is taking or intends to take action to limit, suspend, modify or revoke any Authorizations or has any knowledge that any such governmental entity has threatened or is considering such action with respect to a Company Product; and (vi) the Company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 To the Company’s knowledge, neither the Company nor any of its directors, officers, employees or agents, has made, or caused the making of, any false statements on, or material omissions from, any other records or documentation prepared or maintained to comply with the requirements of the FDA or any other governmental entity.</w:t>
      </w:r>
    </w:p>
    <w:p>
      <w:pPr>
        <w:spacing w:after="0" w:line="197" w:lineRule="exact"/>
        <w:rPr>
          <w:sz w:val="20"/>
          <w:szCs w:val="20"/>
          <w:color w:val="auto"/>
        </w:rPr>
      </w:pPr>
    </w:p>
    <w:p>
      <w:pPr>
        <w:ind w:left="4" w:right="40" w:firstLine="436"/>
        <w:spacing w:after="0" w:line="252" w:lineRule="auto"/>
        <w:tabs>
          <w:tab w:leader="none" w:pos="69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described in the Registration Statement and Prospectus, the Company owns, possesses, licenses or has other rights to use all foreign and domestic patents, patent applications, trade and service marks, trade and service mark registrations, trade names, copyrights, inventions, trade secrets, technology, Internet domain names, know-how and other intellectual property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for the conduct of its business as now conducted except to the extent that the failure to own, possess, license or otherwise hold adequate rights to use such Intellectual Property would not, individually or in the aggregate, reasonably be expected to have a Material Adverse Effect. Except as described in the Registration Statement and Prospectus, and except in each of (i) through (vii) below, as would not, individually or in the aggregate, reasonably be expected to result in a Material Adverse Effect: (i) to the Company’s knowledge, there are no rights of third parties to any such Intellectual Property owned by the Company, except for rights granted to independent contractors of the Company or to academic or other research institutions under research agreements; (ii) to the Company’s knowledge, there is no infringement by third parties of any such Intellectual Property;</w:t>
      </w:r>
    </w:p>
    <w:p>
      <w:pPr>
        <w:spacing w:after="0" w:line="6" w:lineRule="exact"/>
        <w:rPr>
          <w:rFonts w:ascii="Times New Roman" w:cs="Times New Roman" w:eastAsia="Times New Roman" w:hAnsi="Times New Roman"/>
          <w:sz w:val="18"/>
          <w:szCs w:val="18"/>
          <w:color w:val="auto"/>
        </w:rPr>
      </w:pPr>
    </w:p>
    <w:p>
      <w:pPr>
        <w:ind w:left="4" w:hanging="4"/>
        <w:spacing w:after="0" w:line="253" w:lineRule="auto"/>
        <w:tabs>
          <w:tab w:leader="none" w:pos="3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Company’s knowledge, threatened action, suit, proceeding or claim by others challenging the Company’s rights in or to any such Intellectual Property; (iv) there is no pending or, to the Company’s knowledge, threatened action, suit, proceeding or claim by others challenging the validity or scope of any issued patent included in such Intellectual Property; (v) there is no pending or, to the Company’s knowledge, threatened action, suit, proceeding 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6" w:right="439" w:bottom="1440" w:gutter="0" w:footer="0" w:header="0"/>
        </w:sectPr>
      </w:pPr>
    </w:p>
    <w:bookmarkStart w:id="65" w:name="page66"/>
    <w:bookmarkEnd w:id="6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claim by others that the Company infringes or otherwise violates any patent, trademark, copyright, trade secret or other proprietary rights of others;</w:t>
      </w:r>
    </w:p>
    <w:p>
      <w:pPr>
        <w:spacing w:after="0" w:line="27" w:lineRule="exact"/>
        <w:rPr>
          <w:sz w:val="20"/>
          <w:szCs w:val="20"/>
          <w:color w:val="auto"/>
        </w:rPr>
      </w:pPr>
    </w:p>
    <w:p>
      <w:pPr>
        <w:jc w:val="both"/>
        <w:ind w:left="4" w:right="160" w:hanging="4"/>
        <w:spacing w:after="0" w:line="253" w:lineRule="auto"/>
        <w:tabs>
          <w:tab w:leader="none" w:pos="3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U.S. patent or published U.S. patent application owned by a third-party which contains claims for which an Interference Proceeding (as defined in 35 U.S.C. §135) has been commenced against any patent or patent application described in the Prospectus as being owned by or licensed to the Company; and (vii) the Company has not failed to comply with the terms of each agreement pursuant to which Intellectual Property has been licensed to the Company, and all such agreements are in full force and effect.</w:t>
      </w:r>
    </w:p>
    <w:p>
      <w:pPr>
        <w:spacing w:after="0" w:line="188"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Company’s information technology and computer systems, networks, hardware, software, internet web sites, data and databases (including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as currently conducted, except as would not reasonably be expected to have a Material Adverse Effect. The Company and its former subsidiaries have implemented and maintained commercially reasonable information technology, information security, cyber security and data protection controls, policies and procedures, including to protect and prevent security breaches of, unauthorized access to and other compromises of IT Systems and Data. The Company has no knowledge of, and is not currently investigating, any cyber attack, security breach, unauthorized access or other compromise to its IT Systems and Data, which attack, breach, unauthorized access or compromise could reasonably be expected to have a Material Adverse Effect. The Company is presently, and at all prior times the Company and its former subsidiaries were, in compliance with all applicable laws or statutes and, to the knowledge of the Company, all judgments, orders, rules and regulations of any court or arbitrator or governmental or regulatory authority, internal policies and contractual obligations to which the Company is and its former subsidiaries were subject relating to the privacy and security of IT Systems and Data and to the protection of such IT Systems and Data from unauthorized use, access, misappropriation or modification, except as would not, individually or in the aggregate, reasonably be expected to have a Material Adverse Effect on the Company.</w:t>
      </w:r>
    </w:p>
    <w:p>
      <w:pPr>
        <w:spacing w:after="0" w:line="197" w:lineRule="exact"/>
        <w:rPr>
          <w:rFonts w:ascii="Times New Roman" w:cs="Times New Roman" w:eastAsia="Times New Roman" w:hAnsi="Times New Roman"/>
          <w:sz w:val="18"/>
          <w:szCs w:val="18"/>
          <w:color w:val="auto"/>
        </w:rPr>
      </w:pPr>
    </w:p>
    <w:p>
      <w:pPr>
        <w:ind w:left="4" w:firstLine="436"/>
        <w:spacing w:after="0" w:line="253" w:lineRule="auto"/>
        <w:tabs>
          <w:tab w:leader="none" w:pos="73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Except as would not, individually or in the aggregate, reasonably be expected to have a Material Adverse Effect, (A) the Company is, and at all prior times the Company and its former subsidiaries were, in compliance with all applicable state and federal data privacy and security laws and regulations, including without limitation HIPAA, and (B) the Company has taken commercially reasonable actions to prepare to comply with, and since May 25, 2018, has been and currently is in compliance with, to the extent applicable,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Except as would not, individually or in the aggregate, reasonably be expected to have a Material Adverse Effect, the Company has in place, complies with, and takes appropriate steps reasonably designed to ensure compliance with its policies and procedures relating to data privacy and security and the collection, storage, use, disclosure, handling, and analysis of Personal Data (each, a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Except as would not, individually or in the aggregate, reasonably be expected to have a Material Adverse Effect, the Company and its former subsidiaries have at all times made all disclosures to users or customers required by applicable laws and regulatory rules or requirements, and none of such disclosures made or contained in any Policy have, to the knowledge of the Company, been inaccurate or in violation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66" w:name="page67"/>
    <w:bookmarkEnd w:id="66"/>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any applicable laws and regulatory rules or requirements. The Company further certifies that neither it nor any former subsidiary: (i) has received notice of any actual or potential liability under or relating to, or actual or potential violation of, any of the Privacy Laws, and has no knowledge of any event or condition that would reasonably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3" w:lineRule="exact"/>
        <w:rPr>
          <w:sz w:val="20"/>
          <w:szCs w:val="20"/>
          <w:color w:val="auto"/>
        </w:rPr>
      </w:pPr>
    </w:p>
    <w:p>
      <w:pPr>
        <w:ind w:firstLine="436"/>
        <w:spacing w:after="0" w:line="254"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Studies</w:t>
      </w:r>
      <w:r>
        <w:rPr>
          <w:rFonts w:ascii="Times New Roman" w:cs="Times New Roman" w:eastAsia="Times New Roman" w:hAnsi="Times New Roman"/>
          <w:sz w:val="18"/>
          <w:szCs w:val="18"/>
          <w:color w:val="auto"/>
        </w:rPr>
        <w:t>. The clinical studies and tests conducted by the Company, or to the knowledge of the Company or on behalf of the Company, have been and, if still pending, are being conducted in all material respects pursuant to all Applicable Laws and Authorizations; the descriptions of the results of such clinical studies and tests contained in the Registration Statement and the Prospectus are accurate and complete in all material respects and fairly present the data derived from such clinical studies and tests; except to the extent disclosed in the Registration Statement and the Prospectus, the Company is not aware of any clinical studies or tests, the results of which the Company believes reasonably call into question the research, nonclinical or clinical study or test results described or referred to in the Registration Statement and the Prospectus when viewed in the context in which such results are described; and the Company has not received any written notices or correspondence from any governmental entity requiring the termination, suspension or material modification of any clinical study or test conducted by or on behalf of the Company.</w:t>
      </w:r>
    </w:p>
    <w:p>
      <w:pPr>
        <w:spacing w:after="0" w:line="19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At the time the Original Registration Statement is declared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The Company satisfies the pre-1992 eligibility requirements for the use of a registration statement on Form S-3 in connection with this offering.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spacing w:after="0" w:line="188" w:lineRule="exact"/>
        <w:rPr>
          <w:rFonts w:ascii="Times New Roman" w:cs="Times New Roman" w:eastAsia="Times New Roman" w:hAnsi="Times New Roman"/>
          <w:sz w:val="18"/>
          <w:szCs w:val="18"/>
          <w:color w:val="auto"/>
        </w:rPr>
      </w:pPr>
    </w:p>
    <w:p>
      <w:pPr>
        <w:jc w:val="both"/>
        <w:ind w:right="60" w:firstLine="436"/>
        <w:spacing w:after="0" w:line="258"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Defaults</w:t>
      </w:r>
      <w:r>
        <w:rPr>
          <w:rFonts w:ascii="Times New Roman" w:cs="Times New Roman" w:eastAsia="Times New Roman" w:hAnsi="Times New Roman"/>
          <w:sz w:val="18"/>
          <w:szCs w:val="18"/>
          <w:color w:val="auto"/>
        </w:rPr>
        <w:t>. The Company has not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83" w:lineRule="exact"/>
        <w:rPr>
          <w:sz w:val="20"/>
          <w:szCs w:val="20"/>
          <w:color w:val="auto"/>
        </w:rPr>
      </w:pPr>
    </w:p>
    <w:p>
      <w:pPr>
        <w:jc w:val="both"/>
        <w:ind w:right="300" w:firstLine="436"/>
        <w:spacing w:after="0" w:line="289" w:lineRule="auto"/>
        <w:tabs>
          <w:tab w:leader="none" w:pos="76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Market Activities</w:t>
      </w:r>
      <w:r>
        <w:rPr>
          <w:rFonts w:ascii="Times New Roman" w:cs="Times New Roman" w:eastAsia="Times New Roman" w:hAnsi="Times New Roman"/>
          <w:sz w:val="17"/>
          <w:szCs w:val="17"/>
          <w:color w:val="auto"/>
        </w:rPr>
        <w:t>. Neither the Company, nor, to the Company’s knowledge, any of its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Shares.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7" w:name="page68"/>
    <w:bookmarkEnd w:id="67"/>
    <w:p>
      <w:pPr>
        <w:ind w:right="220" w:firstLine="436"/>
        <w:spacing w:after="0" w:line="266" w:lineRule="auto"/>
        <w:tabs>
          <w:tab w:leader="none" w:pos="7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Broker/Dealer Relationships</w:t>
      </w:r>
      <w:r>
        <w:rPr>
          <w:rFonts w:ascii="Times New Roman" w:cs="Times New Roman" w:eastAsia="Times New Roman" w:hAnsi="Times New Roman"/>
          <w:sz w:val="18"/>
          <w:szCs w:val="18"/>
          <w:color w:val="auto"/>
        </w:rPr>
        <w:t>. The Company (i) is not required to register as a “broker” or “dealer” in accordance with the provisions of the Exchange Act and (ii) is not, and does not directly or indirectly through one or more intermediaries, control, a “person associated with a member” or “associated person of a member” (within the meaning set forth in the FINRA Manual).</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7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the Agent or legal counsel for the Agent for any legal, tax or accounting advice in connection with the offering and sale of the Shares.</w:t>
      </w:r>
    </w:p>
    <w:p>
      <w:pPr>
        <w:spacing w:after="0" w:line="161" w:lineRule="exact"/>
        <w:rPr>
          <w:rFonts w:ascii="Times New Roman" w:cs="Times New Roman" w:eastAsia="Times New Roman" w:hAnsi="Times New Roman"/>
          <w:sz w:val="18"/>
          <w:szCs w:val="18"/>
          <w:color w:val="auto"/>
        </w:rPr>
      </w:pPr>
    </w:p>
    <w:p>
      <w:pPr>
        <w:ind w:right="80" w:firstLine="436"/>
        <w:spacing w:after="0" w:line="274" w:lineRule="auto"/>
        <w:tabs>
          <w:tab w:leader="none" w:pos="78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The Company has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Registration Statement or the Prospectus, no tax deficiency has been determined adversely to the Company which has had, or would reasonably be expected to have, individually or in the aggregate, a Material Adverse Effect. The Company has no knowledge of any federal, state or other governmental tax deficiency, penalty or assessment which has been asserted or threatened against it which would reasonably be expected to have a Material Adverse Effect.</w:t>
      </w:r>
    </w:p>
    <w:p>
      <w:pPr>
        <w:spacing w:after="0" w:line="172" w:lineRule="exact"/>
        <w:rPr>
          <w:rFonts w:ascii="Times New Roman" w:cs="Times New Roman" w:eastAsia="Times New Roman" w:hAnsi="Times New Roman"/>
          <w:sz w:val="17"/>
          <w:szCs w:val="17"/>
          <w:color w:val="auto"/>
        </w:rPr>
      </w:pPr>
    </w:p>
    <w:p>
      <w:pPr>
        <w:ind w:firstLine="436"/>
        <w:spacing w:after="0" w:line="253" w:lineRule="auto"/>
        <w:tabs>
          <w:tab w:leader="none" w:pos="7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Except as set forth in the Registration Statement or the Prospectus, the Company has good and valid title to all personal property described in the Registration Statement or Prospectus as being owned by it that are material to the businesses of the Company, in each case free and clear of all liens, encumbrances and claims, except those matters that (i) do not materially interfere with the use made and proposed to be made of such property by the Company or (ii) would not reasonably be expected, individually or in the aggregate, to have a Material Adverse Effect. The Company does not own any real property. Any real or personal property described in the Registration Statement or Prospectus as being leased by the Company is held by it under valid, existing and enforceable leases, except those that (A) do not materially interfere with the use made or proposed to be made of such property by the Company or (B) would not be reasonably expected, individually or in the aggregate, to have a Material Adverse Effect. To the Company’s knowledge, each of the properties of the Company complies in all material respects with all applicable codes, laws and regulations (including, without limitation, building and zoning codes, laws and regulations and laws relating to access to such properties), except if and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or otherwise have a Material Adverse Effect.</w:t>
      </w:r>
    </w:p>
    <w:p>
      <w:pPr>
        <w:spacing w:after="0" w:line="189" w:lineRule="exact"/>
        <w:rPr>
          <w:rFonts w:ascii="Times New Roman" w:cs="Times New Roman" w:eastAsia="Times New Roman" w:hAnsi="Times New Roman"/>
          <w:sz w:val="18"/>
          <w:szCs w:val="18"/>
          <w:color w:val="auto"/>
        </w:rPr>
      </w:pPr>
    </w:p>
    <w:p>
      <w:pPr>
        <w:jc w:val="both"/>
        <w:ind w:right="260" w:firstLine="436"/>
        <w:spacing w:after="0" w:line="261" w:lineRule="auto"/>
        <w:tabs>
          <w:tab w:leader="none" w:pos="72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set forth in the Registration Statement or the Prospectus, the Company (i) is in compliance in all material respects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has received and is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8" w:name="page69"/>
    <w:bookmarkEnd w:id="68"/>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in all material respects with all permits, licenses or other approvals required of it under applicable Environmental Laws to conduct its business as described in the Registration Statement and the Prospectus; and (iii) has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 Except as set forth in the Registration Statement and the Prospectus, the Company has not been named as a “potentially responsible party” under the Comprehensive Environmental Response, Compensation, and Liability Act of 1980, as amended.</w:t>
      </w:r>
    </w:p>
    <w:p>
      <w:pPr>
        <w:spacing w:after="0" w:line="189" w:lineRule="exact"/>
        <w:rPr>
          <w:sz w:val="20"/>
          <w:szCs w:val="20"/>
          <w:color w:val="auto"/>
        </w:rPr>
      </w:pPr>
    </w:p>
    <w:p>
      <w:pPr>
        <w:ind w:left="4" w:firstLine="436"/>
        <w:spacing w:after="0" w:line="256" w:lineRule="auto"/>
        <w:tabs>
          <w:tab w:leader="none" w:pos="78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Review of Costs of Environmental Compliance</w:t>
      </w:r>
      <w:r>
        <w:rPr>
          <w:rFonts w:ascii="Times New Roman" w:cs="Times New Roman" w:eastAsia="Times New Roman" w:hAnsi="Times New Roman"/>
          <w:sz w:val="18"/>
          <w:szCs w:val="18"/>
          <w:color w:val="auto"/>
        </w:rPr>
        <w:t>. The Company has reasonably concluded that costs and liabilities associated with the effect of Environmental Laws on the business, operations and properties of the Company (including, without limitation, any capital or operating expenditures required for clean-up, closure of properties or compliance with Environmental Laws, or any permit, license or approval, any related constraints on operating activities and any potential liabilities to third parties) would not, individually or in the aggregate, have a Material Adverse Effect, whether or not arising from transactions in the ordinary course of business, except as set forth in or contemplated in the Registration Statement and the Prospectus (exclusive of any supplement thereto).</w:t>
      </w:r>
    </w:p>
    <w:p>
      <w:pPr>
        <w:spacing w:after="0" w:line="187"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maintains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left="4" w:hanging="4"/>
        <w:spacing w:after="0" w:line="250" w:lineRule="auto"/>
        <w:tabs>
          <w:tab w:leader="none" w:pos="2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As of the end of the Company’s most recently completed fiscal year, the Company’s internal control over financial reporting was effective and the Company was not aware of any material weaknesses in its internal control over financial reporting (other than as set forth in the Prospectus). Except as set forth in the Registration Statement or Prospectus, since the date of the latest audited financial statements of the Company included in the Prospectus, there have been no material weaknesses in the Company’s internal control over financial reporting (whether or not remediated) and, to the Company’s knowledge, there has been no change in the Company’s internal control over financial reporting that has materially and adversely affected, or is reasonably likely to materially and adversely affect, the Company’s internal control over financial reporting. The Company has established disclosure controls and procedures (as defined in Exchange Act Rules 13a-15 and 15d-15) for the Company and designed such disclosure controls and procedures to ensure that material information relating to the Company is made known to the certifying officers by others within the Company, particularly during the period in which the Company’s Annual Report on Form 10-K or Quarterly Report on Form 10-Q, as the case may be, is being prepared. To the extent required by law, the Company’s certifying officers have evaluated the effectiveness of the Company’s disclosure controls and procedures as of a date within 90 days prior to the filing date of the Annual Report on Form</w:t>
      </w:r>
    </w:p>
    <w:p>
      <w:pPr>
        <w:spacing w:after="0" w:line="5" w:lineRule="exact"/>
        <w:rPr>
          <w:rFonts w:ascii="Times New Roman" w:cs="Times New Roman" w:eastAsia="Times New Roman" w:hAnsi="Times New Roman"/>
          <w:sz w:val="18"/>
          <w:szCs w:val="18"/>
          <w:color w:val="auto"/>
        </w:rPr>
      </w:pPr>
    </w:p>
    <w:p>
      <w:pPr>
        <w:ind w:left="4"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10-K for the fiscal year most recently ended (such date, the “</w:t>
      </w:r>
      <w:r>
        <w:rPr>
          <w:rFonts w:ascii="Times New Roman" w:cs="Times New Roman" w:eastAsia="Times New Roman" w:hAnsi="Times New Roman"/>
          <w:sz w:val="18"/>
          <w:szCs w:val="18"/>
          <w:b w:val="1"/>
          <w:bCs w:val="1"/>
          <w:color w:val="auto"/>
        </w:rPr>
        <w:t>Evaluation Date</w:t>
      </w:r>
      <w:r>
        <w:rPr>
          <w:rFonts w:ascii="Times New Roman" w:cs="Times New Roman" w:eastAsia="Times New Roman" w:hAnsi="Times New Roman"/>
          <w:sz w:val="18"/>
          <w:szCs w:val="18"/>
          <w:color w:val="auto"/>
        </w:rPr>
        <w:t>”). The Company presented in its Annual Report on Form 10-K for the fiscal year most recently ended the conclusions of the certifying officers about the effectiveness of the disclosure controls and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69" w:name="page70"/>
    <w:bookmarkEnd w:id="6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 based on their evaluations as of the Evaluation Date and the disclosure controls and procedures are effective in all material respects for which they were established. Since the Evaluation Date, there have been no significant adverse changes in the Company’s internal controls (as such term is defined in Item 307(b) of Regulation S-K under the Securities Act) or, to the Company’s knowledge, in other factors that would significantly and adversely affect the Company’s internal controls.</w:t>
      </w:r>
    </w:p>
    <w:p>
      <w:pPr>
        <w:spacing w:after="0" w:line="180" w:lineRule="exact"/>
        <w:rPr>
          <w:sz w:val="20"/>
          <w:szCs w:val="20"/>
          <w:color w:val="auto"/>
        </w:rPr>
      </w:pPr>
    </w:p>
    <w:p>
      <w:pPr>
        <w:ind w:right="20" w:firstLine="436"/>
        <w:spacing w:after="0" w:line="255" w:lineRule="auto"/>
        <w:tabs>
          <w:tab w:leader="none" w:pos="7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There is and has been no failure on the part of the Company or, to the Company’s knowledge,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the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88" w:lineRule="exact"/>
        <w:rPr>
          <w:rFonts w:ascii="Times New Roman" w:cs="Times New Roman" w:eastAsia="Times New Roman" w:hAnsi="Times New Roman"/>
          <w:sz w:val="18"/>
          <w:szCs w:val="18"/>
          <w:color w:val="auto"/>
        </w:rPr>
      </w:pPr>
    </w:p>
    <w:p>
      <w:pPr>
        <w:ind w:right="320" w:firstLine="436"/>
        <w:spacing w:after="0" w:line="282" w:lineRule="auto"/>
        <w:tabs>
          <w:tab w:leader="none" w:pos="7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The Company has not incurred any liability for any finder’s fees, brokerage commissions or similar payments in connection with the transactions herein contemplated, except as may otherwise exist with respect to Agent pursuant to this Agreement.</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7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labor dispute with employees of the Company exists or, to the knowledge of the Company, is threatened which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right="220" w:firstLine="436"/>
        <w:spacing w:after="0" w:line="266" w:lineRule="auto"/>
        <w:tabs>
          <w:tab w:leader="none" w:pos="7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Shares will not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60" w:firstLine="436"/>
        <w:spacing w:after="0" w:line="256" w:lineRule="auto"/>
        <w:tabs>
          <w:tab w:leader="none" w:pos="8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are and have been conducted at all times in compliance in all material respects with applicable financial record keeping and reporting requirements of the Currency and Foreign Transactions Reporting Act of 1970, as amended, the money laundering statutes of all jurisdictions to which the Company is subject,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except as would not reasonably be expected to result in a Material Adverse Effect; and no action, suit or proceeding by or before any Governmental Authority involving the Company with respect to the Money Laundering Laws is pending or, to the knowledge of the Company, threatened.</w:t>
      </w:r>
    </w:p>
    <w:p>
      <w:pPr>
        <w:spacing w:after="0" w:line="187" w:lineRule="exact"/>
        <w:rPr>
          <w:rFonts w:ascii="Times New Roman" w:cs="Times New Roman" w:eastAsia="Times New Roman" w:hAnsi="Times New Roman"/>
          <w:sz w:val="18"/>
          <w:szCs w:val="18"/>
          <w:color w:val="auto"/>
        </w:rPr>
      </w:pPr>
    </w:p>
    <w:p>
      <w:pPr>
        <w:ind w:right="60" w:firstLine="436"/>
        <w:spacing w:after="0" w:line="266" w:lineRule="auto"/>
        <w:tabs>
          <w:tab w:leader="none" w:pos="7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Off-Balance Sheet Arrangements</w:t>
      </w:r>
      <w:r>
        <w:rPr>
          <w:rFonts w:ascii="Times New Roman" w:cs="Times New Roman" w:eastAsia="Times New Roman" w:hAnsi="Times New Roman"/>
          <w:sz w:val="18"/>
          <w:szCs w:val="18"/>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Times New Roman" w:cs="Times New Roman" w:eastAsia="Times New Roman" w:hAnsi="Times New Roman"/>
          <w:sz w:val="18"/>
          <w:szCs w:val="18"/>
          <w:b w:val="1"/>
          <w:bCs w:val="1"/>
          <w:color w:val="auto"/>
        </w:rPr>
        <w:t>Off-Balance Sheet Transaction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0" w:name="page71"/>
    <w:bookmarkEnd w:id="70"/>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80" w:lineRule="exact"/>
        <w:rPr>
          <w:sz w:val="20"/>
          <w:szCs w:val="20"/>
          <w:color w:val="auto"/>
        </w:rPr>
      </w:pPr>
    </w:p>
    <w:p>
      <w:pPr>
        <w:ind w:right="620" w:firstLine="436"/>
        <w:spacing w:after="0" w:line="282" w:lineRule="auto"/>
        <w:tabs>
          <w:tab w:leader="none" w:pos="7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The Company is not a party to any agreement with an agent or underwriter for any other “at-the-market” or continuous equity transaction, except for the Open Market Sale Agreement dated August 13, 2021 between the Company and Jefferies LLC.</w:t>
      </w:r>
    </w:p>
    <w:p>
      <w:pPr>
        <w:spacing w:after="0" w:line="161" w:lineRule="exact"/>
        <w:rPr>
          <w:rFonts w:ascii="Times New Roman" w:cs="Times New Roman" w:eastAsia="Times New Roman" w:hAnsi="Times New Roman"/>
          <w:sz w:val="18"/>
          <w:szCs w:val="18"/>
          <w:color w:val="auto"/>
        </w:rPr>
      </w:pPr>
    </w:p>
    <w:p>
      <w:pPr>
        <w:ind w:right="140" w:firstLine="436"/>
        <w:spacing w:after="0" w:line="271" w:lineRule="auto"/>
        <w:tabs>
          <w:tab w:leader="none" w:pos="78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To the knowledge of the Company, each material employee benefit plan, within the meaning of Section 3(3) of the Employee Retirement Income Security Act of 1974, as amended (“</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that is maintained, administered or contributed to by the Company or any of its affiliates for employees or former employees of the Company has been maintained in material compliance with the terms and requirements of any applicable statutes, orders, rules and regulations under ERISA and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431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73" w:lineRule="exact"/>
        <w:rPr>
          <w:rFonts w:ascii="Times New Roman" w:cs="Times New Roman" w:eastAsia="Times New Roman" w:hAnsi="Times New Roman"/>
          <w:sz w:val="17"/>
          <w:szCs w:val="17"/>
          <w:color w:val="auto"/>
        </w:rPr>
      </w:pPr>
    </w:p>
    <w:p>
      <w:pPr>
        <w:ind w:firstLine="436"/>
        <w:spacing w:after="0" w:line="266" w:lineRule="auto"/>
        <w:tabs>
          <w:tab w:leader="none" w:pos="7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(a “</w:t>
      </w:r>
      <w:r>
        <w:rPr>
          <w:rFonts w:ascii="Times New Roman" w:cs="Times New Roman" w:eastAsia="Times New Roman" w:hAnsi="Times New Roman"/>
          <w:sz w:val="18"/>
          <w:szCs w:val="18"/>
          <w:b w:val="1"/>
          <w:bCs w:val="1"/>
          <w:color w:val="auto"/>
        </w:rPr>
        <w:t>Forward-Looking Statement</w:t>
      </w:r>
      <w:r>
        <w:rPr>
          <w:rFonts w:ascii="Times New Roman" w:cs="Times New Roman" w:eastAsia="Times New Roman" w:hAnsi="Times New Roman"/>
          <w:sz w:val="18"/>
          <w:szCs w:val="18"/>
          <w:color w:val="auto"/>
        </w:rPr>
        <w:t>”) contained in the Registration Statement and the Prospectus (other than by incorporation by reference)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72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Purchases</w:t>
      </w:r>
      <w:r>
        <w:rPr>
          <w:rFonts w:ascii="Times New Roman" w:cs="Times New Roman" w:eastAsia="Times New Roman" w:hAnsi="Times New Roman"/>
          <w:sz w:val="18"/>
          <w:szCs w:val="18"/>
          <w:color w:val="auto"/>
        </w:rPr>
        <w:t xml:space="preserve">. The Company acknowledges and agrees that the Agent has informed the Company that the Agent may, to the extent permitted under the Securities Act, the Exchange Act and the rules of the Exchange, purchase and sell Common Stock for its own account while this Agreement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no such purchase or sales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7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71" w:name="page72"/>
    <w:bookmarkEnd w:id="71"/>
    <w:p>
      <w:pPr>
        <w:ind w:left="4" w:firstLine="436"/>
        <w:spacing w:after="0" w:line="254" w:lineRule="auto"/>
        <w:tabs>
          <w:tab w:leader="none" w:pos="70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is insured by insurers of recognized financial responsibility against such losses and risks and in such amounts as are reasonable and customary in the business in which it is engaged; the Company is in compliance with the terms of the insurance policies and instruments insuring the Company or its businesses, assets, employees, officers and directors in all material respects, and such policies and instruments are in full force and effect; there are no claims by the Company under any such policy or instrument as to which any insurance company is denying liability or defending under a reservation of rights clause; except as would not reasonably be expected to have a Material Adverse Effect, the Company has not, within the past five years, been refused any insurance coverage sought or applied for; and the Company has no reasonable basis to believe that it will not be able to renew its existing insurance coverage as and when such coverage expires or to obtain similar coverage from similar insurers as may be necessary to continue its business at a cost that would have a Material Adverse Effect, whether or not arising from transactions in the ordinary course of business, except as set forth in or contemplated in the Prospectus (exclusive of any supplement thereto).</w:t>
      </w:r>
    </w:p>
    <w:p>
      <w:pPr>
        <w:spacing w:after="0" w:line="188"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78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Improper Practices</w:t>
      </w:r>
      <w:r>
        <w:rPr>
          <w:rFonts w:ascii="Times New Roman" w:cs="Times New Roman" w:eastAsia="Times New Roman" w:hAnsi="Times New Roman"/>
          <w:sz w:val="18"/>
          <w:szCs w:val="18"/>
          <w:color w:val="auto"/>
        </w:rPr>
        <w:t>. (i) Neither the Company, nor to the Company’s knowledge, any of its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of its affiliates, on the one hand, and the directors, officers and stockholders of the Company, on the other hand, that is required by the Securities Act to be described in the Registration Statement and the Prospectus that is not so described; (iii) no relationship, direct or indirect, exists between or among the Company or any affiliate of the Company, on the one hand, and the directors, officers, or stockholders of the Company,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to or for the benefit of any of its officers or directors or any of the members of the families of any of them; (v) the Company has not offered, or directed any placement agent to offer, Common Stock to any person with the intent to influence unlawfully (A) a customer or supplier of the Company to alter the customer’s or supplier’s level or type of business with the Company or (B) a trade journalist or publication to write or publish favorable information about the Company or any of its products or services; and</w:t>
      </w:r>
    </w:p>
    <w:p>
      <w:pPr>
        <w:spacing w:after="0" w:line="1" w:lineRule="exact"/>
        <w:rPr>
          <w:rFonts w:ascii="Times New Roman" w:cs="Times New Roman" w:eastAsia="Times New Roman" w:hAnsi="Times New Roman"/>
          <w:sz w:val="18"/>
          <w:szCs w:val="18"/>
          <w:color w:val="auto"/>
        </w:rPr>
      </w:pPr>
    </w:p>
    <w:p>
      <w:pPr>
        <w:ind w:left="4" w:right="20" w:hanging="4"/>
        <w:spacing w:after="0" w:line="253" w:lineRule="auto"/>
        <w:tabs>
          <w:tab w:leader="none" w:pos="3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Company’s knowledge, any employee or agent of the Company, has made any payment of funds of the Company or received or retained any funds in violation of any law, rule or regulation (including, without limitation, the Foreign Corrupt Practices Act of 1977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which payment, receipt or retention of funds is of a character required to be disclosed in the Registration Statement or the Prospectus. The Company has conducted its business in compliance with the FCPA and has instituted and maintain policies and procedures designed to ensure, and which are reasonably expected to continue to ensure, continued compliance therewith.</w:t>
      </w:r>
    </w:p>
    <w:p>
      <w:pPr>
        <w:spacing w:after="0" w:line="186" w:lineRule="exact"/>
        <w:rPr>
          <w:rFonts w:ascii="Times New Roman" w:cs="Times New Roman" w:eastAsia="Times New Roman" w:hAnsi="Times New Roman"/>
          <w:sz w:val="18"/>
          <w:szCs w:val="18"/>
          <w:color w:val="auto"/>
        </w:rPr>
      </w:pPr>
    </w:p>
    <w:p>
      <w:pPr>
        <w:ind w:left="4" w:right="220" w:firstLine="436"/>
        <w:spacing w:after="0" w:line="282" w:lineRule="auto"/>
        <w:tabs>
          <w:tab w:leader="none" w:pos="78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Shares.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72" w:name="page73"/>
    <w:bookmarkEnd w:id="72"/>
    <w:p>
      <w:pPr>
        <w:ind w:left="-40" w:right="120" w:firstLine="436"/>
        <w:spacing w:after="0" w:line="256" w:lineRule="auto"/>
        <w:tabs>
          <w:tab w:leader="none" w:pos="8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Misstatement or Omission in an Issuer Free Writing Prospectus</w:t>
      </w:r>
      <w:r>
        <w:rPr>
          <w:rFonts w:ascii="Times New Roman" w:cs="Times New Roman" w:eastAsia="Times New Roman" w:hAnsi="Times New Roman"/>
          <w:sz w:val="18"/>
          <w:szCs w:val="18"/>
          <w:color w:val="auto"/>
        </w:rPr>
        <w:t>. Each Issuer Free Writing Prospectus, as of its issue date and as of each Representation Date, did not, does not and will not, through the completion of the Placement for which such Issuer Free Writing Prospectus is used, include any information that conflicted, conflicts or will conflict with the information contained in the Registration Statement or the Prospectus, including any documents incorporated by reference therein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spacing w:after="0" w:line="187" w:lineRule="exact"/>
        <w:rPr>
          <w:rFonts w:ascii="Times New Roman" w:cs="Times New Roman" w:eastAsia="Times New Roman" w:hAnsi="Times New Roman"/>
          <w:sz w:val="18"/>
          <w:szCs w:val="18"/>
          <w:color w:val="auto"/>
        </w:rPr>
      </w:pPr>
    </w:p>
    <w:p>
      <w:pPr>
        <w:ind w:left="-40" w:firstLine="436"/>
        <w:spacing w:after="0" w:line="253" w:lineRule="auto"/>
        <w:tabs>
          <w:tab w:leader="none" w:pos="7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the execution of this Agreement by the Company, nor the issuance, offering or sale of the Shares by the Company, nor the consummation of any of the transactions contemplated herein and therein by the Company,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is a party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certificate of incorporation or bylaws of the Company, or (y) in any violation of the provisions of any statute or any order, rule or regulation applicable to the Company or of any Governmental Authority having jurisdiction over the Company, except, with respect to this clause (y) only, for any violation that would not reasonably be expected to have a Material Adverse Effect.</w:t>
      </w:r>
    </w:p>
    <w:p>
      <w:pPr>
        <w:spacing w:after="0" w:line="194" w:lineRule="exact"/>
        <w:rPr>
          <w:rFonts w:ascii="Times New Roman" w:cs="Times New Roman" w:eastAsia="Times New Roman" w:hAnsi="Times New Roman"/>
          <w:sz w:val="18"/>
          <w:szCs w:val="18"/>
          <w:color w:val="auto"/>
        </w:rPr>
      </w:pPr>
    </w:p>
    <w:p>
      <w:pPr>
        <w:ind w:left="-40" w:right="340" w:firstLine="436"/>
        <w:spacing w:after="0" w:line="266" w:lineRule="auto"/>
        <w:tabs>
          <w:tab w:leader="none" w:pos="7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(i) The Company represents that, neither the Company nor, to the knowledge of the Company, any director, officer, employee, agent, affiliate or representative of the Company, is a government, individual, or entity (in this paragraph (yy),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a Person that is:</w:t>
      </w:r>
    </w:p>
    <w:p>
      <w:pPr>
        <w:spacing w:after="0" w:line="67" w:lineRule="exact"/>
        <w:rPr>
          <w:rFonts w:ascii="Times New Roman" w:cs="Times New Roman" w:eastAsia="Times New Roman" w:hAnsi="Times New Roman"/>
          <w:sz w:val="18"/>
          <w:szCs w:val="18"/>
          <w:color w:val="auto"/>
        </w:rPr>
      </w:pPr>
    </w:p>
    <w:p>
      <w:pPr>
        <w:ind w:left="400" w:right="60" w:firstLine="419"/>
        <w:spacing w:after="0" w:line="266" w:lineRule="auto"/>
        <w:tabs>
          <w:tab w:leader="none" w:pos="106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(as amended,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w:t>
      </w:r>
    </w:p>
    <w:p>
      <w:pPr>
        <w:spacing w:after="0" w:line="67" w:lineRule="exact"/>
        <w:rPr>
          <w:rFonts w:ascii="Times New Roman" w:cs="Times New Roman" w:eastAsia="Times New Roman" w:hAnsi="Times New Roman"/>
          <w:sz w:val="18"/>
          <w:szCs w:val="18"/>
          <w:color w:val="auto"/>
        </w:rPr>
      </w:pPr>
    </w:p>
    <w:p>
      <w:pPr>
        <w:ind w:left="400" w:right="220" w:firstLine="419"/>
        <w:spacing w:after="0" w:line="266" w:lineRule="auto"/>
        <w:tabs>
          <w:tab w:leader="none" w:pos="107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the so-called Donetsk People’s Republic, the so-called Luhansk People’s Republic or any Covered Region of Ukraine identified pursuant to Executive Order 14065, Crimea, Cuba, Iran, North Korea, and Syria).</w:t>
      </w:r>
    </w:p>
    <w:p>
      <w:pPr>
        <w:spacing w:after="0" w:line="176" w:lineRule="exact"/>
        <w:rPr>
          <w:sz w:val="20"/>
          <w:szCs w:val="20"/>
          <w:color w:val="auto"/>
        </w:rPr>
      </w:pPr>
    </w:p>
    <w:p>
      <w:pPr>
        <w:ind w:left="-40" w:right="80" w:firstLine="436"/>
        <w:spacing w:after="0" w:line="282" w:lineRule="auto"/>
        <w:tabs>
          <w:tab w:leader="none" w:pos="6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covenants that it will not, directly or indirectly, use the proceeds of the offering, or lend, contribute or otherwise make available such proceeds to any subsidiary, joint venture partner or other Person: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80" w:top="270" w:right="479" w:bottom="1440" w:gutter="0" w:footer="0" w:header="0"/>
        </w:sectPr>
      </w:pPr>
    </w:p>
    <w:bookmarkStart w:id="73" w:name="page74"/>
    <w:bookmarkEnd w:id="73"/>
    <w:p>
      <w:pPr>
        <w:ind w:left="440" w:right="420" w:firstLine="419"/>
        <w:spacing w:after="0" w:line="282" w:lineRule="auto"/>
        <w:tabs>
          <w:tab w:leader="none" w:pos="110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440" w:right="240" w:hanging="4"/>
        <w:spacing w:after="0" w:line="282" w:lineRule="auto"/>
        <w:tabs>
          <w:tab w:leader="none" w:pos="7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62" w:lineRule="exact"/>
        <w:rPr>
          <w:sz w:val="20"/>
          <w:szCs w:val="20"/>
          <w:color w:val="auto"/>
        </w:rPr>
      </w:pPr>
    </w:p>
    <w:p>
      <w:pPr>
        <w:ind w:right="80" w:firstLine="436"/>
        <w:spacing w:after="0" w:line="266" w:lineRule="auto"/>
        <w:tabs>
          <w:tab w:leader="none" w:pos="7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covenants that, except as detailed in the Registration Statement and the Prospectus, for the past five (5) years,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76" w:lineRule="exact"/>
        <w:rPr>
          <w:sz w:val="20"/>
          <w:szCs w:val="20"/>
          <w:color w:val="auto"/>
        </w:rPr>
      </w:pPr>
    </w:p>
    <w:p>
      <w:pPr>
        <w:ind w:right="640" w:firstLine="436"/>
        <w:spacing w:after="0" w:line="312" w:lineRule="auto"/>
        <w:tabs>
          <w:tab w:leader="none" w:pos="76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Rated Security</w:t>
      </w:r>
      <w:r>
        <w:rPr>
          <w:rFonts w:ascii="Times New Roman" w:cs="Times New Roman" w:eastAsia="Times New Roman" w:hAnsi="Times New Roman"/>
          <w:sz w:val="17"/>
          <w:szCs w:val="17"/>
          <w:color w:val="auto"/>
        </w:rPr>
        <w:t>. There are no debt securities or preferred stock of, or guaranteed by, the Company that are rated by a “nationally recognized statistical rating organization,” as such term is defined by the Commission for the purposes of Section 3(a)(62) of the Exchange Act.</w:t>
      </w:r>
    </w:p>
    <w:p>
      <w:pPr>
        <w:spacing w:after="0" w:line="140" w:lineRule="exact"/>
        <w:rPr>
          <w:sz w:val="20"/>
          <w:szCs w:val="20"/>
          <w:color w:val="auto"/>
        </w:rPr>
      </w:pPr>
    </w:p>
    <w:p>
      <w:pPr>
        <w:ind w:right="200" w:firstLine="436"/>
        <w:spacing w:after="0" w:line="266" w:lineRule="auto"/>
        <w:tabs>
          <w:tab w:leader="none" w:pos="8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Transfer Taxes</w:t>
      </w:r>
      <w:r>
        <w:rPr>
          <w:rFonts w:ascii="Times New Roman" w:cs="Times New Roman" w:eastAsia="Times New Roman" w:hAnsi="Times New Roman"/>
          <w:sz w:val="18"/>
          <w:szCs w:val="18"/>
          <w:color w:val="auto"/>
        </w:rPr>
        <w:t>. On each Settlement Date, all stock transfer or other taxes (other than income taxes) which are required to be paid by the Company in connection with the sale and transfer of the Shares to be sold hereunder will be, or will have been, fully paid or provided for by the Company and all laws imposing such taxes will be or will have been complied with in all material respects.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Agent or counsel for the Agent in connection with an issuance of Shares shall be deemed a representation and warranty by the Company to the Agent as to the matters covered thereby on the date of such certificate.</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acknowledges that the Agent and, for purposes of the opinions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(v) hereof, counsel to the Company and counsel to the Agent, will rely upon the accuracy and truthfulness of the foregoing representations and hereby consents to such reliance.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ISSUANCE AND SALE OF COMMON SHARES</w:t>
      </w:r>
    </w:p>
    <w:p>
      <w:pPr>
        <w:spacing w:after="0" w:line="121" w:lineRule="exact"/>
        <w:rPr>
          <w:sz w:val="20"/>
          <w:szCs w:val="20"/>
          <w:color w:val="auto"/>
        </w:rPr>
      </w:pPr>
    </w:p>
    <w:p>
      <w:pPr>
        <w:ind w:right="60" w:firstLine="436"/>
        <w:spacing w:after="0" w:line="261" w:lineRule="auto"/>
        <w:tabs>
          <w:tab w:leader="none" w:pos="6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74" w:name="page75"/>
    <w:bookmarkEnd w:id="74"/>
    <w:p>
      <w:pPr>
        <w:ind w:left="704" w:hanging="264"/>
        <w:spacing w:after="0"/>
        <w:tabs>
          <w:tab w:leader="none" w:pos="7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436"/>
        <w:spacing w:after="0" w:line="272" w:lineRule="auto"/>
        <w:tabs>
          <w:tab w:leader="none" w:pos="65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Notice</w:t>
      </w:r>
      <w:r>
        <w:rPr>
          <w:rFonts w:ascii="Times New Roman" w:cs="Times New Roman" w:eastAsia="Times New Roman" w:hAnsi="Times New Roman"/>
          <w:sz w:val="17"/>
          <w:szCs w:val="17"/>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shall have been satisfied, the Company may exercise its right to request an issuance of Shares by delivering to the Agent an Issuance Notice;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in no event may the Company deliver an Issuance Notice to the extent that</w:t>
      </w:r>
    </w:p>
    <w:p>
      <w:pPr>
        <w:spacing w:after="0" w:line="1" w:lineRule="exact"/>
        <w:rPr>
          <w:rFonts w:ascii="Times New Roman" w:cs="Times New Roman" w:eastAsia="Times New Roman" w:hAnsi="Times New Roman"/>
          <w:sz w:val="17"/>
          <w:szCs w:val="17"/>
          <w:color w:val="auto"/>
        </w:rPr>
      </w:pPr>
    </w:p>
    <w:p>
      <w:pPr>
        <w:ind w:left="4" w:right="120" w:hanging="4"/>
        <w:spacing w:after="0" w:line="252" w:lineRule="auto"/>
        <w:tabs>
          <w:tab w:leader="none" w:pos="22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89" w:lineRule="exact"/>
        <w:rPr>
          <w:rFonts w:ascii="Times New Roman" w:cs="Times New Roman" w:eastAsia="Times New Roman" w:hAnsi="Times New Roman"/>
          <w:sz w:val="18"/>
          <w:szCs w:val="18"/>
          <w:color w:val="auto"/>
        </w:rPr>
      </w:pPr>
    </w:p>
    <w:p>
      <w:pPr>
        <w:ind w:left="4" w:firstLine="436"/>
        <w:spacing w:after="0" w:line="258" w:lineRule="auto"/>
        <w:tabs>
          <w:tab w:leader="none" w:pos="70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Efforts</w:t>
      </w:r>
      <w:r>
        <w:rPr>
          <w:rFonts w:ascii="Times New Roman" w:cs="Times New Roman" w:eastAsia="Times New Roman" w:hAnsi="Times New Roman"/>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83"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Offer and Sale</w:t>
      </w:r>
      <w:r>
        <w:rPr>
          <w:rFonts w:ascii="Times New Roman" w:cs="Times New Roman" w:eastAsia="Times New Roman" w:hAnsi="Times New Roman"/>
          <w:sz w:val="18"/>
          <w:szCs w:val="18"/>
          <w:color w:val="auto"/>
        </w:rPr>
        <w:t>. The Shares may be offered and sold (A) in privately negotiated transactions with the consent of the Company;</w:t>
      </w:r>
    </w:p>
    <w:p>
      <w:pPr>
        <w:spacing w:after="0" w:line="27" w:lineRule="exact"/>
        <w:rPr>
          <w:sz w:val="20"/>
          <w:szCs w:val="20"/>
          <w:color w:val="auto"/>
        </w:rPr>
      </w:pPr>
    </w:p>
    <w:p>
      <w:pPr>
        <w:ind w:left="4" w:right="100" w:hanging="4"/>
        <w:spacing w:after="0" w:line="253" w:lineRule="auto"/>
        <w:tabs>
          <w:tab w:leader="none" w:pos="2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88"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74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to the Company</w:t>
      </w:r>
      <w:r>
        <w:rPr>
          <w:rFonts w:ascii="Times New Roman" w:cs="Times New Roman" w:eastAsia="Times New Roman" w:hAnsi="Times New Roman"/>
          <w:sz w:val="18"/>
          <w:szCs w:val="18"/>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75"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75" w:name="page76"/>
    <w:bookmarkEnd w:id="75"/>
    <w:p>
      <w:pPr>
        <w:ind w:left="4" w:right="80" w:firstLine="436"/>
        <w:spacing w:after="0" w:line="267" w:lineRule="auto"/>
        <w:tabs>
          <w:tab w:leader="none" w:pos="74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Suspension or Termination of Sales</w:t>
      </w:r>
      <w:r>
        <w:rPr>
          <w:rFonts w:ascii="Times New Roman" w:cs="Times New Roman" w:eastAsia="Times New Roman" w:hAnsi="Times New Roman"/>
          <w:sz w:val="17"/>
          <w:szCs w:val="17"/>
          <w:color w:val="auto"/>
        </w:rPr>
        <w:t xml:space="preserve">. Consistent with standard market settlement practices, the Company or the Agent may, upon notice to the other party hereto in writing (including by email correspondence to each of the individuals of the other party whose names are set forth on Schedule A) or by telephone (confirmed immediately by verifiable email), suspend any sale of Shares, and the period set forth in an Issuance Notice shall immediately terminate;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7"/>
          <w:szCs w:val="17"/>
          <w:u w:val="single" w:color="auto"/>
          <w:color w:val="auto"/>
        </w:rPr>
        <w:t>Section 3(b)(v)</w:t>
      </w:r>
      <w:r>
        <w:rPr>
          <w:rFonts w:ascii="Times New Roman" w:cs="Times New Roman" w:eastAsia="Times New Roman" w:hAnsi="Times New Roman"/>
          <w:sz w:val="17"/>
          <w:szCs w:val="17"/>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w:t>
      </w:r>
    </w:p>
    <w:p>
      <w:pPr>
        <w:spacing w:after="0" w:line="3" w:lineRule="exact"/>
        <w:rPr>
          <w:rFonts w:ascii="Times New Roman" w:cs="Times New Roman" w:eastAsia="Times New Roman" w:hAnsi="Times New Roman"/>
          <w:sz w:val="17"/>
          <w:szCs w:val="17"/>
          <w:color w:val="auto"/>
        </w:rPr>
      </w:pPr>
    </w:p>
    <w:p>
      <w:pPr>
        <w:ind w:left="4" w:right="200" w:hanging="4"/>
        <w:spacing w:after="0" w:line="260" w:lineRule="auto"/>
        <w:tabs>
          <w:tab w:leader="none" w:pos="2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firstLine="436"/>
        <w:spacing w:after="0" w:line="261" w:lineRule="auto"/>
        <w:tabs>
          <w:tab w:leader="none" w:pos="79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Placement, Etc.</w:t>
      </w:r>
      <w:r>
        <w:rPr>
          <w:rFonts w:ascii="Times New Roman" w:cs="Times New Roman" w:eastAsia="Times New Roman" w:hAnsi="Times New Roman"/>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79"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84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76" w:lineRule="exact"/>
        <w:rPr>
          <w:sz w:val="20"/>
          <w:szCs w:val="20"/>
          <w:color w:val="auto"/>
        </w:rPr>
      </w:pPr>
    </w:p>
    <w:p>
      <w:pPr>
        <w:jc w:val="both"/>
        <w:ind w:left="4" w:right="20" w:firstLine="436"/>
        <w:spacing w:after="0" w:line="266" w:lineRule="auto"/>
        <w:tabs>
          <w:tab w:leader="none" w:pos="6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8"/>
          <w:szCs w:val="18"/>
          <w:u w:val="single" w:color="auto"/>
          <w:color w:val="auto"/>
        </w:rPr>
        <w:t>Section 3(b)(vi))</w:t>
      </w:r>
      <w:r>
        <w:rPr>
          <w:rFonts w:ascii="Times New Roman" w:cs="Times New Roman" w:eastAsia="Times New Roman" w:hAnsi="Times New Roman"/>
          <w:sz w:val="18"/>
          <w:szCs w:val="18"/>
          <w:color w:val="auto"/>
        </w:rPr>
        <w:t xml:space="preserve"> by the Agent deducting the Selling Commission from the applicable Issuance Amount.</w:t>
      </w:r>
    </w:p>
    <w:p>
      <w:pPr>
        <w:spacing w:after="0" w:line="175"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76" w:name="page77"/>
    <w:bookmarkEnd w:id="76"/>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18"/>
          <w:szCs w:val="18"/>
          <w:b w:val="1"/>
          <w:bCs w:val="1"/>
          <w:color w:val="auto"/>
        </w:rPr>
        <w:t>Blue Sky Survey</w:t>
      </w:r>
      <w:r>
        <w:rPr>
          <w:rFonts w:ascii="Times New Roman" w:cs="Times New Roman" w:eastAsia="Times New Roman" w:hAnsi="Times New Roman"/>
          <w:sz w:val="18"/>
          <w:szCs w:val="18"/>
          <w:color w:val="auto"/>
        </w:rPr>
        <w:t xml:space="preserve">” or memorandum and a “Canadian wrapper,” and any supplements thereto, and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(A) $75,000 in connection with the execution of this Agreement and (B) $15,000 in connection with each Triggering Event Date (as defined below) on which the Company is required to provide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ADDITIONAL COVENANTS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covenants and agrees with the Agent as follows, in addition to any other covenants and agreements made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60" w:firstLine="436"/>
        <w:spacing w:after="0" w:line="254"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in the Company’s sole discretion, (A) include in its quarterly reports on Form 10-Q and its annual reports on Form 10-K, a summary detailing, for the relevant reporting period, (1) the number of Shares, if any, sold through the Agent pursuant to this Agreement and (2) the net proceeds, if any,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18"/>
          <w:szCs w:val="18"/>
          <w:b w:val="1"/>
          <w:bCs w:val="1"/>
          <w:color w:val="auto"/>
        </w:rPr>
        <w:t>Interim Prospectus Supplement</w:t>
      </w:r>
      <w:r>
        <w:rPr>
          <w:rFonts w:ascii="Times New Roman" w:cs="Times New Roman" w:eastAsia="Times New Roman" w:hAnsi="Times New Roman"/>
          <w:sz w:val="18"/>
          <w:szCs w:val="18"/>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Compliance</w:t>
      </w:r>
      <w:r>
        <w:rPr>
          <w:rFonts w:ascii="Times New Roman" w:cs="Times New Roman" w:eastAsia="Times New Roman" w:hAnsi="Times New Roman"/>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77" w:name="page78"/>
    <w:bookmarkEnd w:id="7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purposes. If the Commission shall enter any such stop order at any time, the Company will use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0" w:lineRule="exact"/>
        <w:rPr>
          <w:sz w:val="20"/>
          <w:szCs w:val="20"/>
          <w:color w:val="auto"/>
        </w:rPr>
      </w:pPr>
    </w:p>
    <w:p>
      <w:pPr>
        <w:ind w:firstLine="436"/>
        <w:spacing w:after="0" w:line="252"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the Prospectus and Other Securities Act Matters</w:t>
      </w:r>
      <w:r>
        <w:rPr>
          <w:rFonts w:ascii="Times New Roman" w:cs="Times New Roman" w:eastAsia="Times New Roman" w:hAnsi="Times New Roman"/>
          <w:sz w:val="18"/>
          <w:szCs w:val="18"/>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provided, however that the only remedy the Agent shall have with respect to the failure by the Company to make such filing (other than the Agent’s rights under Section 3(d) or Section 6 hereof) shall be to cease making sales under this Agreement until such amendment or supplement is filed; provided further, that the failure of the Company to file such amendment or supplement request shall not relieve the Company of any obligation or liability under Section 3(d) or Section 6 hereof, or affect the Agent’s right to rely on the representations and warranties made by the Company in this Agreement. Notwithstanding the foregoing, the Company shall not be required to file such amendment or supplement if there is no pending Issuance Notice and the Company believes that it is in its best interest not to file such amendment or supplement.</w:t>
      </w:r>
    </w:p>
    <w:p>
      <w:pPr>
        <w:spacing w:after="0" w:line="194" w:lineRule="exact"/>
        <w:rPr>
          <w:rFonts w:ascii="Times New Roman" w:cs="Times New Roman" w:eastAsia="Times New Roman" w:hAnsi="Times New Roman"/>
          <w:sz w:val="18"/>
          <w:szCs w:val="18"/>
          <w:color w:val="auto"/>
        </w:rPr>
      </w:pPr>
    </w:p>
    <w:p>
      <w:pPr>
        <w:ind w:right="120" w:firstLine="436"/>
        <w:spacing w:after="0" w:line="255"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Review of Proposed Amendments and Supplements</w:t>
      </w:r>
      <w:r>
        <w:rPr>
          <w:rFonts w:ascii="Times New Roman" w:cs="Times New Roman" w:eastAsia="Times New Roman" w:hAnsi="Times New Roman"/>
          <w:sz w:val="18"/>
          <w:szCs w:val="18"/>
          <w:color w:val="auto"/>
        </w:rPr>
        <w:t>. Prior to filing any amendment or supplement to the Registration Statement (including any registration statement filed under Rule 462(b) under the Securities Act (a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or the Prospectus (excluding any amendment or supplement through incorporation of any report filed under the Exchange Act), insofar as such proposed amendment or supplement relates to the Shares,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the Company shall file with the Commission within the applicable period specified in Rule 424(b) under the Securities Act any prospectus required to be filed pursuant to such Rule.</w:t>
      </w:r>
    </w:p>
    <w:p>
      <w:pPr>
        <w:spacing w:after="0" w:line="188"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Free Writing Prospectus</w:t>
      </w:r>
      <w:r>
        <w:rPr>
          <w:rFonts w:ascii="Times New Roman" w:cs="Times New Roman" w:eastAsia="Times New Roman" w:hAnsi="Times New Roman"/>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78" w:name="page79"/>
    <w:bookmarkEnd w:id="78"/>
    <w:p>
      <w:pPr>
        <w:ind w:firstLine="436"/>
        <w:spacing w:after="0" w:line="252" w:lineRule="auto"/>
        <w:tabs>
          <w:tab w:leader="none" w:pos="6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Free Writing Prospectuses</w:t>
      </w:r>
      <w:r>
        <w:rPr>
          <w:rFonts w:ascii="Times New Roman" w:cs="Times New Roman" w:eastAsia="Times New Roman" w:hAnsi="Times New Roman"/>
          <w:sz w:val="18"/>
          <w:szCs w:val="18"/>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insofar as such proposed free writing prospectus or amendment or supplement relates to the Shares, and the Company shall not file, use or refer to any proposed free writing prospectus relating to the Shares or any amendment or supplement thereto without the Agent’s consent. The Company shall furnish to the Agent, without charge, as many copies of any free writing prospectus relating to the Shares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relating to the Shares,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93"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Agent Free Writing Prospectuses</w:t>
      </w:r>
      <w:r>
        <w:rPr>
          <w:rFonts w:ascii="Times New Roman" w:cs="Times New Roman" w:eastAsia="Times New Roman" w:hAnsi="Times New Roman"/>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75" w:lineRule="exact"/>
        <w:rPr>
          <w:rFonts w:ascii="Times New Roman" w:cs="Times New Roman" w:eastAsia="Times New Roman" w:hAnsi="Times New Roman"/>
          <w:sz w:val="18"/>
          <w:szCs w:val="18"/>
          <w:color w:val="auto"/>
        </w:rPr>
      </w:pPr>
    </w:p>
    <w:p>
      <w:pPr>
        <w:jc w:val="both"/>
        <w:ind w:right="300" w:firstLine="436"/>
        <w:spacing w:after="0" w:line="270" w:lineRule="auto"/>
        <w:tabs>
          <w:tab w:leader="none" w:pos="69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Copies of Registration Statement and Prospectus</w:t>
      </w:r>
      <w:r>
        <w:rPr>
          <w:rFonts w:ascii="Times New Roman" w:cs="Times New Roman" w:eastAsia="Times New Roman" w:hAnsi="Times New Roman"/>
          <w:sz w:val="17"/>
          <w:szCs w:val="17"/>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2" w:lineRule="exact"/>
        <w:rPr>
          <w:rFonts w:ascii="Times New Roman" w:cs="Times New Roman" w:eastAsia="Times New Roman" w:hAnsi="Times New Roman"/>
          <w:sz w:val="17"/>
          <w:szCs w:val="17"/>
          <w:color w:val="auto"/>
        </w:rPr>
      </w:pP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9" w:name="page80"/>
    <w:bookmarkEnd w:id="7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92" w:lineRule="exact"/>
        <w:rPr>
          <w:sz w:val="20"/>
          <w:szCs w:val="20"/>
          <w:color w:val="auto"/>
        </w:rPr>
      </w:pPr>
    </w:p>
    <w:p>
      <w:pPr>
        <w:ind w:right="100" w:firstLine="436"/>
        <w:spacing w:after="0" w:line="254"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as soon as practicable.</w:t>
      </w:r>
    </w:p>
    <w:p>
      <w:pPr>
        <w:spacing w:after="0" w:line="188" w:lineRule="exact"/>
        <w:rPr>
          <w:rFonts w:ascii="Times New Roman" w:cs="Times New Roman" w:eastAsia="Times New Roman" w:hAnsi="Times New Roman"/>
          <w:sz w:val="18"/>
          <w:szCs w:val="18"/>
          <w:color w:val="auto"/>
        </w:rPr>
      </w:pPr>
    </w:p>
    <w:p>
      <w:pPr>
        <w:jc w:val="both"/>
        <w:ind w:firstLine="436"/>
        <w:spacing w:after="0" w:line="261"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As soon as practicable, but in any event not later than 15 months after the end of the Company’s current fiscal quarter as of the date of this Agreement,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79" w:lineRule="exact"/>
        <w:rPr>
          <w:rFonts w:ascii="Times New Roman" w:cs="Times New Roman" w:eastAsia="Times New Roman" w:hAnsi="Times New Roman"/>
          <w:sz w:val="18"/>
          <w:szCs w:val="18"/>
          <w:color w:val="auto"/>
        </w:rPr>
      </w:pPr>
    </w:p>
    <w:p>
      <w:pPr>
        <w:jc w:val="both"/>
        <w:ind w:right="300" w:firstLine="436"/>
        <w:spacing w:after="0" w:line="266"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Reservation of Shares</w:t>
      </w:r>
      <w:r>
        <w:rPr>
          <w:rFonts w:ascii="Times New Roman" w:cs="Times New Roman" w:eastAsia="Times New Roman" w:hAnsi="Times New Roman"/>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80" w:name="page81"/>
    <w:bookmarkEnd w:id="80"/>
    <w:p>
      <w:pPr>
        <w:ind w:left="4" w:right="220" w:firstLine="436"/>
        <w:spacing w:after="0" w:line="261" w:lineRule="auto"/>
        <w:tabs>
          <w:tab w:leader="none" w:pos="7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Diligence</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79" w:lineRule="exact"/>
        <w:rPr>
          <w:rFonts w:ascii="Times New Roman" w:cs="Times New Roman" w:eastAsia="Times New Roman" w:hAnsi="Times New Roman"/>
          <w:sz w:val="18"/>
          <w:szCs w:val="18"/>
          <w:color w:val="auto"/>
        </w:rPr>
      </w:pPr>
    </w:p>
    <w:p>
      <w:pPr>
        <w:ind w:left="4" w:right="40" w:firstLine="436"/>
        <w:spacing w:after="0" w:line="273" w:lineRule="auto"/>
        <w:tabs>
          <w:tab w:leader="none" w:pos="69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71" w:lineRule="exact"/>
        <w:rPr>
          <w:rFonts w:ascii="Times New Roman" w:cs="Times New Roman" w:eastAsia="Times New Roman" w:hAnsi="Times New Roman"/>
          <w:sz w:val="17"/>
          <w:szCs w:val="17"/>
          <w:color w:val="auto"/>
        </w:rPr>
      </w:pPr>
    </w:p>
    <w:p>
      <w:pPr>
        <w:ind w:left="4" w:right="180" w:firstLine="436"/>
        <w:spacing w:after="0" w:line="282" w:lineRule="auto"/>
        <w:tabs>
          <w:tab w:leader="none" w:pos="69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at Triggering Event Dates; Certificates.</w:t>
      </w:r>
      <w:r>
        <w:rPr>
          <w:rFonts w:ascii="Times New Roman" w:cs="Times New Roman" w:eastAsia="Times New Roman" w:hAnsi="Times New Roman"/>
          <w:sz w:val="18"/>
          <w:szCs w:val="18"/>
          <w:color w:val="auto"/>
        </w:rPr>
        <w:t xml:space="preserve"> The Company agrees that on or prior to the date of the first Issuance Notice and, during the term of this Agreement after the date of the first Issuance Notice, upon:</w:t>
      </w:r>
    </w:p>
    <w:p>
      <w:pPr>
        <w:spacing w:after="0" w:line="161" w:lineRule="exact"/>
        <w:rPr>
          <w:rFonts w:ascii="Times New Roman" w:cs="Times New Roman" w:eastAsia="Times New Roman" w:hAnsi="Times New Roman"/>
          <w:sz w:val="18"/>
          <w:szCs w:val="18"/>
          <w:color w:val="auto"/>
        </w:rPr>
      </w:pPr>
    </w:p>
    <w:p>
      <w:pPr>
        <w:ind w:left="4" w:right="20" w:firstLine="987"/>
        <w:spacing w:after="0" w:line="289" w:lineRule="auto"/>
        <w:tabs>
          <w:tab w:leader="none" w:pos="129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57" w:lineRule="exact"/>
        <w:rPr>
          <w:rFonts w:ascii="Times New Roman" w:cs="Times New Roman" w:eastAsia="Times New Roman" w:hAnsi="Times New Roman"/>
          <w:sz w:val="17"/>
          <w:szCs w:val="17"/>
          <w:color w:val="auto"/>
        </w:rPr>
      </w:pPr>
    </w:p>
    <w:p>
      <w:pPr>
        <w:ind w:left="4" w:right="40" w:firstLine="987"/>
        <w:spacing w:after="0" w:line="266" w:lineRule="auto"/>
        <w:tabs>
          <w:tab w:leader="none" w:pos="12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75"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(any such event described in clauses (A) through (C) above, a “</w:t>
      </w:r>
      <w:r>
        <w:rPr>
          <w:rFonts w:ascii="Times New Roman" w:cs="Times New Roman" w:eastAsia="Times New Roman" w:hAnsi="Times New Roman"/>
          <w:sz w:val="17"/>
          <w:szCs w:val="17"/>
          <w:b w:val="1"/>
          <w:bCs w:val="1"/>
          <w:color w:val="auto"/>
        </w:rPr>
        <w:t>Triggering Event Date</w:t>
      </w:r>
      <w:r>
        <w:rPr>
          <w:rFonts w:ascii="Times New Roman" w:cs="Times New Roman" w:eastAsia="Times New Roman" w:hAnsi="Times New Roman"/>
          <w:sz w:val="17"/>
          <w:szCs w:val="17"/>
          <w:color w:val="auto"/>
        </w:rPr>
        <w:t>”), the Company shall furnish the Agent (but in the case of clause</w:t>
      </w:r>
    </w:p>
    <w:p>
      <w:pPr>
        <w:spacing w:after="0" w:line="43" w:lineRule="exact"/>
        <w:rPr>
          <w:sz w:val="20"/>
          <w:szCs w:val="20"/>
          <w:color w:val="auto"/>
        </w:rPr>
      </w:pPr>
    </w:p>
    <w:p>
      <w:pPr>
        <w:jc w:val="both"/>
        <w:ind w:left="4" w:right="20" w:hanging="4"/>
        <w:spacing w:after="0" w:line="253" w:lineRule="auto"/>
        <w:tabs>
          <w:tab w:leader="none" w:pos="2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only if the Agent reasonably determines that the information contained in such current report on Form 8-K of the Company is material) with a certificate as of the Triggering Event Date, substantially in the form attached hereto as Exhibit B, executed by the Company’s principal executive officer or principal financial officer. The requirement to provide a certificate under this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shall be automatically waived for any Triggering Event Date occurring at a time when no Issuance Notice is pending 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81" w:name="page82"/>
    <w:bookmarkEnd w:id="8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87" w:lineRule="exact"/>
        <w:rPr>
          <w:sz w:val="20"/>
          <w:szCs w:val="20"/>
          <w:color w:val="auto"/>
        </w:rPr>
      </w:pPr>
    </w:p>
    <w:p>
      <w:pPr>
        <w:ind w:firstLine="436"/>
        <w:spacing w:after="0" w:line="269" w:lineRule="auto"/>
        <w:tabs>
          <w:tab w:leader="none" w:pos="6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Legal Opinions.</w:t>
      </w:r>
      <w:r>
        <w:rPr>
          <w:rFonts w:ascii="Times New Roman" w:cs="Times New Roman" w:eastAsia="Times New Roman" w:hAnsi="Times New Roman"/>
          <w:sz w:val="17"/>
          <w:szCs w:val="17"/>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furnished to the Agent (1) a negative assurances letter and the written legal opinion of Latham &amp; Watkins, LLP, counsel to the Company (“</w:t>
      </w:r>
      <w:r>
        <w:rPr>
          <w:rFonts w:ascii="Times New Roman" w:cs="Times New Roman" w:eastAsia="Times New Roman" w:hAnsi="Times New Roman"/>
          <w:sz w:val="17"/>
          <w:szCs w:val="17"/>
          <w:b w:val="1"/>
          <w:bCs w:val="1"/>
          <w:color w:val="auto"/>
        </w:rPr>
        <w:t>Company Counsel</w:t>
      </w:r>
      <w:r>
        <w:rPr>
          <w:rFonts w:ascii="Times New Roman" w:cs="Times New Roman" w:eastAsia="Times New Roman" w:hAnsi="Times New Roman"/>
          <w:sz w:val="17"/>
          <w:szCs w:val="17"/>
          <w:color w:val="auto"/>
        </w:rPr>
        <w:t>”), and (2) the written legal opinion of Viksnins Harris Padys Malen LLP, intellectual property counsel to the Company, or other intellectual property counsel to the Company reasonably satisfactory to the Agent (collectively, “</w:t>
      </w:r>
      <w:r>
        <w:rPr>
          <w:rFonts w:ascii="Times New Roman" w:cs="Times New Roman" w:eastAsia="Times New Roman" w:hAnsi="Times New Roman"/>
          <w:sz w:val="17"/>
          <w:szCs w:val="17"/>
          <w:b w:val="1"/>
          <w:bCs w:val="1"/>
          <w:color w:val="auto"/>
        </w:rPr>
        <w:t>IP Counsel</w:t>
      </w:r>
      <w:r>
        <w:rPr>
          <w:rFonts w:ascii="Times New Roman" w:cs="Times New Roman" w:eastAsia="Times New Roman" w:hAnsi="Times New Roman"/>
          <w:sz w:val="17"/>
          <w:szCs w:val="17"/>
          <w:color w:val="auto"/>
        </w:rPr>
        <w:t>”),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provided, however, that the Company shall be required to furnish no more than one written legal opinion and negative assurance letter of Company Counsel per filing of an annual report on Form 10-K or quarterly report on Form 10-Q; and provided further that the Company shall be required to furnish no more than one written legal opinion of IP Counsel hereunder in any twelve-month period. In lieu of such opinions for subsequent periodic filings, in the discretion of the Agent, the Company may furnish a reliance letter from such counsel to the Agent, permitting the Agent to rely on a previously delivered opinion letter and negative assurances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75" w:lineRule="exact"/>
        <w:rPr>
          <w:rFonts w:ascii="Times New Roman" w:cs="Times New Roman" w:eastAsia="Times New Roman" w:hAnsi="Times New Roman"/>
          <w:sz w:val="17"/>
          <w:szCs w:val="17"/>
          <w:color w:val="auto"/>
        </w:rPr>
      </w:pPr>
    </w:p>
    <w:p>
      <w:pPr>
        <w:ind w:right="40" w:firstLine="436"/>
        <w:spacing w:after="0" w:line="253"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82" w:name="page83"/>
    <w:bookmarkEnd w:id="82"/>
    <w:p>
      <w:pPr>
        <w:ind w:firstLine="436"/>
        <w:spacing w:after="0" w:line="256" w:lineRule="auto"/>
        <w:tabs>
          <w:tab w:leader="none" w:pos="6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Secretary’s Certificate</w:t>
      </w:r>
      <w:r>
        <w:rPr>
          <w:rFonts w:ascii="Times New Roman" w:cs="Times New Roman" w:eastAsia="Times New Roman" w:hAnsi="Times New Roman"/>
          <w:sz w:val="18"/>
          <w:szCs w:val="18"/>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or Assistant Secretary of the Company, signing in such capacity, dated the date of delivery substantially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along with such certificates of good standing or other certificates of public officials as may be reasonably requested by Company Counsel or Agent Counsel (as defined below) in connection with the rendering of their opinions and negative assurance letters as contemplated by Section 4(p) and Section 5(a)(v).</w:t>
      </w:r>
    </w:p>
    <w:p>
      <w:pPr>
        <w:spacing w:after="0" w:line="187" w:lineRule="exact"/>
        <w:rPr>
          <w:rFonts w:ascii="Times New Roman" w:cs="Times New Roman" w:eastAsia="Times New Roman" w:hAnsi="Times New Roman"/>
          <w:sz w:val="18"/>
          <w:szCs w:val="18"/>
          <w:color w:val="auto"/>
        </w:rPr>
      </w:pPr>
    </w:p>
    <w:p>
      <w:pPr>
        <w:ind w:right="380" w:firstLine="436"/>
        <w:spacing w:after="0" w:line="312" w:lineRule="auto"/>
        <w:tabs>
          <w:tab w:leader="none" w:pos="67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Agent’s Own Account; Clients’ Account.</w:t>
      </w:r>
      <w:r>
        <w:rPr>
          <w:rFonts w:ascii="Times New Roman" w:cs="Times New Roman" w:eastAsia="Times New Roman" w:hAnsi="Times New Roman"/>
          <w:sz w:val="17"/>
          <w:szCs w:val="17"/>
          <w:color w:val="auto"/>
        </w:rPr>
        <w:t xml:space="preserve"> The Company consents to the Agent trading, in compliance with applicable law, in the Common Shares for the Agent’s own account and for the account of its clients at the same time as sales of the Shares occur pursuant to this Agreement.</w:t>
      </w:r>
    </w:p>
    <w:p>
      <w:pPr>
        <w:spacing w:after="0" w:line="139" w:lineRule="exact"/>
        <w:rPr>
          <w:rFonts w:ascii="Times New Roman" w:cs="Times New Roman" w:eastAsia="Times New Roman" w:hAnsi="Times New Roman"/>
          <w:sz w:val="17"/>
          <w:szCs w:val="17"/>
          <w:color w:val="auto"/>
        </w:rPr>
      </w:pPr>
    </w:p>
    <w:p>
      <w:pPr>
        <w:ind w:right="280" w:firstLine="436"/>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would require the Company to register as an investment company under the Investment Company Act.</w:t>
      </w:r>
    </w:p>
    <w:p>
      <w:pPr>
        <w:spacing w:after="0" w:line="161" w:lineRule="exact"/>
        <w:rPr>
          <w:rFonts w:ascii="Times New Roman" w:cs="Times New Roman" w:eastAsia="Times New Roman" w:hAnsi="Times New Roman"/>
          <w:sz w:val="18"/>
          <w:szCs w:val="18"/>
          <w:color w:val="auto"/>
        </w:rPr>
      </w:pPr>
    </w:p>
    <w:p>
      <w:pPr>
        <w:ind w:right="140" w:firstLine="436"/>
        <w:spacing w:after="0" w:line="255"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8"/>
          <w:szCs w:val="18"/>
          <w:b w:val="1"/>
          <w:bCs w:val="1"/>
          <w:color w:val="auto"/>
        </w:rPr>
        <w:t>Rule 102</w:t>
      </w:r>
      <w:r>
        <w:rPr>
          <w:rFonts w:ascii="Times New Roman" w:cs="Times New Roman" w:eastAsia="Times New Roman" w:hAnsi="Times New Roman"/>
          <w:sz w:val="18"/>
          <w:szCs w:val="18"/>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88"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w:t>
      </w:r>
      <w:r>
        <w:rPr>
          <w:rFonts w:ascii="Times New Roman" w:cs="Times New Roman" w:eastAsia="Times New Roman" w:hAnsi="Times New Roman"/>
          <w:sz w:val="18"/>
          <w:szCs w:val="18"/>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(x) the third Trading Day immediately following the Settlement Date with respect to Shares sold pursuant to such Issuance Notice and (y) the date the Company notifies the Agent of the withdrawal of such Issuance Notice; and will not directly or indirectly enter into any other “at the market” or continuous equity transaction offer pursuant to which the Company (including through another person as agent or principal) offers to sell, sells, contracts to sell, grants any option to sell or otherwise disposes of any Common Shares (other than the Shares offered pursuant to this Agreement) or securities convertible into or exchangeable for Common Shares, warrants or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83" w:name="page84"/>
    <w:bookmarkEnd w:id="8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consultant or director share option, incentive or benefit plan, share purchase or ownership plan, long-term incentive plan, dividend reinvestment plan, inducement award under Nasdaq rules or other compensation plan of the Company or its subsidiaries, whether now in effect on the date of this Agreement or hereafter implemented, (ii) issuance or sale of Common Shares issuable upon exchange, conversion or redemption of securities or the exercise or vesting of warrants, options or other equity awards disclosed in filings by the Company available on EDGAR or otherwise in writing to the Agent, (iii) modification of any outstanding options, warrants or any rights to purchase or acquire Common Shares, and (iv)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Issuance Notice is pending, the Company will not issue Common Shares pursuant to clause (iv) of this Section 4(v) while such Issuance Notice is pending if, following such issuance, the number of Common Shares issued or issuable in connection with all such issuances pursuant to clause (iv) would exceed 5% of the aggregate number of the Common Shares outstanding as of the date of this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CONDITIONS TO DELIVERY OF ISSUANCE NOTICES AND TO SETTLEMENT</w:t>
      </w:r>
    </w:p>
    <w:p>
      <w:pPr>
        <w:spacing w:after="0" w:line="121" w:lineRule="exact"/>
        <w:rPr>
          <w:sz w:val="20"/>
          <w:szCs w:val="20"/>
          <w:color w:val="auto"/>
        </w:rPr>
      </w:pPr>
    </w:p>
    <w:p>
      <w:pPr>
        <w:ind w:right="60" w:firstLine="436"/>
        <w:spacing w:after="0" w:line="261" w:lineRule="auto"/>
        <w:tabs>
          <w:tab w:leader="none" w:pos="68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85"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 Performance by the Company</w:t>
      </w:r>
      <w:r>
        <w:rPr>
          <w:rFonts w:ascii="Times New Roman" w:cs="Times New Roman" w:eastAsia="Times New Roman" w:hAnsi="Times New Roman"/>
          <w:sz w:val="18"/>
          <w:szCs w:val="18"/>
          <w:color w:val="auto"/>
        </w:rPr>
        <w:t xml:space="preserve">. The Company shall have delivered the certificate required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8"/>
          <w:szCs w:val="18"/>
          <w:u w:val="single" w:color="auto"/>
          <w:color w:val="auto"/>
        </w:rPr>
        <w:t>Section 4(m)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4(q)</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4(r)</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84" w:name="page85"/>
    <w:bookmarkEnd w:id="84"/>
    <w:p>
      <w:pPr>
        <w:ind w:left="540" w:hanging="532"/>
        <w:spacing w:after="0" w:line="258"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Adverse Effects</w:t>
      </w:r>
      <w:r>
        <w:rPr>
          <w:rFonts w:ascii="Times New Roman" w:cs="Times New Roman" w:eastAsia="Times New Roman" w:hAnsi="Times New Roman"/>
          <w:sz w:val="18"/>
          <w:szCs w:val="18"/>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for purposes of Section 3(a)(62) of the Exchange Act.</w:t>
      </w:r>
    </w:p>
    <w:p>
      <w:pPr>
        <w:spacing w:after="0" w:line="88" w:lineRule="exact"/>
        <w:rPr>
          <w:rFonts w:ascii="Times New Roman" w:cs="Times New Roman" w:eastAsia="Times New Roman" w:hAnsi="Times New Roman"/>
          <w:sz w:val="18"/>
          <w:szCs w:val="18"/>
          <w:color w:val="auto"/>
        </w:rPr>
      </w:pPr>
    </w:p>
    <w:p>
      <w:pPr>
        <w:ind w:left="540" w:right="20" w:hanging="532"/>
        <w:spacing w:after="0" w:line="253"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Shares; Other Events</w:t>
      </w:r>
      <w:r>
        <w:rPr>
          <w:rFonts w:ascii="Times New Roman" w:cs="Times New Roman" w:eastAsia="Times New Roman" w:hAnsi="Times New Roman"/>
          <w:sz w:val="18"/>
          <w:szCs w:val="18"/>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92" w:lineRule="exact"/>
        <w:rPr>
          <w:rFonts w:ascii="Times New Roman" w:cs="Times New Roman" w:eastAsia="Times New Roman" w:hAnsi="Times New Roman"/>
          <w:sz w:val="18"/>
          <w:szCs w:val="18"/>
          <w:color w:val="auto"/>
        </w:rPr>
      </w:pPr>
    </w:p>
    <w:p>
      <w:pPr>
        <w:ind w:left="540" w:right="20" w:hanging="532"/>
        <w:spacing w:after="0" w:line="254"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Counsel Opinion and Negative Assurances Letter</w:t>
      </w:r>
      <w:r>
        <w:rPr>
          <w:rFonts w:ascii="Times New Roman" w:cs="Times New Roman" w:eastAsia="Times New Roman" w:hAnsi="Times New Roman"/>
          <w:sz w:val="18"/>
          <w:szCs w:val="18"/>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Davis Polk &amp; Wardwell LLP, counsel to the Agent (“</w:t>
      </w:r>
      <w:r>
        <w:rPr>
          <w:rFonts w:ascii="Times New Roman" w:cs="Times New Roman" w:eastAsia="Times New Roman" w:hAnsi="Times New Roman"/>
          <w:sz w:val="18"/>
          <w:szCs w:val="18"/>
          <w:b w:val="1"/>
          <w:bCs w:val="1"/>
          <w:color w:val="auto"/>
        </w:rPr>
        <w:t>Agent Counsel</w:t>
      </w:r>
      <w:r>
        <w:rPr>
          <w:rFonts w:ascii="Times New Roman" w:cs="Times New Roman" w:eastAsia="Times New Roman" w:hAnsi="Times New Roman"/>
          <w:sz w:val="18"/>
          <w:szCs w:val="18"/>
          <w:color w:val="auto"/>
        </w:rPr>
        <w:t>”), shall have furnished to the Agent a negative assurances letter and the written legal 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60" w:top="270" w:right="479" w:bottom="1440" w:gutter="0" w:footer="0" w:header="0"/>
        </w:sectPr>
      </w:pPr>
    </w:p>
    <w:bookmarkStart w:id="85" w:name="page86"/>
    <w:bookmarkEnd w:id="85"/>
    <w:p>
      <w:pPr>
        <w:ind w:left="964" w:hanging="532"/>
        <w:spacing w:after="0" w:line="261" w:lineRule="auto"/>
        <w:tabs>
          <w:tab w:leader="none" w:pos="9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Misstatement or Material Omission</w:t>
      </w:r>
      <w:r>
        <w:rPr>
          <w:rFonts w:ascii="Times New Roman" w:cs="Times New Roman" w:eastAsia="Times New Roman" w:hAnsi="Times New Roman"/>
          <w:sz w:val="18"/>
          <w:szCs w:val="18"/>
          <w:color w:val="auto"/>
        </w:rPr>
        <w:t>. Agent shall not have advised the Company that the Registration Statement, the Prospectus or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0" w:lineRule="exact"/>
        <w:rPr>
          <w:sz w:val="20"/>
          <w:szCs w:val="20"/>
          <w:color w:val="auto"/>
        </w:rPr>
      </w:pPr>
    </w:p>
    <w:p>
      <w:pPr>
        <w:ind w:left="4" w:right="40" w:firstLine="436"/>
        <w:spacing w:after="0" w:line="258" w:lineRule="auto"/>
        <w:tabs>
          <w:tab w:leader="none" w:pos="69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Required to be Delivered on each Issuance Notice Date</w:t>
      </w:r>
      <w:r>
        <w:rPr>
          <w:rFonts w:ascii="Times New Roman" w:cs="Times New Roman" w:eastAsia="Times New Roman" w:hAnsi="Times New Roman"/>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as required to be delivered pursuant to Section 4(o) (which certificate shall not be required if the foregoing representations shall be set forth in the Issuance Notice).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 INDEMNIFICATION AND CONTRIBUTION</w:t>
      </w:r>
    </w:p>
    <w:p>
      <w:pPr>
        <w:spacing w:after="0" w:line="121" w:lineRule="exact"/>
        <w:rPr>
          <w:sz w:val="20"/>
          <w:szCs w:val="20"/>
          <w:color w:val="auto"/>
        </w:rPr>
      </w:pPr>
    </w:p>
    <w:p>
      <w:pPr>
        <w:ind w:left="4" w:right="100" w:firstLine="436"/>
        <w:spacing w:after="0" w:line="253" w:lineRule="auto"/>
        <w:tabs>
          <w:tab w:leader="none" w:pos="68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w:t>
      </w:r>
    </w:p>
    <w:p>
      <w:pPr>
        <w:ind w:left="4" w:right="20" w:hanging="4"/>
        <w:spacing w:after="0" w:line="251"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reasonable and documented</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86" w:name="page87"/>
    <w:bookmarkEnd w:id="86"/>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beginning with the words: “Jefferies and its affiliates may in the future provide various investment banking, commercial banking, financial advisory and other financial services . . . .” (the “</w:t>
      </w:r>
      <w:r>
        <w:rPr>
          <w:rFonts w:ascii="Times New Roman" w:cs="Times New Roman" w:eastAsia="Times New Roman" w:hAnsi="Times New Roman"/>
          <w:sz w:val="18"/>
          <w:szCs w:val="18"/>
          <w:b w:val="1"/>
          <w:bCs w:val="1"/>
          <w:color w:val="auto"/>
        </w:rPr>
        <w:t>Agent Information</w:t>
      </w:r>
      <w:r>
        <w:rPr>
          <w:rFonts w:ascii="Times New Roman" w:cs="Times New Roman" w:eastAsia="Times New Roman" w:hAnsi="Times New Roman"/>
          <w:sz w:val="18"/>
          <w:szCs w:val="18"/>
          <w:color w:val="auto"/>
        </w:rPr>
        <w:t xml:space="preserve">”). The indemnity agreement set forth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be in addition to any liabilities that the Company may otherwise have.</w:t>
      </w:r>
    </w:p>
    <w:p>
      <w:pPr>
        <w:spacing w:after="0" w:line="194" w:lineRule="exact"/>
        <w:rPr>
          <w:sz w:val="20"/>
          <w:szCs w:val="20"/>
          <w:color w:val="auto"/>
        </w:rPr>
      </w:pPr>
    </w:p>
    <w:p>
      <w:pPr>
        <w:ind w:firstLine="436"/>
        <w:spacing w:after="0" w:line="252"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the Company, its Directors and Officers.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Company and each such director, officer and controlling person for any and all reasonable and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provided, however, that the foregoing indemnity agreement shall only apply to any loss, claim, damage, liability or expense to the extent, but only to the extent, arising out of or based upon any untrue statement or alleged untrue statement or omission or alleged omission made in reliance upon and in conformity with the Agent Information expressly for use in the Registration Statement, any such Free Writing Prospectus or the Prospectus (or any amendment or supplement thereto). The indemnity agreement set forth in this Section 6(b) shall be in addition to any liabilities that the Agent or the Company may otherwise have.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87" w:name="page88"/>
    <w:bookmarkEnd w:id="87"/>
    <w:p>
      <w:pPr>
        <w:ind w:left="4" w:right="20" w:firstLine="436"/>
        <w:spacing w:after="0" w:line="251" w:lineRule="auto"/>
        <w:tabs>
          <w:tab w:leader="none" w:pos="68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notify the indemnifying party in writing of the commencement thereof, but the omission to so notify the indemnifying party will not relieve the indemnifying party from any liability which it may have to any indemnified party for contribution or otherwise than under the indemnity agreement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or the Company (in the case of counsel for the indemnified parties referred to in Section 6(b)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4" w:lineRule="exact"/>
        <w:rPr>
          <w:rFonts w:ascii="Times New Roman" w:cs="Times New Roman" w:eastAsia="Times New Roman" w:hAnsi="Times New Roman"/>
          <w:sz w:val="18"/>
          <w:szCs w:val="18"/>
          <w:color w:val="auto"/>
        </w:rPr>
      </w:pPr>
    </w:p>
    <w:p>
      <w:pPr>
        <w:ind w:left="4" w:firstLine="436"/>
        <w:spacing w:after="0" w:line="269" w:lineRule="auto"/>
        <w:tabs>
          <w:tab w:leader="none" w:pos="699"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Settlements</w:t>
      </w:r>
      <w:r>
        <w:rPr>
          <w:rFonts w:ascii="Times New Roman" w:cs="Times New Roman" w:eastAsia="Times New Roman" w:hAnsi="Times New Roman"/>
          <w:sz w:val="17"/>
          <w:szCs w:val="17"/>
          <w:color w:val="auto"/>
        </w:rPr>
        <w:t xml:space="preserve">. The indemnifying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hereof, the indemnifying party agrees that it shall be liable for any settlement of any proceeding effected without its written consent if</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30 days after receipt by such indemnifying party of the aforesaid request;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88" w:name="page89"/>
    <w:bookmarkEnd w:id="8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3" w:lineRule="exact"/>
        <w:rPr>
          <w:sz w:val="20"/>
          <w:szCs w:val="20"/>
          <w:color w:val="auto"/>
        </w:rPr>
      </w:pPr>
    </w:p>
    <w:p>
      <w:pPr>
        <w:ind w:firstLine="436"/>
        <w:spacing w:after="0" w:line="252"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net proceeds from the offering of the Shares (net of commissions to the Agent but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9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any reasonable and documented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with respect to notice of commencement of any action shall apply if a claim for contribution is to be made under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for purposes of indemnification.</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and the Agent agree that it would not be just and equitable if contribution pursuant to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89" w:name="page90"/>
    <w:bookmarkEnd w:id="8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TERMINATION &amp; SURVIVAL</w:t>
      </w:r>
    </w:p>
    <w:p>
      <w:pPr>
        <w:spacing w:after="0" w:line="121" w:lineRule="exact"/>
        <w:rPr>
          <w:sz w:val="20"/>
          <w:szCs w:val="20"/>
          <w:color w:val="auto"/>
        </w:rPr>
      </w:pPr>
    </w:p>
    <w:p>
      <w:pPr>
        <w:ind w:right="20" w:firstLine="436"/>
        <w:spacing w:after="0" w:line="282"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Survival Following Termination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40" w:hanging="439"/>
        <w:spacing w:after="0" w:line="256"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party may terminate this Agreement prior to the end of the Agency Period, by giving written notice as required by this Agreement, upon five (5) Trading Days’ notice to the other party; provided that, (A) if the Company terminates this Agreement after the Agent confirms to </w:t>
      </w:r>
      <w:r>
        <w:rPr>
          <w:rFonts w:ascii="Times New Roman" w:cs="Times New Roman" w:eastAsia="Times New Roman" w:hAnsi="Times New Roman"/>
          <w:sz w:val="18"/>
          <w:szCs w:val="18"/>
          <w:u w:val="single" w:color="auto"/>
          <w:color w:val="auto"/>
        </w:rPr>
        <w:t>the Company any sale of Shares</w:t>
      </w:r>
      <w:r>
        <w:rPr>
          <w:rFonts w:ascii="Times New Roman" w:cs="Times New Roman" w:eastAsia="Times New Roman" w:hAnsi="Times New Roman"/>
          <w:sz w:val="18"/>
          <w:szCs w:val="18"/>
          <w:color w:val="auto"/>
        </w:rPr>
        <w:t xml:space="preserve">, the Company shall remain obligated to </w:t>
      </w:r>
      <w:r>
        <w:rPr>
          <w:rFonts w:ascii="Times New Roman" w:cs="Times New Roman" w:eastAsia="Times New Roman" w:hAnsi="Times New Roman"/>
          <w:sz w:val="18"/>
          <w:szCs w:val="18"/>
          <w:u w:val="single" w:color="auto"/>
          <w:color w:val="auto"/>
        </w:rPr>
        <w:t>comply with Section 3(b)(v)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respect to such Shares</w:t>
      </w:r>
      <w:r>
        <w:rPr>
          <w:rFonts w:ascii="Times New Roman" w:cs="Times New Roman" w:eastAsia="Times New Roman" w:hAnsi="Times New Roman"/>
          <w:sz w:val="18"/>
          <w:szCs w:val="18"/>
          <w:color w:val="auto"/>
        </w:rPr>
        <w:t xml:space="preserve"> and (B)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92" w:lineRule="exact"/>
        <w:rPr>
          <w:rFonts w:ascii="Times New Roman" w:cs="Times New Roman" w:eastAsia="Times New Roman" w:hAnsi="Times New Roman"/>
          <w:sz w:val="18"/>
          <w:szCs w:val="18"/>
          <w:color w:val="auto"/>
        </w:rPr>
      </w:pPr>
    </w:p>
    <w:p>
      <w:pPr>
        <w:ind w:left="1420" w:right="40" w:hanging="439"/>
        <w:spacing w:after="0" w:line="258"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survival provision of </w:t>
      </w:r>
      <w:r>
        <w:rPr>
          <w:rFonts w:ascii="Times New Roman" w:cs="Times New Roman" w:eastAsia="Times New Roman" w:hAnsi="Times New Roman"/>
          <w:sz w:val="18"/>
          <w:szCs w:val="18"/>
          <w:u w:val="single" w:color="auto"/>
          <w:color w:val="auto"/>
        </w:rPr>
        <w:t>Section 7(b)(i)</w:t>
      </w:r>
      <w:r>
        <w:rPr>
          <w:rFonts w:ascii="Times New Roman" w:cs="Times New Roman" w:eastAsia="Times New Roman" w:hAnsi="Times New Roman"/>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MISCELLANEOUS</w:t>
      </w:r>
    </w:p>
    <w:p>
      <w:pPr>
        <w:spacing w:after="0" w:line="121" w:lineRule="exact"/>
        <w:rPr>
          <w:sz w:val="20"/>
          <w:szCs w:val="20"/>
          <w:color w:val="auto"/>
        </w:rPr>
      </w:pPr>
    </w:p>
    <w:p>
      <w:pPr>
        <w:ind w:firstLine="436"/>
        <w:spacing w:after="0" w:line="258"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 and Disclosure</w:t>
      </w:r>
      <w:r>
        <w:rPr>
          <w:rFonts w:ascii="Times New Roman" w:cs="Times New Roman" w:eastAsia="Times New Roman" w:hAnsi="Times New Roman"/>
          <w:sz w:val="18"/>
          <w:szCs w:val="18"/>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90" w:name="page91"/>
    <w:bookmarkEnd w:id="90"/>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(other than disclosure regarding sales of Common Shares pursuant hereto on current reports on Form 8-K, quarterly reports on Form 10-Q or annual reports on Form 10-K),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89" w:lineRule="exact"/>
        <w:rPr>
          <w:sz w:val="20"/>
          <w:szCs w:val="20"/>
          <w:color w:val="auto"/>
        </w:rPr>
      </w:pPr>
    </w:p>
    <w:p>
      <w:pPr>
        <w:ind w:firstLine="436"/>
        <w:spacing w:after="0" w:line="253" w:lineRule="auto"/>
        <w:tabs>
          <w:tab w:leader="none" w:pos="69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94" w:lineRule="exact"/>
        <w:rPr>
          <w:rFonts w:ascii="Times New Roman" w:cs="Times New Roman" w:eastAsia="Times New Roman" w:hAnsi="Times New Roman"/>
          <w:sz w:val="18"/>
          <w:szCs w:val="18"/>
          <w:color w:val="auto"/>
        </w:rPr>
      </w:pPr>
    </w:p>
    <w:p>
      <w:pPr>
        <w:ind w:right="60" w:firstLine="436"/>
        <w:spacing w:after="0" w:line="255" w:lineRule="auto"/>
        <w:tabs>
          <w:tab w:leader="none" w:pos="68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91" w:name="page92"/>
    <w:bookmarkEnd w:id="91"/>
    <w:p>
      <w:pPr>
        <w:ind w:right="240" w:firstLine="436"/>
        <w:spacing w:after="0" w:line="282" w:lineRule="auto"/>
        <w:tabs>
          <w:tab w:leader="none" w:pos="6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 hereto as follows: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Agent: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1600 El Camino Real #100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(650) 752-2115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Stephen Salmon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stephen.salmon@davispolk.com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400 Fifth Avenue, Suite 210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ind w:left="980" w:right="4260"/>
        <w:spacing w:after="0" w:line="250" w:lineRule="auto"/>
        <w:rPr>
          <w:sz w:val="20"/>
          <w:szCs w:val="20"/>
          <w:color w:val="auto"/>
        </w:rPr>
      </w:pPr>
      <w:r>
        <w:rPr>
          <w:rFonts w:ascii="Times New Roman" w:cs="Times New Roman" w:eastAsia="Times New Roman" w:hAnsi="Times New Roman"/>
          <w:sz w:val="18"/>
          <w:szCs w:val="18"/>
          <w:color w:val="auto"/>
        </w:rPr>
        <w:t>Attention: Chief Executive Officer; Chief Financial Officer; Chief Legal and Administrative Officer</w:t>
      </w:r>
    </w:p>
    <w:p>
      <w:pPr>
        <w:spacing w:after="0" w:line="1" w:lineRule="exact"/>
        <w:rPr>
          <w:sz w:val="20"/>
          <w:szCs w:val="20"/>
          <w:color w:val="auto"/>
        </w:rPr>
      </w:pPr>
    </w:p>
    <w:p>
      <w:pPr>
        <w:ind w:left="440" w:right="4360" w:firstLine="551"/>
        <w:spacing w:after="0" w:line="365" w:lineRule="auto"/>
        <w:rPr>
          <w:sz w:val="20"/>
          <w:szCs w:val="20"/>
          <w:color w:val="auto"/>
        </w:rPr>
      </w:pPr>
      <w:r>
        <w:rPr>
          <w:rFonts w:ascii="Times New Roman" w:cs="Times New Roman" w:eastAsia="Times New Roman" w:hAnsi="Times New Roman"/>
          <w:sz w:val="18"/>
          <w:szCs w:val="18"/>
          <w:color w:val="auto"/>
        </w:rPr>
        <w:t>Email: mraab@ardelyx.com; jrenz@ardelyx.com; egrammer@ardelyx.com with a copy (which shall not constitute notice) to:</w:t>
      </w:r>
    </w:p>
    <w:p>
      <w:pPr>
        <w:ind w:left="9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140 Scott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mark.roeder@lw.com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Mark Roeder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36"/>
        <w:spacing w:after="0" w:line="289" w:lineRule="auto"/>
        <w:tabs>
          <w:tab w:leader="none" w:pos="68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57" w:lineRule="exact"/>
        <w:rPr>
          <w:rFonts w:ascii="Times New Roman" w:cs="Times New Roman" w:eastAsia="Times New Roman" w:hAnsi="Times New Roman"/>
          <w:sz w:val="17"/>
          <w:szCs w:val="17"/>
          <w:color w:val="auto"/>
        </w:rPr>
      </w:pPr>
    </w:p>
    <w:p>
      <w:pPr>
        <w:ind w:firstLine="436"/>
        <w:spacing w:after="0" w:line="261" w:lineRule="auto"/>
        <w:tabs>
          <w:tab w:leader="none" w:pos="6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80"/>
          </w:cols>
          <w:pgMar w:left="440" w:top="270" w:right="679" w:bottom="1440" w:gutter="0" w:footer="0" w:header="0"/>
        </w:sectPr>
      </w:pPr>
    </w:p>
    <w:bookmarkStart w:id="92" w:name="page93"/>
    <w:bookmarkEnd w:id="92"/>
    <w:p>
      <w:pPr>
        <w:ind w:left="-436" w:firstLine="436"/>
        <w:spacing w:after="0" w:line="253"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Provisions</w:t>
      </w:r>
      <w:r>
        <w:rPr>
          <w:rFonts w:ascii="Times New Roman" w:cs="Times New Roman" w:eastAsia="Times New Roman" w:hAnsi="Times New Roman"/>
          <w:sz w:val="18"/>
          <w:szCs w:val="18"/>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4" w:lineRule="exact"/>
        <w:rPr>
          <w:rFonts w:ascii="Times New Roman" w:cs="Times New Roman" w:eastAsia="Times New Roman" w:hAnsi="Times New Roman"/>
          <w:sz w:val="18"/>
          <w:szCs w:val="18"/>
          <w:color w:val="auto"/>
        </w:rPr>
      </w:pPr>
    </w:p>
    <w:p>
      <w:pPr>
        <w:ind w:left="-436" w:right="20" w:firstLine="436"/>
        <w:spacing w:after="0" w:line="255"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88"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67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 w:firstLine="419"/>
        <w:spacing w:after="0" w:line="261" w:lineRule="auto"/>
        <w:tabs>
          <w:tab w:leader="none" w:pos="68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Agent is a Covered Entity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8(i):</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5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64"/>
          </w:cols>
          <w:pgMar w:left="876" w:top="270"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“Covered Entity” means any of the following:</w:t>
      </w:r>
    </w:p>
    <w:p>
      <w:pPr>
        <w:spacing w:after="0" w:line="117" w:lineRule="exact"/>
        <w:rPr>
          <w:sz w:val="20"/>
          <w:szCs w:val="20"/>
          <w:color w:val="auto"/>
        </w:rPr>
      </w:pPr>
    </w:p>
    <w:p>
      <w:pPr>
        <w:ind w:left="220" w:hanging="213"/>
        <w:spacing w:after="0"/>
        <w:tabs>
          <w:tab w:leader="none" w:pos="2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pacing w:after="0" w:line="16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900"/>
          </w:cols>
          <w:pgMar w:left="1420" w:top="270" w:right="579" w:bottom="1440" w:gutter="0" w:footer="0" w:header="0"/>
        </w:sectPr>
      </w:pPr>
    </w:p>
    <w:bookmarkStart w:id="94" w:name="page95"/>
    <w:bookmarkEnd w:id="9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Justin Renz</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by the Agent in New York, New York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Magarro</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700"/>
          </w:cols>
          <w:pgMar w:left="440" w:top="270" w:right="7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Attn: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-7620</wp:posOffset>
            </wp:positionV>
            <wp:extent cx="6096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201"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color w:val="auto"/>
        </w:rPr>
        <w:t>Reference is made to the Open Market Sale Agreement between Ardelyx,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dated as of January 18, 2023. The Company confirms that all conditions to the delivery of this Issuance Notice are satisfied as of the date hereof.</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Delivery of Issuance Notice (determined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-7620</wp:posOffset>
            </wp:positionV>
            <wp:extent cx="11709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9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Issuance Amount (equal to the total Sales Price for such Shares):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-7620</wp:posOffset>
            </wp:positionV>
            <wp:extent cx="11709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-7620</wp:posOffset>
            </wp:positionV>
            <wp:extent cx="11709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-7620</wp:posOffset>
            </wp:positionV>
            <wp:extent cx="11709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-7620</wp:posOffset>
            </wp:positionV>
            <wp:extent cx="11709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-7620</wp:posOffset>
            </wp:positionV>
            <wp:extent cx="11709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Price Limitation (in no event less than $1.00 without the prior written consent of the Agent, which consent may be withheld in the Agent’s sole</w:t>
      </w:r>
    </w:p>
    <w:tbl>
      <w:tblPr>
        <w:tblLayout w:type="fixed"/>
        <w:tblInd w:w="0" w:type="dxa"/>
        <w:tblCellMar>
          <w:top w:w="0" w:type="dxa"/>
          <w:left w:w="0" w:type="dxa"/>
          <w:bottom w:w="0" w:type="dxa"/>
          <w:right w:w="0" w:type="dxa"/>
        </w:tblCellMar>
      </w:tblPr>
      <w:tr>
        <w:trPr>
          <w:trHeight w:val="203"/>
        </w:trPr>
        <w:tc>
          <w:tcPr>
            <w:tcW w:w="9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w w:val="98"/>
              </w:rPr>
              <w:t>discretion): $</w:t>
            </w:r>
          </w:p>
        </w:tc>
        <w:tc>
          <w:tcPr>
            <w:tcW w:w="260" w:type="dxa"/>
            <w:vAlign w:val="bottom"/>
          </w:tcPr>
          <w:p>
            <w:pPr>
              <w:spacing w:after="0"/>
              <w:rPr>
                <w:sz w:val="17"/>
                <w:szCs w:val="17"/>
                <w:color w:val="auto"/>
              </w:rPr>
            </w:pPr>
          </w:p>
        </w:tc>
        <w:tc>
          <w:tcPr>
            <w:tcW w:w="9800" w:type="dxa"/>
            <w:vAlign w:val="bottom"/>
            <w:gridSpan w:val="6"/>
          </w:tcPr>
          <w:p>
            <w:pPr>
              <w:ind w:left="280"/>
              <w:spacing w:after="0" w:line="203" w:lineRule="exact"/>
              <w:rPr>
                <w:sz w:val="20"/>
                <w:szCs w:val="20"/>
                <w:color w:val="auto"/>
              </w:rPr>
            </w:pPr>
            <w:r>
              <w:rPr>
                <w:rFonts w:ascii="Times New Roman" w:cs="Times New Roman" w:eastAsia="Times New Roman" w:hAnsi="Times New Roman"/>
                <w:sz w:val="18"/>
                <w:szCs w:val="18"/>
                <w:color w:val="auto"/>
              </w:rPr>
              <w:t>per share</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Comments:</w:t>
            </w:r>
          </w:p>
        </w:tc>
        <w:tc>
          <w:tcPr>
            <w:tcW w:w="8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40" w:type="dxa"/>
            <w:vAlign w:val="bottom"/>
          </w:tcPr>
          <w:p>
            <w:pPr>
              <w:spacing w:after="0"/>
              <w:rPr>
                <w:sz w:val="24"/>
                <w:szCs w:val="24"/>
                <w:color w:val="auto"/>
              </w:rPr>
            </w:pPr>
          </w:p>
        </w:tc>
      </w:tr>
      <w:tr>
        <w:trPr>
          <w:trHeight w:val="480"/>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10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Title:</w:t>
            </w:r>
          </w:p>
        </w:tc>
      </w:tr>
      <w:tr>
        <w:trPr>
          <w:trHeight w:val="365"/>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gridSpan w:val="4"/>
          </w:tcPr>
          <w:p>
            <w:pPr>
              <w:ind w:left="3220"/>
              <w:spacing w:after="0"/>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11020"/>
          </w:cols>
          <w:pgMar w:left="440" w:top="266" w:right="4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225" w:lineRule="exact"/>
        <w:rPr>
          <w:sz w:val="20"/>
          <w:szCs w:val="20"/>
          <w:color w:val="auto"/>
        </w:rPr>
      </w:pPr>
    </w:p>
    <w:p>
      <w:pPr>
        <w:jc w:val="center"/>
        <w:ind w:left="88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 20[</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-5080</wp:posOffset>
            </wp:positionV>
            <wp:extent cx="1009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97"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Reference is made to that certain Open Market Sale Agreement, dated as of January [•], 2023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Ardelyx,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Capitalized terms used without definition herein shall have the meanings assigned thereto in the Agreement.</w:t>
      </w:r>
    </w:p>
    <w:p>
      <w:pPr>
        <w:sectPr>
          <w:pgSz w:w="11900" w:h="16838" w:orient="portrait"/>
          <w:cols w:equalWidth="0" w:num="1">
            <w:col w:w="11000"/>
          </w:cols>
          <w:pgMar w:left="440" w:top="266" w:right="459" w:bottom="1440" w:gutter="0" w:footer="0" w:header="0"/>
        </w:sectPr>
      </w:pP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being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personal liability therefor) as follows: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Company, hereby certifies on behalf of the Company and not in a personal capacity (and with no</w:t>
      </w:r>
    </w:p>
    <w:p>
      <w:pPr>
        <w:spacing w:after="0" w:line="358" w:lineRule="exact"/>
        <w:rPr>
          <w:sz w:val="20"/>
          <w:szCs w:val="20"/>
          <w:color w:val="auto"/>
        </w:rPr>
      </w:pPr>
    </w:p>
    <w:p>
      <w:pPr>
        <w:sectPr>
          <w:pgSz w:w="11900" w:h="16838" w:orient="portrait"/>
          <w:cols w:equalWidth="0" w:num="2">
            <w:col w:w="2720" w:space="580"/>
            <w:col w:w="7700"/>
          </w:cols>
          <w:pgMar w:left="440" w:top="266" w:right="459" w:bottom="1440" w:gutter="0" w:footer="0" w:header="0"/>
          <w:type w:val="continuous"/>
        </w:sectPr>
      </w:pPr>
    </w:p>
    <w:p>
      <w:pPr>
        <w:ind w:left="960" w:right="360" w:hanging="532"/>
        <w:spacing w:after="0" w:line="282" w:lineRule="auto"/>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is in effect, and no proceedings for such purpose are pending before or, to the best of my knowledge, threatened by the Commission.</w:t>
      </w:r>
    </w:p>
    <w:p>
      <w:pPr>
        <w:spacing w:after="0" w:line="67"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Section 2 of the Agreement are true and correct on and as of the date hereof with the same force and effect as if expressly made on and as of the date hereof, except for those representations and warranties that speak solely as of a specific date and which were true and correct as of such date.</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all of its obligations under the Agreement to be performed on or prior to the date hereof.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Immediately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00"/>
          </w:cols>
          <w:pgMar w:left="440" w:top="266" w:right="45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certificate to be executed as of the date first written above.</w:t>
      </w:r>
    </w:p>
    <w:p>
      <w:pPr>
        <w:spacing w:after="0" w:line="200" w:lineRule="exact"/>
        <w:rPr>
          <w:sz w:val="20"/>
          <w:szCs w:val="20"/>
          <w:color w:val="auto"/>
        </w:rPr>
      </w:pPr>
    </w:p>
    <w:p>
      <w:pPr>
        <w:spacing w:after="0" w:line="29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-127635</wp:posOffset>
            </wp:positionV>
            <wp:extent cx="27946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SECRETARY’S CERTIFICATE</w:t>
      </w:r>
    </w:p>
    <w:p>
      <w:pPr>
        <w:spacing w:after="0" w:line="22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-7620</wp:posOffset>
            </wp:positionV>
            <wp:extent cx="9709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0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Reference is made to that certain Open Market Sale Agreement, dated as of January [•], 2023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Ardelyx,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Capitalized terms used without definition herein shall have the meanings assigned thereto in the Agreement.</w:t>
      </w:r>
    </w:p>
    <w:p>
      <w:pPr>
        <w:spacing w:after="0" w:line="17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undersigned, being the [Secretary][Assistant Secretary] of the Company, hereby certifies on behalf of the Company, and not in a personal capacity (and with no personal liability therefor) as follows:</w:t>
      </w:r>
    </w:p>
    <w:p>
      <w:pPr>
        <w:spacing w:after="0" w:line="67" w:lineRule="exact"/>
        <w:rPr>
          <w:sz w:val="20"/>
          <w:szCs w:val="20"/>
          <w:color w:val="auto"/>
        </w:rPr>
      </w:pPr>
    </w:p>
    <w:p>
      <w:pPr>
        <w:ind w:left="960" w:right="40" w:hanging="532"/>
        <w:spacing w:after="0" w:line="282" w:lineRule="auto"/>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for the dissolution, merger, consolidation or liquidation of the Company or for the sale of all or substantially all of its assets is pending or, to the best of my knowledge, threatened, and no such proceeding is contemplated by the Company.</w:t>
      </w:r>
    </w:p>
    <w:p>
      <w:pPr>
        <w:spacing w:after="0" w:line="67" w:lineRule="exact"/>
        <w:rPr>
          <w:rFonts w:ascii="Times New Roman" w:cs="Times New Roman" w:eastAsia="Times New Roman" w:hAnsi="Times New Roman"/>
          <w:sz w:val="18"/>
          <w:szCs w:val="18"/>
          <w:color w:val="auto"/>
        </w:rPr>
      </w:pPr>
    </w:p>
    <w:p>
      <w:pPr>
        <w:ind w:left="960" w:right="120" w:hanging="532"/>
        <w:spacing w:after="0" w:line="276" w:lineRule="auto"/>
        <w:tabs>
          <w:tab w:leader="none" w:pos="9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is a true, correct and complete copy of the Amended and Restated Certificate of Incorporation of the Company, as amended to date (the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as certified by an appropriate public official of the State of Delaware</w:t>
      </w:r>
    </w:p>
    <w:p>
      <w:pPr>
        <w:spacing w:after="0" w:line="1" w:lineRule="exact"/>
        <w:rPr>
          <w:sz w:val="20"/>
          <w:szCs w:val="20"/>
          <w:color w:val="auto"/>
        </w:rPr>
      </w:pPr>
    </w:p>
    <w:p>
      <w:pPr>
        <w:ind w:left="960"/>
        <w:spacing w:after="0"/>
        <w:tabs>
          <w:tab w:leader="none" w:pos="4380" w:val="left"/>
        </w:tabs>
        <w:rPr>
          <w:sz w:val="20"/>
          <w:szCs w:val="20"/>
          <w:color w:val="auto"/>
        </w:rPr>
      </w:pPr>
      <w:r>
        <w:rPr>
          <w:rFonts w:ascii="Times New Roman" w:cs="Times New Roman" w:eastAsia="Times New Roman" w:hAnsi="Times New Roman"/>
          <w:sz w:val="18"/>
          <w:szCs w:val="18"/>
          <w:color w:val="auto"/>
        </w:rPr>
        <w:t>and as in full force and effect as of</w:t>
      </w:r>
      <w:r>
        <w:rPr>
          <w:sz w:val="20"/>
          <w:szCs w:val="20"/>
          <w:color w:val="auto"/>
        </w:rPr>
        <w:tab/>
      </w:r>
      <w:r>
        <w:rPr>
          <w:rFonts w:ascii="Times New Roman" w:cs="Times New Roman" w:eastAsia="Times New Roman" w:hAnsi="Times New Roman"/>
          <w:sz w:val="18"/>
          <w:szCs w:val="18"/>
          <w:color w:val="auto"/>
        </w:rPr>
        <w:t>, 20__. No action has been taken by the Company or its stockholders, directors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-19050</wp:posOffset>
            </wp:positionV>
            <wp:extent cx="571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8"/>
          <w:szCs w:val="18"/>
          <w:color w:val="auto"/>
        </w:rPr>
        <w:t>to effect or authorize any amendment or other modification to the Certificate of Incorporation since such date.</w:t>
      </w:r>
    </w:p>
    <w:p>
      <w:pPr>
        <w:spacing w:after="0" w:line="108" w:lineRule="exact"/>
        <w:rPr>
          <w:sz w:val="20"/>
          <w:szCs w:val="20"/>
          <w:color w:val="auto"/>
        </w:rPr>
      </w:pPr>
    </w:p>
    <w:p>
      <w:pPr>
        <w:ind w:left="960" w:hanging="532"/>
        <w:spacing w:after="0"/>
        <w:tabs>
          <w:tab w:leader="none" w:pos="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is a true, correct and complete copy of the Amended and Restated Bylaws of the Company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ind w:left="960"/>
        <w:spacing w:after="0"/>
        <w:tabs>
          <w:tab w:leader="none" w:pos="5320" w:val="left"/>
          <w:tab w:leader="none" w:pos="5960" w:val="left"/>
        </w:tabs>
        <w:rPr>
          <w:sz w:val="20"/>
          <w:szCs w:val="20"/>
          <w:color w:val="auto"/>
        </w:rPr>
      </w:pPr>
      <w:r>
        <w:rPr>
          <w:rFonts w:ascii="Times New Roman" w:cs="Times New Roman" w:eastAsia="Times New Roman" w:hAnsi="Times New Roman"/>
          <w:sz w:val="18"/>
          <w:szCs w:val="18"/>
          <w:color w:val="auto"/>
        </w:rPr>
        <w:t>in effect at the date hereof and at all times since</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No action has been taken by the Company or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-19050</wp:posOffset>
            </wp:positionV>
            <wp:extent cx="9709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8"/>
          <w:szCs w:val="18"/>
          <w:color w:val="auto"/>
        </w:rPr>
        <w:t>directors or officers to effect or authorize any amendment or other modification to the Bylaws.</w:t>
      </w:r>
    </w:p>
    <w:p>
      <w:pPr>
        <w:spacing w:after="0" w:line="112" w:lineRule="exact"/>
        <w:rPr>
          <w:sz w:val="20"/>
          <w:szCs w:val="20"/>
          <w:color w:val="auto"/>
        </w:rPr>
      </w:pPr>
    </w:p>
    <w:p>
      <w:pPr>
        <w:ind w:left="960" w:hanging="532"/>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is a true, correct and complete copy of resolutions duly adopted by the Board of Directors of the Company</w:t>
      </w:r>
    </w:p>
    <w:p>
      <w:pPr>
        <w:spacing w:after="0" w:line="27" w:lineRule="exact"/>
        <w:rPr>
          <w:sz w:val="20"/>
          <w:szCs w:val="20"/>
          <w:color w:val="auto"/>
        </w:rPr>
      </w:pPr>
    </w:p>
    <w:p>
      <w:pPr>
        <w:ind w:left="960"/>
        <w:spacing w:after="0"/>
        <w:tabs>
          <w:tab w:leader="none" w:pos="2020" w:val="left"/>
          <w:tab w:leader="none" w:pos="2700" w:val="left"/>
        </w:tabs>
        <w:rPr>
          <w:sz w:val="20"/>
          <w:szCs w:val="20"/>
          <w:color w:val="auto"/>
        </w:rPr>
      </w:pP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8"/>
          <w:szCs w:val="18"/>
          <w:color w:val="auto"/>
        </w:rPr>
        <w:t>authorizing the filing of the Registration Statement and the Prospectus, the execution and delivery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-19050</wp:posOffset>
            </wp:positionV>
            <wp:extent cx="9709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ind w:left="960" w:right="120"/>
        <w:spacing w:after="0" w:line="253" w:lineRule="auto"/>
        <w:rPr>
          <w:sz w:val="20"/>
          <w:szCs w:val="20"/>
          <w:color w:val="auto"/>
        </w:rPr>
      </w:pPr>
      <w:r>
        <w:rPr>
          <w:rFonts w:ascii="Times New Roman" w:cs="Times New Roman" w:eastAsia="Times New Roman" w:hAnsi="Times New Roman"/>
          <w:sz w:val="18"/>
          <w:szCs w:val="18"/>
          <w:color w:val="auto"/>
        </w:rPr>
        <w:t>Agreement and the consummation of the transactions contemplated thereby (including, without limitation, the issuance of the Shares pursuant to the Agreement). Such resolutions have not been amended or modified, are in full force and effect in the form adopted and are the only resolutions adopted by the Board of Directors or by any committee or officers of or designated by the Board of Directors relating to the Registration Statement, the offering of the Shares and the Agreement.</w:t>
      </w:r>
    </w:p>
    <w:p>
      <w:pPr>
        <w:spacing w:after="0" w:line="94" w:lineRule="exact"/>
        <w:rPr>
          <w:sz w:val="20"/>
          <w:szCs w:val="20"/>
          <w:color w:val="auto"/>
        </w:rPr>
      </w:pPr>
    </w:p>
    <w:p>
      <w:pPr>
        <w:ind w:left="960" w:right="160" w:hanging="532"/>
        <w:spacing w:after="0" w:line="282" w:lineRule="auto"/>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as executed and delivered by the Company is in substantially the form approved by the Company’s Board of Directors in the resolutions referred to in paragraph 4 above.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00"/>
          </w:cols>
          <w:pgMar w:left="440" w:top="266" w:right="459" w:bottom="1440" w:gutter="0" w:footer="0" w:header="0"/>
        </w:sectPr>
      </w:pPr>
    </w:p>
    <w:bookmarkStart w:id="99" w:name="page100"/>
    <w:bookmarkEnd w:id="99"/>
    <w:p>
      <w:pPr>
        <w:ind w:left="540" w:right="20" w:hanging="532"/>
        <w:spacing w:after="0" w:line="261"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person who, as an officer or director of the Company, signed the Registration Statement and any amendment thereto was duly elected or appointed, qualified and acting as such officer or director at the respective times of the signing thereof and was duly authorized to sign such document on behalf of the Company, and the signature of each such person appearing on each such document is the genuine signature of such officer or director.</w:t>
      </w:r>
    </w:p>
    <w:p>
      <w:pPr>
        <w:spacing w:after="0" w:line="85"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as an officer of the Company, signed (a) the Agreement or (b) any other document delivered in connection with the sale and public offering of the Shares and the settlement related thereto was duly elected or appointed, qualified and acting as such officer at the respective times of the signing and delivery thereof and was duly authorized to sign such document on behalf of the Company, and the signature of each such person appearing on each such document is the genuine signature of such officer.</w:t>
      </w:r>
    </w:p>
    <w:p>
      <w:pPr>
        <w:spacing w:after="0" w:line="85" w:lineRule="exact"/>
        <w:rPr>
          <w:rFonts w:ascii="Times New Roman" w:cs="Times New Roman" w:eastAsia="Times New Roman" w:hAnsi="Times New Roman"/>
          <w:sz w:val="18"/>
          <w:szCs w:val="18"/>
          <w:color w:val="auto"/>
        </w:rPr>
      </w:pPr>
    </w:p>
    <w:p>
      <w:pPr>
        <w:ind w:left="540" w:right="80" w:hanging="532"/>
        <w:spacing w:after="0" w:line="272" w:lineRule="auto"/>
        <w:tabs>
          <w:tab w:leader="none" w:pos="5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minute books and records of the Company relating to all proceedings of the stockholders and the Board of Directors (and any committee of the Board of Directors) of the Company made available to Latham &amp; Watkins LLP and Davis Polk &amp; Wardwell LLP are the original minute books and records of the Company, or are true, correct and complete copies thereof, with respect to all proceedings of said</w:t>
      </w:r>
    </w:p>
    <w:p>
      <w:pPr>
        <w:spacing w:after="0" w:line="2" w:lineRule="exact"/>
        <w:rPr>
          <w:sz w:val="20"/>
          <w:szCs w:val="20"/>
          <w:color w:val="auto"/>
        </w:rPr>
      </w:pPr>
    </w:p>
    <w:p>
      <w:pPr>
        <w:ind w:left="540"/>
        <w:spacing w:after="0"/>
        <w:tabs>
          <w:tab w:leader="none" w:pos="5420" w:val="left"/>
          <w:tab w:leader="none" w:pos="6040" w:val="left"/>
        </w:tabs>
        <w:rPr>
          <w:sz w:val="20"/>
          <w:szCs w:val="20"/>
          <w:color w:val="auto"/>
        </w:rPr>
      </w:pPr>
      <w:r>
        <w:rPr>
          <w:rFonts w:ascii="Times New Roman" w:cs="Times New Roman" w:eastAsia="Times New Roman" w:hAnsi="Times New Roman"/>
          <w:sz w:val="18"/>
          <w:szCs w:val="18"/>
          <w:color w:val="auto"/>
        </w:rPr>
        <w:t>stockholders, Board of Directors and committees since</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8"/>
          <w:szCs w:val="18"/>
          <w:color w:val="auto"/>
        </w:rPr>
        <w:t>. The minute books, records and other documents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-19050</wp:posOffset>
            </wp:positionV>
            <wp:extent cx="9709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Company made available to Latham &amp; Watkins LLP and Davis Polk &amp; Wardwell LLP were true, correct and complete in all respects,</w:t>
      </w:r>
    </w:p>
    <w:p>
      <w:pPr>
        <w:spacing w:after="0" w:line="9" w:lineRule="exact"/>
        <w:rPr>
          <w:sz w:val="20"/>
          <w:szCs w:val="20"/>
          <w:color w:val="auto"/>
        </w:rPr>
      </w:pPr>
    </w:p>
    <w:p>
      <w:pPr>
        <w:ind w:left="540"/>
        <w:spacing w:after="0"/>
        <w:tabs>
          <w:tab w:leader="none" w:pos="2200" w:val="left"/>
        </w:tabs>
        <w:rPr>
          <w:sz w:val="20"/>
          <w:szCs w:val="20"/>
          <w:color w:val="auto"/>
        </w:rPr>
      </w:pPr>
      <w:r>
        <w:rPr>
          <w:rFonts w:ascii="Times New Roman" w:cs="Times New Roman" w:eastAsia="Times New Roman" w:hAnsi="Times New Roman"/>
          <w:sz w:val="18"/>
          <w:szCs w:val="18"/>
          <w:color w:val="auto"/>
        </w:rPr>
        <w:t>except for</w:t>
      </w:r>
      <w:r>
        <w:rPr>
          <w:sz w:val="20"/>
          <w:szCs w:val="20"/>
          <w:color w:val="auto"/>
        </w:rPr>
        <w:tab/>
      </w:r>
      <w:r>
        <w:rPr>
          <w:rFonts w:ascii="Times New Roman" w:cs="Times New Roman" w:eastAsia="Times New Roman" w:hAnsi="Times New Roman"/>
          <w:sz w:val="17"/>
          <w:szCs w:val="17"/>
          <w:color w:val="auto"/>
        </w:rPr>
        <w:t>. There have been no material changes, additions or alterations in said minute books, records and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-19050</wp:posOffset>
            </wp:positionV>
            <wp:extent cx="571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that have not been disclosed to Latham &amp; Watkins LLP Davis Polk &amp; Wardwell LLP in writing.</w:t>
      </w:r>
    </w:p>
    <w:p>
      <w:pPr>
        <w:spacing w:after="0" w:line="20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Immediately Follows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580"/>
          </w:cols>
          <w:pgMar w:left="860" w:top="270"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certificate to be executed as of the date first written above.</w:t>
      </w:r>
    </w:p>
    <w:p>
      <w:pPr>
        <w:spacing w:after="0" w:line="200" w:lineRule="exact"/>
        <w:rPr>
          <w:sz w:val="20"/>
          <w:szCs w:val="20"/>
          <w:color w:val="auto"/>
        </w:rPr>
      </w:pPr>
    </w:p>
    <w:p>
      <w:pPr>
        <w:spacing w:after="0" w:line="29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-127635</wp:posOffset>
            </wp:positionV>
            <wp:extent cx="27946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579"/>
          </w:cols>
          <w:pgMar w:left="880" w:top="270" w:right="1440" w:bottom="1440" w:gutter="0" w:footer="0" w:header="0"/>
        </w:sectPr>
      </w:pPr>
    </w:p>
    <w:bookmarkStart w:id="101" w:name="page102"/>
    <w:bookmarkEnd w:id="101"/>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11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Michael Raab</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mraab@ardelyx.com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(510) 745-1757</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jrenz@ardelyx.com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(510) 456-7791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egrammer@ardelyx.com</w:t>
      </w:r>
    </w:p>
    <w:p>
      <w:pPr>
        <w:spacing w:after="0" w:line="9" w:lineRule="exact"/>
        <w:rPr>
          <w:sz w:val="20"/>
          <w:szCs w:val="20"/>
          <w:color w:val="auto"/>
        </w:rPr>
      </w:pPr>
    </w:p>
    <w:p>
      <w:pPr>
        <w:ind w:left="444" w:hanging="444"/>
        <w:spacing w:after="0"/>
        <w:tabs>
          <w:tab w:leader="none" w:pos="4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745-1705</w:t>
      </w:r>
    </w:p>
    <w:p>
      <w:pPr>
        <w:spacing w:after="0" w:line="206"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Michael Magarro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mmagarro@jefferies.com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(917) 421-1963</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Dustin Tyner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dtyner@jefferies.com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(212) 284-4639</w:t>
      </w:r>
    </w:p>
    <w:p>
      <w:pPr>
        <w:sectPr>
          <w:pgSz w:w="11900" w:h="16838" w:orient="portrait"/>
          <w:cols w:equalWidth="0" w:num="1">
            <w:col w:w="10023"/>
          </w:cols>
          <w:pgMar w:left="436" w:top="266" w:right="1440"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Dated as of ___________, 20__</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1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1.1.</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1.3.</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1.4.</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of Construction</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Issuable in Series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2.2.</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2.3.</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2.4.</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2.5.</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2.6.</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Securityholder Lists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2.7.</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and Exchange</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2.8.</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2.9.</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Securities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2.10.</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Securities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2.11.</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Temporary Securities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2.12.</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2.13.</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Defaulted Interest</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2.14.</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Securities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2.15.</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CUSIP Numbers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to Trustee</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3.2.</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3.3.</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Redemption</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3.4.</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3.5.</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3.6.</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4.1.</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4.2.</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Reports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4.3.</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Certificate</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4.4.</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5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5"/>
        </w:trPr>
        <w:tc>
          <w:tcPr>
            <w:tcW w:w="16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540" w:type="dxa"/>
            <w:vAlign w:val="bottom"/>
            <w:gridSpan w:val="2"/>
          </w:tcPr>
          <w:p>
            <w:pPr>
              <w:jc w:val="right"/>
              <w:ind w:right="5368"/>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0960"/>
          </w:cols>
          <w:pgMar w:left="440" w:top="266" w:right="49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6.2.</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6.3.</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6.4.</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6.5.</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6.6.</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6.7.</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Suits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6.8.</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6.9.</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6.10.</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6.12.</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 by 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6.13.</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Past Defaults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6.14.</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Undertaking for Costs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7.2.</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7.3.</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7.4.</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Trustee’s Disclaimer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7.5.</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Defaults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7.6.</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7.7.</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7.8.</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7.9.</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7.10.</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7.11.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8.2.</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8.3.</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8.4.</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 Defeasance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8.5.</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to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8.6.</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Reinstatement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9.2.</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Consent of 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9.3.</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9.4.</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9.5.</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9.6.</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9.7.</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Protected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10.2.</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10.3.</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10.4.</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10.5.</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10.6.</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10.7.</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Holidays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10.8.</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10.9.</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10.10.</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10.11.</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10.12.</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10.13.</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10.14.</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10.15.</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10.16.</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Judgment Currency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10.17.</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10.18.</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Patriot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11.1.</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11.2.</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11.3.</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06" w:name="page107"/>
    <w:bookmarkEnd w:id="106"/>
    <w:tbl>
      <w:tblPr>
        <w:tblLayout w:type="fixed"/>
        <w:tblInd w:w="8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78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8"/>
              </w:rPr>
              <w:t>ARDELYX, INC.</w:t>
            </w:r>
          </w:p>
        </w:tc>
      </w:tr>
      <w:tr>
        <w:trPr>
          <w:trHeight w:val="306"/>
        </w:trPr>
        <w:tc>
          <w:tcPr>
            <w:tcW w:w="1960" w:type="dxa"/>
            <w:vAlign w:val="bottom"/>
          </w:tcPr>
          <w:p>
            <w:pPr>
              <w:spacing w:after="0"/>
              <w:rPr>
                <w:sz w:val="24"/>
                <w:szCs w:val="24"/>
                <w:color w:val="auto"/>
              </w:rPr>
            </w:pPr>
          </w:p>
        </w:tc>
        <w:tc>
          <w:tcPr>
            <w:tcW w:w="78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Reconciliation and tie between Trust Indenture Act of 1939 and</w:t>
            </w:r>
          </w:p>
        </w:tc>
      </w:tr>
      <w:tr>
        <w:trPr>
          <w:trHeight w:val="234"/>
        </w:trPr>
        <w:tc>
          <w:tcPr>
            <w:tcW w:w="1960" w:type="dxa"/>
            <w:vAlign w:val="bottom"/>
          </w:tcPr>
          <w:p>
            <w:pPr>
              <w:spacing w:after="0"/>
              <w:rPr>
                <w:sz w:val="20"/>
                <w:szCs w:val="20"/>
                <w:color w:val="auto"/>
              </w:rPr>
            </w:pPr>
          </w:p>
        </w:tc>
        <w:tc>
          <w:tcPr>
            <w:tcW w:w="78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Indenture, dated as of ____________, 20__</w:t>
            </w:r>
          </w:p>
        </w:tc>
      </w:tr>
      <w:tr>
        <w:trPr>
          <w:trHeight w:val="441"/>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95"/>
              </w:rPr>
              <w:t>§ 310(a)(1)</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(a)(2)</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(a)(3)</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(a)(4)</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(a)(5)</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(b)</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 311(a)</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(b)</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(c)</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 312(a)</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(b)</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(c)</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 313(a)</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(b)(1)</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(b)(2)</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(c)(1)</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(d)</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 314(a)</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(b)</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(c)(1)</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(c)(2)</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(c)(3)</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(d)</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(e)</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(f)</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 315(a)</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(b)</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(c)</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(d)</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(e)</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 316(a)</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(a)(1)(A)</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(a)(1)(B)</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(b)</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95"/>
              </w:rPr>
              <w:t>§ 317(a)(1)</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(a)(2)</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(b)</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9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 318(a)</w:t>
            </w:r>
          </w:p>
        </w:tc>
        <w:tc>
          <w:tcPr>
            <w:tcW w:w="788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32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70" w:right="1440" w:bottom="1440" w:gutter="0" w:footer="0" w:header="0"/>
        </w:sectPr>
      </w:pPr>
    </w:p>
    <w:bookmarkStart w:id="107" w:name="page108"/>
    <w:bookmarkEnd w:id="10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__________, 20__ between Ardelyx, Inc., a company incorporated under the laws of Delaware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w:t>
      </w:r>
    </w:p>
    <w:p>
      <w:pPr>
        <w:spacing w:after="0" w:line="29" w:lineRule="exact"/>
        <w:rPr>
          <w:sz w:val="20"/>
          <w:szCs w:val="20"/>
          <w:color w:val="auto"/>
        </w:rPr>
      </w:pPr>
    </w:p>
    <w:p>
      <w:pPr>
        <w:ind w:left="824" w:hanging="824"/>
        <w:spacing w:after="0"/>
        <w:tabs>
          <w:tab w:leader="none" w:pos="8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4" w:right="16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3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ind w:left="4" w:right="2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w:t>
      </w:r>
    </w:p>
    <w:p>
      <w:pPr>
        <w:sectPr>
          <w:pgSz w:w="11900" w:h="16838" w:orient="portrait"/>
          <w:cols w:equalWidth="0" w:num="1">
            <w:col w:w="11004"/>
          </w:cols>
          <w:pgMar w:left="436" w:top="268" w:right="459" w:bottom="1440" w:gutter="0" w:footer="0" w:header="0"/>
        </w:sectPr>
      </w:pPr>
    </w:p>
    <w:bookmarkStart w:id="108" w:name="page109"/>
    <w:bookmarkEnd w:id="108"/>
    <w:p>
      <w:pPr>
        <w:ind w:right="66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related to this Indenture shall be principally administered.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w:t>
      </w:r>
    </w:p>
    <w:p>
      <w:pPr>
        <w:spacing w:after="0" w:line="205" w:lineRule="exact"/>
        <w:rPr>
          <w:sz w:val="20"/>
          <w:szCs w:val="20"/>
          <w:color w:val="auto"/>
        </w:rPr>
      </w:pPr>
    </w:p>
    <w:p>
      <w:pPr>
        <w:ind w:right="2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in the United States of America set forth in the opinions and pronouncements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ind w:right="2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Securityholder</w:t>
      </w:r>
      <w:r>
        <w:rPr>
          <w:rFonts w:ascii="Times New Roman" w:cs="Times New Roman" w:eastAsia="Times New Roman" w:hAnsi="Times New Roman"/>
          <w:sz w:val="18"/>
          <w:szCs w:val="18"/>
          <w:color w:val="auto"/>
        </w:rPr>
        <w:t>” means a person in whose name a Security is registered.</w:t>
      </w:r>
    </w:p>
    <w:p>
      <w:pPr>
        <w:spacing w:after="0" w:line="225"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8" w:right="519" w:bottom="1440" w:gutter="0" w:footer="0" w:header="0"/>
        </w:sectPr>
      </w:pPr>
    </w:p>
    <w:bookmarkStart w:id="109" w:name="page110"/>
    <w:bookmarkEnd w:id="109"/>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w:t>
      </w:r>
    </w:p>
    <w:p>
      <w:pPr>
        <w:spacing w:after="0" w:line="225" w:lineRule="exact"/>
        <w:rPr>
          <w:sz w:val="20"/>
          <w:szCs w:val="20"/>
          <w:color w:val="auto"/>
        </w:rPr>
      </w:pPr>
    </w:p>
    <w:p>
      <w:pPr>
        <w:ind w:right="2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58"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ind w:right="1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5" w:lineRule="exact"/>
        <w:rPr>
          <w:sz w:val="20"/>
          <w:szCs w:val="20"/>
          <w:color w:val="auto"/>
        </w:rPr>
      </w:pPr>
    </w:p>
    <w:p>
      <w:pPr>
        <w:ind w:right="3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ind w:right="6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110" w:name="page111"/>
    <w:bookmarkEnd w:id="110"/>
    <w:p>
      <w:pPr>
        <w:ind w:right="6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DEFINED IN</w:t>
            </w:r>
          </w:p>
        </w:tc>
        <w:tc>
          <w:tcPr>
            <w:tcW w:w="0" w:type="dxa"/>
            <w:vAlign w:val="bottom"/>
          </w:tcPr>
          <w:p>
            <w:pPr>
              <w:spacing w:after="0"/>
              <w:rPr>
                <w:sz w:val="1"/>
                <w:szCs w:val="1"/>
                <w:color w:val="auto"/>
              </w:rPr>
            </w:pPr>
          </w:p>
        </w:tc>
      </w:tr>
      <w:tr>
        <w:trPr>
          <w:trHeight w:val="158"/>
        </w:trPr>
        <w:tc>
          <w:tcPr>
            <w:tcW w:w="6620" w:type="dxa"/>
            <w:vAlign w:val="bottom"/>
            <w:gridSpan w:val="2"/>
            <w:vMerge w:val="continue"/>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“Bankruptcy Law”</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“Custodian”</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“Event of Default”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“Judgment Currency”</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“Legal Holiday”</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“mandatory sinking fund payment”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“New York Banking Day”</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“Notice Agent”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“optional sinking fund payment”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“Paying Agent”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“Registrar”</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“Required Currency”</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“Specified Courts”</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3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“successor person”</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8" w:right="479" w:bottom="1440" w:gutter="0" w:footer="0" w:header="0"/>
        </w:sectPr>
      </w:pPr>
    </w:p>
    <w:bookmarkStart w:id="111" w:name="page112"/>
    <w:bookmarkEnd w:id="11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Securityholder.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11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8" w:right="439" w:bottom="1440" w:gutter="0" w:footer="0" w:header="0"/>
        </w:sectPr>
      </w:pPr>
    </w:p>
    <w:bookmarkStart w:id="112" w:name="page113"/>
    <w:bookmarkEnd w:id="1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72"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the price or prices (expressed as a percentage of the principal amount thereof) at which the Securities of the Series will be issued;</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3" w:name="page114"/>
    <w:bookmarkEnd w:id="113"/>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2.2.9. the dates, if any, on which and the price or prices at which the Securities of the Series will be repurchased by the Company at the option of the Holders thereof and other detailed terms and provisions of such repurchase obligations;</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2.2.10. if other than minimum denominations of $1,000 and any integral multiple in excess thereof, the denominations in which the Securities of the Series shall be issuable;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00" w:firstLine="991"/>
        <w:spacing w:after="0" w:line="282" w:lineRule="auto"/>
        <w:rPr>
          <w:sz w:val="20"/>
          <w:szCs w:val="20"/>
          <w:color w:val="auto"/>
        </w:rPr>
      </w:pPr>
      <w:r>
        <w:rPr>
          <w:rFonts w:ascii="Times New Roman" w:cs="Times New Roman" w:eastAsia="Times New Roman" w:hAnsi="Times New Roman"/>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62"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2.2.17. the provisions, if any, relating to any security provided for the Securities of the Series;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2.2.19. any addition to, deletion of or change in the covenants set forth in Articles IV or V which applies to Securities of the Series;</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2.2.20. any Depositaries, interest rate calculation agents, exchange rate calculation agents or other agents with respect to Securities of such Series if other than those appointed 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14" w:name="page115"/>
    <w:bookmarkEnd w:id="114"/>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2.2.23.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facsimile or electronic signature.</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162"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or facsimile of the Trustee or an authenticating agent. The signature shall be conclusive evidence that the Security has been authenticated under this Indenture.</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(a) the Board Resolution, supplemental indenture hereto or Officer’s Certificate establishing the form of the Securities of that Series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that Series and the terms of the Securities of that Series or of Securities within that Series, (b) an Officer’s Certificate complying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10.4, and (c) an Opinion of Counsel complying with Section 10.4.</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15" w:name="page116"/>
    <w:bookmarkEnd w:id="11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serve as Registrar or Paying Agent.</w:t>
      </w:r>
    </w:p>
    <w:p>
      <w:pPr>
        <w:spacing w:after="0" w:line="189"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16" w:name="page117"/>
    <w:bookmarkEnd w:id="1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17" w:name="page118"/>
    <w:bookmarkEnd w:id="11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5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18" w:name="page119"/>
    <w:bookmarkEnd w:id="1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purchase or otherwise acquire the Securities, whether by open market purchases, negotiated transactions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 (but see Section 2.10 below).</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312" w:lineRule="auto"/>
        <w:rPr>
          <w:sz w:val="20"/>
          <w:szCs w:val="20"/>
          <w:color w:val="auto"/>
        </w:rPr>
      </w:pPr>
      <w:r>
        <w:rPr>
          <w:rFonts w:ascii="Times New Roman" w:cs="Times New Roman" w:eastAsia="Times New Roman" w:hAnsi="Times New Roman"/>
          <w:sz w:val="17"/>
          <w:szCs w:val="17"/>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19" w:name="page120"/>
    <w:bookmarkEnd w:id="119"/>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2.14.2.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20" w:name="page121"/>
    <w:bookmarkEnd w:id="120"/>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so long as the Depository Trust Company (“DTC”) is the Depositary, each Global Note registered in the name of DTC or its nominee shall bear a legend in substantially the following form:</w:t>
      </w:r>
    </w:p>
    <w:p>
      <w:pPr>
        <w:spacing w:after="0" w:line="54" w:lineRule="exact"/>
        <w:rPr>
          <w:sz w:val="20"/>
          <w:szCs w:val="20"/>
          <w:color w:val="auto"/>
        </w:rPr>
      </w:pPr>
    </w:p>
    <w:p>
      <w:pPr>
        <w:ind w:right="320" w:firstLine="991"/>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Consents, Declaration and Directions</w:t>
      </w:r>
      <w:r>
        <w:rPr>
          <w:rFonts w:ascii="Times New Roman" w:cs="Times New Roman" w:eastAsia="Times New Roman" w:hAnsi="Times New Roman"/>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minimum amounts of $1,000 or whole multiples of $1,000 in excess thereof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the redemption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22" w:name="page123"/>
    <w:bookmarkEnd w:id="122"/>
    <w:p>
      <w:pPr>
        <w:ind w:left="1120" w:hanging="261"/>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redemption price;</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08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 unless the Company defaults in the deposit of the redemption price;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however, that the Company has delivered to the Trustee, at least ten days (unless a shorter time shall be acceptable to the Trustee) prior to the notice date, an Officer’s Certificate requesting that the Trustee give such notice and setting forth the information to be stated in such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123" w:name="page124"/>
    <w:bookmarkEnd w:id="123"/>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83"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77"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54" w:lineRule="exact"/>
        <w:rPr>
          <w:sz w:val="20"/>
          <w:szCs w:val="20"/>
          <w:color w:val="auto"/>
        </w:rPr>
      </w:pPr>
    </w:p>
    <w:p>
      <w:pPr>
        <w:ind w:left="440" w:firstLine="419"/>
        <w:spacing w:after="0" w:line="266" w:lineRule="auto"/>
        <w:tabs>
          <w:tab w:leader="none" w:pos="110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entity or the successor person (if other than the Company) is a corporation, partnership, trust or other entity organized and validly existing under the laws of any U.S. domestic jurisdiction and expressly assumes the Company’s obligations on the Securities and under this Indenture;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125" w:name="page126"/>
    <w:bookmarkEnd w:id="125"/>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67" w:lineRule="exact"/>
        <w:rPr>
          <w:sz w:val="20"/>
          <w:szCs w:val="20"/>
          <w:color w:val="auto"/>
        </w:rPr>
      </w:pPr>
    </w:p>
    <w:p>
      <w:pPr>
        <w:jc w:val="both"/>
        <w:ind w:left="440" w:right="100" w:firstLine="419"/>
        <w:spacing w:after="0" w:line="261" w:lineRule="auto"/>
        <w:tabs>
          <w:tab w:leader="none" w:pos="11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such period); or</w:t>
      </w: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97"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 or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40" w:top="270" w:right="559" w:bottom="1440" w:gutter="0" w:footer="0" w:header="0"/>
        </w:sectPr>
      </w:pPr>
    </w:p>
    <w:bookmarkStart w:id="126" w:name="page127"/>
    <w:bookmarkEnd w:id="126"/>
    <w:p>
      <w:pPr>
        <w:ind w:left="1660" w:hanging="272"/>
        <w:spacing w:after="0"/>
        <w:tabs>
          <w:tab w:leader="none" w:pos="1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appoints a Custodian of the Company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117" w:lineRule="exact"/>
        <w:rPr>
          <w:sz w:val="20"/>
          <w:szCs w:val="20"/>
          <w:color w:val="auto"/>
        </w:rPr>
      </w:pPr>
    </w:p>
    <w:p>
      <w:pPr>
        <w:ind w:left="440" w:right="220" w:firstLine="419"/>
        <w:spacing w:after="0" w:line="282" w:lineRule="auto"/>
        <w:tabs>
          <w:tab w:leader="none" w:pos="108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72" w:lineRule="auto"/>
        <w:rPr>
          <w:sz w:val="20"/>
          <w:szCs w:val="20"/>
          <w:color w:val="auto"/>
        </w:rPr>
      </w:pPr>
      <w:r>
        <w:rPr>
          <w:rFonts w:ascii="Times New Roman" w:cs="Times New Roman" w:eastAsia="Times New Roman" w:hAnsi="Times New Roman"/>
          <w:sz w:val="17"/>
          <w:szCs w:val="17"/>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7"/>
          <w:szCs w:val="17"/>
          <w:i w:val="1"/>
          <w:iCs w:val="1"/>
          <w:color w:val="auto"/>
        </w:rPr>
        <w:t>ipso facto</w:t>
      </w:r>
      <w:r>
        <w:rPr>
          <w:rFonts w:ascii="Times New Roman" w:cs="Times New Roman" w:eastAsia="Times New Roman" w:hAnsi="Times New Roman"/>
          <w:sz w:val="17"/>
          <w:szCs w:val="17"/>
          <w:color w:val="auto"/>
        </w:rPr>
        <w:t xml:space="preserve"> become and be immediately due and payable without any declaration or other act on the part of the Trustee or any Holder.</w:t>
      </w:r>
    </w:p>
    <w:p>
      <w:pPr>
        <w:spacing w:after="0" w:line="17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127" w:name="page128"/>
    <w:bookmarkEnd w:id="1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left="440" w:right="200" w:firstLine="419"/>
        <w:spacing w:after="0" w:line="282" w:lineRule="auto"/>
        <w:tabs>
          <w:tab w:leader="none" w:pos="110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if any, when and as due by the terms of a Security,</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then, </w:t>
      </w: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28" w:name="page129"/>
    <w:bookmarkEnd w:id="128"/>
    <w:p>
      <w:pPr>
        <w:ind w:left="440" w:right="100" w:firstLine="419"/>
        <w:spacing w:after="0" w:line="261" w:lineRule="auto"/>
        <w:tabs>
          <w:tab w:leader="none" w:pos="110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0"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7.7; and</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29" w:name="page130"/>
    <w:bookmarkEnd w:id="1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4" w:lineRule="exact"/>
        <w:rPr>
          <w:sz w:val="20"/>
          <w:szCs w:val="20"/>
          <w:color w:val="auto"/>
        </w:rPr>
      </w:pPr>
    </w:p>
    <w:p>
      <w:pPr>
        <w:ind w:left="1100" w:hanging="241"/>
        <w:spacing w:after="0"/>
        <w:tabs>
          <w:tab w:leader="none" w:pos="11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98"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1100" w:hanging="241"/>
        <w:spacing w:after="0"/>
        <w:tabs>
          <w:tab w:leader="none" w:pos="11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31" w:name="page132"/>
    <w:bookmarkEnd w:id="1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80" w:firstLine="419"/>
        <w:spacing w:after="0" w:line="266" w:lineRule="auto"/>
        <w:tabs>
          <w:tab w:leader="none" w:pos="110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w:t>
      </w:r>
    </w:p>
    <w:p>
      <w:pPr>
        <w:spacing w:after="0" w:line="117" w:lineRule="exact"/>
        <w:rPr>
          <w:rFonts w:ascii="Times New Roman" w:cs="Times New Roman" w:eastAsia="Times New Roman" w:hAnsi="Times New Roman"/>
          <w:sz w:val="18"/>
          <w:szCs w:val="18"/>
          <w:color w:val="auto"/>
        </w:rPr>
      </w:pPr>
    </w:p>
    <w:p>
      <w:pPr>
        <w:ind w:left="980" w:right="220" w:firstLine="408"/>
        <w:spacing w:after="0" w:line="266" w:lineRule="auto"/>
        <w:tabs>
          <w:tab w:leader="none" w:pos="164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32" w:name="page133"/>
    <w:bookmarkEnd w:id="132"/>
    <w:p>
      <w:pPr>
        <w:ind w:left="54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68" w:lineRule="exact"/>
        <w:rPr>
          <w:sz w:val="20"/>
          <w:szCs w:val="20"/>
          <w:color w:val="auto"/>
        </w:rPr>
      </w:pPr>
    </w:p>
    <w:p>
      <w:pPr>
        <w:ind w:right="80" w:firstLine="419"/>
        <w:spacing w:after="0" w:line="282" w:lineRule="auto"/>
        <w:tabs>
          <w:tab w:leader="none" w:pos="66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117" w:lineRule="exact"/>
        <w:rPr>
          <w:rFonts w:ascii="Times New Roman" w:cs="Times New Roman" w:eastAsia="Times New Roman" w:hAnsi="Times New Roman"/>
          <w:sz w:val="18"/>
          <w:szCs w:val="18"/>
          <w:color w:val="auto"/>
        </w:rPr>
      </w:pPr>
    </w:p>
    <w:p>
      <w:pPr>
        <w:ind w:left="540" w:right="120" w:firstLine="408"/>
        <w:spacing w:after="0" w:line="282" w:lineRule="auto"/>
        <w:tabs>
          <w:tab w:leader="none" w:pos="120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540" w:right="60" w:firstLine="408"/>
        <w:spacing w:after="0" w:line="255" w:lineRule="auto"/>
        <w:tabs>
          <w:tab w:leader="none" w:pos="125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6.12.</w:t>
      </w:r>
    </w:p>
    <w:p>
      <w:pPr>
        <w:spacing w:after="0" w:line="98"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6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53" w:lineRule="exact"/>
        <w:rPr>
          <w:rFonts w:ascii="Times New Roman" w:cs="Times New Roman" w:eastAsia="Times New Roman" w:hAnsi="Times New Roman"/>
          <w:sz w:val="18"/>
          <w:szCs w:val="18"/>
          <w:color w:val="auto"/>
        </w:rPr>
      </w:pPr>
    </w:p>
    <w:p>
      <w:pPr>
        <w:ind w:right="340" w:firstLine="419"/>
        <w:spacing w:after="0" w:line="282" w:lineRule="auto"/>
        <w:tabs>
          <w:tab w:leader="none" w:pos="64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6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67" w:lineRule="exact"/>
        <w:rPr>
          <w:rFonts w:ascii="Times New Roman" w:cs="Times New Roman" w:eastAsia="Times New Roman" w:hAnsi="Times New Roman"/>
          <w:sz w:val="18"/>
          <w:szCs w:val="18"/>
          <w:color w:val="auto"/>
        </w:rPr>
      </w:pPr>
    </w:p>
    <w:p>
      <w:pPr>
        <w:ind w:right="560" w:firstLine="419"/>
        <w:spacing w:after="0" w:line="282" w:lineRule="auto"/>
        <w:tabs>
          <w:tab w:leader="none" w:pos="6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19"/>
        <w:spacing w:after="0" w:line="266" w:lineRule="auto"/>
        <w:tabs>
          <w:tab w:leader="none" w:pos="6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80"/>
          </w:cols>
          <w:pgMar w:left="880" w:top="270" w:right="439" w:bottom="1440" w:gutter="0" w:footer="0" w:header="0"/>
        </w:sectPr>
      </w:pPr>
    </w:p>
    <w:bookmarkStart w:id="133" w:name="page134"/>
    <w:bookmarkEnd w:id="133"/>
    <w:p>
      <w:pPr>
        <w:ind w:left="-419" w:right="360" w:firstLine="419"/>
        <w:spacing w:after="0" w:line="312" w:lineRule="auto"/>
        <w:tabs>
          <w:tab w:leader="none" w:pos="25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31" w:lineRule="exact"/>
        <w:rPr>
          <w:rFonts w:ascii="Times New Roman" w:cs="Times New Roman" w:eastAsia="Times New Roman" w:hAnsi="Times New Roman"/>
          <w:sz w:val="17"/>
          <w:szCs w:val="17"/>
          <w:color w:val="auto"/>
        </w:rPr>
      </w:pPr>
    </w:p>
    <w:p>
      <w:pPr>
        <w:ind w:left="-419" w:right="100" w:firstLine="419"/>
        <w:spacing w:after="0" w:line="282" w:lineRule="auto"/>
        <w:tabs>
          <w:tab w:leader="none" w:pos="24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53" w:lineRule="exact"/>
        <w:rPr>
          <w:rFonts w:ascii="Times New Roman" w:cs="Times New Roman" w:eastAsia="Times New Roman" w:hAnsi="Times New Roman"/>
          <w:sz w:val="18"/>
          <w:szCs w:val="18"/>
          <w:color w:val="auto"/>
        </w:rPr>
      </w:pPr>
    </w:p>
    <w:p>
      <w:pPr>
        <w:ind w:left="-419" w:right="120" w:firstLine="419"/>
        <w:spacing w:after="0" w:line="282" w:lineRule="auto"/>
        <w:tabs>
          <w:tab w:leader="none" w:pos="2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53" w:lineRule="exact"/>
        <w:rPr>
          <w:rFonts w:ascii="Times New Roman" w:cs="Times New Roman" w:eastAsia="Times New Roman" w:hAnsi="Times New Roman"/>
          <w:sz w:val="18"/>
          <w:szCs w:val="18"/>
          <w:color w:val="auto"/>
        </w:rPr>
      </w:pPr>
    </w:p>
    <w:p>
      <w:pPr>
        <w:ind w:left="-419" w:right="20" w:firstLine="419"/>
        <w:spacing w:after="0" w:line="266" w:lineRule="auto"/>
        <w:tabs>
          <w:tab w:leader="none" w:pos="24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67" w:lineRule="exact"/>
        <w:rPr>
          <w:rFonts w:ascii="Times New Roman" w:cs="Times New Roman" w:eastAsia="Times New Roman" w:hAnsi="Times New Roman"/>
          <w:sz w:val="18"/>
          <w:szCs w:val="18"/>
          <w:color w:val="auto"/>
        </w:rPr>
      </w:pPr>
    </w:p>
    <w:p>
      <w:pPr>
        <w:ind w:left="-419" w:firstLine="419"/>
        <w:spacing w:after="0" w:line="266" w:lineRule="auto"/>
        <w:tabs>
          <w:tab w:leader="none" w:pos="2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67" w:lineRule="exact"/>
        <w:rPr>
          <w:rFonts w:ascii="Times New Roman" w:cs="Times New Roman" w:eastAsia="Times New Roman" w:hAnsi="Times New Roman"/>
          <w:sz w:val="18"/>
          <w:szCs w:val="18"/>
          <w:color w:val="auto"/>
        </w:rPr>
      </w:pPr>
    </w:p>
    <w:p>
      <w:pPr>
        <w:ind w:left="-419" w:right="440" w:firstLine="419"/>
        <w:spacing w:after="0" w:line="266" w:lineRule="auto"/>
        <w:tabs>
          <w:tab w:leader="none" w:pos="2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67" w:lineRule="exact"/>
        <w:rPr>
          <w:rFonts w:ascii="Times New Roman" w:cs="Times New Roman" w:eastAsia="Times New Roman" w:hAnsi="Times New Roman"/>
          <w:sz w:val="18"/>
          <w:szCs w:val="18"/>
          <w:color w:val="auto"/>
        </w:rPr>
      </w:pPr>
    </w:p>
    <w:p>
      <w:pPr>
        <w:ind w:left="-419" w:right="40" w:firstLine="419"/>
        <w:spacing w:after="0" w:line="266" w:lineRule="auto"/>
        <w:tabs>
          <w:tab w:leader="none" w:pos="2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67" w:lineRule="exact"/>
        <w:rPr>
          <w:rFonts w:ascii="Times New Roman" w:cs="Times New Roman" w:eastAsia="Times New Roman" w:hAnsi="Times New Roman"/>
          <w:sz w:val="18"/>
          <w:szCs w:val="18"/>
          <w:color w:val="auto"/>
        </w:rPr>
      </w:pPr>
    </w:p>
    <w:p>
      <w:pPr>
        <w:ind w:left="-419" w:right="60" w:firstLine="419"/>
        <w:spacing w:after="0" w:line="282" w:lineRule="auto"/>
        <w:tabs>
          <w:tab w:leader="none" w:pos="2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53" w:lineRule="exact"/>
        <w:rPr>
          <w:rFonts w:ascii="Times New Roman" w:cs="Times New Roman" w:eastAsia="Times New Roman" w:hAnsi="Times New Roman"/>
          <w:sz w:val="18"/>
          <w:szCs w:val="18"/>
          <w:color w:val="auto"/>
        </w:rPr>
      </w:pPr>
    </w:p>
    <w:p>
      <w:pPr>
        <w:ind w:left="4561" w:hanging="4561"/>
        <w:spacing w:after="0" w:line="454" w:lineRule="auto"/>
        <w:tabs>
          <w:tab w:leader="none" w:pos="22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 to do so. 27</w:t>
      </w:r>
    </w:p>
    <w:p>
      <w:pPr>
        <w:sectPr>
          <w:pgSz w:w="11900" w:h="16838" w:orient="portrait"/>
          <w:cols w:equalWidth="0" w:num="1">
            <w:col w:w="10121"/>
          </w:cols>
          <w:pgMar w:left="1299" w:top="270" w:right="479" w:bottom="1440" w:gutter="0" w:footer="0" w:header="0"/>
        </w:sectPr>
      </w:pPr>
    </w:p>
    <w:bookmarkStart w:id="134" w:name="page135"/>
    <w:bookmarkEnd w:id="1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312" w:lineRule="auto"/>
        <w:rPr>
          <w:sz w:val="20"/>
          <w:szCs w:val="20"/>
          <w:color w:val="auto"/>
        </w:rPr>
      </w:pPr>
      <w:r>
        <w:rPr>
          <w:rFonts w:ascii="Times New Roman" w:cs="Times New Roman" w:eastAsia="Times New Roman" w:hAnsi="Times New Roman"/>
          <w:sz w:val="17"/>
          <w:szCs w:val="17"/>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Within 60 days after each anniversary of the date of this Indenture,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76"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135" w:name="page136"/>
    <w:bookmarkEnd w:id="135"/>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9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62" w:lineRule="exact"/>
        <w:rPr>
          <w:sz w:val="20"/>
          <w:szCs w:val="20"/>
          <w:color w:val="auto"/>
        </w:rPr>
      </w:pPr>
    </w:p>
    <w:p>
      <w:pPr>
        <w:ind w:right="460" w:firstLine="991"/>
        <w:spacing w:after="0" w:line="312" w:lineRule="auto"/>
        <w:rPr>
          <w:sz w:val="20"/>
          <w:szCs w:val="20"/>
          <w:color w:val="auto"/>
        </w:rPr>
      </w:pPr>
      <w:r>
        <w:rPr>
          <w:rFonts w:ascii="Times New Roman" w:cs="Times New Roman" w:eastAsia="Times New Roman" w:hAnsi="Times New Roman"/>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68" w:lineRule="exact"/>
        <w:rPr>
          <w:sz w:val="20"/>
          <w:szCs w:val="20"/>
          <w:color w:val="auto"/>
        </w:rPr>
      </w:pPr>
    </w:p>
    <w:p>
      <w:pPr>
        <w:ind w:left="1100" w:hanging="241"/>
        <w:spacing w:after="0"/>
        <w:tabs>
          <w:tab w:leader="none" w:pos="11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128" w:lineRule="exact"/>
        <w:rPr>
          <w:rFonts w:ascii="Times New Roman" w:cs="Times New Roman" w:eastAsia="Times New Roman" w:hAnsi="Times New Roman"/>
          <w:sz w:val="17"/>
          <w:szCs w:val="17"/>
          <w:color w:val="auto"/>
        </w:rPr>
      </w:pPr>
    </w:p>
    <w:p>
      <w:pPr>
        <w:ind w:left="1100" w:hanging="241"/>
        <w:spacing w:after="0"/>
        <w:tabs>
          <w:tab w:leader="none" w:pos="11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136" w:name="page137"/>
    <w:bookmarkEnd w:id="136"/>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either</w:t>
      </w:r>
    </w:p>
    <w:p>
      <w:pPr>
        <w:spacing w:after="0" w:line="117" w:lineRule="exact"/>
        <w:rPr>
          <w:sz w:val="20"/>
          <w:szCs w:val="20"/>
          <w:color w:val="auto"/>
        </w:rPr>
      </w:pPr>
    </w:p>
    <w:p>
      <w:pPr>
        <w:ind w:left="1420" w:right="180" w:firstLine="391"/>
        <w:spacing w:after="0" w:line="282" w:lineRule="auto"/>
        <w:tabs>
          <w:tab w:leader="none" w:pos="201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117" w:lineRule="exact"/>
        <w:rPr>
          <w:sz w:val="20"/>
          <w:szCs w:val="20"/>
          <w:color w:val="auto"/>
        </w:rPr>
      </w:pPr>
    </w:p>
    <w:p>
      <w:pPr>
        <w:ind w:left="2060" w:hanging="249"/>
        <w:spacing w:after="0"/>
        <w:tabs>
          <w:tab w:leader="none" w:pos="20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sending a notice of redemption or otherwise, or</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1420" w:right="200" w:firstLine="391"/>
        <w:spacing w:after="0" w:line="282" w:lineRule="auto"/>
        <w:tabs>
          <w:tab w:leader="none" w:pos="205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53"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72" w:lineRule="exact"/>
        <w:rPr>
          <w:sz w:val="20"/>
          <w:szCs w:val="20"/>
          <w:color w:val="auto"/>
        </w:rPr>
      </w:pPr>
    </w:p>
    <w:p>
      <w:pPr>
        <w:ind w:left="1120" w:hanging="261"/>
        <w:spacing w:after="0"/>
        <w:tabs>
          <w:tab w:leader="none" w:pos="11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0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62"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138" w:name="page139"/>
    <w:bookmarkEnd w:id="1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5" w:lineRule="auto"/>
        <w:tabs>
          <w:tab w:leader="none" w:pos="110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80"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0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39" w:name="page140"/>
    <w:bookmarkEnd w:id="139"/>
    <w:p>
      <w:pPr>
        <w:ind w:left="440" w:right="60" w:firstLine="419"/>
        <w:spacing w:after="0" w:line="261" w:lineRule="auto"/>
        <w:tabs>
          <w:tab w:leader="none" w:pos="110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2.5, 2.7, 2.8, 7.7, 8.2, 8.3, 8.5 and 8.6;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117" w:lineRule="exact"/>
        <w:rPr>
          <w:sz w:val="20"/>
          <w:szCs w:val="20"/>
          <w:color w:val="auto"/>
        </w:rPr>
      </w:pPr>
    </w:p>
    <w:p>
      <w:pPr>
        <w:ind w:left="440" w:right="40" w:firstLine="419"/>
        <w:spacing w:after="0" w:line="254"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80"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08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40" w:name="page141"/>
    <w:bookmarkEnd w:id="140"/>
    <w:p>
      <w:pPr>
        <w:ind w:left="440" w:right="140" w:firstLine="419"/>
        <w:spacing w:after="0" w:line="282"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stating that the deposit was not made by the Company with the intent of defeating, hindering, delaying or defrauding any other creditors of the Company; and</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07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84" w:lineRule="exact"/>
        <w:rPr>
          <w:sz w:val="20"/>
          <w:szCs w:val="20"/>
          <w:color w:val="auto"/>
        </w:rPr>
      </w:pPr>
    </w:p>
    <w:p>
      <w:pPr>
        <w:ind w:left="440" w:right="20" w:firstLine="419"/>
        <w:spacing w:after="0" w:line="253" w:lineRule="auto"/>
        <w:tabs>
          <w:tab w:leader="none" w:pos="110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86"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41" w:name="page142"/>
    <w:bookmarkEnd w:id="141"/>
    <w:p>
      <w:pPr>
        <w:ind w:left="440" w:right="180" w:firstLine="419"/>
        <w:spacing w:after="0" w:line="261" w:lineRule="auto"/>
        <w:tabs>
          <w:tab w:leader="none" w:pos="111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71"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08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Securityholder:</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to cure any ambiguity, defect or inconsistency;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142" w:name="page143"/>
    <w:bookmarkEnd w:id="142"/>
    <w:p>
      <w:pPr>
        <w:ind w:left="1120" w:hanging="261"/>
        <w:spacing w:after="0"/>
        <w:tabs>
          <w:tab w:leader="none" w:pos="11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comply with Article V;</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 Indenture;</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Without the consent of each Securityholder affected, an amendment or waiver may not:</w:t>
      </w:r>
    </w:p>
    <w:p>
      <w:pPr>
        <w:spacing w:after="0" w:line="117" w:lineRule="exact"/>
        <w:rPr>
          <w:sz w:val="20"/>
          <w:szCs w:val="20"/>
          <w:color w:val="auto"/>
        </w:rPr>
      </w:pPr>
    </w:p>
    <w:p>
      <w:pPr>
        <w:ind w:left="1100" w:hanging="241"/>
        <w:spacing w:after="0"/>
        <w:tabs>
          <w:tab w:leader="none" w:pos="11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0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144" w:name="page145"/>
    <w:bookmarkEnd w:id="144"/>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Fremont, CA 94555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(510) 745-1700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140 Scott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Mark Roeder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(650) 463-2600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660" w:hanging="232"/>
        <w:spacing w:after="0"/>
        <w:tabs>
          <w:tab w:leader="none" w:pos="1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20"/>
        <w:spacing w:after="0"/>
        <w:tabs>
          <w:tab w:leader="none" w:pos="1640" w:val="left"/>
        </w:tabs>
        <w:rPr>
          <w:sz w:val="20"/>
          <w:szCs w:val="20"/>
          <w:color w:val="auto"/>
        </w:rPr>
      </w:pPr>
      <w:r>
        <w:rPr>
          <w:rFonts w:ascii="Times New Roman" w:cs="Times New Roman" w:eastAsia="Times New Roman" w:hAnsi="Times New Roman"/>
          <w:sz w:val="18"/>
          <w:szCs w:val="18"/>
          <w:color w:val="auto"/>
        </w:rPr>
        <w:t>[</w:t>
        <w:tab/>
        <w:t>]</w:t>
      </w:r>
    </w:p>
    <w:p>
      <w:pPr>
        <w:spacing w:after="0" w:line="9" w:lineRule="exact"/>
        <w:rPr>
          <w:sz w:val="20"/>
          <w:szCs w:val="20"/>
          <w:color w:val="auto"/>
        </w:rPr>
      </w:pPr>
    </w:p>
    <w:p>
      <w:pPr>
        <w:ind w:left="1420"/>
        <w:spacing w:after="0"/>
        <w:tabs>
          <w:tab w:leader="none" w:pos="1640" w:val="left"/>
        </w:tabs>
        <w:rPr>
          <w:sz w:val="20"/>
          <w:szCs w:val="20"/>
          <w:color w:val="auto"/>
        </w:rPr>
      </w:pPr>
      <w:r>
        <w:rPr>
          <w:rFonts w:ascii="Times New Roman" w:cs="Times New Roman" w:eastAsia="Times New Roman" w:hAnsi="Times New Roman"/>
          <w:sz w:val="18"/>
          <w:szCs w:val="18"/>
          <w:color w:val="auto"/>
        </w:rPr>
        <w:t>[</w:t>
        <w:tab/>
        <w:t>]</w:t>
      </w:r>
    </w:p>
    <w:p>
      <w:pPr>
        <w:sectPr>
          <w:pgSz w:w="11900" w:h="16838" w:orient="portrait"/>
          <w:cols w:equalWidth="0" w:num="1">
            <w:col w:w="10980"/>
          </w:cols>
          <w:pgMar w:left="440" w:top="270" w:right="479" w:bottom="1440" w:gutter="0" w:footer="0" w:header="0"/>
        </w:sectPr>
      </w:pP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ectPr>
          <w:pgSz w:w="11900" w:h="16838" w:orient="portrait"/>
          <w:cols w:equalWidth="0" w:num="2">
            <w:col w:w="2260" w:space="180"/>
            <w:col w:w="8540"/>
          </w:cols>
          <w:pgMar w:left="440" w:top="270" w:right="47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Telephone: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20" w:space="180"/>
            <w:col w:w="8480"/>
          </w:cols>
          <w:pgMar w:left="440" w:top="270" w:right="479" w:bottom="1440" w:gutter="0" w:footer="0" w:header="0"/>
          <w:type w:val="continuous"/>
        </w:sectPr>
      </w:pPr>
    </w:p>
    <w:p>
      <w:pPr>
        <w:spacing w:after="0" w:line="7" w:lineRule="exact"/>
        <w:rPr>
          <w:sz w:val="20"/>
          <w:szCs w:val="20"/>
          <w:color w:val="auto"/>
        </w:rPr>
      </w:pPr>
    </w:p>
    <w:p>
      <w:pPr>
        <w:ind w:right="1080" w:firstLine="991"/>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Securityholder receives 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Company sends a notice or communication to Securityholders, it shall send a copy to the Trustee and each Agent at the same time.</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type w:val="continuous"/>
        </w:sectPr>
      </w:pPr>
    </w:p>
    <w:bookmarkStart w:id="146" w:name="page147"/>
    <w:bookmarkEnd w:id="1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left="440" w:firstLine="419"/>
        <w:spacing w:after="0" w:line="282" w:lineRule="auto"/>
        <w:tabs>
          <w:tab w:leader="none" w:pos="110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54" w:lineRule="exact"/>
        <w:rPr>
          <w:sz w:val="20"/>
          <w:szCs w:val="20"/>
          <w:color w:val="auto"/>
        </w:rPr>
      </w:pPr>
    </w:p>
    <w:p>
      <w:pPr>
        <w:ind w:left="1100" w:hanging="241"/>
        <w:spacing w:after="0"/>
        <w:tabs>
          <w:tab w:leader="none" w:pos="11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Securityholders of one or more Series. Any Agent may make reasonable rules and set reasonable requirements for its functions.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47" w:name="page148"/>
    <w:bookmarkEnd w:id="1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0" w:firstLine="991"/>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83"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 Waiver of Jury Trial; Consent to Jurisdiction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6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THIS INDENTURE AND THE SECURITIES, INCLUDING ANY CLAIM OR CONTROVERSY ARISING OUT OF OR RELATING TO THE INDENTURE OR THE SECURITIES, SHALL BE GOVERNED BY THE LAWS OF THE STATE OF NEW YORK.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148" w:name="page149"/>
    <w:bookmarkEnd w:id="148"/>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312" w:lineRule="auto"/>
        <w:rPr>
          <w:sz w:val="20"/>
          <w:szCs w:val="20"/>
          <w:color w:val="auto"/>
        </w:rPr>
      </w:pPr>
      <w:r>
        <w:rPr>
          <w:rFonts w:ascii="Times New Roman" w:cs="Times New Roman" w:eastAsia="Times New Roman" w:hAnsi="Times New Roman"/>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149" w:name="page150"/>
    <w:bookmarkEnd w:id="14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88"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50" w:name="page151"/>
    <w:bookmarkEnd w:id="1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SINKING FUNDS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76"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as provided in Section 11.2. Each sinking fund payment shall be applied to the redemption of Securities of any Series as provided for by the terms of the Securities of such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151" w:name="page152"/>
    <w:bookmarkEnd w:id="15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ARDELYX,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w:t>
      </w:r>
    </w:p>
    <w:p>
      <w:pPr>
        <w:spacing w:after="0" w:line="207" w:lineRule="exact"/>
        <w:rPr>
          <w:sz w:val="20"/>
          <w:szCs w:val="20"/>
          <w:color w:val="auto"/>
        </w:rPr>
      </w:pPr>
    </w:p>
    <w:p>
      <w:pPr>
        <w:ind w:left="5640"/>
        <w:spacing w:after="0"/>
        <w:tabs>
          <w:tab w:leader="none" w:pos="5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as Trustee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w:t>
      </w:r>
    </w:p>
    <w:p>
      <w:pPr>
        <w:sectPr>
          <w:pgSz w:w="11900" w:h="16838" w:orient="portrait"/>
          <w:cols w:equalWidth="0" w:num="1">
            <w:col w:w="9680"/>
          </w:cols>
          <w:pgMar w:left="1420" w:top="270" w:right="7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140 Scott Drive</w:t>
      </w:r>
    </w:p>
    <w:p>
      <w:pPr>
        <w:spacing w:after="0" w:line="2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Tel: +1.650.328.4600</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Fax: +1.650.463.2600</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2014220"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2014220" cy="12890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140" w:type="dxa"/>
            <w:vAlign w:val="bottom"/>
            <w:gridSpan w:val="2"/>
          </w:tcPr>
          <w:p>
            <w:pPr>
              <w:ind w:left="454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Austin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Beijing</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Boston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Brussels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Century City</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18, 2023</w:t>
            </w: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Chicago</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Dubai</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Düsseldorf</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Frankfurt</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Hamburg</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Hong Kong</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Houston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London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Los Angeles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8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Madrid</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41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Ardelyx, Inc.</w:t>
            </w: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 Fifth Avenue, Suite 210</w:t>
            </w:r>
          </w:p>
        </w:tc>
        <w:tc>
          <w:tcPr>
            <w:tcW w:w="5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Waltham, MA 02451</w:t>
            </w:r>
          </w:p>
        </w:tc>
        <w:tc>
          <w:tcPr>
            <w:tcW w:w="5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 Statement on Form S-3</w:t>
            </w: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3"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Ardelyx,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S-3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including a base prospectus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for issue and sale by the Company of up to $250,000,000 aggregate offering price of (i) shares of the Company’s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shares of one or more series of the Company’s preferred stock, $0.0001 par value per share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(iii) one or more series of the Company’s debt securities (collectively,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to be issued under an indenture to be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the Company, as issuer, and a third party to be identified therein as trustee (a form of which is included as Exhibit 4.2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cs="Times New Roman" w:eastAsia="Times New Roman" w:hAnsi="Times New Roman"/>
          <w:sz w:val="18"/>
          <w:szCs w:val="18"/>
          <w:b w:val="1"/>
          <w:bCs w:val="1"/>
          <w:i w:val="1"/>
          <w:iCs w:val="1"/>
          <w:color w:val="auto"/>
        </w:rPr>
        <w:t>Applicable Indenture</w:t>
      </w:r>
      <w:r>
        <w:rPr>
          <w:rFonts w:ascii="Times New Roman" w:cs="Times New Roman" w:eastAsia="Times New Roman" w:hAnsi="Times New Roman"/>
          <w:sz w:val="18"/>
          <w:szCs w:val="18"/>
          <w:color w:val="auto"/>
        </w:rPr>
        <w:t>”), (iv) warrants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(v) units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The Common Stock, Preferred Stock, Debt Securities, Warrants and Units, plus any additional Common Stock, Preferred Stock, Debt Securities, 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18,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0" w:lineRule="exact"/>
        <w:rPr>
          <w:sz w:val="20"/>
          <w:szCs w:val="20"/>
          <w:color w:val="auto"/>
        </w:rPr>
      </w:pPr>
    </w:p>
    <w:p>
      <w:pPr>
        <w:spacing w:after="0" w:line="3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have acted as special counsel to the Company in connection with the sale through Jefferies LLC as the sales agent (the “</w:t>
      </w:r>
      <w:r>
        <w:rPr>
          <w:rFonts w:ascii="Times New Roman" w:cs="Times New Roman" w:eastAsia="Times New Roman" w:hAnsi="Times New Roman"/>
          <w:sz w:val="18"/>
          <w:szCs w:val="18"/>
          <w:b w:val="1"/>
          <w:bCs w:val="1"/>
          <w:i w:val="1"/>
          <w:iCs w:val="1"/>
          <w:color w:val="auto"/>
        </w:rPr>
        <w:t>Sales Agent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by the Company of shares of Common Stock (the “</w:t>
      </w:r>
      <w:r>
        <w:rPr>
          <w:rFonts w:ascii="Times New Roman" w:cs="Times New Roman" w:eastAsia="Times New Roman" w:hAnsi="Times New Roman"/>
          <w:sz w:val="18"/>
          <w:szCs w:val="18"/>
          <w:b w:val="1"/>
          <w:bCs w:val="1"/>
          <w:i w:val="1"/>
          <w:iCs w:val="1"/>
          <w:color w:val="auto"/>
        </w:rPr>
        <w:t>Sales Agreement Shares</w:t>
      </w:r>
      <w:r>
        <w:rPr>
          <w:rFonts w:ascii="Times New Roman" w:cs="Times New Roman" w:eastAsia="Times New Roman" w:hAnsi="Times New Roman"/>
          <w:sz w:val="18"/>
          <w:szCs w:val="18"/>
          <w:color w:val="auto"/>
        </w:rPr>
        <w:t>”) having an aggregate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$150,000,000 pursuant to the Registration Statement, the Base Prospectus and the related prospectus supplement for the sale of the Sales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included in the Registration Statement (the Base Prospectus and such prospectus supplement, collectively, the “</w:t>
      </w:r>
      <w:r>
        <w:rPr>
          <w:rFonts w:ascii="Times New Roman" w:cs="Times New Roman" w:eastAsia="Times New Roman" w:hAnsi="Times New Roman"/>
          <w:sz w:val="18"/>
          <w:szCs w:val="18"/>
          <w:b w:val="1"/>
          <w:bCs w:val="1"/>
          <w:i w:val="1"/>
          <w:iCs w:val="1"/>
          <w:color w:val="auto"/>
        </w:rPr>
        <w:t>Sales Agreement Prospectus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certain Open Market Sale Agreement dated as of January 18, 2023 between the Sales Agent and the Company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320" w:firstLine="440"/>
        <w:spacing w:after="0" w:line="289" w:lineRule="auto"/>
        <w:rPr>
          <w:sz w:val="20"/>
          <w:szCs w:val="20"/>
          <w:color w:val="auto"/>
        </w:rPr>
      </w:pPr>
      <w:r>
        <w:rPr>
          <w:rFonts w:ascii="Times New Roman" w:cs="Times New Roman" w:eastAsia="Times New Roman" w:hAnsi="Times New Roman"/>
          <w:sz w:val="17"/>
          <w:szCs w:val="17"/>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or the Sales Agreement Prospectus, other than as expressly stated herein with respect to the issuance of the Securities, including the issuance of the Sales Agreement Shares.</w:t>
      </w:r>
    </w:p>
    <w:p>
      <w:pPr>
        <w:spacing w:after="0" w:line="158"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131" w:lineRule="exact"/>
        <w:rPr>
          <w:sz w:val="20"/>
          <w:szCs w:val="20"/>
          <w:color w:val="auto"/>
        </w:rPr>
      </w:pPr>
    </w:p>
    <w:p>
      <w:pPr>
        <w:ind w:left="960" w:right="180" w:hanging="532"/>
        <w:spacing w:after="0" w:line="272" w:lineRule="auto"/>
        <w:tabs>
          <w:tab w:leader="none" w:pos="96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w:t>
      </w:r>
    </w:p>
    <w:p>
      <w:pPr>
        <w:spacing w:after="0" w:line="1" w:lineRule="exact"/>
        <w:rPr>
          <w:rFonts w:ascii="Times New Roman" w:cs="Times New Roman" w:eastAsia="Times New Roman" w:hAnsi="Times New Roman"/>
          <w:sz w:val="17"/>
          <w:szCs w:val="17"/>
          <w:color w:val="auto"/>
        </w:rPr>
      </w:pPr>
    </w:p>
    <w:p>
      <w:pPr>
        <w:ind w:left="9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available under the certificate of incorporation, and (ii)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DGCL.</w:t>
      </w:r>
    </w:p>
    <w:p>
      <w:pPr>
        <w:spacing w:after="0" w:line="94" w:lineRule="exact"/>
        <w:rPr>
          <w:rFonts w:ascii="Times New Roman" w:cs="Times New Roman" w:eastAsia="Times New Roman" w:hAnsi="Times New Roman"/>
          <w:sz w:val="17"/>
          <w:szCs w:val="17"/>
          <w:color w:val="auto"/>
        </w:rPr>
      </w:pPr>
    </w:p>
    <w:p>
      <w:pPr>
        <w:ind w:left="960" w:right="40" w:hanging="532"/>
        <w:spacing w:after="0" w:line="261" w:lineRule="auto"/>
        <w:tabs>
          <w:tab w:leader="none" w:pos="9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w:t>
      </w:r>
    </w:p>
    <w:p>
      <w:pPr>
        <w:sectPr>
          <w:pgSz w:w="11900" w:h="16838" w:orient="portrait"/>
          <w:cols w:equalWidth="0" w:num="1">
            <w:col w:w="11020"/>
          </w:cols>
          <w:pgMar w:left="440" w:top="266"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18,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0" w:lineRule="exact"/>
        <w:rPr>
          <w:sz w:val="20"/>
          <w:szCs w:val="20"/>
          <w:color w:val="auto"/>
        </w:rPr>
      </w:pPr>
    </w:p>
    <w:p>
      <w:pPr>
        <w:spacing w:after="0" w:line="344"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exceed the respective total amounts and numbers of shares (i) available under the certificate of incorporation, and (ii)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DGCL.</w:t>
      </w:r>
    </w:p>
    <w:p>
      <w:pPr>
        <w:spacing w:after="0" w:line="85" w:lineRule="exact"/>
        <w:rPr>
          <w:sz w:val="20"/>
          <w:szCs w:val="20"/>
          <w:color w:val="auto"/>
        </w:rPr>
      </w:pPr>
    </w:p>
    <w:p>
      <w:pPr>
        <w:ind w:left="960" w:right="60" w:hanging="532"/>
        <w:spacing w:after="0" w:line="256" w:lineRule="auto"/>
        <w:tabs>
          <w:tab w:leader="none" w:pos="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92" w:lineRule="exact"/>
        <w:rPr>
          <w:rFonts w:ascii="Times New Roman" w:cs="Times New Roman" w:eastAsia="Times New Roman" w:hAnsi="Times New Roman"/>
          <w:sz w:val="18"/>
          <w:szCs w:val="18"/>
          <w:color w:val="auto"/>
        </w:rPr>
      </w:pPr>
    </w:p>
    <w:p>
      <w:pPr>
        <w:ind w:left="960" w:right="60" w:hanging="532"/>
        <w:spacing w:after="0" w:line="255" w:lineRule="auto"/>
        <w:tabs>
          <w:tab w:leader="none" w:pos="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94" w:lineRule="exact"/>
        <w:rPr>
          <w:rFonts w:ascii="Times New Roman" w:cs="Times New Roman" w:eastAsia="Times New Roman" w:hAnsi="Times New Roman"/>
          <w:sz w:val="18"/>
          <w:szCs w:val="18"/>
          <w:color w:val="auto"/>
        </w:rPr>
      </w:pPr>
    </w:p>
    <w:p>
      <w:pPr>
        <w:ind w:left="960" w:hanging="532"/>
        <w:spacing w:after="0" w:line="255" w:lineRule="auto"/>
        <w:tabs>
          <w:tab w:leader="none" w:pos="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94" w:lineRule="exact"/>
        <w:rPr>
          <w:rFonts w:ascii="Times New Roman" w:cs="Times New Roman" w:eastAsia="Times New Roman" w:hAnsi="Times New Roman"/>
          <w:sz w:val="18"/>
          <w:szCs w:val="18"/>
          <w:color w:val="auto"/>
        </w:rPr>
      </w:pPr>
    </w:p>
    <w:p>
      <w:pPr>
        <w:jc w:val="both"/>
        <w:ind w:left="960" w:right="120" w:hanging="532"/>
        <w:spacing w:after="0" w:line="266" w:lineRule="auto"/>
        <w:tabs>
          <w:tab w:leader="none" w:pos="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all Corporate Proceedings (as defined below) relating to the Sales Agreement Shares, when the Sales Agreement Shares shall have been duly registered on the books of the transfer agent and registrar therefor in the name or on behalf of the purchasers, and have been issued by the Company against payment therefor</w:t>
      </w:r>
    </w:p>
    <w:p>
      <w:pPr>
        <w:sectPr>
          <w:pgSz w:w="11900" w:h="16838" w:orient="portrait"/>
          <w:cols w:equalWidth="0" w:num="1">
            <w:col w:w="10980"/>
          </w:cols>
          <w:pgMar w:left="440" w:top="266" w:right="479" w:bottom="1440" w:gutter="0" w:footer="0" w:header="0"/>
        </w:sectPr>
      </w:pPr>
    </w:p>
    <w:bookmarkStart w:id="156" w:name="page157"/>
    <w:bookmarkEnd w:id="15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18, 2023</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00" w:lineRule="exact"/>
        <w:rPr>
          <w:sz w:val="20"/>
          <w:szCs w:val="20"/>
          <w:color w:val="auto"/>
        </w:rPr>
      </w:pPr>
    </w:p>
    <w:p>
      <w:pPr>
        <w:spacing w:after="0" w:line="344" w:lineRule="exact"/>
        <w:rPr>
          <w:sz w:val="20"/>
          <w:szCs w:val="20"/>
          <w:color w:val="auto"/>
        </w:rPr>
      </w:pPr>
    </w:p>
    <w:p>
      <w:pPr>
        <w:ind w:left="984"/>
        <w:spacing w:after="0" w:line="253" w:lineRule="auto"/>
        <w:rPr>
          <w:sz w:val="20"/>
          <w:szCs w:val="20"/>
          <w:color w:val="auto"/>
        </w:rPr>
      </w:pPr>
      <w:r>
        <w:rPr>
          <w:rFonts w:ascii="Times New Roman" w:cs="Times New Roman" w:eastAsia="Times New Roman" w:hAnsi="Times New Roman"/>
          <w:sz w:val="18"/>
          <w:szCs w:val="18"/>
          <w:color w:val="auto"/>
        </w:rPr>
        <w:t>(not less than par value) in accordance with the Corporate Proceedings and the terms of the Sales Agreement, the issuance and sale of the Sales Agreement Shares will have been duly authorized by all necessary corporate action of the Company, and the Sales Agreement Shares will be validly issued, fully paid and nonassessable. In rendering the foregoing opinion, we have assumed that (i) the Company will comply with all applicable notice requirements regarding uncertificated shares provided in the DGCL, (ii) upon the issuance of any of the Sales Agreement Shares, the total number of shares of Common Stock issued and outstanding will not exceed the total number of shares of Common Stock that the Company is then authorized to issue under the Company’s certificate of incorporation and (iii) certain terms of the Sales Agreement Shares to be issued by the Company from time to time will be authorized and approved by the board of directors of the Company or one or more committees thereof established by the board of directors of the Company with the authority to issue and sell Sales Agreement Shares pursuant to the Sales Agreement in accordance with the DGCL, the Company’s certificate of incorporation, the bylaws of the Company and certain resolutions of the board of directors of the Company and one or more committees thereof (with such approvals referred to herein as the “</w:t>
      </w:r>
      <w:r>
        <w:rPr>
          <w:rFonts w:ascii="Times New Roman" w:cs="Times New Roman" w:eastAsia="Times New Roman" w:hAnsi="Times New Roman"/>
          <w:sz w:val="18"/>
          <w:szCs w:val="18"/>
          <w:b w:val="1"/>
          <w:bCs w:val="1"/>
          <w:i w:val="1"/>
          <w:iCs w:val="1"/>
          <w:color w:val="auto"/>
        </w:rPr>
        <w:t>Corporate Proceedings</w:t>
      </w:r>
      <w:r>
        <w:rPr>
          <w:rFonts w:ascii="Times New Roman" w:cs="Times New Roman" w:eastAsia="Times New Roman" w:hAnsi="Times New Roman"/>
          <w:sz w:val="18"/>
          <w:szCs w:val="18"/>
          <w:color w:val="auto"/>
        </w:rPr>
        <w:t>”) prior to issuance thereof. .</w:t>
      </w:r>
    </w:p>
    <w:p>
      <w:pPr>
        <w:spacing w:after="0" w:line="192"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Our opinions set forth in paragraphs 1 through 5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w:t>
      </w:r>
    </w:p>
    <w:p>
      <w:pPr>
        <w:spacing w:after="0" w:line="12" w:lineRule="exact"/>
        <w:rPr>
          <w:sz w:val="20"/>
          <w:szCs w:val="20"/>
          <w:color w:val="auto"/>
        </w:rPr>
      </w:pPr>
    </w:p>
    <w:p>
      <w:pPr>
        <w:ind w:left="4" w:right="80" w:hanging="4"/>
        <w:spacing w:after="0" w:line="253" w:lineRule="auto"/>
        <w:tabs>
          <w:tab w:leader="none" w:pos="30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ectPr>
          <w:pgSz w:w="11900" w:h="16838" w:orient="portrait"/>
          <w:cols w:equalWidth="0" w:num="1">
            <w:col w:w="11004"/>
          </w:cols>
          <w:pgMar w:left="436" w:top="266" w:right="459" w:bottom="1440" w:gutter="0" w:footer="0" w:header="0"/>
        </w:sectPr>
      </w:pPr>
    </w:p>
    <w:bookmarkStart w:id="157" w:name="page158"/>
    <w:bookmarkEnd w:id="15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18, 2023</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5</w:t>
      </w:r>
    </w:p>
    <w:p>
      <w:pPr>
        <w:spacing w:after="0" w:line="200" w:lineRule="exact"/>
        <w:rPr>
          <w:sz w:val="20"/>
          <w:szCs w:val="20"/>
          <w:color w:val="auto"/>
        </w:rPr>
      </w:pPr>
    </w:p>
    <w:p>
      <w:pPr>
        <w:spacing w:after="0" w:line="344"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With your consent, we have assumed (i) that each of the Debt Securities, Warrants, Units, Applicable Indenture, warrant agreements and unit agreements (collectively,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will be governed by the internal laws of the State of New York, (ii) that each of the Documents has been or will be duly authorized, executed and delivered by the parties thereto, (iii) that each of the Documents constitutes or will constitute legally valid and binding obligations of the parties thereto other than the Company, enforceable against each of them in accordance with their respective terms, and</w:t>
      </w:r>
    </w:p>
    <w:p>
      <w:pPr>
        <w:spacing w:after="0" w:line="3" w:lineRule="exact"/>
        <w:rPr>
          <w:sz w:val="20"/>
          <w:szCs w:val="20"/>
          <w:color w:val="auto"/>
        </w:rPr>
      </w:pPr>
    </w:p>
    <w:p>
      <w:pPr>
        <w:jc w:val="both"/>
        <w:ind w:left="4" w:hanging="4"/>
        <w:spacing w:after="0" w:line="255" w:lineRule="auto"/>
        <w:tabs>
          <w:tab w:leader="none" w:pos="3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status of each of the Documents as legally valid and binding obligations of the parties will not be affected by any (a) breaches of, or defaults under, agreements or instruments, (b) violations of statutes, rules, regulations or court or governmental orders, or (c) failures to obtain required consents, approvals or authorizations from, or to make required registrations, declarations or filings with, governmental authorities.</w:t>
      </w:r>
    </w:p>
    <w:p>
      <w:pPr>
        <w:spacing w:after="0" w:line="186"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each of the Prospectus and the Sales Agreement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21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0984"/>
          </w:cols>
          <w:pgMar w:left="436" w:top="266" w:right="47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Prospectuses of Ardelyx, Inc. for the registration of up to $250,000,000 of its common stock, preferred stock, debt securities, warrants, and units, and to the incorporation by reference therein of our reports dated February 28, 2022, with respect to the financial statements of Ardelyx, Inc., and the effectiveness of internal control over financial reporting of Ardelyx, Inc., included in its Annual Report (Form 10-K) for the year ended December 31, 2021, filed with the Securities and Exchange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2023</w:t>
      </w:r>
    </w:p>
    <w:p>
      <w:pPr>
        <w:sectPr>
          <w:pgSz w:w="11900" w:h="16838" w:orient="portrait"/>
          <w:cols w:equalWidth="0" w:num="1">
            <w:col w:w="11020"/>
          </w:cols>
          <w:pgMar w:left="440" w:top="117" w:right="4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Ardelyx,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9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28"/>
        </w:trPr>
        <w:tc>
          <w:tcPr>
            <w:tcW w:w="9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6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6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5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7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with Unsold</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7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9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Class</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Effective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c>
          <w:tcPr>
            <w:tcW w:w="0" w:type="dxa"/>
            <w:vAlign w:val="bottom"/>
          </w:tcPr>
          <w:p>
            <w:pPr>
              <w:spacing w:after="0"/>
              <w:rPr>
                <w:sz w:val="1"/>
                <w:szCs w:val="1"/>
                <w:color w:val="auto"/>
              </w:rPr>
            </w:pPr>
          </w:p>
        </w:tc>
      </w:tr>
      <w:tr>
        <w:trPr>
          <w:trHeight w:val="174"/>
        </w:trPr>
        <w:tc>
          <w:tcPr>
            <w:tcW w:w="980" w:type="dxa"/>
            <w:vAlign w:val="bottom"/>
            <w:tcBorders>
              <w:left w:val="single" w:sz="8" w:color="auto"/>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Unit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0" w:type="dxa"/>
            <w:vAlign w:val="bottom"/>
          </w:tcPr>
          <w:p>
            <w:pPr>
              <w:spacing w:after="0"/>
              <w:rPr>
                <w:sz w:val="1"/>
                <w:szCs w:val="1"/>
                <w:color w:val="auto"/>
              </w:rPr>
            </w:pPr>
          </w:p>
        </w:tc>
      </w:tr>
      <w:tr>
        <w:trPr>
          <w:trHeight w:val="235"/>
        </w:trPr>
        <w:tc>
          <w:tcPr>
            <w:tcW w:w="98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8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980" w:type="dxa"/>
            <w:vAlign w:val="bottom"/>
            <w:tcBorders>
              <w:left w:val="single" w:sz="8" w:color="auto"/>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98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Common</w:t>
            </w:r>
          </w:p>
        </w:tc>
        <w:tc>
          <w:tcPr>
            <w:tcW w:w="9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c>
          <w:tcPr>
            <w:tcW w:w="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tcBorders>
              <w:right w:val="single" w:sz="8" w:color="auto"/>
            </w:tcBorders>
          </w:tcPr>
          <w:p>
            <w:pPr>
              <w:jc w:val="right"/>
              <w:ind w:right="487"/>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w:t>
            </w: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9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c>
          <w:tcPr>
            <w:tcW w:w="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tcBorders>
              <w:right w:val="single" w:sz="8" w:color="auto"/>
            </w:tcBorders>
          </w:tcPr>
          <w:p>
            <w:pPr>
              <w:jc w:val="right"/>
              <w:ind w:right="487"/>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w:t>
            </w: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9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tcBorders>
              <w:right w:val="single" w:sz="8" w:color="auto"/>
            </w:tcBorders>
            <w:vMerge w:val="restart"/>
          </w:tcPr>
          <w:p>
            <w:pPr>
              <w:jc w:val="right"/>
              <w:ind w:right="487"/>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980" w:type="dxa"/>
            <w:vAlign w:val="bottom"/>
            <w:tcBorders>
              <w:left w:val="single" w:sz="8" w:color="auto"/>
              <w:righ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Borders>
              <w:left w:val="single" w:sz="8" w:color="auto"/>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9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tcBorders>
              <w:bottom w:val="single" w:sz="8" w:color="auto"/>
              <w:right w:val="single" w:sz="8" w:color="auto"/>
            </w:tcBorders>
          </w:tcPr>
          <w:p>
            <w:pPr>
              <w:jc w:val="right"/>
              <w:ind w:right="487"/>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9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tcBorders>
              <w:bottom w:val="single" w:sz="8" w:color="auto"/>
              <w:right w:val="single" w:sz="8" w:color="auto"/>
            </w:tcBorders>
          </w:tcPr>
          <w:p>
            <w:pPr>
              <w:jc w:val="right"/>
              <w:ind w:right="487"/>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8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457(o)</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7"/>
                <w:szCs w:val="17"/>
                <w:color w:val="auto"/>
              </w:rPr>
              <w:t>$250,000,000</w:t>
            </w:r>
            <w:r>
              <w:rPr>
                <w:rFonts w:ascii="Times New Roman" w:cs="Times New Roman" w:eastAsia="Times New Roman" w:hAnsi="Times New Roman"/>
                <w:sz w:val="25"/>
                <w:szCs w:val="25"/>
                <w:color w:val="auto"/>
                <w:vertAlign w:val="superscript"/>
              </w:rPr>
              <w:t>(3)</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$0.0001102</w:t>
            </w:r>
          </w:p>
        </w:tc>
        <w:tc>
          <w:tcPr>
            <w:tcW w:w="10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7"/>
                <w:szCs w:val="17"/>
                <w:color w:val="auto"/>
              </w:rPr>
              <w:t>$27,550.00</w:t>
            </w:r>
            <w:r>
              <w:rPr>
                <w:rFonts w:ascii="Times New Roman" w:cs="Times New Roman" w:eastAsia="Times New Roman" w:hAnsi="Times New Roman"/>
                <w:sz w:val="25"/>
                <w:szCs w:val="25"/>
                <w:color w:val="auto"/>
                <w:vertAlign w:val="superscript"/>
              </w:rPr>
              <w:t>(4)</w:t>
            </w: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8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8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Carry</w:t>
            </w: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Forward</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Securities</w:t>
            </w:r>
          </w:p>
        </w:tc>
        <w:tc>
          <w:tcPr>
            <w:tcW w:w="9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left="614"/>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$250,000,000</w:t>
            </w: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$27,550.00</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07"/>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27"/>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$27,550.00</w:t>
            </w:r>
          </w:p>
        </w:tc>
        <w:tc>
          <w:tcPr>
            <w:tcW w:w="5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60" w:hanging="424"/>
        <w:spacing w:after="0" w:line="255" w:lineRule="auto"/>
        <w:tabs>
          <w:tab w:leader="none" w:pos="4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2" w:lineRule="exact"/>
        <w:rPr>
          <w:rFonts w:ascii="Times New Roman" w:cs="Times New Roman" w:eastAsia="Times New Roman" w:hAnsi="Times New Roman"/>
          <w:sz w:val="18"/>
          <w:szCs w:val="18"/>
          <w:color w:val="auto"/>
        </w:rPr>
      </w:pPr>
    </w:p>
    <w:p>
      <w:pPr>
        <w:ind w:left="424" w:right="260" w:hanging="424"/>
        <w:spacing w:after="0" w:line="250" w:lineRule="auto"/>
        <w:tabs>
          <w:tab w:leader="none" w:pos="4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rights to acquire common stock or preferred stock of the Company under any shareholder rights plan then in effect, if applicable under the terms of any such plan.</w:t>
      </w:r>
    </w:p>
    <w:p>
      <w:pPr>
        <w:ind w:left="424" w:right="60" w:hanging="424"/>
        <w:spacing w:after="0" w:line="250" w:lineRule="auto"/>
        <w:tabs>
          <w:tab w:leader="none" w:pos="4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No separate consideration will be received for shares of common stock that are issued upon conversion of debt securities, depositary shares or preferred stock or upon exercise of common stock warrants registered hereunder. The aggregate maximum offering price of all securities issued pursuant to this registration statement will not exceed $250,000,000.</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1)"/>
      <w:numFmt w:val="decimal"/>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1)"/>
      <w:numFmt w:val="decimal"/>
      <w:start w:val="1"/>
    </w:lvl>
    <w:lvl w:ilvl="1">
      <w:lvlJc w:val="left"/>
      <w:lvlText w:val="(%2)"/>
      <w:numFmt w:val="lowerRoman"/>
      <w:start w:val="1"/>
    </w:lvl>
  </w:abstractNum>
  <w:abstractNum w:abstractNumId="43">
    <w:nsid w:val="6FC75AF8"/>
    <w:multiLevelType w:val="hybridMultilevel"/>
    <w:lvl w:ilvl="0">
      <w:lvlJc w:val="left"/>
      <w:lvlText w:val="(%1)"/>
      <w:numFmt w:val="decimal"/>
      <w:start w:val="2"/>
    </w:lvl>
  </w:abstractNum>
  <w:abstractNum w:abstractNumId="44">
    <w:nsid w:val="6A5F7029"/>
    <w:multiLevelType w:val="hybridMultilevel"/>
    <w:lvl w:ilvl="0">
      <w:lvlJc w:val="left"/>
      <w:lvlText w:val="(%1)"/>
      <w:numFmt w:val="decimal"/>
      <w:start w:val="5"/>
    </w:lvl>
    <w:lvl w:ilvl="1">
      <w:lvlJc w:val="left"/>
      <w:lvlText w:val="(%2)"/>
      <w:numFmt w:val="upperLetter"/>
      <w:start w:val="1"/>
    </w:lvl>
  </w:abstractNum>
  <w:abstractNum w:abstractNumId="45">
    <w:nsid w:val="7D5E18F8"/>
    <w:multiLevelType w:val="hybridMultilevel"/>
    <w:lvl w:ilvl="0">
      <w:lvlJc w:val="left"/>
      <w:lvlText w:val="(%1)"/>
      <w:numFmt w:val="decimal"/>
      <w:start w:val="6"/>
    </w:lvl>
  </w:abstractNum>
  <w:abstractNum w:abstractNumId="46">
    <w:nsid w:val="5F3534A4"/>
    <w:multiLevelType w:val="hybridMultilevel"/>
    <w:lvl w:ilvl="0">
      <w:lvlJc w:val="left"/>
      <w:lvlText w:val="(%1)"/>
      <w:numFmt w:val="lowerRoman"/>
      <w:start w:val="1"/>
    </w:lvl>
  </w:abstractNum>
  <w:abstractNum w:abstractNumId="47">
    <w:nsid w:val="73A1821B"/>
    <w:multiLevelType w:val="hybridMultilevel"/>
    <w:lvl w:ilvl="0">
      <w:lvlJc w:val="left"/>
      <w:lvlText w:val="(%1)"/>
      <w:numFmt w:val="lowerLetter"/>
      <w:start w:val="2"/>
    </w:lvl>
  </w:abstractNum>
  <w:abstractNum w:abstractNumId="48">
    <w:nsid w:val="7DE67713"/>
    <w:multiLevelType w:val="hybridMultilevel"/>
    <w:lvl w:ilvl="0">
      <w:lvlJc w:val="left"/>
      <w:lvlText w:val="(%1)"/>
      <w:numFmt w:val="lowerLetter"/>
      <w:start w:val="8"/>
    </w:lvl>
  </w:abstractNum>
  <w:abstractNum w:abstractNumId="49">
    <w:nsid w:val="555C55B5"/>
    <w:multiLevelType w:val="hybridMultilevel"/>
    <w:lvl w:ilvl="0">
      <w:lvlJc w:val="left"/>
      <w:lvlText w:val="(%1)"/>
      <w:numFmt w:val="lowerLetter"/>
      <w:start w:val="10"/>
    </w:lvl>
  </w:abstractNum>
  <w:abstractNum w:abstractNumId="50">
    <w:nsid w:val="3FA62ACA"/>
    <w:multiLevelType w:val="hybridMultilevel"/>
    <w:lvl w:ilvl="0">
      <w:lvlJc w:val="left"/>
      <w:lvlText w:val="(%1)"/>
      <w:numFmt w:val="lowerLetter"/>
      <w:start w:val="1"/>
    </w:lvl>
  </w:abstractNum>
  <w:abstractNum w:abstractNumId="51">
    <w:nsid w:val="14FCE74E"/>
    <w:multiLevelType w:val="hybridMultilevel"/>
    <w:lvl w:ilvl="0">
      <w:lvlJc w:val="left"/>
      <w:lvlText w:val="(%1)"/>
      <w:numFmt w:val="lowerLetter"/>
      <w:start w:val="1"/>
    </w:lvl>
  </w:abstractNum>
  <w:abstractNum w:abstractNumId="52">
    <w:nsid w:val="6A3DD3E8"/>
    <w:multiLevelType w:val="hybridMultilevel"/>
    <w:lvl w:ilvl="0">
      <w:lvlJc w:val="left"/>
      <w:lvlText w:val="(%1)"/>
      <w:numFmt w:val="lowerLetter"/>
      <w:start w:val="2"/>
    </w:lvl>
  </w:abstractNum>
  <w:abstractNum w:abstractNumId="53">
    <w:nsid w:val="71C91298"/>
    <w:multiLevelType w:val="hybridMultilevel"/>
    <w:lvl w:ilvl="0">
      <w:lvlJc w:val="left"/>
      <w:lvlText w:val="(%1)"/>
      <w:numFmt w:val="lowerLetter"/>
      <w:start w:val="3"/>
    </w:lvl>
  </w:abstractNum>
  <w:abstractNum w:abstractNumId="54">
    <w:nsid w:val="9DAF632"/>
    <w:multiLevelType w:val="hybridMultilevel"/>
    <w:lvl w:ilvl="0">
      <w:lvlJc w:val="left"/>
      <w:lvlText w:val="(%1)"/>
      <w:numFmt w:val="lowerLetter"/>
      <w:start w:val="7"/>
    </w:lvl>
  </w:abstractNum>
  <w:abstractNum w:abstractNumId="55">
    <w:nsid w:val="53299938"/>
    <w:multiLevelType w:val="hybridMultilevel"/>
    <w:lvl w:ilvl="0">
      <w:lvlJc w:val="left"/>
      <w:lvlText w:val="(%1)"/>
      <w:numFmt w:val="lowerLetter"/>
      <w:start w:val="11"/>
    </w:lvl>
  </w:abstractNum>
  <w:abstractNum w:abstractNumId="56">
    <w:nsid w:val="1FBFE8E0"/>
    <w:multiLevelType w:val="hybridMultilevel"/>
    <w:lvl w:ilvl="0">
      <w:lvlJc w:val="left"/>
      <w:lvlText w:val="(%1)"/>
      <w:numFmt w:val="lowerLetter"/>
      <w:start w:val="13"/>
    </w:lvl>
  </w:abstractNum>
  <w:abstractNum w:abstractNumId="57">
    <w:nsid w:val="5092CA79"/>
    <w:multiLevelType w:val="hybridMultilevel"/>
    <w:lvl w:ilvl="0">
      <w:lvlJc w:val="left"/>
      <w:lvlText w:val="(%1)"/>
      <w:numFmt w:val="lowerLetter"/>
      <w:start w:val="17"/>
    </w:lvl>
  </w:abstractNum>
  <w:abstractNum w:abstractNumId="58">
    <w:nsid w:val="1D545C4D"/>
    <w:multiLevelType w:val="hybridMultilevel"/>
    <w:lvl w:ilvl="0">
      <w:lvlJc w:val="left"/>
      <w:lvlText w:val="%1"/>
      <w:numFmt w:val="lowerLetter"/>
      <w:start w:val="1"/>
    </w:lvl>
    <w:lvl w:ilvl="1">
      <w:lvlJc w:val="left"/>
      <w:lvlText w:val="(%2)"/>
      <w:numFmt w:val="lowerLetter"/>
      <w:start w:val="21"/>
    </w:lvl>
  </w:abstractNum>
  <w:abstractNum w:abstractNumId="59">
    <w:nsid w:val="59ADEA3D"/>
    <w:multiLevelType w:val="hybridMultilevel"/>
    <w:lvl w:ilvl="0">
      <w:lvlJc w:val="left"/>
      <w:lvlText w:val="(%1)"/>
      <w:numFmt w:val="lowerLetter"/>
      <w:start w:val="61"/>
    </w:lvl>
    <w:lvl w:ilvl="1">
      <w:lvlJc w:val="left"/>
      <w:lvlText w:val="%2"/>
      <w:numFmt w:val="lowerLetter"/>
      <w:start w:val="1"/>
    </w:lvl>
  </w:abstractNum>
  <w:abstractNum w:abstractNumId="60">
    <w:nsid w:val="288F1A34"/>
    <w:multiLevelType w:val="hybridMultilevel"/>
    <w:lvl w:ilvl="0">
      <w:lvlJc w:val="left"/>
      <w:lvlText w:val="(%1)"/>
      <w:numFmt w:val="lowerRoman"/>
      <w:start w:val="6"/>
    </w:lvl>
    <w:lvl w:ilvl="1">
      <w:lvlJc w:val="left"/>
      <w:lvlText w:val="(%2)"/>
      <w:numFmt w:val="lowerLetter"/>
      <w:start w:val="22"/>
    </w:lvl>
  </w:abstractNum>
  <w:abstractNum w:abstractNumId="61">
    <w:nsid w:val="2A155DBC"/>
    <w:multiLevelType w:val="hybridMultilevel"/>
    <w:lvl w:ilvl="0">
      <w:lvlJc w:val="left"/>
      <w:lvlText w:val="(%1)"/>
      <w:numFmt w:val="lowerLetter"/>
      <w:start w:val="24"/>
    </w:lvl>
  </w:abstractNum>
  <w:abstractNum w:abstractNumId="62">
    <w:nsid w:val="1D9F6E5F"/>
    <w:multiLevelType w:val="hybridMultilevel"/>
    <w:lvl w:ilvl="0">
      <w:lvlJc w:val="left"/>
      <w:lvlText w:val="(%1)"/>
      <w:numFmt w:val="lowerLetter"/>
      <w:start w:val="27"/>
    </w:lvl>
  </w:abstractNum>
  <w:abstractNum w:abstractNumId="63">
    <w:nsid w:val="97E1B4E"/>
    <w:multiLevelType w:val="hybridMultilevel"/>
    <w:lvl w:ilvl="0">
      <w:lvlJc w:val="left"/>
      <w:lvlText w:val="(%1)"/>
      <w:numFmt w:val="lowerLetter"/>
      <w:start w:val="28"/>
    </w:lvl>
  </w:abstractNum>
  <w:abstractNum w:abstractNumId="64">
    <w:nsid w:val="51088277"/>
    <w:multiLevelType w:val="hybridMultilevel"/>
    <w:lvl w:ilvl="0">
      <w:lvlJc w:val="left"/>
      <w:lvlText w:val="%1"/>
      <w:numFmt w:val="lowerLetter"/>
      <w:start w:val="1"/>
    </w:lvl>
    <w:lvl w:ilvl="1">
      <w:lvlJc w:val="left"/>
      <w:lvlText w:val="(%2)"/>
      <w:numFmt w:val="lowerLetter"/>
      <w:start w:val="33"/>
    </w:lvl>
  </w:abstractNum>
  <w:abstractNum w:abstractNumId="65">
    <w:nsid w:val="1CA0C5FA"/>
    <w:multiLevelType w:val="hybridMultilevel"/>
    <w:lvl w:ilvl="0">
      <w:lvlJc w:val="left"/>
      <w:lvlText w:val="(%1)"/>
      <w:numFmt w:val="lowerLetter"/>
      <w:start w:val="9"/>
    </w:lvl>
    <w:lvl w:ilvl="1">
      <w:lvlJc w:val="left"/>
      <w:lvlText w:val="%2"/>
      <w:numFmt w:val="lowerLetter"/>
      <w:start w:val="1"/>
    </w:lvl>
  </w:abstractNum>
  <w:abstractNum w:abstractNumId="66">
    <w:nsid w:val="53584BCB"/>
    <w:multiLevelType w:val="hybridMultilevel"/>
    <w:lvl w:ilvl="0">
      <w:lvlJc w:val="left"/>
      <w:lvlText w:val="(%1)"/>
      <w:numFmt w:val="lowerLetter"/>
      <w:start w:val="35"/>
    </w:lvl>
  </w:abstractNum>
  <w:abstractNum w:abstractNumId="67">
    <w:nsid w:val="415E286C"/>
    <w:multiLevelType w:val="hybridMultilevel"/>
    <w:lvl w:ilvl="0">
      <w:lvlJc w:val="left"/>
      <w:lvlText w:val="(%1)"/>
      <w:numFmt w:val="lowerLetter"/>
      <w:start w:val="41"/>
    </w:lvl>
  </w:abstractNum>
  <w:abstractNum w:abstractNumId="68">
    <w:nsid w:val="7C58FD05"/>
    <w:multiLevelType w:val="hybridMultilevel"/>
    <w:lvl w:ilvl="0">
      <w:lvlJc w:val="left"/>
      <w:lvlText w:val="%1"/>
      <w:numFmt w:val="lowerRoman"/>
      <w:start w:val="1"/>
    </w:lvl>
    <w:lvl w:ilvl="1">
      <w:lvlJc w:val="left"/>
      <w:lvlText w:val="(%2)"/>
      <w:numFmt w:val="lowerLetter"/>
      <w:start w:val="46"/>
    </w:lvl>
  </w:abstractNum>
  <w:abstractNum w:abstractNumId="69">
    <w:nsid w:val="23D86AAC"/>
    <w:multiLevelType w:val="hybridMultilevel"/>
    <w:lvl w:ilvl="0">
      <w:lvlJc w:val="left"/>
      <w:lvlText w:val="(%1)"/>
      <w:numFmt w:val="lowerRoman"/>
      <w:start w:val="6"/>
    </w:lvl>
    <w:lvl w:ilvl="1">
      <w:lvlJc w:val="left"/>
      <w:lvlText w:val="(%2)"/>
      <w:numFmt w:val="lowerLetter"/>
      <w:start w:val="48"/>
    </w:lvl>
  </w:abstractNum>
  <w:abstractNum w:abstractNumId="70">
    <w:nsid w:val="45E6D486"/>
    <w:multiLevelType w:val="hybridMultilevel"/>
    <w:lvl w:ilvl="0">
      <w:lvlJc w:val="left"/>
      <w:lvlText w:val="(%1)"/>
      <w:numFmt w:val="lowerLetter"/>
      <w:start w:val="49"/>
    </w:lvl>
    <w:lvl w:ilvl="1">
      <w:lvlJc w:val="left"/>
      <w:lvlText w:val="(%2)"/>
      <w:numFmt w:val="lowerLetter"/>
      <w:start w:val="1"/>
    </w:lvl>
  </w:abstractNum>
  <w:abstractNum w:abstractNumId="71">
    <w:nsid w:val="5C10FE21"/>
    <w:multiLevelType w:val="hybridMultilevel"/>
    <w:lvl w:ilvl="0">
      <w:lvlJc w:val="left"/>
      <w:lvlText w:val="(%1)"/>
      <w:numFmt w:val="lowerRoman"/>
      <w:start w:val="2"/>
    </w:lvl>
  </w:abstractNum>
  <w:abstractNum w:abstractNumId="72">
    <w:nsid w:val="E7FFA2B"/>
    <w:multiLevelType w:val="hybridMultilevel"/>
    <w:lvl w:ilvl="0">
      <w:lvlJc w:val="left"/>
      <w:lvlText w:val="%1"/>
      <w:numFmt w:val="upperLetter"/>
      <w:start w:val="1"/>
    </w:lvl>
    <w:lvl w:ilvl="1">
      <w:lvlJc w:val="left"/>
      <w:lvlText w:val="(%2)"/>
      <w:numFmt w:val="lowerLetter"/>
      <w:start w:val="1"/>
    </w:lvl>
  </w:abstractNum>
  <w:abstractNum w:abstractNumId="73">
    <w:nsid w:val="3C5991AA"/>
    <w:multiLevelType w:val="hybridMultilevel"/>
    <w:lvl w:ilvl="0">
      <w:lvlJc w:val="left"/>
      <w:lvlText w:val="(%1)"/>
      <w:numFmt w:val="upperLetter"/>
      <w:start w:val="2"/>
    </w:lvl>
    <w:lvl w:ilvl="1">
      <w:lvlJc w:val="left"/>
      <w:lvlText w:val="%2"/>
      <w:numFmt w:val="lowerLetter"/>
      <w:start w:val="1"/>
    </w:lvl>
  </w:abstractNum>
  <w:abstractNum w:abstractNumId="74">
    <w:nsid w:val="4BD8591A"/>
    <w:multiLevelType w:val="hybridMultilevel"/>
    <w:lvl w:ilvl="0">
      <w:lvlJc w:val="left"/>
      <w:lvlText w:val="(%1)"/>
      <w:numFmt w:val="lowerRoman"/>
      <w:start w:val="3"/>
    </w:lvl>
  </w:abstractNum>
  <w:abstractNum w:abstractNumId="75">
    <w:nsid w:val="78DF6A55"/>
    <w:multiLevelType w:val="hybridMultilevel"/>
    <w:lvl w:ilvl="0">
      <w:lvlJc w:val="left"/>
      <w:lvlText w:val="(%1)"/>
      <w:numFmt w:val="lowerLetter"/>
      <w:start w:val="52"/>
    </w:lvl>
  </w:abstractNum>
  <w:abstractNum w:abstractNumId="76">
    <w:nsid w:val="39B7AAA2"/>
    <w:multiLevelType w:val="hybridMultilevel"/>
    <w:lvl w:ilvl="0">
      <w:lvlJc w:val="left"/>
      <w:lvlText w:val="(%1)"/>
      <w:numFmt w:val="lowerLetter"/>
      <w:start w:val="53"/>
    </w:lvl>
  </w:abstractNum>
  <w:abstractNum w:abstractNumId="77">
    <w:nsid w:val="2B0D8DBE"/>
    <w:multiLevelType w:val="hybridMultilevel"/>
    <w:lvl w:ilvl="0">
      <w:lvlJc w:val="left"/>
      <w:lvlText w:val="(%1)"/>
      <w:numFmt w:val="lowerLetter"/>
      <w:start w:val="1"/>
    </w:lvl>
  </w:abstractNum>
  <w:abstractNum w:abstractNumId="78">
    <w:nsid w:val="6C80EC70"/>
    <w:multiLevelType w:val="hybridMultilevel"/>
    <w:lvl w:ilvl="0">
      <w:lvlJc w:val="left"/>
      <w:lvlText w:val="(%1)"/>
      <w:numFmt w:val="lowerLetter"/>
      <w:start w:val="2"/>
    </w:lvl>
  </w:abstractNum>
  <w:abstractNum w:abstractNumId="79">
    <w:nsid w:val="379E21B5"/>
    <w:multiLevelType w:val="hybridMultilevel"/>
    <w:lvl w:ilvl="0">
      <w:lvlJc w:val="left"/>
      <w:lvlText w:val="%1"/>
      <w:numFmt w:val="upperLetter"/>
      <w:start w:val="1"/>
    </w:lvl>
    <w:lvl w:ilvl="1">
      <w:lvlJc w:val="left"/>
      <w:lvlText w:val="(%2)"/>
      <w:numFmt w:val="lowerRoman"/>
      <w:start w:val="1"/>
    </w:lvl>
  </w:abstractNum>
  <w:abstractNum w:abstractNumId="80">
    <w:nsid w:val="69E373"/>
    <w:multiLevelType w:val="hybridMultilevel"/>
    <w:lvl w:ilvl="0">
      <w:lvlJc w:val="left"/>
      <w:lvlText w:val="(%1)"/>
      <w:numFmt w:val="upperLetter"/>
      <w:start w:val="9"/>
    </w:lvl>
    <w:lvl w:ilvl="1">
      <w:lvlJc w:val="left"/>
      <w:lvlText w:val="(%2)"/>
      <w:numFmt w:val="lowerRoman"/>
      <w:start w:val="2"/>
    </w:lvl>
  </w:abstractNum>
  <w:abstractNum w:abstractNumId="81">
    <w:nsid w:val="2C27173B"/>
    <w:multiLevelType w:val="hybridMultilevel"/>
    <w:lvl w:ilvl="0">
      <w:lvlJc w:val="left"/>
      <w:lvlText w:val="(%1)"/>
      <w:numFmt w:val="upperLetter"/>
      <w:start w:val="2"/>
    </w:lvl>
    <w:lvl w:ilvl="1">
      <w:lvlJc w:val="left"/>
      <w:lvlText w:val="(%2)"/>
      <w:numFmt w:val="lowerRoman"/>
      <w:start w:val="4"/>
    </w:lvl>
  </w:abstractNum>
  <w:abstractNum w:abstractNumId="82">
    <w:nsid w:val="4C9B0904"/>
    <w:multiLevelType w:val="hybridMultilevel"/>
    <w:lvl w:ilvl="0">
      <w:lvlJc w:val="left"/>
      <w:lvlText w:val="%1"/>
      <w:numFmt w:val="lowerRoman"/>
      <w:start w:val="1"/>
    </w:lvl>
    <w:lvl w:ilvl="1">
      <w:lvlJc w:val="left"/>
      <w:lvlText w:val="(%2)"/>
      <w:numFmt w:val="lowerRoman"/>
      <w:start w:val="6"/>
    </w:lvl>
  </w:abstractNum>
  <w:abstractNum w:abstractNumId="83">
    <w:nsid w:val="6AA7B75C"/>
    <w:multiLevelType w:val="hybridMultilevel"/>
    <w:lvl w:ilvl="0">
      <w:lvlJc w:val="left"/>
      <w:lvlText w:val="(%1)"/>
      <w:numFmt w:val="lowerRoman"/>
      <w:start w:val="5"/>
    </w:lvl>
    <w:lvl w:ilvl="1">
      <w:lvlJc w:val="left"/>
      <w:lvlText w:val="(%2)"/>
      <w:numFmt w:val="lowerRoman"/>
      <w:start w:val="7"/>
    </w:lvl>
  </w:abstractNum>
  <w:abstractNum w:abstractNumId="84">
    <w:nsid w:val="1DF029D3"/>
    <w:multiLevelType w:val="hybridMultilevel"/>
    <w:lvl w:ilvl="0">
      <w:lvlJc w:val="left"/>
      <w:lvlText w:val="(%1)"/>
      <w:numFmt w:val="lowerLetter"/>
      <w:start w:val="3"/>
    </w:lvl>
  </w:abstractNum>
  <w:abstractNum w:abstractNumId="85">
    <w:nsid w:val="5675FF36"/>
    <w:multiLevelType w:val="hybridMultilevel"/>
    <w:lvl w:ilvl="0">
      <w:lvlJc w:val="left"/>
      <w:lvlText w:val="(%1)"/>
      <w:numFmt w:val="lowerLetter"/>
      <w:start w:val="1"/>
    </w:lvl>
  </w:abstractNum>
  <w:abstractNum w:abstractNumId="86">
    <w:nsid w:val="3DD15094"/>
    <w:multiLevelType w:val="hybridMultilevel"/>
    <w:lvl w:ilvl="0">
      <w:lvlJc w:val="left"/>
      <w:lvlText w:val="(%1)"/>
      <w:numFmt w:val="lowerLetter"/>
      <w:start w:val="3"/>
    </w:lvl>
  </w:abstractNum>
  <w:abstractNum w:abstractNumId="87">
    <w:nsid w:val="3DB012B3"/>
    <w:multiLevelType w:val="hybridMultilevel"/>
    <w:lvl w:ilvl="0">
      <w:lvlJc w:val="left"/>
      <w:lvlText w:val="(%1)"/>
      <w:numFmt w:val="lowerLetter"/>
      <w:start w:val="6"/>
    </w:lvl>
  </w:abstractNum>
  <w:abstractNum w:abstractNumId="88">
    <w:nsid w:val="2708C9AF"/>
    <w:multiLevelType w:val="hybridMultilevel"/>
    <w:lvl w:ilvl="0">
      <w:lvlJc w:val="left"/>
      <w:lvlText w:val="(%1)"/>
      <w:numFmt w:val="lowerLetter"/>
      <w:start w:val="9"/>
    </w:lvl>
  </w:abstractNum>
  <w:abstractNum w:abstractNumId="89">
    <w:nsid w:val="5B25ACE2"/>
    <w:multiLevelType w:val="hybridMultilevel"/>
    <w:lvl w:ilvl="0">
      <w:lvlJc w:val="left"/>
      <w:lvlText w:val="(%1)"/>
      <w:numFmt w:val="lowerLetter"/>
      <w:start w:val="13"/>
    </w:lvl>
    <w:lvl w:ilvl="1">
      <w:lvlJc w:val="left"/>
      <w:lvlText w:val="(%2)"/>
      <w:numFmt w:val="upperLetter"/>
      <w:start w:val="1"/>
    </w:lvl>
  </w:abstractNum>
  <w:abstractNum w:abstractNumId="90">
    <w:nsid w:val="175DFCF0"/>
    <w:multiLevelType w:val="hybridMultilevel"/>
    <w:lvl w:ilvl="0">
      <w:lvlJc w:val="left"/>
      <w:lvlText w:val="(%1)"/>
      <w:numFmt w:val="upperLetter"/>
      <w:start w:val="3"/>
    </w:lvl>
  </w:abstractNum>
  <w:abstractNum w:abstractNumId="91">
    <w:nsid w:val="4F97E3E4"/>
    <w:multiLevelType w:val="hybridMultilevel"/>
    <w:lvl w:ilvl="0">
      <w:lvlJc w:val="left"/>
      <w:lvlText w:val="(%1)"/>
      <w:numFmt w:val="lowerLetter"/>
      <w:start w:val="16"/>
    </w:lvl>
  </w:abstractNum>
  <w:abstractNum w:abstractNumId="92">
    <w:nsid w:val="53B0A9E"/>
    <w:multiLevelType w:val="hybridMultilevel"/>
    <w:lvl w:ilvl="0">
      <w:lvlJc w:val="left"/>
      <w:lvlText w:val="(%1)"/>
      <w:numFmt w:val="lowerLetter"/>
      <w:start w:val="18"/>
    </w:lvl>
  </w:abstractNum>
  <w:abstractNum w:abstractNumId="93">
    <w:nsid w:val="34FD6B4F"/>
    <w:multiLevelType w:val="hybridMultilevel"/>
    <w:lvl w:ilvl="0">
      <w:lvlJc w:val="left"/>
      <w:lvlText w:val="%1"/>
      <w:numFmt w:val="lowerRoman"/>
      <w:start w:val="1"/>
    </w:lvl>
    <w:lvl w:ilvl="1">
      <w:lvlJc w:val="left"/>
      <w:lvlText w:val="(%2)"/>
      <w:numFmt w:val="lowerLetter"/>
      <w:start w:val="1"/>
    </w:lvl>
  </w:abstractNum>
  <w:abstractNum w:abstractNumId="94">
    <w:nsid w:val="5915FF32"/>
    <w:multiLevelType w:val="hybridMultilevel"/>
    <w:lvl w:ilvl="0">
      <w:lvlJc w:val="left"/>
      <w:lvlText w:val="%1"/>
      <w:numFmt w:val="lowerRoman"/>
      <w:start w:val="1"/>
    </w:lvl>
    <w:lvl w:ilvl="1">
      <w:lvlJc w:val="left"/>
      <w:lvlText w:val="(%2)"/>
      <w:numFmt w:val="lowerLetter"/>
      <w:start w:val="9"/>
    </w:lvl>
  </w:abstractNum>
  <w:abstractNum w:abstractNumId="95">
    <w:nsid w:val="56438D15"/>
    <w:multiLevelType w:val="hybridMultilevel"/>
    <w:lvl w:ilvl="0">
      <w:lvlJc w:val="left"/>
      <w:lvlText w:val="%1"/>
      <w:numFmt w:val="lowerRoman"/>
      <w:start w:val="1"/>
    </w:lvl>
    <w:lvl w:ilvl="1">
      <w:lvlJc w:val="left"/>
      <w:lvlText w:val="(%2)"/>
      <w:numFmt w:val="lowerLetter"/>
      <w:start w:val="35"/>
    </w:lvl>
  </w:abstractNum>
  <w:abstractNum w:abstractNumId="96">
    <w:nsid w:val="519E3149"/>
    <w:multiLevelType w:val="hybridMultilevel"/>
    <w:lvl w:ilvl="0">
      <w:lvlJc w:val="left"/>
      <w:lvlText w:val="(%1)"/>
      <w:numFmt w:val="lowerRoman"/>
      <w:start w:val="3"/>
    </w:lvl>
  </w:abstractNum>
  <w:abstractNum w:abstractNumId="97">
    <w:nsid w:val="2C6E4AFD"/>
    <w:multiLevelType w:val="hybridMultilevel"/>
    <w:lvl w:ilvl="0">
      <w:lvlJc w:val="left"/>
      <w:lvlText w:val="(%1)"/>
      <w:numFmt w:val="lowerRoman"/>
      <w:start w:val="6"/>
    </w:lvl>
  </w:abstractNum>
  <w:abstractNum w:abstractNumId="98">
    <w:nsid w:val="17A1B582"/>
    <w:multiLevelType w:val="hybridMultilevel"/>
    <w:lvl w:ilvl="0">
      <w:lvlJc w:val="left"/>
      <w:lvlText w:val="(%1)"/>
      <w:numFmt w:val="lowerLetter"/>
      <w:start w:val="2"/>
    </w:lvl>
  </w:abstractNum>
  <w:abstractNum w:abstractNumId="99">
    <w:nsid w:val="4DF72E4E"/>
    <w:multiLevelType w:val="hybridMultilevel"/>
    <w:lvl w:ilvl="0">
      <w:lvlJc w:val="left"/>
      <w:lvlText w:val="%1"/>
      <w:numFmt w:val="lowerLetter"/>
      <w:start w:val="1"/>
    </w:lvl>
    <w:lvl w:ilvl="1">
      <w:lvlJc w:val="left"/>
      <w:lvlText w:val="(%2)"/>
      <w:numFmt w:val="lowerLetter"/>
      <w:start w:val="1"/>
    </w:lvl>
  </w:abstractNum>
  <w:abstractNum w:abstractNumId="100">
    <w:nsid w:val="5046B5A9"/>
    <w:multiLevelType w:val="hybridMultilevel"/>
    <w:lvl w:ilvl="0">
      <w:lvlJc w:val="left"/>
      <w:lvlText w:val="(%1)"/>
      <w:numFmt w:val="lowerLetter"/>
      <w:start w:val="35"/>
    </w:lvl>
    <w:lvl w:ilvl="1">
      <w:lvlJc w:val="left"/>
      <w:lvlText w:val="%2"/>
      <w:numFmt w:val="lowerLetter"/>
      <w:start w:val="1"/>
    </w:lvl>
  </w:abstractNum>
  <w:abstractNum w:abstractNumId="101">
    <w:nsid w:val="5D888A08"/>
    <w:multiLevelType w:val="hybridMultilevel"/>
    <w:lvl w:ilvl="0">
      <w:lvlJc w:val="left"/>
      <w:lvlText w:val="(%1)"/>
      <w:numFmt w:val="lowerLetter"/>
      <w:start w:val="2"/>
    </w:lvl>
  </w:abstractNum>
  <w:abstractNum w:abstractNumId="102">
    <w:nsid w:val="2A082C70"/>
    <w:multiLevelType w:val="hybridMultilevel"/>
    <w:lvl w:ilvl="0">
      <w:lvlJc w:val="left"/>
      <w:lvlText w:val="%1"/>
      <w:numFmt w:val="lowerLetter"/>
      <w:start w:val="1"/>
    </w:lvl>
    <w:lvl w:ilvl="1">
      <w:lvlJc w:val="left"/>
      <w:lvlText w:val="(%2)"/>
      <w:numFmt w:val="lowerLetter"/>
      <w:start w:val="3"/>
    </w:lvl>
  </w:abstractNum>
  <w:abstractNum w:abstractNumId="103">
    <w:nsid w:val="5EC6AFD4"/>
    <w:multiLevelType w:val="hybridMultilevel"/>
    <w:lvl w:ilvl="0">
      <w:lvlJc w:val="left"/>
      <w:lvlText w:val="(%1)"/>
      <w:numFmt w:val="lowerLetter"/>
      <w:start w:val="9"/>
    </w:lvl>
    <w:lvl w:ilvl="1">
      <w:lvlJc w:val="left"/>
      <w:lvlText w:val="%2"/>
      <w:numFmt w:val="lowerLetter"/>
      <w:start w:val="1"/>
    </w:lvl>
  </w:abstractNum>
  <w:abstractNum w:abstractNumId="104">
    <w:nsid w:val="19E21BB2"/>
    <w:multiLevelType w:val="hybridMultilevel"/>
    <w:lvl w:ilvl="0">
      <w:lvlJc w:val="left"/>
      <w:lvlText w:val="(%1)"/>
      <w:numFmt w:val="lowerLetter"/>
      <w:start w:val="5"/>
    </w:lvl>
  </w:abstractNum>
  <w:abstractNum w:abstractNumId="105">
    <w:nsid w:val="75E0858A"/>
    <w:multiLevelType w:val="hybridMultilevel"/>
    <w:lvl w:ilvl="0">
      <w:lvlJc w:val="left"/>
      <w:lvlText w:val="(%1)"/>
      <w:numFmt w:val="lowerLetter"/>
      <w:start w:val="1"/>
    </w:lvl>
    <w:lvl w:ilvl="1">
      <w:lvlJc w:val="left"/>
      <w:lvlText w:val="(%2)"/>
      <w:numFmt w:val="lowerRoman"/>
      <w:start w:val="1"/>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1)"/>
      <w:numFmt w:val="lowerLetter"/>
      <w:start w:val="2"/>
    </w:lvl>
  </w:abstractNum>
  <w:abstractNum w:abstractNumId="108">
    <w:nsid w:val="20EE1348"/>
    <w:multiLevelType w:val="hybridMultilevel"/>
    <w:lvl w:ilvl="0">
      <w:lvlJc w:val="left"/>
      <w:lvlText w:val="(%1)"/>
      <w:numFmt w:val="lowerLetter"/>
      <w:start w:val="4"/>
    </w:lvl>
  </w:abstractNum>
  <w:abstractNum w:abstractNumId="109">
    <w:nsid w:val="4427069A"/>
    <w:multiLevelType w:val="hybridMultilevel"/>
    <w:lvl w:ilvl="0">
      <w:lvlJc w:val="left"/>
      <w:lvlText w:val="(%1)"/>
      <w:numFmt w:val="lowerLetter"/>
      <w:start w:val="5"/>
    </w:lvl>
  </w:abstractNum>
  <w:abstractNum w:abstractNumId="110">
    <w:nsid w:val="B37E80A"/>
    <w:multiLevelType w:val="hybridMultilevel"/>
    <w:lvl w:ilvl="0">
      <w:lvlJc w:val="left"/>
      <w:lvlText w:val="(%1)"/>
      <w:numFmt w:val="lowerLetter"/>
      <w:start w:val="7"/>
    </w:lvl>
    <w:lvl w:ilvl="1">
      <w:lvlJc w:val="left"/>
      <w:lvlText w:val="(%2)"/>
      <w:numFmt w:val="lowerLetter"/>
      <w:start w:val="1"/>
    </w:lvl>
  </w:abstractNum>
  <w:abstractNum w:abstractNumId="111">
    <w:nsid w:val="2157F6BC"/>
    <w:multiLevelType w:val="hybridMultilevel"/>
    <w:lvl w:ilvl="0">
      <w:lvlJc w:val="left"/>
      <w:lvlText w:val="(%1)"/>
      <w:numFmt w:val="lowerRoman"/>
      <w:start w:val="1"/>
    </w:lvl>
  </w:abstractNum>
  <w:abstractNum w:abstractNumId="112">
    <w:nsid w:val="704E1DD5"/>
    <w:multiLevelType w:val="hybridMultilevel"/>
    <w:lvl w:ilvl="0">
      <w:lvlJc w:val="left"/>
      <w:lvlText w:val="%1."/>
      <w:numFmt w:val="decimal"/>
      <w:start w:val="1"/>
    </w:lvl>
  </w:abstractNum>
  <w:abstractNum w:abstractNumId="113">
    <w:nsid w:val="57D2F10E"/>
    <w:multiLevelType w:val="hybridMultilevel"/>
    <w:lvl w:ilvl="0">
      <w:lvlJc w:val="left"/>
      <w:lvlText w:val="%1."/>
      <w:numFmt w:val="decimal"/>
      <w:start w:val="1"/>
    </w:lvl>
  </w:abstractNum>
  <w:abstractNum w:abstractNumId="114">
    <w:nsid w:val="BFFAE18"/>
    <w:multiLevelType w:val="hybridMultilevel"/>
    <w:lvl w:ilvl="0">
      <w:lvlJc w:val="left"/>
      <w:lvlText w:val="%1."/>
      <w:numFmt w:val="decimal"/>
      <w:start w:val="3"/>
    </w:lvl>
  </w:abstractNum>
  <w:abstractNum w:abstractNumId="115">
    <w:nsid w:val="E3E47A8"/>
    <w:multiLevelType w:val="hybridMultilevel"/>
    <w:lvl w:ilvl="0">
      <w:lvlJc w:val="left"/>
      <w:lvlText w:val="%1."/>
      <w:numFmt w:val="decimal"/>
      <w:start w:val="4"/>
    </w:lvl>
  </w:abstractNum>
  <w:abstractNum w:abstractNumId="116">
    <w:nsid w:val="2E48F044"/>
    <w:multiLevelType w:val="hybridMultilevel"/>
    <w:lvl w:ilvl="0">
      <w:lvlJc w:val="left"/>
      <w:lvlText w:val="%1."/>
      <w:numFmt w:val="decimal"/>
      <w:start w:val="5"/>
    </w:lvl>
  </w:abstractNum>
  <w:abstractNum w:abstractNumId="117">
    <w:nsid w:val="49D0FEAC"/>
    <w:multiLevelType w:val="hybridMultilevel"/>
    <w:lvl w:ilvl="0">
      <w:lvlJc w:val="left"/>
      <w:lvlText w:val="%1."/>
      <w:numFmt w:val="decimal"/>
      <w:start w:val="6"/>
    </w:lvl>
  </w:abstractNum>
  <w:abstractNum w:abstractNumId="118">
    <w:nsid w:val="4BEE5A5B"/>
    <w:multiLevelType w:val="hybridMultilevel"/>
    <w:lvl w:ilvl="0">
      <w:lvlJc w:val="left"/>
      <w:lvlText w:val="(%1)"/>
      <w:numFmt w:val="decimal"/>
      <w:start w:val="510"/>
    </w:lvl>
  </w:abstractNum>
  <w:abstractNum w:abstractNumId="119">
    <w:nsid w:val="5551B9F3"/>
    <w:multiLevelType w:val="hybridMultilevel"/>
    <w:lvl w:ilvl="0">
      <w:lvlJc w:val="left"/>
      <w:lvlText w:val="["/>
      <w:numFmt w:val="bullet"/>
      <w:start w:val="1"/>
    </w:lvl>
  </w:abstractNum>
  <w:abstractNum w:abstractNumId="120">
    <w:nsid w:val="24F6AB8E"/>
    <w:multiLevelType w:val="hybridMultilevel"/>
    <w:lvl w:ilvl="0">
      <w:lvlJc w:val="left"/>
      <w:lvlText w:val="(%1)"/>
      <w:numFmt w:val="lowerLetter"/>
      <w:start w:val="1"/>
    </w:lvl>
  </w:abstractNum>
  <w:abstractNum w:abstractNumId="121">
    <w:nsid w:val="634C574C"/>
    <w:multiLevelType w:val="hybridMultilevel"/>
    <w:lvl w:ilvl="0">
      <w:lvlJc w:val="left"/>
      <w:lvlText w:val="(%1)"/>
      <w:numFmt w:val="lowerLetter"/>
      <w:start w:val="2"/>
    </w:lvl>
  </w:abstractNum>
  <w:abstractNum w:abstractNumId="122">
    <w:nsid w:val="24E99DD7"/>
    <w:multiLevelType w:val="hybridMultilevel"/>
    <w:lvl w:ilvl="0">
      <w:lvlJc w:val="left"/>
      <w:lvlText w:val="(%1)"/>
      <w:numFmt w:val="lowerLetter"/>
      <w:start w:val="1"/>
    </w:lvl>
  </w:abstractNum>
  <w:abstractNum w:abstractNumId="123">
    <w:nsid w:val="2A31B62D"/>
    <w:multiLevelType w:val="hybridMultilevel"/>
    <w:lvl w:ilvl="0">
      <w:lvlJc w:val="left"/>
      <w:lvlText w:val="(%1)"/>
      <w:numFmt w:val="lowerLetter"/>
      <w:start w:val="1"/>
    </w:lvl>
    <w:lvl w:ilvl="1">
      <w:lvlJc w:val="left"/>
      <w:lvlText w:val="(%2)"/>
      <w:numFmt w:val="lowerRoman"/>
      <w:start w:val="1"/>
    </w:lvl>
  </w:abstractNum>
  <w:abstractNum w:abstractNumId="124">
    <w:nsid w:val="1849C29B"/>
    <w:multiLevelType w:val="hybridMultilevel"/>
    <w:lvl w:ilvl="0">
      <w:lvlJc w:val="left"/>
      <w:lvlText w:val="(%1)"/>
      <w:numFmt w:val="lowerRoman"/>
      <w:start w:val="2"/>
    </w:lvl>
  </w:abstractNum>
  <w:abstractNum w:abstractNumId="125">
    <w:nsid w:val="7DFF9D09"/>
    <w:multiLevelType w:val="hybridMultilevel"/>
    <w:lvl w:ilvl="0">
      <w:lvlJc w:val="left"/>
      <w:lvlText w:val="(%1)"/>
      <w:numFmt w:val="lowerLetter"/>
      <w:start w:val="6"/>
    </w:lvl>
  </w:abstractNum>
  <w:abstractNum w:abstractNumId="126">
    <w:nsid w:val="754342"/>
    <w:multiLevelType w:val="hybridMultilevel"/>
    <w:lvl w:ilvl="0">
      <w:lvlJc w:val="left"/>
      <w:lvlText w:val="(%1)"/>
      <w:numFmt w:val="lowerLetter"/>
      <w:start w:val="1"/>
    </w:lvl>
  </w:abstractNum>
  <w:abstractNum w:abstractNumId="127">
    <w:nsid w:val="69E7F3E5"/>
    <w:multiLevelType w:val="hybridMultilevel"/>
    <w:lvl w:ilvl="0">
      <w:lvlJc w:val="left"/>
      <w:lvlText w:val="(%1)"/>
      <w:numFmt w:val="lowerLetter"/>
      <w:start w:val="1"/>
    </w:lvl>
  </w:abstractNum>
  <w:abstractNum w:abstractNumId="128">
    <w:nsid w:val="2A6DE806"/>
    <w:multiLevelType w:val="hybridMultilevel"/>
    <w:lvl w:ilvl="0">
      <w:lvlJc w:val="left"/>
      <w:lvlText w:val="(%1)"/>
      <w:numFmt w:val="lowerLetter"/>
      <w:start w:val="1"/>
    </w:lvl>
  </w:abstractNum>
  <w:abstractNum w:abstractNumId="129">
    <w:nsid w:val="1816F8C4"/>
    <w:multiLevelType w:val="hybridMultilevel"/>
    <w:lvl w:ilvl="0">
      <w:lvlJc w:val="left"/>
      <w:lvlText w:val="(%1)"/>
      <w:numFmt w:val="lowerLetter"/>
      <w:start w:val="1"/>
    </w:lvl>
  </w:abstractNum>
  <w:abstractNum w:abstractNumId="130">
    <w:nsid w:val="37DF2233"/>
    <w:multiLevelType w:val="hybridMultilevel"/>
    <w:lvl w:ilvl="0">
      <w:lvlJc w:val="left"/>
      <w:lvlText w:val="(%1)"/>
      <w:numFmt w:val="lowerLetter"/>
      <w:start w:val="1"/>
    </w:lvl>
    <w:lvl w:ilvl="1">
      <w:lvlJc w:val="left"/>
      <w:lvlText w:val="(%2)"/>
      <w:numFmt w:val="lowerRoman"/>
      <w:start w:val="1"/>
    </w:lvl>
  </w:abstractNum>
  <w:abstractNum w:abstractNumId="131">
    <w:nsid w:val="7AB49DAF"/>
    <w:multiLevelType w:val="hybridMultilevel"/>
    <w:lvl w:ilvl="0">
      <w:lvlJc w:val="left"/>
      <w:lvlText w:val="(%1)"/>
      <w:numFmt w:val="lowerLetter"/>
      <w:start w:val="3"/>
    </w:lvl>
    <w:lvl w:ilvl="1">
      <w:lvlJc w:val="left"/>
      <w:lvlText w:val="(%2)"/>
      <w:numFmt w:val="lowerRoman"/>
      <w:start w:val="1"/>
    </w:lvl>
  </w:abstractNum>
  <w:abstractNum w:abstractNumId="132">
    <w:nsid w:val="759F82CD"/>
    <w:multiLevelType w:val="hybridMultilevel"/>
    <w:lvl w:ilvl="0">
      <w:lvlJc w:val="left"/>
      <w:lvlText w:val="(%1)"/>
      <w:numFmt w:val="lowerLetter"/>
      <w:start w:val="1"/>
    </w:lvl>
  </w:abstractNum>
  <w:abstractNum w:abstractNumId="133">
    <w:nsid w:val="61E74EA3"/>
    <w:multiLevelType w:val="hybridMultilevel"/>
    <w:lvl w:ilvl="0">
      <w:lvlJc w:val="left"/>
      <w:lvlText w:val="(%1)"/>
      <w:numFmt w:val="lowerLetter"/>
      <w:start w:val="2"/>
    </w:lvl>
  </w:abstractNum>
  <w:abstractNum w:abstractNumId="134">
    <w:nsid w:val="597B4D84"/>
    <w:multiLevelType w:val="hybridMultilevel"/>
    <w:lvl w:ilvl="0">
      <w:lvlJc w:val="left"/>
      <w:lvlText w:val="(%1)"/>
      <w:numFmt w:val="lowerLetter"/>
      <w:start w:val="1"/>
    </w:lvl>
  </w:abstractNum>
  <w:abstractNum w:abstractNumId="135">
    <w:nsid w:val="F819E7F"/>
    <w:multiLevelType w:val="hybridMultilevel"/>
    <w:lvl w:ilvl="0">
      <w:lvlJc w:val="left"/>
      <w:lvlText w:val="%1"/>
      <w:numFmt w:val="lowerRoman"/>
      <w:start w:val="1"/>
    </w:lvl>
    <w:lvl w:ilvl="1">
      <w:lvlJc w:val="left"/>
      <w:lvlText w:val="(%2)"/>
      <w:numFmt w:val="lowerRoman"/>
      <w:start w:val="1"/>
    </w:lvl>
  </w:abstractNum>
  <w:abstractNum w:abstractNumId="136">
    <w:nsid w:val="57C7D42D"/>
    <w:multiLevelType w:val="hybridMultilevel"/>
    <w:lvl w:ilvl="0">
      <w:lvlJc w:val="left"/>
      <w:lvlText w:val="(%1)"/>
      <w:numFmt w:val="lowerRoman"/>
      <w:start w:val="2"/>
    </w:lvl>
    <w:lvl w:ilvl="1">
      <w:lvlJc w:val="left"/>
      <w:lvlText w:val="%2"/>
      <w:numFmt w:val="lowerRoman"/>
      <w:start w:val="1"/>
    </w:lvl>
  </w:abstractNum>
  <w:abstractNum w:abstractNumId="137">
    <w:nsid w:val="312167AD"/>
    <w:multiLevelType w:val="hybridMultilevel"/>
    <w:lvl w:ilvl="0">
      <w:lvlJc w:val="left"/>
      <w:lvlText w:val="(%1)"/>
      <w:numFmt w:val="decimal"/>
      <w:start w:val="1"/>
    </w:lvl>
  </w:abstractNum>
  <w:abstractNum w:abstractNumId="138">
    <w:nsid w:val="631B64D4"/>
    <w:multiLevelType w:val="hybridMultilevel"/>
    <w:lvl w:ilvl="0">
      <w:lvlJc w:val="left"/>
      <w:lvlText w:val="(%1)"/>
      <w:numFmt w:val="lowerLetter"/>
      <w:start w:val="2"/>
    </w:lvl>
  </w:abstractNum>
  <w:abstractNum w:abstractNumId="139">
    <w:nsid w:val="78B5E776"/>
    <w:multiLevelType w:val="hybridMultilevel"/>
    <w:lvl w:ilvl="0">
      <w:lvlJc w:val="left"/>
      <w:lvlText w:val="(%1)"/>
      <w:numFmt w:val="lowerLetter"/>
      <w:start w:val="1"/>
    </w:lvl>
  </w:abstractNum>
  <w:abstractNum w:abstractNumId="140">
    <w:nsid w:val="75486E47"/>
    <w:multiLevelType w:val="hybridMultilevel"/>
    <w:lvl w:ilvl="0">
      <w:lvlJc w:val="left"/>
      <w:lvlText w:val="(%1)"/>
      <w:numFmt w:val="lowerLetter"/>
      <w:start w:val="1"/>
    </w:lvl>
  </w:abstractNum>
  <w:abstractNum w:abstractNumId="141">
    <w:nsid w:val="6E534CDE"/>
    <w:multiLevelType w:val="hybridMultilevel"/>
    <w:lvl w:ilvl="0">
      <w:lvlJc w:val="left"/>
      <w:lvlText w:val="(%1)"/>
      <w:numFmt w:val="lowerLetter"/>
      <w:start w:val="4"/>
    </w:lvl>
  </w:abstractNum>
  <w:abstractNum w:abstractNumId="142">
    <w:nsid w:val="1A0DDE32"/>
    <w:multiLevelType w:val="hybridMultilevel"/>
    <w:lvl w:ilvl="0">
      <w:lvlJc w:val="left"/>
      <w:lvlText w:val="(%1)"/>
      <w:numFmt w:val="lowerLetter"/>
      <w:start w:val="8"/>
    </w:lvl>
  </w:abstractNum>
  <w:abstractNum w:abstractNumId="143">
    <w:nsid w:val="65968C1C"/>
    <w:multiLevelType w:val="hybridMultilevel"/>
    <w:lvl w:ilvl="0">
      <w:lvlJc w:val="left"/>
      <w:lvlText w:val="(%1)"/>
      <w:numFmt w:val="lowerLetter"/>
      <w:start w:val="1"/>
    </w:lvl>
  </w:abstractNum>
  <w:abstractNum w:abstractNumId="144">
    <w:nsid w:val="46263DEC"/>
    <w:multiLevelType w:val="hybridMultilevel"/>
    <w:lvl w:ilvl="0">
      <w:lvlJc w:val="left"/>
      <w:lvlText w:val="(%1)"/>
      <w:numFmt w:val="lowerLetter"/>
      <w:start w:val="4"/>
    </w:lvl>
  </w:abstractNum>
  <w:abstractNum w:abstractNumId="145">
    <w:nsid w:val="260D8C4A"/>
    <w:multiLevelType w:val="hybridMultilevel"/>
    <w:lvl w:ilvl="0">
      <w:lvlJc w:val="left"/>
      <w:lvlText w:val="(%1)"/>
      <w:numFmt w:val="lowerLetter"/>
      <w:start w:val="2"/>
    </w:lvl>
  </w:abstractNum>
  <w:abstractNum w:abstractNumId="146">
    <w:nsid w:val="73D4D3C4"/>
    <w:multiLevelType w:val="hybridMultilevel"/>
    <w:lvl w:ilvl="0">
      <w:lvlJc w:val="left"/>
      <w:lvlText w:val="(%1)"/>
      <w:numFmt w:val="lowerLetter"/>
      <w:start w:val="1"/>
    </w:lvl>
  </w:abstractNum>
  <w:abstractNum w:abstractNumId="147">
    <w:nsid w:val="746F2E30"/>
    <w:multiLevelType w:val="hybridMultilevel"/>
    <w:lvl w:ilvl="0">
      <w:lvlJc w:val="left"/>
      <w:lvlText w:val="["/>
      <w:numFmt w:val="bullet"/>
      <w:start w:val="1"/>
    </w:lvl>
  </w:abstractNum>
  <w:abstractNum w:abstractNumId="148">
    <w:nsid w:val="6FDE8AF6"/>
    <w:multiLevelType w:val="hybridMultilevel"/>
    <w:lvl w:ilvl="0">
      <w:lvlJc w:val="left"/>
      <w:lvlText w:val="(%1)"/>
      <w:numFmt w:val="lowerLetter"/>
      <w:start w:val="1"/>
    </w:lvl>
  </w:abstractNum>
  <w:abstractNum w:abstractNumId="149">
    <w:nsid w:val="3FC32E20"/>
    <w:multiLevelType w:val="hybridMultilevel"/>
    <w:lvl w:ilvl="0">
      <w:lvlJc w:val="left"/>
      <w:lvlText w:val="(%1)"/>
      <w:numFmt w:val="lowerLetter"/>
      <w:start w:val="1"/>
    </w:lvl>
  </w:abstractNum>
  <w:abstractNum w:abstractNumId="150">
    <w:nsid w:val="49C0E823"/>
    <w:multiLevelType w:val="hybridMultilevel"/>
    <w:lvl w:ilvl="0">
      <w:lvlJc w:val="left"/>
      <w:lvlText w:val="%1."/>
      <w:numFmt w:val="decimal"/>
      <w:start w:val="1"/>
    </w:lvl>
  </w:abstractNum>
  <w:abstractNum w:abstractNumId="151">
    <w:nsid w:val="14D53685"/>
    <w:multiLevelType w:val="hybridMultilevel"/>
    <w:lvl w:ilvl="0">
      <w:lvlJc w:val="left"/>
      <w:lvlText w:val="%1."/>
      <w:numFmt w:val="decimal"/>
      <w:start w:val="3"/>
    </w:lvl>
  </w:abstractNum>
  <w:abstractNum w:abstractNumId="152">
    <w:nsid w:val="230F856C"/>
    <w:multiLevelType w:val="hybridMultilevel"/>
    <w:lvl w:ilvl="0">
      <w:lvlJc w:val="left"/>
      <w:lvlText w:val="(%1)"/>
      <w:numFmt w:val="lowerLetter"/>
      <w:start w:val="13"/>
    </w:lvl>
  </w:abstractNum>
  <w:abstractNum w:abstractNumId="153">
    <w:nsid w:val="6EAA85FB"/>
    <w:multiLevelType w:val="hybridMultilevel"/>
    <w:lvl w:ilvl="0">
      <w:lvlJc w:val="left"/>
      <w:lvlText w:val="(%1)"/>
      <w:numFmt w:val="lowerRoman"/>
      <w:start w:val="4"/>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jpe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jpe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7" Type="http://schemas.openxmlformats.org/officeDocument/2006/relationships/hyperlink" Target="http://www.sec.gov/ix?doc=/Archives/edgar/data/0001437402/000162828022004226/ardx-20211231.htm" TargetMode="External"/><Relationship Id="rId28" Type="http://schemas.openxmlformats.org/officeDocument/2006/relationships/hyperlink" Target="http://www.sec.gov/ix?doc=/Archives/edgar/data/0001437402/000162828022012630/ardx-20220331.htm" TargetMode="External"/><Relationship Id="rId29" Type="http://schemas.openxmlformats.org/officeDocument/2006/relationships/hyperlink" Target="http://www.sec.gov/ix?doc=/Archives/edgar/data/0001437402/000162828022021047/ardx-20220630.htm" TargetMode="External"/><Relationship Id="rId30" Type="http://schemas.openxmlformats.org/officeDocument/2006/relationships/hyperlink" Target="http://www.sec.gov/ix?doc=/Archives/edgar/data/0001437402/000162828022028180/ardx-20220930.htm" TargetMode="External"/><Relationship Id="rId31" Type="http://schemas.openxmlformats.org/officeDocument/2006/relationships/hyperlink" Target="http://www.sec.gov/ix?doc=/Archives/edgar/data/0001437402/000162828022002151/ardx-20220204.htm" TargetMode="External"/><Relationship Id="rId32" Type="http://schemas.openxmlformats.org/officeDocument/2006/relationships/hyperlink" Target="http://www.sec.gov/ix?doc=/Archives/edgar/data/0001437402/000162828022003882/ardx-20220223.htm" TargetMode="External"/><Relationship Id="rId33" Type="http://schemas.openxmlformats.org/officeDocument/2006/relationships/hyperlink" Target="http://www.sec.gov/ix?doc=/Archives/edgar/data/0001437402/000162828022006082/ardx-20220310.htm" TargetMode="External"/><Relationship Id="rId34" Type="http://schemas.openxmlformats.org/officeDocument/2006/relationships/hyperlink" Target="http://www.sec.gov/ix?doc=/Archives/edgar/data/0001437402/000162828022008096/ardx-20220331.htm" TargetMode="External"/><Relationship Id="rId35" Type="http://schemas.openxmlformats.org/officeDocument/2006/relationships/hyperlink" Target="http://www.sec.gov/ix?doc=/Archives/edgar/data/0001437402/000162828022008924/ardx-20220411.htm" TargetMode="External"/><Relationship Id="rId36" Type="http://schemas.openxmlformats.org/officeDocument/2006/relationships/hyperlink" Target="http://www.sec.gov/ix?doc=/Archives/edgar/data/0001437402/000162828022010063/ardx-20220425.htm" TargetMode="External"/><Relationship Id="rId37" Type="http://schemas.openxmlformats.org/officeDocument/2006/relationships/hyperlink" Target="http://www.sec.gov/ix?doc=/Archives/edgar/data/0001437402/000162828022015564/ardx-20220523.htm" TargetMode="External"/><Relationship Id="rId38" Type="http://schemas.openxmlformats.org/officeDocument/2006/relationships/hyperlink" Target="http://www.sec.gov/ix?doc=/Archives/edgar/data/0001437402/000162828022017809/ardx-20220615.htm" TargetMode="External"/><Relationship Id="rId39" Type="http://schemas.openxmlformats.org/officeDocument/2006/relationships/hyperlink" Target="http://www.sec.gov/ix?doc=/Archives/edgar/data/0001437402/000162828022018242/ardx-20220629.htm" TargetMode="External"/><Relationship Id="rId40" Type="http://schemas.openxmlformats.org/officeDocument/2006/relationships/hyperlink" Target="http://www.sec.gov/ix?doc=/Archives/edgar/data/0001437402/000162828022018940/ardx-20220713.htm" TargetMode="External"/><Relationship Id="rId41" Type="http://schemas.openxmlformats.org/officeDocument/2006/relationships/hyperlink" Target="http://www.sec.gov/ix?doc=/Archives/edgar/data/0001437402/000162828022025133/ardx-20220919.htm" TargetMode="External"/><Relationship Id="rId42" Type="http://schemas.openxmlformats.org/officeDocument/2006/relationships/hyperlink" Target="http://www.sec.gov/ix?doc=/Archives/edgar/data/0001437402/000162828022032662/ardx-20221227.htm" TargetMode="External"/><Relationship Id="rId43" Type="http://schemas.openxmlformats.org/officeDocument/2006/relationships/hyperlink" Target="http://www.sec.gov/Archives/edgar/data/1437402/000119312514230441/d740908d8a12b.htm" TargetMode="External"/><Relationship Id="rId112" Type="http://schemas.openxmlformats.org/officeDocument/2006/relationships/hyperlink" Target="http://www.sec.gov/Archives/edgar/data/1437402/000119312514247380/d748616dex31.htm" TargetMode="External"/><Relationship Id="rId113" Type="http://schemas.openxmlformats.org/officeDocument/2006/relationships/hyperlink" Target="http://www.sec.gov/Archives/edgar/data/1437402/000119312514247380/d748616dex32.htm" TargetMode="External"/><Relationship Id="rId114" Type="http://schemas.openxmlformats.org/officeDocument/2006/relationships/hyperlink" Target="http://www.sec.gov/Archives/edgar/data/1437402/000119312514240520/d70477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2023-01-19T05:13:42Z</dcterms:created>
  <dcterms:modified xsi:type="dcterms:W3CDTF">2023-01-19T05:13:42Z</dcterms:modified>
</cp:coreProperties>
</file>