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Rodriguez Susan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11/20/2023</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11/20/2023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4,714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4.3622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346,973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adjusted total which includes the purchase of 3,000 shares under the Ardelyx Employee Stock Purchase Plan in August 2023.</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Susan</w:t>
      </w:r>
      <w:r>
        <w:rPr>
          <w:sz w:val="20"/>
          <w:szCs w:val="20"/>
          <w:color w:val="auto"/>
        </w:rPr>
        <w:tab/>
      </w:r>
      <w:r>
        <w:rPr>
          <w:rFonts w:ascii="Times New Roman" w:cs="Times New Roman" w:eastAsia="Times New Roman" w:hAnsi="Times New Roman"/>
          <w:sz w:val="17"/>
          <w:szCs w:val="17"/>
          <w:color w:val="0000FF"/>
        </w:rPr>
        <w:t>11/22/2023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Rodriguez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25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2023-11-22T16:30:06Z</dcterms:created>
  <dcterms:modified xsi:type="dcterms:W3CDTF">2023-11-22T16:30:06Z</dcterms:modified>
</cp:coreProperties>
</file>