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405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05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36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Jacobs Jeffrey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ARDELYX,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Chemistry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364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920" w:type="dxa"/>
            <w:vAlign w:val="bottom"/>
            <w:gridSpan w:val="11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center"/>
              <w:ind w:left="40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02/04/2015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6,416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1.08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53,082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02/04/2015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2,472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1.08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55,554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02/04/2015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6,388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16.0746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49,166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02/04/2015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16.8204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46,666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02/04/2015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6,416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02/17/2021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6,416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32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02/04/2015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2,472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10/26/2020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2,472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32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made pursuant to a 10b5-1 trading plan adopted by the Reporting Person on December 24,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transaction was executed in multiple trades in prices ranging from $15.64 to $16.64, inclusive. The price reported in Column 4 above reflects the weighted average sales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transaction was executed in multiple trades in prices ranging from $16.74 to $17.055, inclusive. The price reported in Column 4 above reflects the weighted average sales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is fully vested and exercisable.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2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Jeffrey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Jacobs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36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1193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2019-12-08T21:10:45Z</dcterms:created>
  <dcterms:modified xsi:type="dcterms:W3CDTF">2019-12-08T21:10:45Z</dcterms:modified>
</cp:coreProperties>
</file>