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March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231F20"/>
              </w:rPr>
            </w:pPr>
            <w:r>
              <w:rPr>
                <w:color w:val="231F2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001-36485</w:t>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ARDELYX,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tbl>
      <w:tblPr>
        <w:tblW w:w="7785" w:type="dxa"/>
        <w:jc w:val="center"/>
        <w:tblInd w:w="0" w:type="dxa"/>
        <w:tblLayout w:type="fixed"/>
        <w:tblCellMar>
          <w:top w:w="28" w:type="dxa"/>
          <w:left w:w="28" w:type="dxa"/>
          <w:bottom w:w="28" w:type="dxa"/>
          <w:right w:w="28" w:type="dxa"/>
        </w:tblCellMar>
      </w:tblPr>
      <w:tblGrid>
        <w:gridCol w:w="1762"/>
        <w:gridCol w:w="1550"/>
        <w:gridCol w:w="1563"/>
        <w:gridCol w:w="849"/>
        <w:gridCol w:w="849"/>
        <w:gridCol w:w="1212"/>
      </w:tblGrid>
      <w:tr>
        <w:trP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26-1303944</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400 Fifth Avenue, Suite 210, Waltham, Massachusetts</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02451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pPr>
      <w:r>
        <w:rPr>
          <w:rFonts w:ascii="Times New Roman;serif" w:hAnsi="Times New Roman;serif"/>
          <w:b/>
          <w:color w:val="000000"/>
          <w:sz w:val="18"/>
        </w:rPr>
        <w:t>(617)</w:t>
      </w:r>
      <w:r>
        <w:rPr>
          <w:color w:val="000000"/>
        </w:rPr>
        <w:t xml:space="preserve"> </w:t>
      </w:r>
      <w:r>
        <w:rPr>
          <w:rFonts w:ascii="Times New Roman;serif" w:hAnsi="Times New Roman;serif"/>
          <w:b/>
          <w:color w:val="000000"/>
          <w:sz w:val="18"/>
        </w:rPr>
        <w:t>675-2739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____________________________________________________</w:t>
      </w:r>
    </w:p>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12" w:type="dxa"/>
        <w:jc w:val="center"/>
        <w:tblInd w:w="0" w:type="dxa"/>
        <w:tblLayout w:type="fixed"/>
        <w:tblCellMar>
          <w:top w:w="28" w:type="dxa"/>
          <w:left w:w="28" w:type="dxa"/>
          <w:bottom w:w="28" w:type="dxa"/>
          <w:right w:w="28" w:type="dxa"/>
        </w:tblCellMar>
      </w:tblPr>
      <w:tblGrid>
        <w:gridCol w:w="1277"/>
        <w:gridCol w:w="1121"/>
        <w:gridCol w:w="1127"/>
        <w:gridCol w:w="109"/>
        <w:gridCol w:w="109"/>
        <w:gridCol w:w="109"/>
        <w:gridCol w:w="519"/>
        <w:gridCol w:w="519"/>
        <w:gridCol w:w="521"/>
        <w:gridCol w:w="109"/>
        <w:gridCol w:w="109"/>
        <w:gridCol w:w="109"/>
        <w:gridCol w:w="1074"/>
        <w:gridCol w:w="1074"/>
        <w:gridCol w:w="1526"/>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w:t>
      </w:r>
      <w:r>
        <w:rPr>
          <w:color w:val="000000"/>
        </w:rPr>
        <w:t> ☐</w:t>
      </w:r>
    </w:p>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is a shell company (as defined in Rule 12b-2 of the Exchange Act).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40" w:after="283"/>
        <w:jc w:val="both"/>
        <w:rPr>
          <w:rFonts w:ascii="Times New Roman;serif" w:hAnsi="Times New Roman;serif"/>
          <w:b w:val="false"/>
          <w:color w:val="000000"/>
          <w:sz w:val="16"/>
        </w:rPr>
      </w:pPr>
      <w:r>
        <w:rPr>
          <w:rFonts w:ascii="Times New Roman;serif" w:hAnsi="Times New Roman;serif"/>
          <w:b w:val="false"/>
          <w:color w:val="000000"/>
          <w:sz w:val="16"/>
        </w:rPr>
        <w:t>The number of issued and outstanding shares of the registrant’s Common Stock, $0.0001 par value per share, as of April 23, 2026, was 247,029,387.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in this Quarterly Report on Form 10-Q, the terms “Ardelyx,” “Company,” “we,” “us” and “our” refer to Ardelyx,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including those under the caption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PRINCIPAL RISKS ASSOCIATED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losses in each year since our inception, and if we are unable to continue to increase revenue and/or, depending upon our pursuit of future business opportunities, we may not achieve expected cash flow positivity, and even if we do, we may not be able to sustain cash flow positivity quarter over quarter and year over year.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below in the section titled “Risk Factors” and the other information set forth in this Quarterly Report on Form 10-Q, including our financial statements and the related notes, as well as in other documents that we file with the U.S.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lineRule="auto" w:line="288" w:before="0" w:after="180"/>
        <w:ind w:left="0" w:right="0" w:firstLine="360"/>
        <w:jc w:val="both"/>
        <w:rPr/>
      </w:pPr>
      <w:r>
        <w:rPr>
          <w:rFonts w:ascii="Times New Roman;serif" w:hAnsi="Times New Roman;serif"/>
          <w:b w:val="false"/>
          <w:color w:val="000000"/>
          <w:sz w:val="20"/>
        </w:rPr>
        <w:t>ARDELYX</w:t>
      </w:r>
      <w:r>
        <w:rPr>
          <w:rFonts w:ascii="Times New Roman;serif" w:hAnsi="Times New Roman;serif"/>
          <w:b w:val="false"/>
          <w:color w:val="000000"/>
          <w:sz w:val="13"/>
        </w:rPr>
        <w:t>®</w:t>
      </w:r>
      <w:r>
        <w:rPr>
          <w:rFonts w:ascii="Times New Roman;serif" w:hAnsi="Times New Roman;serif"/>
          <w:b w:val="false"/>
          <w:color w:val="000000"/>
          <w:sz w:val="20"/>
        </w:rPr>
        <w: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XPHOZAH</w:t>
      </w:r>
      <w:r>
        <w:rPr>
          <w:rFonts w:ascii="Times New Roman;serif" w:hAnsi="Times New Roman;serif"/>
          <w:b/>
          <w:color w:val="000000"/>
          <w:sz w:val="13"/>
        </w:rPr>
        <w:t xml:space="preserve">® </w:t>
      </w:r>
      <w:r>
        <w:rPr>
          <w:rFonts w:ascii="Times New Roman;serif" w:hAnsi="Times New Roman;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TABLE OF CONTENTS</w:t>
      </w:r>
    </w:p>
    <w:tbl>
      <w:tblPr>
        <w:tblW w:w="9673" w:type="dxa"/>
        <w:jc w:val="center"/>
        <w:tblInd w:w="0" w:type="dxa"/>
        <w:tblLayout w:type="fixed"/>
        <w:tblCellMar>
          <w:top w:w="28" w:type="dxa"/>
          <w:left w:w="28" w:type="dxa"/>
          <w:bottom w:w="28" w:type="dxa"/>
          <w:right w:w="28" w:type="dxa"/>
        </w:tblCellMar>
      </w:tblPr>
      <w:tblGrid>
        <w:gridCol w:w="293"/>
        <w:gridCol w:w="258"/>
        <w:gridCol w:w="259"/>
        <w:gridCol w:w="2653"/>
        <w:gridCol w:w="2653"/>
        <w:gridCol w:w="265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3">
              <w:r>
                <w:rPr>
                  <w:rStyle w:val="InternetLink"/>
                  <w:rFonts w:ascii="Times New Roman;serif" w:hAnsi="Times New Roman;serif"/>
                  <w:b/>
                  <w:color w:val="0000FF"/>
                  <w:sz w:val="20"/>
                  <w:u w:val="single"/>
                </w:rPr>
                <w:t>PART I. 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6">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6">
              <w:r>
                <w:rPr>
                  <w:rStyle w:val="InternetLink"/>
                  <w:rFonts w:ascii="Times New Roman;serif" w:hAnsi="Times New Roman;serif"/>
                  <w:b w:val="false"/>
                  <w:color w:val="0000FF"/>
                  <w:sz w:val="20"/>
                  <w:u w:val="single"/>
                </w:rPr>
                <w:t>Financial Statements (Unaudited)</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6">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9">
              <w:r>
                <w:rPr>
                  <w:rStyle w:val="InternetLink"/>
                  <w:rFonts w:ascii="Times New Roman;serif" w:hAnsi="Times New Roman;serif"/>
                  <w:b w:val="false"/>
                  <w:color w:val="0000FF"/>
                  <w:sz w:val="20"/>
                  <w:u w:val="single"/>
                </w:rPr>
                <w:t>Condensed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22">
              <w:r>
                <w:rPr>
                  <w:rStyle w:val="InternetLink"/>
                  <w:rFonts w:ascii="Times New Roman;serif" w:hAnsi="Times New Roman;serif"/>
                  <w:b w:val="false"/>
                  <w:color w:val="0000FF"/>
                  <w:sz w:val="20"/>
                  <w:u w:val="single"/>
                </w:rPr>
                <w:t>Condensed Statements of Operations and Comprehensive Loss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25">
              <w:r>
                <w:rPr>
                  <w:rStyle w:val="InternetLink"/>
                  <w:rFonts w:ascii="Times New Roman;serif" w:hAnsi="Times New Roman;serif"/>
                  <w:b w:val="false"/>
                  <w:color w:val="0000FF"/>
                  <w:sz w:val="20"/>
                  <w:u w:val="single"/>
                </w:rPr>
                <w:t>Condensed Statements of Changes in Stockholders’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31">
              <w:r>
                <w:rPr>
                  <w:rStyle w:val="InternetLink"/>
                  <w:rFonts w:ascii="Times New Roman;serif" w:hAnsi="Times New Roman;serif"/>
                  <w:b w:val="false"/>
                  <w:color w:val="0000FF"/>
                  <w:sz w:val="20"/>
                  <w:u w:val="single"/>
                </w:rPr>
                <w:t>Condensed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31">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34">
              <w:r>
                <w:rPr>
                  <w:rStyle w:val="InternetLink"/>
                  <w:rFonts w:ascii="Times New Roman;serif" w:hAnsi="Times New Roman;serif"/>
                  <w:b w:val="false"/>
                  <w:color w:val="0000FF"/>
                  <w:sz w:val="20"/>
                  <w:u w:val="single"/>
                </w:rPr>
                <w:t>Notes to Condensed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34">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06">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06">
              <w:r>
                <w:rPr>
                  <w:rStyle w:val="InternetLink"/>
                  <w:rFonts w:ascii="Times New Roman;serif" w:hAnsi="Times New Roman;serif"/>
                  <w:b w:val="false"/>
                  <w:color w:val="0000FF"/>
                  <w:sz w:val="20"/>
                  <w:u w:val="single"/>
                </w:rPr>
                <w:t>17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27">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27">
              <w:r>
                <w:rPr>
                  <w:rStyle w:val="InternetLink"/>
                  <w:rFonts w:ascii="Times New Roman;serif" w:hAnsi="Times New Roman;serif"/>
                  <w:b w:val="false"/>
                  <w:color w:val="0000FF"/>
                  <w:sz w:val="20"/>
                  <w:u w:val="single"/>
                </w:rPr>
                <w:t>Quantitative and Qualitative Disclosures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27">
              <w:r>
                <w:rPr>
                  <w:rStyle w:val="InternetLink"/>
                  <w:rFonts w:ascii="Times New Roman;serif" w:hAnsi="Times New Roman;serif"/>
                  <w:b w:val="false"/>
                  <w:color w:val="0000FF"/>
                  <w:sz w:val="20"/>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30">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30">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30">
              <w:r>
                <w:rPr>
                  <w:rStyle w:val="InternetLink"/>
                  <w:rFonts w:ascii="Times New Roman;serif" w:hAnsi="Times New Roman;serif"/>
                  <w:b w:val="false"/>
                  <w:color w:val="0000FF"/>
                  <w:sz w:val="20"/>
                  <w:u w:val="single"/>
                </w:rPr>
                <w:t>24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33">
              <w:r>
                <w:rPr>
                  <w:rStyle w:val="InternetLink"/>
                  <w:rFonts w:ascii="Times New Roman;serif" w:hAnsi="Times New Roman;serif"/>
                  <w:b/>
                  <w:color w:val="0000FF"/>
                  <w:sz w:val="20"/>
                  <w:u w:val="single"/>
                </w:rPr>
                <w:t>PART II. 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36">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36">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36">
              <w:r>
                <w:rPr>
                  <w:rStyle w:val="InternetLink"/>
                  <w:rFonts w:ascii="Times New Roman;serif" w:hAnsi="Times New Roman;serif"/>
                  <w:b w:val="false"/>
                  <w:color w:val="0000FF"/>
                  <w:sz w:val="20"/>
                  <w:u w:val="single"/>
                </w:rPr>
                <w:t>24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39">
              <w:r>
                <w:rPr>
                  <w:rStyle w:val="InternetLink"/>
                  <w:rFonts w:ascii="Times New Roman;serif" w:hAnsi="Times New Roman;serif"/>
                  <w:b w:val="false"/>
                  <w:color w:val="0000FF"/>
                  <w:sz w:val="20"/>
                  <w:u w:val="single"/>
                </w:rPr>
                <w:t>Item 1A.</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39">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39">
              <w:r>
                <w:rPr>
                  <w:rStyle w:val="InternetLink"/>
                  <w:rFonts w:ascii="Times New Roman;serif" w:hAnsi="Times New Roman;serif"/>
                  <w:b w:val="false"/>
                  <w:color w:val="0000FF"/>
                  <w:sz w:val="20"/>
                  <w:u w:val="single"/>
                </w:rPr>
                <w:t>24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42">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42">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42">
              <w:r>
                <w:rPr>
                  <w:rStyle w:val="InternetLink"/>
                  <w:rFonts w:ascii="Times New Roman;serif" w:hAnsi="Times New Roman;serif"/>
                  <w:b w:val="false"/>
                  <w:color w:val="0000FF"/>
                  <w:sz w:val="20"/>
                  <w:u w:val="single"/>
                </w:rPr>
                <w:t>60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45">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45">
              <w:r>
                <w:rPr>
                  <w:rStyle w:val="InternetLink"/>
                  <w:rFonts w:ascii="Times New Roman;serif" w:hAnsi="Times New Roman;serif"/>
                  <w:b w:val="false"/>
                  <w:color w:val="0000FF"/>
                  <w:sz w:val="20"/>
                  <w:u w:val="single"/>
                </w:rPr>
                <w:t>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45">
              <w:r>
                <w:rPr>
                  <w:rStyle w:val="InternetLink"/>
                  <w:rFonts w:ascii="Times New Roman;serif" w:hAnsi="Times New Roman;serif"/>
                  <w:b w:val="false"/>
                  <w:color w:val="0000FF"/>
                  <w:sz w:val="20"/>
                  <w:u w:val="single"/>
                </w:rPr>
                <w:t>61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48">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48">
              <w:r>
                <w:rPr>
                  <w:rStyle w:val="InternetLink"/>
                  <w:rFonts w:ascii="Times New Roman;serif" w:hAnsi="Times New Roman;serif"/>
                  <w:b w:val="false"/>
                  <w:color w:val="0000FF"/>
                  <w:sz w:val="20"/>
                  <w:u w:val="single"/>
                </w:rPr>
                <w:t>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48">
              <w:r>
                <w:rPr>
                  <w:rStyle w:val="InternetLink"/>
                  <w:rFonts w:ascii="Times New Roman;serif" w:hAnsi="Times New Roman;serif"/>
                  <w:b w:val="false"/>
                  <w:color w:val="0000FF"/>
                  <w:sz w:val="20"/>
                  <w:u w:val="single"/>
                </w:rPr>
                <w:t>61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51">
              <w:r>
                <w:rPr>
                  <w:rStyle w:val="InternetLink"/>
                  <w:rFonts w:ascii="Times New Roman;serif" w:hAnsi="Times New Roman;serif"/>
                  <w:b w:val="false"/>
                  <w:color w:val="0000FF"/>
                  <w:sz w:val="20"/>
                  <w:u w:val="single"/>
                </w:rPr>
                <w:t>Item 5.</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51">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51">
              <w:r>
                <w:rPr>
                  <w:rStyle w:val="InternetLink"/>
                  <w:rFonts w:ascii="Times New Roman;serif" w:hAnsi="Times New Roman;serif"/>
                  <w:b w:val="false"/>
                  <w:color w:val="0000FF"/>
                  <w:sz w:val="20"/>
                  <w:u w:val="single"/>
                </w:rPr>
                <w:t>61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57">
              <w:r>
                <w:rPr>
                  <w:rStyle w:val="InternetLink"/>
                  <w:rFonts w:ascii="Times New Roman;serif" w:hAnsi="Times New Roman;serif"/>
                  <w:b w:val="false"/>
                  <w:color w:val="0000FF"/>
                  <w:sz w:val="20"/>
                  <w:u w:val="single"/>
                </w:rPr>
                <w:t>Item 6.</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57">
              <w:r>
                <w:rPr>
                  <w:rStyle w:val="InternetLink"/>
                  <w:rFonts w:ascii="Times New Roman;serif" w:hAnsi="Times New Roman;serif"/>
                  <w:b w:val="false"/>
                  <w:color w:val="0000FF"/>
                  <w:sz w:val="20"/>
                  <w:u w:val="single"/>
                </w:rPr>
                <w:t>Exhibits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57">
              <w:r>
                <w:rPr>
                  <w:rStyle w:val="InternetLink"/>
                  <w:rFonts w:ascii="Times New Roman;serif" w:hAnsi="Times New Roman;serif"/>
                  <w:b w:val="false"/>
                  <w:color w:val="0000FF"/>
                  <w:sz w:val="20"/>
                  <w:u w:val="single"/>
                </w:rPr>
                <w:t>62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60">
              <w:r>
                <w:rPr>
                  <w:rStyle w:val="InternetLink"/>
                  <w:rFonts w:ascii="Times New Roman;serif" w:hAnsi="Times New Roman;serif"/>
                  <w:b w:val="false"/>
                  <w:color w:val="0000FF"/>
                  <w:sz w:val="20"/>
                  <w:u w:val="single"/>
                </w:rPr>
                <w:t>Signature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60">
              <w:r>
                <w:rPr>
                  <w:rStyle w:val="InternetLink"/>
                  <w:rFonts w:ascii="Times New Roman;serif" w:hAnsi="Times New Roman;serif"/>
                  <w:b w:val="false"/>
                  <w:color w:val="0000FF"/>
                  <w:sz w:val="20"/>
                  <w:u w:val="single"/>
                </w:rPr>
                <w:t>63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a3432916345bd915dfb6df9c9c91a_160">
              <w:r>
                <w:rPr>
                  <w:rStyle w:val="InternetLink"/>
                  <w:rFonts w:ascii="Times New Roman;serif" w:hAnsi="Times New Roman;serif"/>
                  <w:b w:val="false"/>
                  <w:color w:val="0000FF"/>
                  <w:sz w:val="20"/>
                  <w:u w:val="single"/>
                </w:rPr>
                <w:t>Summary of Abbreviated Terms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a3432916345bd915dfb6df9c9c91a_163">
              <w:r>
                <w:rPr>
                  <w:rStyle w:val="InternetLink"/>
                  <w:rFonts w:ascii="Times New Roman;serif" w:hAnsi="Times New Roman;serif"/>
                  <w:b w:val="false"/>
                  <w:color w:val="0000FF"/>
                  <w:sz w:val="20"/>
                  <w:u w:val="single"/>
                </w:rPr>
                <w:t>64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40"/>
        <w:gridCol w:w="2259"/>
        <w:gridCol w:w="2196"/>
        <w:gridCol w:w="232"/>
        <w:gridCol w:w="910"/>
        <w:gridCol w:w="120"/>
        <w:gridCol w:w="109"/>
        <w:gridCol w:w="109"/>
        <w:gridCol w:w="109"/>
        <w:gridCol w:w="251"/>
        <w:gridCol w:w="985"/>
        <w:gridCol w:w="185"/>
      </w:tblGrid>
      <w:tr>
        <w:trPr/>
        <w:tc>
          <w:tcPr>
            <w:tcW w:w="274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non-current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royalties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334,655 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500,000,000 shares authorized; 246,973,414 and 244,351,501 shares issued and outstanding as of March 31, 2026 and December 31, 2025, respectively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504,507 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8632" w:type="dxa"/>
        <w:jc w:val="center"/>
        <w:tblInd w:w="0" w:type="dxa"/>
        <w:tblLayout w:type="fixed"/>
        <w:tblCellMar>
          <w:top w:w="28" w:type="dxa"/>
          <w:left w:w="28" w:type="dxa"/>
          <w:bottom w:w="28" w:type="dxa"/>
          <w:right w:w="28" w:type="dxa"/>
        </w:tblCellMar>
      </w:tblPr>
      <w:tblGrid>
        <w:gridCol w:w="1881"/>
        <w:gridCol w:w="1649"/>
        <w:gridCol w:w="1659"/>
        <w:gridCol w:w="264"/>
        <w:gridCol w:w="922"/>
        <w:gridCol w:w="118"/>
        <w:gridCol w:w="118"/>
        <w:gridCol w:w="118"/>
        <w:gridCol w:w="118"/>
        <w:gridCol w:w="264"/>
        <w:gridCol w:w="922"/>
        <w:gridCol w:w="118"/>
        <w:gridCol w:w="109"/>
        <w:gridCol w:w="109"/>
        <w:gridCol w:w="109"/>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245,855,082 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238,624,145 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ARDELYX,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44"/>
        <w:gridCol w:w="784"/>
        <w:gridCol w:w="178"/>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244,351,501 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246,973,414 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148,622 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404"/>
        <w:gridCol w:w="692"/>
        <w:gridCol w:w="210"/>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238,015,825 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239,201,256 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798" w:type="dxa"/>
        <w:jc w:val="center"/>
        <w:tblInd w:w="0" w:type="dxa"/>
        <w:tblLayout w:type="fixed"/>
        <w:tblCellMar>
          <w:top w:w="28" w:type="dxa"/>
          <w:left w:w="28" w:type="dxa"/>
          <w:bottom w:w="28" w:type="dxa"/>
          <w:right w:w="28" w:type="dxa"/>
        </w:tblCellMar>
      </w:tblPr>
      <w:tblGrid>
        <w:gridCol w:w="2162"/>
        <w:gridCol w:w="1897"/>
        <w:gridCol w:w="1910"/>
        <w:gridCol w:w="229"/>
        <w:gridCol w:w="866"/>
        <w:gridCol w:w="118"/>
        <w:gridCol w:w="118"/>
        <w:gridCol w:w="118"/>
        <w:gridCol w:w="118"/>
        <w:gridCol w:w="229"/>
        <w:gridCol w:w="866"/>
        <w:gridCol w:w="167"/>
      </w:tblGrid>
      <w:tr>
        <w:trPr/>
        <w:tc>
          <w:tcPr>
            <w:tcW w:w="216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investments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equity incentive plans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(refunded) paid for income taxes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ARDELYX,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NATURE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 sodium/hydrogen exchanger (NHE3) inhibitor that was discovered and developed by Ardelyx. NHE3 is an antiporter expressed on the apical surface of the small and large intestines. Tenapanor is a minimally absorbed, small molecule therapy.</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irritable bowel syndrome with constipation (IBS-C). We are seeking to further expand the IBSRELA eligible patient population to include patients with chronic idiopathic constipation (CIC), and have initiated a Phase 3 clinical trial evaluating tenapanor in adult CIC patients.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developing a next-generation NHE3 inhibitor, RDX10531, which has demonstrated in preclinical models to have improved solubility and potency compared to tenapanor. We believe that RDX10531 can have application across multiple therapeutic areas.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one business segment, which is the development and commercialization of biopharmaceutical products. Refer to </w:t>
      </w:r>
      <w:r>
        <w:rPr>
          <w:rFonts w:ascii="Times New Roman;serif" w:hAnsi="Times New Roman;serif"/>
          <w:b w:val="false"/>
          <w:i/>
          <w:color w:val="000000"/>
          <w:sz w:val="20"/>
        </w:rPr>
        <w:t>Note 12. Segment Reporting</w:t>
      </w:r>
      <w:r>
        <w:rPr>
          <w:color w:val="000000"/>
        </w:rPr>
        <w:t xml:space="preserve"> </w:t>
      </w:r>
      <w:r>
        <w:rPr>
          <w:rFonts w:ascii="Times New Roman;serif" w:hAnsi="Times New Roman;serif"/>
          <w:b w:val="false"/>
          <w:color w:val="000000"/>
          <w:sz w:val="20"/>
        </w:rPr>
        <w:t>for further segment reporting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financial statements have been prepared in accordance with U.S. GAAP and pursuant to the requirements of the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normal and recurring adjustments necessary to present fairly our financial position, results of operations, changes in stockholders’ equity and cash flows for the interim periods presented.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Certain prior year amounts have been reclassified to conform to the current year presentation on the condensed statements of operations and comprehensive loss to include the “cost of product sales” and the “other cost of revenue” captions within the “cost of sales” caption. Certain prior year amounts have also been reclassified to conform to the current year presentation in </w:t>
      </w:r>
      <w:r>
        <w:rPr>
          <w:rFonts w:ascii="Times New Roman;serif" w:hAnsi="Times New Roman;serif"/>
          <w:b w:val="false"/>
          <w:i/>
          <w:color w:val="000000"/>
          <w:sz w:val="20"/>
        </w:rPr>
        <w:t>Note 12. Segment Reporting</w:t>
      </w:r>
      <w:r>
        <w:rPr>
          <w:rFonts w:ascii="Times New Roman;serif" w:hAnsi="Times New Roman;serif"/>
          <w:b w:val="false"/>
          <w:color w:val="000000"/>
          <w:sz w:val="20"/>
        </w:rPr>
        <w:t xml:space="preserve">. These reclassifications had no effect on the previously reported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and related financial information should be read in conjunction with the audited financial statements and the related notes thereto included in our 2025 Form 10-K. The results for the three months ended March 31, 2026 are not necessarily indicative of results to be expected for the entire year ending December 31, 2026, or for any other interim period or future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judgments and assumptions. The most significant assumptions are estimates used in our revenue gross-to-net accruals and other assumptions. Management bases its estimates on historical experience and on various other market-specific and relevant assumptions that management believes to be reasonable under the circumstances. Actual results could materially differ from those estimates. Our critical accounting policies and estimates are discussed in our 2025 Form 10-K.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our balance sheets. Cash, cash equivalents and short-term investments are invested through banks and other financial institutions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No. 2024-03, Income Statement (Topic 220) - </w:t>
      </w:r>
      <w:r>
        <w:rPr>
          <w:rFonts w:ascii="Times New Roman;serif" w:hAnsi="Times New Roman;serif"/>
          <w:b w:val="false"/>
          <w:i/>
          <w:color w:val="000000"/>
          <w:sz w:val="20"/>
        </w:rPr>
        <w:t>Reporting Comprehensive Income - Expense Disaggregation Disclosures, Disaggregation of Income Statement Expenses</w:t>
      </w:r>
      <w:r>
        <w:rPr>
          <w:rFonts w:ascii="Times New Roman;serif" w:hAnsi="Times New Roman;serif"/>
          <w:b w:val="false"/>
          <w:color w:val="000000"/>
          <w:sz w:val="20"/>
        </w:rPr>
        <w:t>, which requires public companies to disclose, in interim and annual reporting periods, additional information about certain expenses in the financial statements. The new disclosure requirements are effective for the Company’s annual periods beginning January 1, 2027, and interim periods beginning January 1, 2028, with early adoption permitted, and may be applied either prospectively or retrospectively.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CASH, CASH EQUIVALENTS AND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cash equivalents and short-term investments:</w:t>
      </w:r>
    </w:p>
    <w:tbl>
      <w:tblPr>
        <w:tblW w:w="11938" w:type="dxa"/>
        <w:jc w:val="center"/>
        <w:tblInd w:w="0" w:type="dxa"/>
        <w:tblLayout w:type="fixed"/>
        <w:tblCellMar>
          <w:top w:w="28" w:type="dxa"/>
          <w:left w:w="28" w:type="dxa"/>
          <w:bottom w:w="28" w:type="dxa"/>
          <w:right w:w="28" w:type="dxa"/>
        </w:tblCellMar>
      </w:tblPr>
      <w:tblGrid>
        <w:gridCol w:w="978"/>
        <w:gridCol w:w="696"/>
        <w:gridCol w:w="307"/>
        <w:gridCol w:w="211"/>
        <w:gridCol w:w="826"/>
        <w:gridCol w:w="109"/>
        <w:gridCol w:w="109"/>
        <w:gridCol w:w="109"/>
        <w:gridCol w:w="109"/>
        <w:gridCol w:w="211"/>
        <w:gridCol w:w="406"/>
        <w:gridCol w:w="109"/>
        <w:gridCol w:w="109"/>
        <w:gridCol w:w="109"/>
        <w:gridCol w:w="109"/>
        <w:gridCol w:w="211"/>
        <w:gridCol w:w="481"/>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or losses have not been significant and are included in other income, net in our condensed statements of operations and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losses as of March 31, 2026 and December 31, 2025 were not material. All of the short-term available-for-sale securities held as of March 31, 2026 and December 31, 2025 had contractual maturities of less than one year, and no investment was in a continuous unrealized loss position for more than one year. Therefore, we believe that it is more likely than not that the investments will be held until maturity or a forecasted recovery of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March 31, 2026 and December 31, 2025.</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See “Cash Equivalents” and “Short-Term Investments” captions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2025 Form 10-K for more information on our accounting policies for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must maximize the use of observable inputs and minimize the use of unobservable inputs. The three-level hierarchy for the inputs to valuation techniques is briefly summarized as follows:</w:t>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unobservable inputs for which there is little or no market data, which require us to develop our own assumptions.</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our financial assets that are measured or disclosed on a recurring basis by level within the fair value hierarchy:</w:t>
      </w:r>
    </w:p>
    <w:tbl>
      <w:tblPr>
        <w:tblW w:w="12433" w:type="dxa"/>
        <w:jc w:val="center"/>
        <w:tblInd w:w="0" w:type="dxa"/>
        <w:tblLayout w:type="fixed"/>
        <w:tblCellMar>
          <w:top w:w="28" w:type="dxa"/>
          <w:left w:w="28" w:type="dxa"/>
          <w:bottom w:w="28" w:type="dxa"/>
          <w:right w:w="28" w:type="dxa"/>
        </w:tblCellMar>
      </w:tblPr>
      <w:tblGrid>
        <w:gridCol w:w="1007"/>
        <w:gridCol w:w="484"/>
        <w:gridCol w:w="490"/>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outstanding principal under our 2022 Loan Agreement is subject to a variable interest rate and therefore, we believe the carrying amount of the term loan facility approximated its fair value as of March 31, 2026 and December 31, 2025. See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for a description of the Level 2 inputs used to estimate the fair value of the liability.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carrying value of the deferred royalty obligation related to the sale of future royalties approximated its fair value as of March 31, 2026 and December 31, 2025, and is based on our current estimates of future royalties and commercialization milestones expected to be received by HCR over the life of the HCR Agreement. See </w:t>
      </w:r>
      <w:r>
        <w:rPr>
          <w:rFonts w:ascii="Times New Roman;serif" w:hAnsi="Times New Roman;serif"/>
          <w:b w:val="false"/>
          <w:i/>
          <w:color w:val="000000"/>
          <w:sz w:val="20"/>
        </w:rPr>
        <w:t>Note 7. Deferred Royalty Obligation Related to the Sale of Future Royalties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consisted of the following: </w:t>
      </w:r>
    </w:p>
    <w:tbl>
      <w:tblPr>
        <w:tblW w:w="5485" w:type="dxa"/>
        <w:jc w:val="center"/>
        <w:tblInd w:w="0" w:type="dxa"/>
        <w:tblLayout w:type="fixed"/>
        <w:tblCellMar>
          <w:top w:w="28" w:type="dxa"/>
          <w:left w:w="28" w:type="dxa"/>
          <w:bottom w:w="28" w:type="dxa"/>
          <w:right w:w="28" w:type="dxa"/>
        </w:tblCellMar>
      </w:tblPr>
      <w:tblGrid>
        <w:gridCol w:w="706"/>
        <w:gridCol w:w="621"/>
        <w:gridCol w:w="622"/>
        <w:gridCol w:w="265"/>
        <w:gridCol w:w="1038"/>
        <w:gridCol w:w="137"/>
        <w:gridCol w:w="109"/>
        <w:gridCol w:w="109"/>
        <w:gridCol w:w="109"/>
        <w:gridCol w:w="313"/>
        <w:gridCol w:w="1228"/>
        <w:gridCol w:w="22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with third-party CMOs not included in inventory was $18.9 million and $14.5 million as of March 31, 2026 and December 31, 2025, respectively. There were $4.2 million prepayments expected to be converted into inventory after 12 months as of March 31, 2026, compared to none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Disaggregation of total revenues by nature is as follows:</w:t>
      </w:r>
    </w:p>
    <w:tbl>
      <w:tblPr>
        <w:tblW w:w="8428" w:type="dxa"/>
        <w:jc w:val="left"/>
        <w:tblInd w:w="0" w:type="dxa"/>
        <w:tblLayout w:type="fixed"/>
        <w:tblCellMar>
          <w:top w:w="28" w:type="dxa"/>
          <w:left w:w="28" w:type="dxa"/>
          <w:bottom w:w="28" w:type="dxa"/>
          <w:right w:w="28" w:type="dxa"/>
        </w:tblCellMar>
      </w:tblPr>
      <w:tblGrid>
        <w:gridCol w:w="1869"/>
        <w:gridCol w:w="1644"/>
        <w:gridCol w:w="1646"/>
        <w:gridCol w:w="244"/>
        <w:gridCol w:w="835"/>
        <w:gridCol w:w="126"/>
        <w:gridCol w:w="126"/>
        <w:gridCol w:w="126"/>
        <w:gridCol w:w="126"/>
        <w:gridCol w:w="244"/>
        <w:gridCol w:w="835"/>
        <w:gridCol w:w="126"/>
        <w:gridCol w:w="109"/>
        <w:gridCol w:w="109"/>
        <w:gridCol w:w="109"/>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product sales, net was as follows:</w:t>
      </w:r>
    </w:p>
    <w:tbl>
      <w:tblPr>
        <w:tblW w:w="7468" w:type="dxa"/>
        <w:jc w:val="center"/>
        <w:tblInd w:w="0" w:type="dxa"/>
        <w:tblLayout w:type="fixed"/>
        <w:tblCellMar>
          <w:top w:w="28" w:type="dxa"/>
          <w:left w:w="28" w:type="dxa"/>
          <w:bottom w:w="28" w:type="dxa"/>
          <w:right w:w="28" w:type="dxa"/>
        </w:tblCellMar>
      </w:tblPr>
      <w:tblGrid>
        <w:gridCol w:w="1522"/>
        <w:gridCol w:w="1338"/>
        <w:gridCol w:w="1340"/>
        <w:gridCol w:w="215"/>
        <w:gridCol w:w="736"/>
        <w:gridCol w:w="276"/>
        <w:gridCol w:w="111"/>
        <w:gridCol w:w="111"/>
        <w:gridCol w:w="111"/>
        <w:gridCol w:w="215"/>
        <w:gridCol w:w="736"/>
        <w:gridCol w:w="276"/>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 as a percentage of total revenues</w:t>
            </w:r>
          </w:p>
        </w:tc>
        <w:tc>
          <w:tcPr>
            <w:tcW w:w="9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product sales from Customers accounting for more than 10% of total revenues were as follows:</w:t>
      </w:r>
    </w:p>
    <w:tbl>
      <w:tblPr>
        <w:tblW w:w="5412" w:type="dxa"/>
        <w:jc w:val="center"/>
        <w:tblInd w:w="0" w:type="dxa"/>
        <w:tblLayout w:type="fixed"/>
        <w:tblCellMar>
          <w:top w:w="28" w:type="dxa"/>
          <w:left w:w="28" w:type="dxa"/>
          <w:bottom w:w="28" w:type="dxa"/>
          <w:right w:w="28" w:type="dxa"/>
        </w:tblCellMar>
      </w:tblPr>
      <w:tblGrid>
        <w:gridCol w:w="733"/>
        <w:gridCol w:w="645"/>
        <w:gridCol w:w="646"/>
        <w:gridCol w:w="292"/>
        <w:gridCol w:w="233"/>
        <w:gridCol w:w="579"/>
        <w:gridCol w:w="233"/>
        <w:gridCol w:w="233"/>
        <w:gridCol w:w="233"/>
        <w:gridCol w:w="292"/>
        <w:gridCol w:w="233"/>
        <w:gridCol w:w="579"/>
        <w:gridCol w:w="109"/>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Customers</w:t>
            </w:r>
            <w:r>
              <w:rPr>
                <w:rFonts w:ascii="Times New Roman;serif" w:hAnsi="Times New Roman;serif"/>
                <w:b w:val="false"/>
                <w:color w:val="000000"/>
                <w:sz w:val="13"/>
              </w:rPr>
              <w:t>(1)</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BioRidge Pharma, LLC</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Cencora, Inc.</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 Inc.</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Caremark, LLC</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total of the above percentages exceeds 100% as the numerators used in the calculations represent gross product sales for each Customer, as opposed to product sales, net as presented in our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0"/>
        <w:gridCol w:w="646"/>
        <w:gridCol w:w="647"/>
        <w:gridCol w:w="430"/>
        <w:gridCol w:w="1259"/>
        <w:gridCol w:w="223"/>
        <w:gridCol w:w="109"/>
        <w:gridCol w:w="109"/>
        <w:gridCol w:w="109"/>
        <w:gridCol w:w="447"/>
        <w:gridCol w:w="1530"/>
        <w:gridCol w:w="231"/>
        <w:gridCol w:w="109"/>
        <w:gridCol w:w="109"/>
        <w:gridCol w:w="109"/>
        <w:gridCol w:w="397"/>
        <w:gridCol w:w="1357"/>
        <w:gridCol w:w="204"/>
        <w:gridCol w:w="109"/>
        <w:gridCol w:w="109"/>
        <w:gridCol w:w="109"/>
        <w:gridCol w:w="211"/>
        <w:gridCol w:w="721"/>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39,413 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Adjustments to prior period provisions recorded in the current period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COLLABORATION AND LICENSING AGREEMENTS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out-licensed to external partners for the development and commercialization of tenapanor outside of the U.S. We recognize revenue from our collaboration partnerships as licensing revenue, product supply revenue or non-cash royalty revenue related to the sale of future royalties. See </w:t>
      </w:r>
      <w:r>
        <w:rPr>
          <w:rFonts w:ascii="Times New Roman;serif" w:hAnsi="Times New Roman;serif"/>
          <w:b w:val="false"/>
          <w:i/>
          <w:color w:val="000000"/>
          <w:sz w:val="20"/>
        </w:rPr>
        <w:t>Note 7. Collaboration and Licensing Agreements</w:t>
      </w:r>
      <w:r>
        <w:rPr>
          <w:color w:val="000000"/>
        </w:rPr>
        <w:t xml:space="preserve"> </w:t>
      </w:r>
      <w:r>
        <w:rPr>
          <w:rFonts w:ascii="Times New Roman;serif" w:hAnsi="Times New Roman;serif"/>
          <w:b w:val="false"/>
          <w:color w:val="000000"/>
          <w:sz w:val="20"/>
        </w:rPr>
        <w:t xml:space="preserve">and “Collaboration and Licensing Revenue” caption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2025 Form 10-K for more information on the nature, purpose, significant rights and obligations of the parties, as well as our accounting policies for such revenue streams.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revenues by collaboration partner:</w:t>
      </w:r>
    </w:p>
    <w:tbl>
      <w:tblPr>
        <w:tblW w:w="8427" w:type="dxa"/>
        <w:jc w:val="center"/>
        <w:tblInd w:w="0" w:type="dxa"/>
        <w:tblLayout w:type="fixed"/>
        <w:tblCellMar>
          <w:top w:w="28" w:type="dxa"/>
          <w:left w:w="28" w:type="dxa"/>
          <w:bottom w:w="28" w:type="dxa"/>
          <w:right w:w="28" w:type="dxa"/>
        </w:tblCellMar>
      </w:tblPr>
      <w:tblGrid>
        <w:gridCol w:w="1867"/>
        <w:gridCol w:w="1645"/>
        <w:gridCol w:w="1647"/>
        <w:gridCol w:w="287"/>
        <w:gridCol w:w="634"/>
        <w:gridCol w:w="148"/>
        <w:gridCol w:w="148"/>
        <w:gridCol w:w="148"/>
        <w:gridCol w:w="148"/>
        <w:gridCol w:w="287"/>
        <w:gridCol w:w="839"/>
        <w:gridCol w:w="148"/>
        <w:gridCol w:w="109"/>
        <w:gridCol w:w="109"/>
        <w:gridCol w:w="109"/>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Knight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licensing revenue</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Knight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supply revenue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current deferred revenue balances by collaboration partner:</w:t>
      </w:r>
    </w:p>
    <w:tbl>
      <w:tblPr>
        <w:tblW w:w="10205" w:type="dxa"/>
        <w:jc w:val="center"/>
        <w:tblInd w:w="0" w:type="dxa"/>
        <w:tblLayout w:type="fixed"/>
        <w:tblCellMar>
          <w:top w:w="28" w:type="dxa"/>
          <w:left w:w="28" w:type="dxa"/>
          <w:bottom w:w="28" w:type="dxa"/>
          <w:right w:w="28" w:type="dxa"/>
        </w:tblCellMar>
      </w:tblPr>
      <w:tblGrid>
        <w:gridCol w:w="911"/>
        <w:gridCol w:w="768"/>
        <w:gridCol w:w="769"/>
        <w:gridCol w:w="263"/>
        <w:gridCol w:w="506"/>
        <w:gridCol w:w="135"/>
        <w:gridCol w:w="109"/>
        <w:gridCol w:w="109"/>
        <w:gridCol w:w="109"/>
        <w:gridCol w:w="245"/>
        <w:gridCol w:w="716"/>
        <w:gridCol w:w="126"/>
        <w:gridCol w:w="109"/>
        <w:gridCol w:w="109"/>
        <w:gridCol w:w="109"/>
        <w:gridCol w:w="211"/>
        <w:gridCol w:w="616"/>
        <w:gridCol w:w="109"/>
        <w:gridCol w:w="109"/>
        <w:gridCol w:w="109"/>
        <w:gridCol w:w="109"/>
        <w:gridCol w:w="223"/>
        <w:gridCol w:w="765"/>
        <w:gridCol w:w="115"/>
        <w:gridCol w:w="109"/>
        <w:gridCol w:w="109"/>
        <w:gridCol w:w="109"/>
        <w:gridCol w:w="290"/>
        <w:gridCol w:w="558"/>
        <w:gridCol w:w="150"/>
        <w:gridCol w:w="109"/>
        <w:gridCol w:w="109"/>
        <w:gridCol w:w="109"/>
        <w:gridCol w:w="211"/>
        <w:gridCol w:w="721"/>
        <w:gridCol w:w="162"/>
      </w:tblGrid>
      <w:tr>
        <w:trPr/>
        <w:tc>
          <w:tcPr>
            <w:tcW w:w="9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Current</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12 months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March 31,</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non-current deferred revenue balances by collaboration partner:</w:t>
      </w:r>
    </w:p>
    <w:tbl>
      <w:tblPr>
        <w:tblW w:w="10205" w:type="dxa"/>
        <w:jc w:val="center"/>
        <w:tblInd w:w="0" w:type="dxa"/>
        <w:tblLayout w:type="fixed"/>
        <w:tblCellMar>
          <w:top w:w="28" w:type="dxa"/>
          <w:left w:w="28" w:type="dxa"/>
          <w:bottom w:w="28" w:type="dxa"/>
          <w:right w:w="28" w:type="dxa"/>
        </w:tblCellMar>
      </w:tblPr>
      <w:tblGrid>
        <w:gridCol w:w="921"/>
        <w:gridCol w:w="772"/>
        <w:gridCol w:w="743"/>
        <w:gridCol w:w="223"/>
        <w:gridCol w:w="762"/>
        <w:gridCol w:w="115"/>
        <w:gridCol w:w="109"/>
        <w:gridCol w:w="109"/>
        <w:gridCol w:w="109"/>
        <w:gridCol w:w="286"/>
        <w:gridCol w:w="552"/>
        <w:gridCol w:w="148"/>
        <w:gridCol w:w="109"/>
        <w:gridCol w:w="109"/>
        <w:gridCol w:w="109"/>
        <w:gridCol w:w="211"/>
        <w:gridCol w:w="721"/>
        <w:gridCol w:w="109"/>
        <w:gridCol w:w="109"/>
        <w:gridCol w:w="109"/>
        <w:gridCol w:w="109"/>
        <w:gridCol w:w="232"/>
        <w:gridCol w:w="679"/>
        <w:gridCol w:w="120"/>
        <w:gridCol w:w="109"/>
        <w:gridCol w:w="109"/>
        <w:gridCol w:w="109"/>
        <w:gridCol w:w="286"/>
        <w:gridCol w:w="552"/>
        <w:gridCol w:w="148"/>
        <w:gridCol w:w="109"/>
        <w:gridCol w:w="109"/>
        <w:gridCol w:w="109"/>
        <w:gridCol w:w="211"/>
        <w:gridCol w:w="616"/>
        <w:gridCol w:w="163"/>
      </w:tblGrid>
      <w:tr>
        <w:trPr/>
        <w:tc>
          <w:tcPr>
            <w:tcW w:w="9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Non-current</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12 months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March 31,</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developments and updates related to our collaboration partnerships in the three months ended March 31, 2026 and 2025 are discussed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Fosun Pharma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March 2026, Fosun Pharma reported the first commercial sales of tenapanor, marketed under the Chinese trade name Wan Ti Le, for patients with CKD on hemodialysis with hyperphosphatemia in China. Pursuant to the terms of the license and manufacturing services agreements with Fosun Pharma, we are eligible to receive reimbursement of cost plus a reasonable overhead for the supply of product and tiered royalties on net sales ranging from the mid-teens to 20%.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NDA approval by China’s Center for Drug Evaluation of the NMPA for tenapanor in the control of serum phosphorus in adult patients with CKD on hemodialysis. This approval triggered a $5.0 million milestone to us, which was recorded as licensing revenue in our condensed statements of operations and comprehensive loss in the 2025 first quarter.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Knight - Former Collaboration Partner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as of March 13, 2026, we entered into a termination agreement with Knight, pursuant to which we and Knight agreed to mutually terminate our exclusive license agreement for the development, commercialization and distribution of tenapanor in Canada for hyperphosphatemia and IBS-C. The decision was not related to any concerns regarding the safety, efficacy or quality of the product. Sales of IBSRELA in Canada were discontinued effective March 31, 2026. The termination did not have a material effect on our operations or financial results, and we do not expect it to adversely impact our operations or financial results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AstraZeneca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AstraZeneca Termination Agreement, we recognized royalty expense as cost of sales in our condensed statements of operations and comprehensive loss of $8.8 million in the three months ended March 31, 2025. As of the end of the 2025 second quarter, we had fully recognized the maximum $75.0 million royalty obligation, which had been fully remitted as of the end of the 2025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DEFERRED ROYALTY OBLIGATION RELATED TO THE SALE OF FUTURE ROYALTIES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and HCR have an agreement in which HCR paid $15.0 million in exchange for royalty and commercialization milestone payments that we may receive under our Kyowa Kirin Agreement. See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of our 2025 Form 10-K for further discussion on the nature, purpose, significant rights and obligations of the parties, as well as our accounting policies regarding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Payments received from HCR are recorded as a deferred royalty obligation on our balance sheets, which is being amortized as non-cash interest expense over the estimated life of the HCR Agreement using the effective interest method. The deferred royalty obligation will be effectively repaid over the life of the HCR Agreement as we remit to HCR royalties and commercialization milestones paid to us by Kyowa Kirin. We periodically assess the estimated amounts and timing of future royalties and commercialization milestone payments from Kyowa Kirin and, to the extent that the amount or timing of such payments is materially different than our original estimates, we prospectively adjust the imputed interest rate and the related amortization of the deferred royalty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related to the HCR Agreement is as follows:</w:t>
      </w:r>
    </w:p>
    <w:tbl>
      <w:tblPr>
        <w:tblW w:w="8456" w:type="dxa"/>
        <w:jc w:val="center"/>
        <w:tblInd w:w="0" w:type="dxa"/>
        <w:tblLayout w:type="fixed"/>
        <w:tblCellMar>
          <w:top w:w="28" w:type="dxa"/>
          <w:left w:w="28" w:type="dxa"/>
          <w:bottom w:w="28" w:type="dxa"/>
          <w:right w:w="28" w:type="dxa"/>
        </w:tblCellMar>
      </w:tblPr>
      <w:tblGrid>
        <w:gridCol w:w="1879"/>
        <w:gridCol w:w="1652"/>
        <w:gridCol w:w="1659"/>
        <w:gridCol w:w="220"/>
        <w:gridCol w:w="721"/>
        <w:gridCol w:w="282"/>
        <w:gridCol w:w="113"/>
        <w:gridCol w:w="113"/>
        <w:gridCol w:w="113"/>
        <w:gridCol w:w="220"/>
        <w:gridCol w:w="721"/>
        <w:gridCol w:w="282"/>
        <w:gridCol w:w="109"/>
        <w:gridCol w:w="109"/>
        <w:gridCol w:w="109"/>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183" w:type="dxa"/>
        <w:jc w:val="center"/>
        <w:tblInd w:w="0" w:type="dxa"/>
        <w:tblLayout w:type="fixed"/>
        <w:tblCellMar>
          <w:top w:w="28" w:type="dxa"/>
          <w:left w:w="28" w:type="dxa"/>
          <w:bottom w:w="28" w:type="dxa"/>
          <w:right w:w="28" w:type="dxa"/>
        </w:tblCellMar>
      </w:tblPr>
      <w:tblGrid>
        <w:gridCol w:w="2074"/>
        <w:gridCol w:w="1825"/>
        <w:gridCol w:w="1830"/>
        <w:gridCol w:w="211"/>
        <w:gridCol w:w="721"/>
        <w:gridCol w:w="109"/>
        <w:gridCol w:w="109"/>
        <w:gridCol w:w="109"/>
        <w:gridCol w:w="109"/>
        <w:gridCol w:w="211"/>
        <w:gridCol w:w="721"/>
        <w:gridCol w:w="154"/>
      </w:tblGrid>
      <w:tr>
        <w:trPr/>
        <w:tc>
          <w:tcPr>
            <w:tcW w:w="207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commercialization milestone payments remitted to HCR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BORROWING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outstanding term loans under the 2022 Loan Agreement: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1"/>
        <w:gridCol w:w="995"/>
        <w:gridCol w:w="998"/>
        <w:gridCol w:w="238"/>
        <w:gridCol w:w="893"/>
        <w:gridCol w:w="132"/>
        <w:gridCol w:w="109"/>
        <w:gridCol w:w="109"/>
        <w:gridCol w:w="109"/>
        <w:gridCol w:w="281"/>
        <w:gridCol w:w="1056"/>
        <w:gridCol w:w="155"/>
        <w:gridCol w:w="109"/>
        <w:gridCol w:w="109"/>
        <w:gridCol w:w="109"/>
        <w:gridCol w:w="1071"/>
        <w:gridCol w:w="1071"/>
        <w:gridCol w:w="1520"/>
      </w:tblGrid>
      <w:tr>
        <w:trPr/>
        <w:tc>
          <w:tcPr>
            <w:tcW w:w="11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 Rates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 Loan</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7.95% + 0.022% + SOFR (subject to a floor of 1.0%)</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B Loan</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7.95% + 0.022% + SOFR (subject to a floor of 1.0%)</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C Loan</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4.25% + 0.022% + SOFR (subject to a floor of 4.7%)</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D Loan</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+ 0.022% + SOFR (subject to a floor of 4.7%)</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E Loan</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+ 0.022% + SOFR (subject to a floor of 4.7%)</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principal value</w:t>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 and debt issuance costs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Accreted value of final fee</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203,517 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unaccreted final fee was $5.4 million and $5.9 million as of March 31, 2026 and December 31,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our total future payment obligation related to the outstanding balance of the term loans, excluding interest payments, was $209.9 million, which is due on July 1, 2028.</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March 31, 2026, there have been no changes to the principal, maturity, interest rates, interest payment terms and debt covenants since December 31, 2025.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of our 2025 Form 10-K for additional information regarding our 2022 Loan Agreement.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Effective as of April 28, 2026, we entered into the Sixth Amendment with SLR as collateral agent and the lenders party thereto. For additional information, refer to </w:t>
      </w:r>
      <w:r>
        <w:rPr>
          <w:rFonts w:ascii="Times New Roman;serif" w:hAnsi="Times New Roman;serif"/>
          <w:b w:val="false"/>
          <w:i/>
          <w:color w:val="000000"/>
          <w:sz w:val="20"/>
        </w:rPr>
        <w:t>Note 15. Subsequent Events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of our facility leases presented in our condensed balance sheets:</w:t>
      </w:r>
    </w:p>
    <w:tbl>
      <w:tblPr>
        <w:tblW w:w="7435" w:type="dxa"/>
        <w:jc w:val="center"/>
        <w:tblInd w:w="0" w:type="dxa"/>
        <w:tblLayout w:type="fixed"/>
        <w:tblCellMar>
          <w:top w:w="28" w:type="dxa"/>
          <w:left w:w="28" w:type="dxa"/>
          <w:bottom w:w="28" w:type="dxa"/>
          <w:right w:w="28" w:type="dxa"/>
        </w:tblCellMar>
      </w:tblPr>
      <w:tblGrid>
        <w:gridCol w:w="1412"/>
        <w:gridCol w:w="1242"/>
        <w:gridCol w:w="1246"/>
        <w:gridCol w:w="513"/>
        <w:gridCol w:w="264"/>
        <w:gridCol w:w="662"/>
        <w:gridCol w:w="109"/>
        <w:gridCol w:w="109"/>
        <w:gridCol w:w="109"/>
        <w:gridCol w:w="586"/>
        <w:gridCol w:w="302"/>
        <w:gridCol w:w="881"/>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Facilities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(in years)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lease costs, which are included in our condensed statements of operations and comprehensive loss, and the supplemental cash flow information related to the leases:</w:t>
      </w:r>
    </w:p>
    <w:tbl>
      <w:tblPr>
        <w:tblW w:w="5817" w:type="dxa"/>
        <w:jc w:val="center"/>
        <w:tblInd w:w="0" w:type="dxa"/>
        <w:tblLayout w:type="fixed"/>
        <w:tblCellMar>
          <w:top w:w="28" w:type="dxa"/>
          <w:left w:w="28" w:type="dxa"/>
          <w:bottom w:w="28" w:type="dxa"/>
          <w:right w:w="28" w:type="dxa"/>
        </w:tblCellMar>
      </w:tblPr>
      <w:tblGrid>
        <w:gridCol w:w="923"/>
        <w:gridCol w:w="812"/>
        <w:gridCol w:w="814"/>
        <w:gridCol w:w="287"/>
        <w:gridCol w:w="634"/>
        <w:gridCol w:w="148"/>
        <w:gridCol w:w="148"/>
        <w:gridCol w:w="148"/>
        <w:gridCol w:w="148"/>
        <w:gridCol w:w="287"/>
        <w:gridCol w:w="839"/>
        <w:gridCol w:w="148"/>
        <w:gridCol w:w="109"/>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undiscounted cash payment obligations for our operating lease liabilities as of March 31, 2026:</w:t>
      </w:r>
    </w:p>
    <w:tbl>
      <w:tblPr>
        <w:tblW w:w="5669" w:type="dxa"/>
        <w:jc w:val="center"/>
        <w:tblInd w:w="0" w:type="dxa"/>
        <w:tblLayout w:type="fixed"/>
        <w:tblCellMar>
          <w:top w:w="28" w:type="dxa"/>
          <w:left w:w="28" w:type="dxa"/>
          <w:bottom w:w="28" w:type="dxa"/>
          <w:right w:w="28" w:type="dxa"/>
        </w:tblCellMar>
      </w:tblPr>
      <w:tblGrid>
        <w:gridCol w:w="1461"/>
        <w:gridCol w:w="1286"/>
        <w:gridCol w:w="1288"/>
        <w:gridCol w:w="350"/>
        <w:gridCol w:w="1027"/>
        <w:gridCol w:w="257"/>
      </w:tblGrid>
      <w:tr>
        <w:trPr/>
        <w:tc>
          <w:tcPr>
            <w:tcW w:w="14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 expenses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liability</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the 2025 Open Market Sales Agreement, deemed to be “at-the-market offerings.” Pursuant to the 2025 Open Market Sales Agreement, Jefferies, as sales agent, may receive a commission of up to three percent of the gross sales price for shares of our common stock sold under the 2025 Open Market Sales Agreement. As of March 31, 2026, there have been no sales of our common stock under the 2025 Open Market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EQUITY INCENTIVE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RSUs and our ESPP included in our condensed statements of operations and comprehensive loss was as follows:</w:t>
      </w:r>
    </w:p>
    <w:tbl>
      <w:tblPr>
        <w:tblW w:w="6224" w:type="dxa"/>
        <w:jc w:val="center"/>
        <w:tblInd w:w="0" w:type="dxa"/>
        <w:tblLayout w:type="fixed"/>
        <w:tblCellMar>
          <w:top w:w="28" w:type="dxa"/>
          <w:left w:w="28" w:type="dxa"/>
          <w:bottom w:w="28" w:type="dxa"/>
          <w:right w:w="28" w:type="dxa"/>
        </w:tblCellMar>
      </w:tblPr>
      <w:tblGrid>
        <w:gridCol w:w="1069"/>
        <w:gridCol w:w="941"/>
        <w:gridCol w:w="945"/>
        <w:gridCol w:w="244"/>
        <w:gridCol w:w="835"/>
        <w:gridCol w:w="126"/>
        <w:gridCol w:w="126"/>
        <w:gridCol w:w="126"/>
        <w:gridCol w:w="126"/>
        <w:gridCol w:w="244"/>
        <w:gridCol w:w="835"/>
        <w:gridCol w:w="126"/>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total unrecognized stock-based compensation expense, net of estimated forfeitures, as of March 31, 2026 is as follows:</w:t>
      </w:r>
    </w:p>
    <w:tbl>
      <w:tblPr>
        <w:tblW w:w="8455" w:type="dxa"/>
        <w:jc w:val="center"/>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916"/>
        <w:gridCol w:w="916"/>
        <w:gridCol w:w="1302"/>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Unrecognized Compensation Expense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Remaining Vesting Period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grants</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and related information for the three months ended March 31, 2026 is as follows:</w:t>
      </w:r>
    </w:p>
    <w:tbl>
      <w:tblPr>
        <w:tblW w:w="8218" w:type="dxa"/>
        <w:jc w:val="center"/>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753"/>
        <w:gridCol w:w="1825"/>
        <w:gridCol w:w="392"/>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canceled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10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17,718 </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RSU activity and related information for the three months ended March 31, 2026 is as follows:</w:t>
      </w:r>
    </w:p>
    <w:tbl>
      <w:tblPr>
        <w:tblW w:w="10205" w:type="dxa"/>
        <w:jc w:val="center"/>
        <w:tblInd w:w="0" w:type="dxa"/>
        <w:tblLayout w:type="fixed"/>
        <w:tblCellMar>
          <w:top w:w="28" w:type="dxa"/>
          <w:left w:w="28" w:type="dxa"/>
          <w:bottom w:w="28" w:type="dxa"/>
          <w:right w:w="28" w:type="dxa"/>
        </w:tblCellMar>
      </w:tblPr>
      <w:tblGrid>
        <w:gridCol w:w="1717"/>
        <w:gridCol w:w="1505"/>
        <w:gridCol w:w="1514"/>
        <w:gridCol w:w="496"/>
        <w:gridCol w:w="495"/>
        <w:gridCol w:w="497"/>
        <w:gridCol w:w="109"/>
        <w:gridCol w:w="109"/>
        <w:gridCol w:w="109"/>
        <w:gridCol w:w="878"/>
        <w:gridCol w:w="2128"/>
        <w:gridCol w:w="648"/>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4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as of December 31,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as of March 31, 2026</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3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issued approximately 0.1 million shares of our common stock under the ESPP. The shares were purchased by employees at an average purchase price of $5.44 per share, resulting in proceeds to us of approximately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SEGMENT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a single reportable segment. The Chief Executive Officer is our Chief Operating Decision Maker, who primarily uses aggregated net loss as reported on the condensed statements of operations and comprehensive loss to measure segment loss, supplemented by certain additional significant expense details reflected in the table below. There have been no changes in the determination of segmentation or the measurements used to determine reported segment loss discussed in our 2025 Form 10-K. See </w:t>
      </w:r>
      <w:r>
        <w:rPr>
          <w:rFonts w:ascii="Times New Roman;serif" w:hAnsi="Times New Roman;serif"/>
          <w:b w:val="false"/>
          <w:i/>
          <w:color w:val="000000"/>
          <w:sz w:val="20"/>
        </w:rPr>
        <w:t>Note 17. Segment Reporting</w:t>
      </w:r>
      <w:r>
        <w:rPr>
          <w:color w:val="000000"/>
        </w:rPr>
        <w:t xml:space="preserve"> </w:t>
      </w:r>
      <w:r>
        <w:rPr>
          <w:rFonts w:ascii="Times New Roman;serif" w:hAnsi="Times New Roman;serif"/>
          <w:b w:val="false"/>
          <w:color w:val="000000"/>
          <w:sz w:val="20"/>
        </w:rPr>
        <w:t>of our 2025 Form 10-K for more discussion on our 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Detailed information regarding our single operating segment’s significant revenues, expenses and operating loss is as follows:</w:t>
      </w:r>
    </w:p>
    <w:tbl>
      <w:tblPr>
        <w:tblW w:w="6221" w:type="dxa"/>
        <w:jc w:val="center"/>
        <w:tblInd w:w="0" w:type="dxa"/>
        <w:tblLayout w:type="fixed"/>
        <w:tblCellMar>
          <w:top w:w="28" w:type="dxa"/>
          <w:left w:w="28" w:type="dxa"/>
          <w:bottom w:w="28" w:type="dxa"/>
          <w:right w:w="28" w:type="dxa"/>
        </w:tblCellMar>
      </w:tblPr>
      <w:tblGrid>
        <w:gridCol w:w="1070"/>
        <w:gridCol w:w="941"/>
        <w:gridCol w:w="943"/>
        <w:gridCol w:w="230"/>
        <w:gridCol w:w="868"/>
        <w:gridCol w:w="118"/>
        <w:gridCol w:w="118"/>
        <w:gridCol w:w="118"/>
        <w:gridCol w:w="118"/>
        <w:gridCol w:w="230"/>
        <w:gridCol w:w="868"/>
        <w:gridCol w:w="118"/>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(1)</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 sales</w:t>
            </w:r>
            <w:r>
              <w:rPr>
                <w:rFonts w:ascii="Times New Roman;serif" w:hAnsi="Times New Roman;serif"/>
                <w:b w:val="false"/>
                <w:color w:val="000000"/>
                <w:sz w:val="13"/>
              </w:rPr>
              <w:t>(2)</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 of revenue</w:t>
            </w:r>
            <w:r>
              <w:rPr>
                <w:rFonts w:ascii="Times New Roman;serif" w:hAnsi="Times New Roman;serif"/>
                <w:b w:val="false"/>
                <w:color w:val="000000"/>
                <w:sz w:val="13"/>
              </w:rPr>
              <w:t>(3)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(4)</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w:t>
            </w:r>
            <w:r>
              <w:rPr>
                <w:rFonts w:ascii="Times New Roman;serif" w:hAnsi="Times New Roman;serif"/>
                <w:b w:val="false"/>
                <w:color w:val="000000"/>
                <w:sz w:val="13"/>
              </w:rPr>
              <w:t>(4)</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(4)</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loss from operations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reconciliation items</w:t>
            </w:r>
            <w:r>
              <w:rPr>
                <w:rFonts w:ascii="Times New Roman;serif" w:hAnsi="Times New Roman;serif"/>
                <w:b w:val="false"/>
                <w:color w:val="000000"/>
                <w:sz w:val="13"/>
              </w:rPr>
              <w:t>(5)</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i/>
          <w:color w:val="000000"/>
          <w:sz w:val="16"/>
        </w:rPr>
        <w:t>Other revenues</w:t>
      </w:r>
      <w:r>
        <w:rPr>
          <w:color w:val="000000"/>
        </w:rPr>
        <w:t xml:space="preserve"> </w:t>
      </w:r>
      <w:r>
        <w:rPr>
          <w:rFonts w:ascii="Times New Roman;serif" w:hAnsi="Times New Roman;serif"/>
          <w:b w:val="false"/>
          <w:color w:val="000000"/>
          <w:sz w:val="16"/>
        </w:rPr>
        <w:t>includes revenues from our collaboration partnerships, including licensing revenue, product supply revenue and non-cash royalty revenue related to the sale of future royalties.</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i/>
          <w:color w:val="000000"/>
          <w:sz w:val="16"/>
        </w:rPr>
        <w:t>Cost of product sales</w:t>
      </w:r>
      <w:r>
        <w:rPr>
          <w:color w:val="000000"/>
        </w:rPr>
        <w:t xml:space="preserve"> </w:t>
      </w:r>
      <w:r>
        <w:rPr>
          <w:rFonts w:ascii="Times New Roman;serif" w:hAnsi="Times New Roman;serif"/>
          <w:b w:val="false"/>
          <w:color w:val="000000"/>
          <w:sz w:val="16"/>
        </w:rPr>
        <w:t>includes the cost of commercial goods sold to our Customers, such as the cost of materials, third-party contract manufacturing, third-party packaging services, freight, labor costs for personnel involved in the manufacturing process and indirect overhead costs.</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i/>
          <w:color w:val="000000"/>
          <w:sz w:val="16"/>
        </w:rPr>
        <w:t xml:space="preserve">Other cost of revenue </w:t>
      </w:r>
      <w:r>
        <w:rPr>
          <w:rFonts w:ascii="Times New Roman;serif" w:hAnsi="Times New Roman;serif"/>
          <w:b w:val="false"/>
          <w:color w:val="000000"/>
          <w:sz w:val="16"/>
        </w:rPr>
        <w:t>includes the cost of materials sold to our collaboration partners under product supply agreements, certain costs related to capacity expansion at current and future CMOs and payments due to AstraZeneca. As of the end of the 2025 second quarter, the maximum $75.0 million royalty obligation under the AstraZeneca Termination Agreement had been fully recognized.</w:t>
      </w:r>
    </w:p>
    <w:p>
      <w:pPr>
        <w:pStyle w:val="TextBody"/>
        <w:bidi w:val="0"/>
        <w:spacing w:lineRule="auto" w:line="288" w:before="0" w:after="0"/>
        <w:ind w:left="0" w:right="0" w:hanging="360"/>
        <w:jc w:val="left"/>
        <w:rPr/>
      </w:pPr>
      <w:r>
        <w:rPr>
          <w:rFonts w:ascii="Times New Roman;serif" w:hAnsi="Times New Roman;serif"/>
          <w:b w:val="false"/>
          <w:color w:val="000000"/>
          <w:sz w:val="10"/>
        </w:rPr>
        <w:t>(4)</w:t>
      </w:r>
      <w:r>
        <w:rPr>
          <w:rFonts w:ascii="Times New Roman;serif" w:hAnsi="Times New Roman;serif"/>
          <w:b w:val="false"/>
          <w:i/>
          <w:color w:val="000000"/>
          <w:sz w:val="16"/>
        </w:rPr>
        <w:t xml:space="preserve">Research and development, selling </w:t>
      </w:r>
      <w:r>
        <w:rPr>
          <w:rFonts w:ascii="Times New Roman;serif" w:hAnsi="Times New Roman;serif"/>
          <w:b w:val="false"/>
          <w:color w:val="000000"/>
          <w:sz w:val="16"/>
        </w:rPr>
        <w:t xml:space="preserve">and </w:t>
      </w:r>
      <w:r>
        <w:rPr>
          <w:rFonts w:ascii="Times New Roman;serif" w:hAnsi="Times New Roman;serif"/>
          <w:b w:val="false"/>
          <w:i/>
          <w:color w:val="000000"/>
          <w:sz w:val="16"/>
        </w:rPr>
        <w:t xml:space="preserve">general and administrative </w:t>
      </w:r>
      <w:r>
        <w:rPr>
          <w:rFonts w:ascii="Times New Roman;serif" w:hAnsi="Times New Roman;serif"/>
          <w:b w:val="false"/>
          <w:color w:val="000000"/>
          <w:sz w:val="16"/>
        </w:rPr>
        <w:t>expenses herein do not include stock-based compensation expenses.</w:t>
      </w:r>
    </w:p>
    <w:p>
      <w:pPr>
        <w:pStyle w:val="TextBody"/>
        <w:bidi w:val="0"/>
        <w:spacing w:lineRule="auto" w:line="288" w:before="0" w:after="180"/>
        <w:ind w:left="0" w:right="0" w:hanging="360"/>
        <w:jc w:val="left"/>
        <w:rPr/>
      </w:pPr>
      <w:r>
        <w:rPr>
          <w:rFonts w:ascii="Times New Roman;serif" w:hAnsi="Times New Roman;serif"/>
          <w:b w:val="false"/>
          <w:color w:val="000000"/>
          <w:sz w:val="10"/>
        </w:rPr>
        <w:t>(5)</w:t>
      </w:r>
      <w:r>
        <w:rPr>
          <w:rFonts w:ascii="Times New Roman;serif" w:hAnsi="Times New Roman;serif"/>
          <w:b w:val="false"/>
          <w:i/>
          <w:color w:val="000000"/>
          <w:sz w:val="16"/>
        </w:rPr>
        <w:t>Other reconciliation items</w:t>
      </w:r>
      <w:r>
        <w:rPr>
          <w:color w:val="000000"/>
        </w:rPr>
        <w:t xml:space="preserve"> </w:t>
      </w:r>
      <w:r>
        <w:rPr>
          <w:rFonts w:ascii="Times New Roman;serif" w:hAnsi="Times New Roman;serif"/>
          <w:b w:val="false"/>
          <w:color w:val="000000"/>
          <w:sz w:val="16"/>
        </w:rPr>
        <w:t>includes interest expense, non-cash interest expense related to the sale of future royalties, provision for income taxes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13. NET LOSS PER SHARE </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 outstanding during the period and excludes any dilutive effect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three months ended March 31, 2026 and 2025, all potential common shares were determined to be anti-dilutive during those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net loss per common share:</w:t>
      </w:r>
    </w:p>
    <w:tbl>
      <w:tblPr>
        <w:tblW w:w="8712" w:type="dxa"/>
        <w:jc w:val="center"/>
        <w:tblInd w:w="0" w:type="dxa"/>
        <w:tblLayout w:type="fixed"/>
        <w:tblCellMar>
          <w:top w:w="28" w:type="dxa"/>
          <w:left w:w="28" w:type="dxa"/>
          <w:bottom w:w="28" w:type="dxa"/>
          <w:right w:w="28" w:type="dxa"/>
        </w:tblCellMar>
      </w:tblPr>
      <w:tblGrid>
        <w:gridCol w:w="1970"/>
        <w:gridCol w:w="1732"/>
        <w:gridCol w:w="1743"/>
        <w:gridCol w:w="230"/>
        <w:gridCol w:w="868"/>
        <w:gridCol w:w="118"/>
        <w:gridCol w:w="118"/>
        <w:gridCol w:w="118"/>
        <w:gridCol w:w="118"/>
        <w:gridCol w:w="230"/>
        <w:gridCol w:w="868"/>
        <w:gridCol w:w="118"/>
        <w:gridCol w:w="109"/>
        <w:gridCol w:w="109"/>
        <w:gridCol w:w="109"/>
        <w:gridCol w:w="154"/>
      </w:tblGrid>
      <w:tr>
        <w:trPr/>
        <w:tc>
          <w:tcPr>
            <w:tcW w:w="197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numbers of securities that could potentially dilute net income per share in the future that were not considered in the diluted net loss per share calculations because the effect would have been anti-dilutive were as follows:</w:t>
      </w:r>
    </w:p>
    <w:tbl>
      <w:tblPr>
        <w:tblW w:w="6240" w:type="dxa"/>
        <w:jc w:val="center"/>
        <w:tblInd w:w="0" w:type="dxa"/>
        <w:tblLayout w:type="fixed"/>
        <w:tblCellMar>
          <w:top w:w="28" w:type="dxa"/>
          <w:left w:w="28" w:type="dxa"/>
          <w:bottom w:w="28" w:type="dxa"/>
          <w:right w:w="28" w:type="dxa"/>
        </w:tblCellMar>
      </w:tblPr>
      <w:tblGrid>
        <w:gridCol w:w="1075"/>
        <w:gridCol w:w="946"/>
        <w:gridCol w:w="948"/>
        <w:gridCol w:w="310"/>
        <w:gridCol w:w="310"/>
        <w:gridCol w:w="310"/>
        <w:gridCol w:w="310"/>
        <w:gridCol w:w="310"/>
        <w:gridCol w:w="310"/>
        <w:gridCol w:w="310"/>
        <w:gridCol w:w="310"/>
        <w:gridCol w:w="310"/>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29,708</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ESPP shares issuable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45,321</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7, 2021 and March 29, 2022, two verified shareholder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(together, the Go and Morris actions). The complaints allege that the defendants’ violations of Section 14(a) of the Exchange Act,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Exchange Act from two executive officers. On January 19, 2022 and April 27, 2022, the court granted the parties’ stipulation to stay the Go and Morris actions, respectively, until resolution of the motion(s) to dismiss in the lawsuits captioned Strezsak v. Ardelyx, Inc., et al., Case No. 4:21-cv-05868-HSG and Siegel v. Ardelyx, Inc., et al., Case No. 5:21-cv-06228-HSG (together, the Securities Class Actions). On October 25, 2022, the parties filed a stipulation to consolidate and stay the Go and Morris actions, and on October 27, 2022, the court consolidated the Go and Morris actions and stayed the consolidated action pending resolution of the anticipated motion(s) to dismiss in the Securities Class Action. The Securities Class Actions were voluntarily dismissed on March 5, 2025. The court dismissed the Go and Morris actions on April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on March 27, 2025. Both Appellees and Appellants filed a final brief on April 10, 2025. Oral argument in the case was heard on September 25,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2024, a complaint was filed against us in the U.S. District Court of Massachusetts, captioned Yarborough v. Ardelyx, Inc., et al., No. 24-cv-12119 (D. Mass.). The complaint names the Company, Michael Raab, and Justin Renz as defendants and alleges violations of Sections 10(b) and 20(a) of the Exchange Act and Rule 10b-5 promulgated thereunder, related to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The lead plaintiff filed an amended complaint on January 13, 2025, in which he added Susan Rodriguez, Laura Williams and Elizabeth Grammer as additional defendants and removed Justin Renz as a defendant. The lead plaintiff purports to bring claims on behalf of all those who acquired Ardelyx common stock between February 22, 2024 and July 1, 2024. Defendants filed a motion to dismiss the amended complaint on March 14, 2025. Plaintiffs filed a response on May 13, 2025. Defendants filed a reply in support of their motion to dismiss on June 23, 2025. A hearing on the motion to dismiss was held on September 25, 2025, and on December 24, 2025, the Court granted defendants’ motion to dismiss and issued an order dismissing the case with prejudice. On January 21, 2026, Plaintiffs appealed the District Court’s decisions to the United States Court of Appeals for the First Circuit. On March 26, 2026, the Court granted the Parties’ stipulated voluntary dismissal of Plaintiffs’ appeal.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On April 9, 2026, the Court dismissed the consolidated derivative action pursuant to the parties’ stipulation of dismissal.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business. As of March 31, 2026, there is no litigation pending that would reasonably be expected to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28, 2026, we entered into an amendment to our 2022 Loan Agreement (the Sixth Amendment), by and among the Company, as borrower, SLR, as collateral agent and the lenders party thereto. Pursuant to the Sixth Amendment, among other things, (i) a portion of $200.0 million in outstanding principal previously allocated among the outstanding Term A through C Loans (collectively, the Revised Loans) was refinanced with a new Term H Loan; (ii) the maturity date for the Revised Loans has been extended from July 1, 2028 to July 1, 2030 (the New Maturity Date), which is the maturity date applicable for each other term loan; (iii) the interest-only payment period for the Revised Loans has been extended until the New Maturity Date; (iv) the interest rates for the Revised Loans, the Term H Loan, and the Term F and Term G Loans will have a collectively reduced interest rate, at the sum of 4.55% plus the greater of (a) the 1-month SOFR reference rate or (b) 3.5%; (v) the Company will retain the option to draw the Term F and Term G Loans, each in the amount of $50.0 million, at the Company’s election by June 30, 2026 and December 20, 2026, respectively; and (vi) certain negative covenants and other conditions were amended to provide additional flexibility to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the closing date of the Sixth Amendment, the Company paid approximately $1.9 million in final fees and prepayment fees in connection with the partial paydown of the Term A through C Loans.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pay a final fee with respect to each of the outstanding amounts under each of the term loans, upon the earliest to occur of (i) the New Maturity Date, (ii) the acceleration of the applicable term loan or (iii) the prepayment, refinancing, substitution or replacement of the applicable term loan. This final fee is 4.95% for the Term A through E loans, 3.45% for the Term F and Term G Loans and 2.50% for the new Term H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2025 Form 10-K.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an NHE3 inhibitor that was discovered and developed by Ardelyx. NHE3 is an antiporter expressed on the apical surface of the small and large intestines. Tenapanor is a minimally absorbed, small molecule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our mission of developing and commercializing innovative medicines that address unmet patient needs. Our principal strategy is to continue our commercial momentum with our current products while advancing and expanding a portfolio of important medicines for patients with unmet medical needs.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priorities include (i) driving significant IBSRELA growth, (ii) maintaining XPHOZAH commercial momentum, (iii) further advancing our pipeline and portfolio and (iv) maintaining a solid financial foundation to support our future growth.</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xml:space="preserve">, is approved in the U.S. for the treatment of adults with IBS-C. We believe that IBSRELA can bring meaningful benefit to the approximately 13 million Americans who suffer from the symptoms of IBS-C,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many of whom continue to experience symptoms despite intervention with other therapies. We are seeking to further expand the IBSRELA eligible patient population to include patients with CIC, and have initiated a Phase 3 clinical trial (ACCEL) evaluating tenapanor in adult CIC patients. In January 2026, the Company dosed the first patient in ACCEL and has initiated all pre-identified sites. The Company expects to complete enrollment by the end of 2026 with topline data read out in the second half of 2027. IBSRELA is also being evaluated in multiple pediatric clinical trials which could potentially provide six months of additional patent life for tenapanor.</w:t>
      </w:r>
    </w:p>
    <w:p>
      <w:pPr>
        <w:pStyle w:val="TextBody"/>
        <w:bidi w:val="0"/>
        <w:spacing w:lineRule="auto" w:line="288" w:before="0" w:after="180"/>
        <w:ind w:left="0" w:right="0" w:firstLine="360"/>
        <w:jc w:val="left"/>
        <w:rPr/>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on dialysis as add-on therapy in patients who have an inadequate response to phosphate binders or who are intolerant of any dose of phosphate binder therapy. We believe XPHOZAH can bring meaningful relief to adult chronic kidney disease patients on dialysis, the vast majority of whom have elevated levels of serum phosphorus and are unable to achieve target serum phosphorus levels with phosphate binders alone. Continually elevated levels of serum phosphorus can result in severe cardiovascular health complications.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developing a next-generation NHE3 inhibitor, RDX10531, which has demonstrated in preclinical models to have improved solubility and potency compared to tenapanor. RDX10531 is currently being tested in IND-enabling studies. If successful, RDX10531 has potential for broad applications across multiple therapeutic areas.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Effective as of April 28, 2026, we entered into the Sixth Amendment with SLR as collateral agent and the lenders party thereto, resulting in a collectively reduced interest rate under all term loans, including the term loans we have the future option to draw from, and an extended maturity date for the outstanding term loans. For additional information, refer to </w:t>
      </w:r>
      <w:r>
        <w:rPr>
          <w:rFonts w:ascii="Times New Roman;serif" w:hAnsi="Times New Roman;serif"/>
          <w:b w:val="false"/>
          <w:i/>
          <w:color w:val="000000"/>
          <w:sz w:val="20"/>
        </w:rPr>
        <w:t>Note 15. Subsequent Events</w:t>
      </w:r>
      <w:r>
        <w:rPr>
          <w:rFonts w:ascii="Times New Roman;serif" w:hAnsi="Times New Roman;serif"/>
          <w:b w:val="false"/>
          <w:color w:val="000000"/>
          <w:sz w:val="20"/>
        </w:rPr>
        <w: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months ended March 31, 2026 are not necessarily indicative of results to be expected for the entire year ending December 31, 2026, or for any other interim period or future year. See Part II, Item 7, “Management’s Discussion and Analysis of Financial Condition and Results of Operations,” of our 2025 Form 10-K to enhance the understanding of our financial metrics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total revenues:</w:t>
      </w:r>
    </w:p>
    <w:tbl>
      <w:tblPr>
        <w:tblW w:w="10205" w:type="dxa"/>
        <w:jc w:val="center"/>
        <w:tblInd w:w="0" w:type="dxa"/>
        <w:tblLayout w:type="fixed"/>
        <w:tblCellMar>
          <w:top w:w="28" w:type="dxa"/>
          <w:left w:w="28" w:type="dxa"/>
          <w:bottom w:w="28" w:type="dxa"/>
          <w:right w:w="28" w:type="dxa"/>
        </w:tblCellMar>
      </w:tblPr>
      <w:tblGrid>
        <w:gridCol w:w="1500"/>
        <w:gridCol w:w="1319"/>
        <w:gridCol w:w="1324"/>
        <w:gridCol w:w="236"/>
        <w:gridCol w:w="807"/>
        <w:gridCol w:w="121"/>
        <w:gridCol w:w="121"/>
        <w:gridCol w:w="121"/>
        <w:gridCol w:w="121"/>
        <w:gridCol w:w="236"/>
        <w:gridCol w:w="807"/>
        <w:gridCol w:w="121"/>
        <w:gridCol w:w="109"/>
        <w:gridCol w:w="109"/>
        <w:gridCol w:w="109"/>
        <w:gridCol w:w="218"/>
        <w:gridCol w:w="748"/>
        <w:gridCol w:w="112"/>
        <w:gridCol w:w="112"/>
        <w:gridCol w:w="112"/>
        <w:gridCol w:w="112"/>
        <w:gridCol w:w="208"/>
        <w:gridCol w:w="211"/>
        <w:gridCol w:w="280"/>
        <w:gridCol w:w="109"/>
        <w:gridCol w:w="109"/>
        <w:gridCol w:w="109"/>
        <w:gridCol w:w="109"/>
        <w:gridCol w:w="109"/>
        <w:gridCol w:w="109"/>
        <w:gridCol w:w="109"/>
        <w:gridCol w:w="168"/>
      </w:tblGrid>
      <w:tr>
        <w:trPr/>
        <w:tc>
          <w:tcPr>
            <w:tcW w:w="150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product sales, net by product:</w:t>
      </w:r>
    </w:p>
    <w:tbl>
      <w:tblPr>
        <w:tblW w:w="8166" w:type="dxa"/>
        <w:jc w:val="center"/>
        <w:tblInd w:w="0" w:type="dxa"/>
        <w:tblLayout w:type="fixed"/>
        <w:tblCellMar>
          <w:top w:w="28" w:type="dxa"/>
          <w:left w:w="28" w:type="dxa"/>
          <w:bottom w:w="28" w:type="dxa"/>
          <w:right w:w="28" w:type="dxa"/>
        </w:tblCellMar>
      </w:tblPr>
      <w:tblGrid>
        <w:gridCol w:w="728"/>
        <w:gridCol w:w="640"/>
        <w:gridCol w:w="642"/>
        <w:gridCol w:w="244"/>
        <w:gridCol w:w="835"/>
        <w:gridCol w:w="126"/>
        <w:gridCol w:w="126"/>
        <w:gridCol w:w="126"/>
        <w:gridCol w:w="126"/>
        <w:gridCol w:w="244"/>
        <w:gridCol w:w="835"/>
        <w:gridCol w:w="126"/>
        <w:gridCol w:w="109"/>
        <w:gridCol w:w="109"/>
        <w:gridCol w:w="109"/>
        <w:gridCol w:w="221"/>
        <w:gridCol w:w="757"/>
        <w:gridCol w:w="114"/>
        <w:gridCol w:w="114"/>
        <w:gridCol w:w="114"/>
        <w:gridCol w:w="114"/>
        <w:gridCol w:w="202"/>
        <w:gridCol w:w="204"/>
        <w:gridCol w:w="284"/>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IBSRELA product sales, net in the three months ended March 31, 2026 primarily reflected higher demand, driven by continued increase in awareness and prescriber experience, and to a lesser extent, higher net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product sales, net in the three months ended March 31, 2026 remained consistent with the prior year and reflected continued growth in other non-Medicare sales channels. XPHOZAH product sales, net in the prior year included a $3.8 million favorable adjustment driven by a change in previously estimated product returns.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supply revenue is primarily impacted by the timing of product supply shipments to our collaboration partners under our product supply agreements in support of the development and commercialization of our products ex-U.S. by our collaboration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product supply revenue was primarily attributable to Fosun Pharma and Knight in the three months ended March 31, 2026 and 2025,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Licensing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Licensing revenue is primarily impacted by the timing of regulatory and commercialization milestone achievements as well as sales-based royalties received from our collaboration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in the three months ended March 31, 2026 was attributable to sales-based royalties received from Fosun Pharma and Knight.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in the three months ended March 31, 2025 was primarily attributable to a $5.0 million milestone earned under the terms of the Fosun Agreement, following the NDA approval by China’s Center for Drug Evaluation of the NMPA for tenapanor in the control of serum phosphorus in adult patients with CKD on hemodialysis.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Non-cash royalty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non-cash royalty revenue in the three months ended March 31, 2026 reflected lower royalties received from Kyowa Kirin for sales of PHOZEVEL in Japan.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Reconciliation of gross product sales to product sales, net is as follows:</w:t>
      </w:r>
    </w:p>
    <w:tbl>
      <w:tblPr>
        <w:tblW w:w="8545" w:type="dxa"/>
        <w:jc w:val="center"/>
        <w:tblInd w:w="0" w:type="dxa"/>
        <w:tblLayout w:type="fixed"/>
        <w:tblCellMar>
          <w:top w:w="28" w:type="dxa"/>
          <w:left w:w="28" w:type="dxa"/>
          <w:bottom w:w="28" w:type="dxa"/>
          <w:right w:w="28" w:type="dxa"/>
        </w:tblCellMar>
      </w:tblPr>
      <w:tblGrid>
        <w:gridCol w:w="863"/>
        <w:gridCol w:w="759"/>
        <w:gridCol w:w="762"/>
        <w:gridCol w:w="211"/>
        <w:gridCol w:w="826"/>
        <w:gridCol w:w="271"/>
        <w:gridCol w:w="109"/>
        <w:gridCol w:w="109"/>
        <w:gridCol w:w="109"/>
        <w:gridCol w:w="211"/>
        <w:gridCol w:w="721"/>
        <w:gridCol w:w="271"/>
        <w:gridCol w:w="109"/>
        <w:gridCol w:w="109"/>
        <w:gridCol w:w="109"/>
        <w:gridCol w:w="221"/>
        <w:gridCol w:w="757"/>
        <w:gridCol w:w="114"/>
        <w:gridCol w:w="114"/>
        <w:gridCol w:w="114"/>
        <w:gridCol w:w="114"/>
        <w:gridCol w:w="180"/>
        <w:gridCol w:w="181"/>
        <w:gridCol w:w="284"/>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 percentage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in the three months ended March 31, 2026 primarily reflected the prior year favorable impact of a change in previously estimated XPHOZAH product returns, an unfavorable channel mix and Medicare and Medicaid Inflation Rebate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0"/>
        <w:gridCol w:w="646"/>
        <w:gridCol w:w="647"/>
        <w:gridCol w:w="430"/>
        <w:gridCol w:w="1259"/>
        <w:gridCol w:w="223"/>
        <w:gridCol w:w="109"/>
        <w:gridCol w:w="109"/>
        <w:gridCol w:w="109"/>
        <w:gridCol w:w="447"/>
        <w:gridCol w:w="1530"/>
        <w:gridCol w:w="231"/>
        <w:gridCol w:w="109"/>
        <w:gridCol w:w="109"/>
        <w:gridCol w:w="109"/>
        <w:gridCol w:w="397"/>
        <w:gridCol w:w="1357"/>
        <w:gridCol w:w="204"/>
        <w:gridCol w:w="109"/>
        <w:gridCol w:w="109"/>
        <w:gridCol w:w="109"/>
        <w:gridCol w:w="211"/>
        <w:gridCol w:w="721"/>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39,413 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Adjustments to prior period provisions recorded in the current period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costs and operating expenses, interest expense, non-cash interest expense related to the sale of future royalties and other income, net:</w:t>
      </w:r>
    </w:p>
    <w:tbl>
      <w:tblPr>
        <w:tblW w:w="10205" w:type="dxa"/>
        <w:jc w:val="center"/>
        <w:tblInd w:w="0" w:type="dxa"/>
        <w:tblLayout w:type="fixed"/>
        <w:tblCellMar>
          <w:top w:w="28" w:type="dxa"/>
          <w:left w:w="28" w:type="dxa"/>
          <w:bottom w:w="28" w:type="dxa"/>
          <w:right w:w="28" w:type="dxa"/>
        </w:tblCellMar>
      </w:tblPr>
      <w:tblGrid>
        <w:gridCol w:w="1531"/>
        <w:gridCol w:w="1291"/>
        <w:gridCol w:w="1282"/>
        <w:gridCol w:w="220"/>
        <w:gridCol w:w="864"/>
        <w:gridCol w:w="114"/>
        <w:gridCol w:w="114"/>
        <w:gridCol w:w="114"/>
        <w:gridCol w:w="114"/>
        <w:gridCol w:w="220"/>
        <w:gridCol w:w="864"/>
        <w:gridCol w:w="114"/>
        <w:gridCol w:w="109"/>
        <w:gridCol w:w="109"/>
        <w:gridCol w:w="109"/>
        <w:gridCol w:w="218"/>
        <w:gridCol w:w="746"/>
        <w:gridCol w:w="112"/>
        <w:gridCol w:w="112"/>
        <w:gridCol w:w="112"/>
        <w:gridCol w:w="112"/>
        <w:gridCol w:w="209"/>
        <w:gridCol w:w="209"/>
        <w:gridCol w:w="280"/>
        <w:gridCol w:w="109"/>
        <w:gridCol w:w="109"/>
        <w:gridCol w:w="109"/>
        <w:gridCol w:w="109"/>
        <w:gridCol w:w="109"/>
        <w:gridCol w:w="109"/>
        <w:gridCol w:w="109"/>
        <w:gridCol w:w="163"/>
      </w:tblGrid>
      <w:tr>
        <w:trPr/>
        <w:tc>
          <w:tcPr>
            <w:tcW w:w="15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4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Sales</w:t>
      </w:r>
    </w:p>
    <w:tbl>
      <w:tblPr>
        <w:tblW w:w="8028" w:type="dxa"/>
        <w:jc w:val="left"/>
        <w:tblInd w:w="0" w:type="dxa"/>
        <w:tblLayout w:type="fixed"/>
        <w:tblCellMar>
          <w:top w:w="28" w:type="dxa"/>
          <w:left w:w="28" w:type="dxa"/>
          <w:bottom w:w="28" w:type="dxa"/>
          <w:right w:w="28" w:type="dxa"/>
        </w:tblCellMar>
      </w:tblPr>
      <w:tblGrid>
        <w:gridCol w:w="668"/>
        <w:gridCol w:w="587"/>
        <w:gridCol w:w="590"/>
        <w:gridCol w:w="255"/>
        <w:gridCol w:w="746"/>
        <w:gridCol w:w="132"/>
        <w:gridCol w:w="132"/>
        <w:gridCol w:w="132"/>
        <w:gridCol w:w="132"/>
        <w:gridCol w:w="255"/>
        <w:gridCol w:w="873"/>
        <w:gridCol w:w="132"/>
        <w:gridCol w:w="109"/>
        <w:gridCol w:w="109"/>
        <w:gridCol w:w="109"/>
        <w:gridCol w:w="225"/>
        <w:gridCol w:w="737"/>
        <w:gridCol w:w="116"/>
        <w:gridCol w:w="116"/>
        <w:gridCol w:w="116"/>
        <w:gridCol w:w="116"/>
        <w:gridCol w:w="216"/>
        <w:gridCol w:w="219"/>
        <w:gridCol w:w="289"/>
        <w:gridCol w:w="109"/>
        <w:gridCol w:w="109"/>
        <w:gridCol w:w="109"/>
        <w:gridCol w:w="109"/>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increase in cost of product sales in the three months ended March 31, 2026 reflected higher product sales. A portion of the costs of IBSRELA and XPHOZAH units recognized as revenue during the three months ended March 31, 2026 was expensed as research and development expense in periods prior to the commencement of capitalization of inventory costs for each respective product.</w:t>
      </w:r>
      <w:r>
        <w:rPr>
          <w:color w:val="000000"/>
        </w:rPr>
        <w:t xml:space="preserve"> </w:t>
      </w:r>
      <w:r>
        <w:rPr>
          <w:rFonts w:ascii="Times New Roman;serif" w:hAnsi="Times New Roman;serif"/>
          <w:b w:val="false"/>
          <w:color w:val="000000"/>
          <w:sz w:val="20"/>
        </w:rPr>
        <w:t>The cost associated with inventory sold but previously expensed as research and development was $0.3 million and $0.7 million for the three months ended March 31, 2026 and 2025, respectively. The value of inventory on hand as of March 31, 2026 and December 31, 2025 that was previously expensed as research and development was approximately $7.1 million and $10.9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cost of revenue in the three months ended March 31, 2026 primarily reflected the full recognition of the maximum $75.0 million royalty obligation under the AstraZeneca Termination Agreement as of the end of the 2025 second quarter, partially offset by higher costs related to capacity expansion at our CMOs. Other cost of revenue related to the AstraZeneca Termination Agreement was $8.8 million for the three months ended March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research and development expenses:</w:t>
      </w:r>
    </w:p>
    <w:tbl>
      <w:tblPr>
        <w:tblW w:w="10205" w:type="dxa"/>
        <w:jc w:val="center"/>
        <w:tblInd w:w="0" w:type="dxa"/>
        <w:tblLayout w:type="fixed"/>
        <w:tblCellMar>
          <w:top w:w="28" w:type="dxa"/>
          <w:left w:w="28" w:type="dxa"/>
          <w:bottom w:w="28" w:type="dxa"/>
          <w:right w:w="28" w:type="dxa"/>
        </w:tblCellMar>
      </w:tblPr>
      <w:tblGrid>
        <w:gridCol w:w="1536"/>
        <w:gridCol w:w="1271"/>
        <w:gridCol w:w="1277"/>
        <w:gridCol w:w="239"/>
        <w:gridCol w:w="817"/>
        <w:gridCol w:w="123"/>
        <w:gridCol w:w="123"/>
        <w:gridCol w:w="123"/>
        <w:gridCol w:w="123"/>
        <w:gridCol w:w="239"/>
        <w:gridCol w:w="817"/>
        <w:gridCol w:w="123"/>
        <w:gridCol w:w="109"/>
        <w:gridCol w:w="109"/>
        <w:gridCol w:w="109"/>
        <w:gridCol w:w="230"/>
        <w:gridCol w:w="674"/>
        <w:gridCol w:w="119"/>
        <w:gridCol w:w="119"/>
        <w:gridCol w:w="119"/>
        <w:gridCol w:w="119"/>
        <w:gridCol w:w="233"/>
        <w:gridCol w:w="233"/>
        <w:gridCol w:w="296"/>
        <w:gridCol w:w="109"/>
        <w:gridCol w:w="109"/>
        <w:gridCol w:w="109"/>
        <w:gridCol w:w="109"/>
        <w:gridCol w:w="109"/>
        <w:gridCol w:w="109"/>
        <w:gridCol w:w="109"/>
        <w:gridCol w:w="162"/>
      </w:tblGrid>
      <w:tr>
        <w:trPr/>
        <w:tc>
          <w:tcPr>
            <w:tcW w:w="153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4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R&amp;D and other expenses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Facilities, equipment, depreciation and other expenses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external R&amp;D and other expenses consist primarily of expenses associated with life cycle management initiatives for tenapanor, including our CIC program. The increase in external R&amp;D and other expenses in the three months ended March 31, 2026 reflected increased clinical trial activities, including the initiation of the Phase 3 clinical trial evaluating tenapanor in adult CIC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in the three months ended March 31, 2026 primarily reflected increased commercialization and administrative costs to support net sales growth of IBSRELA, consisting of external spending for disease awareness initiatives, patient affordability, access support and related patient awareness, as well as increased commercial infrastructure costs. The increase was also attributable to increased headcount, including an incremental stock-based compensation expense of $3.1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in the three months ended March 31, 2026 primarily reflected a higher outstanding loan balance resulting from the Term E Loan draw in June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Non-Cash Interest Expense Related to the Sale of Future Royalties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non-cash interest expense related to the sale of future royalties in the three months ended March 31, 2026 primarily reflected the imputed interest accrued on the decreasing carrying value of the deferred royalty obligation and royalties received from Kyowa Kirin for sales of PHOZEVEL in Japan which were remitted to HCR.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net in the three months ended March 31, 2026 reflected lower income on our investments resulting from lower interest rates throughout the period, partially offset by higher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cash, cash equivalents and short-term investments:</w:t>
      </w:r>
    </w:p>
    <w:tbl>
      <w:tblPr>
        <w:tblW w:w="8577" w:type="dxa"/>
        <w:jc w:val="left"/>
        <w:tblInd w:w="0" w:type="dxa"/>
        <w:tblLayout w:type="fixed"/>
        <w:tblCellMar>
          <w:top w:w="28" w:type="dxa"/>
          <w:left w:w="28" w:type="dxa"/>
          <w:bottom w:w="28" w:type="dxa"/>
          <w:right w:w="28" w:type="dxa"/>
        </w:tblCellMar>
      </w:tblPr>
      <w:tblGrid>
        <w:gridCol w:w="820"/>
        <w:gridCol w:w="721"/>
        <w:gridCol w:w="724"/>
        <w:gridCol w:w="265"/>
        <w:gridCol w:w="1038"/>
        <w:gridCol w:w="137"/>
        <w:gridCol w:w="109"/>
        <w:gridCol w:w="109"/>
        <w:gridCol w:w="109"/>
        <w:gridCol w:w="317"/>
        <w:gridCol w:w="1244"/>
        <w:gridCol w:w="164"/>
        <w:gridCol w:w="109"/>
        <w:gridCol w:w="109"/>
        <w:gridCol w:w="109"/>
        <w:gridCol w:w="211"/>
        <w:gridCol w:w="796"/>
        <w:gridCol w:w="109"/>
        <w:gridCol w:w="109"/>
        <w:gridCol w:w="109"/>
        <w:gridCol w:w="109"/>
        <w:gridCol w:w="218"/>
        <w:gridCol w:w="218"/>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 funds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238,074 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assess our cash position and our working capital needs to execute our strategy. We have historically funded our operations primarily from product sales, sales of our common stock, funds from our loan agreements with SLR, funds from our collaboration partnerships, as well as the sale of future royalties and commercialization milestones to HCR. We expect that we will increasingly rely on cash generated from our commercial operations to fund our operating plan while maintaining financial flexibility to source cash from future equity sales and debt financing.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the 2025 Open Market Sales Agreement, deemed to be “at-the-market offerings.” Pursuant to the 2025 Open Market Sales Agreement, Jefferies, as sales agent, may receive a commission of up to three percent of the gross sales price for shares of our common stock sold under the 2025 Open Market Sales Agreement. As of March 31, 2026, there have been no sales of our common stock under the 2025 Open Market Sales Agreement.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a loan and security agreement (the 2022 Loan Agreement) with SLR. The 2022 Loan Agreement provides a total of $300.0 million, of which $200.0 million has been drawn and is outstanding as of March 31, 2026. The additional available borrowings of $100.0 million consist of the Term F and Term G Loans, each in the amount of $50.0 million. The Term F and Term G Loans may be drawn at the Company’s election by June 30, 2026 and December 20, 2026, respectively.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 xml:space="preserve">of our 2025 Form 10-K and </w:t>
      </w:r>
      <w:r>
        <w:rPr>
          <w:rFonts w:ascii="Times New Roman;serif" w:hAnsi="Times New Roman;serif"/>
          <w:b w:val="false"/>
          <w:i/>
          <w:color w:val="000000"/>
          <w:sz w:val="20"/>
        </w:rPr>
        <w:t xml:space="preserve">Note 8. Borrowing </w:t>
      </w:r>
      <w:r>
        <w:rPr>
          <w:rFonts w:ascii="Times New Roman;serif" w:hAnsi="Times New Roman;serif"/>
          <w:b w:val="false"/>
          <w:color w:val="000000"/>
          <w:sz w:val="20"/>
        </w:rPr>
        <w:t>of this Quarterly Report on Form 10-Q for further information on our 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Effective as of April 28, 2026, we entered into the Sixth Amendment with SLR as collateral agent and the lenders party thereto, resulting in a collectively reduced interest rate under all term loans, including the term loans we have the future option to draw from, and an extended maturity date for the outstanding term loans. For additional information, refer to </w:t>
      </w:r>
      <w:r>
        <w:rPr>
          <w:rFonts w:ascii="Times New Roman;serif" w:hAnsi="Times New Roman;serif"/>
          <w:b w:val="false"/>
          <w:i/>
          <w:color w:val="000000"/>
          <w:sz w:val="20"/>
        </w:rPr>
        <w:t>Note 15. Subsequent Events</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9613" w:type="dxa"/>
        <w:jc w:val="left"/>
        <w:tblInd w:w="0" w:type="dxa"/>
        <w:tblLayout w:type="fixed"/>
        <w:tblCellMar>
          <w:top w:w="28" w:type="dxa"/>
          <w:left w:w="28" w:type="dxa"/>
          <w:bottom w:w="28" w:type="dxa"/>
          <w:right w:w="28" w:type="dxa"/>
        </w:tblCellMar>
      </w:tblPr>
      <w:tblGrid>
        <w:gridCol w:w="1521"/>
        <w:gridCol w:w="1337"/>
        <w:gridCol w:w="1342"/>
        <w:gridCol w:w="230"/>
        <w:gridCol w:w="868"/>
        <w:gridCol w:w="118"/>
        <w:gridCol w:w="118"/>
        <w:gridCol w:w="118"/>
        <w:gridCol w:w="118"/>
        <w:gridCol w:w="230"/>
        <w:gridCol w:w="868"/>
        <w:gridCol w:w="118"/>
        <w:gridCol w:w="109"/>
        <w:gridCol w:w="109"/>
        <w:gridCol w:w="109"/>
        <w:gridCol w:w="224"/>
        <w:gridCol w:w="736"/>
        <w:gridCol w:w="116"/>
        <w:gridCol w:w="116"/>
        <w:gridCol w:w="116"/>
        <w:gridCol w:w="116"/>
        <w:gridCol w:w="269"/>
        <w:gridCol w:w="271"/>
        <w:gridCol w:w="336"/>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represent the cash receipts and payments related to all of our activities other than investing and financing activities. Net operating cash flow is derived by adjusting our net loss for non-cash operating items and changes in operating assets and liabilities resulting from timing differences between the cash receipts and payments and when the transactions are recognized in our result of operations. As a result, changes in net operating cash flow reflect, among other things, the timing of (i) cash collections from our Customers and (ii) payments made in the normal course of business such as payments to suppliers, including our CMOs, CROs and government agencies.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in the three months ended March 31, 2026 primarily due to the timing of our payments and inventory purchases, partially offset by the timing of cash collections from our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include cash used for capital expenditures and purchases of short-term investments as well as net proceeds from asset dispositions and maturities of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in the three months ended March 31, 2026 primarily reflected higher short-term investment purchases.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 include net proceeds associated with our 2022 Loan Agreement, sales of our common stock with respect to the “at-the-market offering” programs and issuances of our common stock under our equity incentive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in the three months ended March 31, 2026 due to higher proceeds from the issuance of common stock under our equity incentive plans.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model, we believe our available cash, cash equivalents and short-term investments as of March 31, 2026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as described in Part II, Item 1A, “Risk Factors,”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Obligations and Commitments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March 31, 2026, our total future payment obligation related to the outstanding balance of the term loans, excluding interest payments, was $209.9 million, which is due on July 1, 2028. As discussed in </w:t>
      </w:r>
      <w:r>
        <w:rPr>
          <w:rFonts w:ascii="Times New Roman;serif" w:hAnsi="Times New Roman;serif"/>
          <w:b w:val="false"/>
          <w:i/>
          <w:color w:val="000000"/>
          <w:sz w:val="20"/>
        </w:rPr>
        <w:t xml:space="preserve">Note 15. Subsequent Events, </w:t>
      </w:r>
      <w:r>
        <w:rPr>
          <w:rFonts w:ascii="Times New Roman;serif" w:hAnsi="Times New Roman;serif"/>
          <w:b w:val="false"/>
          <w:color w:val="000000"/>
          <w:sz w:val="20"/>
        </w:rPr>
        <w:t xml:space="preserve">effective as of April 28, 2026, we entered into the Sixth Amendment with SLR as collateral agent and the lenders party thereto.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 xml:space="preserve">of our 2025 Form 10-K and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of this Quarterly Report on Form 10-Q for further information on our long-term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entered into various operating leases for our offices. As of March 31, 2026, our total undiscounted obligation for operating leases was $5.2 million, with maturities ranging up through July 2029. See </w:t>
      </w:r>
      <w:r>
        <w:rPr>
          <w:rFonts w:ascii="Times New Roman;serif" w:hAnsi="Times New Roman;serif"/>
          <w:b w:val="false"/>
          <w:i/>
          <w:color w:val="000000"/>
          <w:sz w:val="20"/>
        </w:rPr>
        <w:t>Note 9. Leases</w:t>
      </w:r>
      <w:r>
        <w:rPr>
          <w:color w:val="000000"/>
        </w:rPr>
        <w:t xml:space="preserve"> </w:t>
      </w:r>
      <w:r>
        <w:rPr>
          <w:rFonts w:ascii="Times New Roman;serif" w:hAnsi="Times New Roman;serif"/>
          <w:b w:val="false"/>
          <w:color w:val="000000"/>
          <w:sz w:val="20"/>
        </w:rPr>
        <w:t>for further information on our operating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a variety of contracts in the normal course of business. These contracts generally allow us to terminate on notice, reschedule or adjust our requirements based on our business needs prior to the delivery of goods or performance of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cash equivalents and short-term investments of $238.1 million, which consisted of bank deposits and money market funds, as well as high quality fixed income instruments, including commercial paper, U.S. government-sponsored agency bonds, U.S. treasury securities, corporate bonds and Yankee bonds. The credit rating of our short-term investments must be rated A-1/P-1, or better by Standard and Poor’s and Moody’s Investors Service.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outstanding principal under our 2022 Loan Agreement is subject to a variable interest rate, which fluctuates with changes in one-month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$0.5 million for the three months ended March 31, 2026. As of March 31, 2026, we had an aggregate principal amount of $200.0 million outstanding pursuant to our 2022 Loan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As of March 31, 2026,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March 31, 2026.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have concluded that, as of March 31, 2026, our disclosure controls and procedures were effective at a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pPr>
      <w:r>
        <w:rPr>
          <w:rFonts w:ascii="Times New Roman;serif" w:hAnsi="Times New Roman;serif"/>
          <w:b w:val="false"/>
          <w:color w:val="000000"/>
          <w:sz w:val="20"/>
        </w:rPr>
        <w:t>See information under the “Legal Proceedings and Claims</w:t>
      </w:r>
      <w:r>
        <w:rPr>
          <w:color w:val="000000"/>
        </w:rPr>
        <w:t xml:space="preserve">” </w:t>
      </w:r>
      <w:r>
        <w:rPr>
          <w:rFonts w:ascii="Times New Roman;serif" w:hAnsi="Times New Roman;serif"/>
          <w:b w:val="false"/>
          <w:color w:val="000000"/>
          <w:sz w:val="20"/>
        </w:rPr>
        <w:t xml:space="preserve">caption of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which we incorporated here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losses in each year since our inception, and if we are unable to continue to increase revenue and/or, depending upon our pursuit of future business opportunities, we may not achieve expected cash flow positivity, and even if we do, we may not be able to sustain cash flow positivity quarter over quarter and year over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March 2022, we commenced the commercialization of our first product,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for the treatment of IBS-C in adult patients. In November 2023, we commenced the commercialization of XPHOZAH</w:t>
      </w:r>
      <w:r>
        <w:rPr>
          <w:rFonts w:ascii="Times New Roman;serif" w:hAnsi="Times New Roman;serif"/>
          <w:b w:val="false"/>
          <w:color w:val="000000"/>
          <w:sz w:val="13"/>
        </w:rPr>
        <w:t xml:space="preserve">® </w:t>
      </w:r>
      <w:r>
        <w:rPr>
          <w:rFonts w:ascii="Times New Roman;serif" w:hAnsi="Times New Roman;serif"/>
          <w:b w:val="false"/>
          <w:color w:val="000000"/>
          <w:sz w:val="20"/>
        </w:rPr>
        <w:t>(tenapanor) for the reduction of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losses in each year since our inception in October 2007. We continue to incur commercialization, development and additional expenses related to our ongoing operations and pursuit of future business opportunities. As of March 31, 2026, we had an accumulated deficit of $984.5 million. Our prior losses, combined with any future losses, have had and will continue to have an adverse effect on our stockholders’ equity and working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increase revenue for IBSRELA and XPHOZAH, and/or if we elect to pursue future business opportunities to strengthen our pipeline, we may not achieve expected cash flow positivity, and even if we do, we may not be able to sustain cash flow positivity quarter over quarter and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and sustain cash flow positivity quarter over quarter and year over year depends heavily on our ability to successfully commercialize IBSRELA and XPHOZAH and on the decisions we may make to expand our pipeline through internal investment and/or acquiring external assets. In addition, our cash flow positivity may be impacted by the costs of our ongoing development efforts, including our Phase 3 clinical trial evaluating tenapanor in CIC and our RDX10531 development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IBSRELA and XPHOZAH and continue to grow revenue received for both products depends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sufficient market acceptance of IBSRELA as a viable treatment option for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market acceptance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addressing any competing technological and market developments, including competing therapies that currently exist or that could be successfully developed and approved;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0" w:after="180"/>
        <w:ind w:left="0" w:right="0" w:firstLine="360"/>
        <w:jc w:val="left"/>
        <w:rPr/>
      </w:pPr>
      <w:r>
        <w:rPr>
          <w:rFonts w:ascii="Times New Roman;serif" w:hAnsi="Times New Roman;serif"/>
          <w:b w:val="false"/>
          <w:color w:val="000000"/>
          <w:sz w:val="20"/>
        </w:rPr>
        <w:t>With respect to our commercialization of IBSRELA and XPHOZAH, our revenue, and therefore, our ability to achieve and sustain cash flow positivity will be dependent, in part, upon the size of the markets in the U.S., the label for which approval was granted, accepted price for the product, and the ability to secure and maintain adequate reimbursement. On January 1, 2025, XPHOZAH, along with other oral drugs for ESRD patients on dialysis without injectable or intravenous equivalents, became part of the ESRD PPS and coverage for XPHOZAH and these other oral drugs under Medicare Part D was eliminated. The inclusion of XPHOZAH in the ESRD PPS creates additional uncertainty as to the commercial opportunity for XPHOZAH.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current cash, cash equivalents and short-term investments as well as our plans to meet our operating cash flow requirements are not sufficient to fund investments we may elect to make in building our pipeline, we will not be able achieve or, if achieved, to sustain cash flow positivity, and our liquidity, financial condition, and business prospects may be materially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and certain other tax attributes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substantial NOL and tax credit carryforwards for Federal and California income tax purposes. Such NOLs and tax credits carryforwards may be reduced as a result of certain intercompany restructuring transactions. In addition, the future utilization of such NOL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will continue to expend substantial resources for the foreseeable future, including costs associated with our efforts to commercialize IBSRELA and XPHOZAH; conducting pediatric clinical trials for IBSRELA; our ongoing efforts to evaluate and seek approval of tenapanor for the treatment of CIC, including our ongoing Phase 3 clinical trial in this indication; manufacturing for IBSRELA and XPHOZAH; investments to build a pipeline; and research and development related to potential new product candidates, including development costs related to RDX10531, an NHE3 inhibitor. The inability to access necessary capital when needed on acceptable terms, or at all, could force us to delay or limit our development of potential new products, or our pursuit of future business opportunities. Our future funding requirements will depend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we are able to continue to generate and increase product revenue from sales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adequate third-party reimbursement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manufacturing, selling and marketing costs associated with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receipt and amount of milestones or royalties from our collaboration partners,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necessary to expand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for our ongoing efforts to evaluate and seek approval of tenapanor for the treatment of CIC, including our ongoing Phase 3 clinical trial in this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for the discovery and/or development of other potential product candidates, including RDX10531;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time and cost necessary to respond to technological and market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payment of interest and principal related to our loan and security agreement entered into with SLR, as amended to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funds may not be available when we need them on terms that are acceptable to us, or at all. If adequate funds are not available to us on a timely basis, we may be required to delay or limit additional clinical trials for tenapanor, or delay or limit our pursuit of other future business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IBSRELA in the U.S. in March 2022. The overall commercial success of IBSRELA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sustain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IBSRELA as a treatment for adult patients with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IBSRELA will be subject to price negotiations under the IRA, and the timing and impact of those price negotiations on the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treatable patient population;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expand the IBSRELA eligible patient population, including with respect to our ongoing efforts to evaluate and seek approval of tenapanor for the treatment of CIC;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continue to increase the market share of IBSRELA;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our sales, market access and marketing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IBSRELA following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if we are not able to continue to secure and maintain physician and patient acceptance of IBSRELA or adequate coverage and reimbursement for IBSRELA, or if we are not successful in our efforts to develop and obtain regulatory approval for IBSRELA for CIC patients in the time frame we expect, or at all, we may not generate sufficient revenue from sales of IBSRELA to achieve our business goals. Any failure of IBSRELA to maintain market acceptance, continue to increase market share, obtain and maintain sufficient third-party coverage or reimbursement, or achieve commercial success would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XPHOZAH in the U.S. in November 2023. The overall commercial success of XPHOZAH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content and breadth of the label that has been approved by the FDA for XPHOZAH will materially and adversely impact our ability to commercialize the product for the approved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acceptance of XPHOZAH as safe, effective and well-tolerated by patients and the medical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and sustaining an adequate level of coverage and reimbursement for XPHOZAH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XPHOZAH following approval.</w:t>
      </w:r>
    </w:p>
    <w:p>
      <w:pPr>
        <w:pStyle w:val="TextBody"/>
        <w:bidi w:val="0"/>
        <w:spacing w:lineRule="auto" w:line="288" w:before="0" w:after="180"/>
        <w:ind w:left="0" w:right="0" w:firstLine="288"/>
        <w:jc w:val="left"/>
        <w:rPr/>
      </w:pP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2011,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eliminating coverage for XPHOZAH for Medicare beneficiaries under Medicare Part D. The change in Medicare reimbursement coverage had a negative and material impact on our XPHOZAH revenue in 2025 and may have a material adverse impact on our XPHOZAH revenue in future periods. We anticipate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extent to which the inclusion of XPHOZAH in the ESRD PPS will continue to materially and adversely impact our XPHOZAH business is dependent on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extent to which this change and any other regulatory action will interfere with the shared decision-making between healthcare professionals and their patients, regardless of insurance coverage;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withdraw their approval of the product or seize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required to recall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subject to fines, 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require the addition of new labeling statements, such as a “black box” warning or a contraindication;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or maintain adequate coverage and reimbursement for IBSRELA and XPHOZAH could limit our ability to market those products and decrease our ability to generate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the U.S., CMS decides whether and to what extent a new drug will be covered and reimbursed under Medicare. Private payors tend to follow the coverage reimbursement policies established by CMS to a substantial degree. On January 1, 2025, XPHOZAH, along with other oral drugs for ESRD patients on dialysis without injectable or intravenous equivalents, became part of the ESRD PPS and coverage for XPHOZAH and these other oral drugs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Outside the U.S., international operations are generally subject to extensive governmental price controls and other market regulations, and we believe the increasing emphasis on cost-containment initiatives in other countries has and will continue to put pressure on the pricing and usage of IBSRELA and XPHOZAH.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U.S. and abroad to cap or reduce healthcare costs may cause such organizations to limit both coverage and the level of reimbursement for our products and, as a result, they may not cover or provide adequate payment for our product candidates. We expect to continue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and the continued commercial success of established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CMOs to manufacture our drug supply are subject to inspection by the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rely on foreign CROs and CMOs, which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business prospects may depend on our ability, alone or through our current or future collaborations, to successfully develop, gain regulatory approval of and commercialize our current and future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including new uses for currently approved products, we must conduct extensive clinical studies to demonstrate the safety and efficacy of the product candidates in humans. The drug development process, including obtaining regulatory approval for a product, is a long, expensive and uncertain process, involving a high degree of risk. We cannot be certain that we will be able to complete ongoing clinical trials or to announce results of such trials with respect to any of our product candidates, on the timelines we expect or at all, or that the results of our clinical trials or other activities under our development programs will be positive. We cannot be certain that we will be able to advance such product candidates into additional trials or to successfully develop, obtain regulatory approval for, or successfully commercialize any of our product candidates, if approved.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in October 2025, we announced the initiation of a development program for RDX10531, an NHE3 inhibitor with potential application across multiple therapeutic areas. In January 2026, we initiated ACCEL (ten-03-301), a Phase 3 clinical trial designed to assess the safety and efficacy of tenapanor for the treatment of CIC. Enrollment in ACCEL is expected throughout 2026, with topline data read out in the second half of 2027. We may not be able to demonstrate the efficacy and safety of these or any future product candidates, or we may encounter other issues with any clinical trials or non-clinical studies required for regulatory submissions of our product candidates. The results of clinical trials or non-clinical studies of our product candidates at any stage may not support further development or may not be sufficient to file for and obtain regulatory approval on the timelines we expect or at all. The FDA or other regulatory authorities may not agree with our interpretation of the results of clinical trials or non-clinical studies. Other decisions or actions of the FDA or other regulatory authorities may affect our plans, progress, results, timing or next steps, including whether to proceed with further development. Some or all of our current or future non-clinical studies or clinical trials may fail to meet their primary or key secondary endpoints, raise safety issues or generate mixed results, resulting in delays to or discontinuation of certain development efforts and/or additional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conduct of clinical trials, we could encounter delays in our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ongoing and planned development activities may be negatively impacted by a number of factors. Widespread healthcare and vendor staffing shortages and increased competition for patients and clinical sites may make it difficult to enroll patients in our non-clinical studies and/or clinical trials and/or identify and activate participating clinical sites for our trials, may cause other delays at clinical trial sites and/or vendors, and may increase the rates of patients withdrawing from our clinical trials following enrollment. Some clinical sites may decline or delay participation in our trials due to capacity and resource constraints. These or other factors may substantially slow clinical site identification and activation and enrollment in our clinical trials, or cause us to pause trials, which may, in each case, significantly impact our ability to meet our expected timelines, budgets, or other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limitations or modifications to study procedures, study visits or data collection, restrictions on key clinical trial activities such as monitoring or auditing, or other restrictions that may affect data analysis activities may require additional assessment and evaluation from IRBs, negatively impact the integrity or completeness of our trial data, the powering of a trial, the integrity or relevance of clinical study endpoints, or impact the timing of availability of results. Any of these factors could delay or increase the expense of our ongoing or future development programs.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Accordingly, even if we have the requisite financial resources, when needed, to continue to fund our development efforts, our current or future product candidates may never be successfully developed or commercialized. Even if we conduct the trials required by the FDA, the FDA may ultimately decide that the design, number and type of trials, number of patients studied or results, even if positive, are not sufficient to file for or gain regulatory approval of any of our product candidates in the indications we study, or do not support the safety or efficacy or our intended profile for the product. Any of these negative outcomes could materially impact our ongoing or future development programs and adversely affect our business, results of operations, financial condition and prospects and could lead us to make significant further changes to the scope and nature of our development efforts.</w:t>
      </w:r>
    </w:p>
    <w:p>
      <w:pPr>
        <w:pStyle w:val="TextBody"/>
        <w:bidi w:val="0"/>
        <w:spacing w:lineRule="auto" w:line="288" w:before="0" w:after="180"/>
        <w:jc w:val="left"/>
        <w:rPr/>
      </w:pPr>
      <w:r>
        <w:rPr>
          <w:rFonts w:ascii="Times New Roman;serif" w:hAnsi="Times New Roman;serif"/>
          <w:b/>
          <w:i/>
          <w:color w:val="000000"/>
          <w:sz w:val="20"/>
        </w:rPr>
        <w:t>Our future results depend on CMOs, many of whom are our single source manufacturers.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tariffs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currently and may in the future rely on foreign CMOs and CROs. Such foreign CMOs and CROs may be subject to U.S. legislation, sanctions, trade restrictions and other foreign regulatory requirements which could increase the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would be time consuming and costly. Furthermore, any new CMO would need to complete validation batches and be approved by regulatory authorities as our manufacturer, including passing any required inspections, before we would be able to utilize the drug product or drug substance they manufacture for commercial purposes, which could result in significant costs and delays in product availability.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23, 2022, we entered into a loan and security agreement (the 2022 Loan Agreement) with SLR as collateral agent and the lenders listed in the 2022 Loan Agreement (collectively, the Lenders). The 2022 Loan Agreement was subsequently amended in August 2022 (the First Amendment), February 2023 (the Second Amendment), October 2023 (the Third Amendment), October 2024 (Fourth Amendment), June 2025 (Fifth Amendment) and April 2026 (Sixth Amendment). The loan was funded in the amount of $27.5 million on February 23, 2022 and additional amounts of $22.5 million, $50.0 million, $50.0 million and $50.0 million were drawn on October 19, 2023, March 1, 2024, October 29, 2024 and June 30, 2025, respectively. These are referred to as the Terms A, B, C, D and E Loans. In connection with the Sixth Amendment, a portion of the $200.0 million in outstanding principal previously allocated among the Term A through C Loans was refinanced with a new Term H Loan, and the interest rate was collectively reduced under all term loans, including the term loans we have the future option to draw from. We have the option to draw up to an additional $100.0 million, consisting of two separate term loans (the Term F and Term G Loans), each in a principal amount of $50.0 million: (a) the first of which is available at the Company’s election through June 30, 2026 and (b) the second of which is available at the Company’s election through December 20,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competition, and our competitors may discover, develop or commercialize products faster or more successfully than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 In addition, if successfully developed and approved for the treatment of CIC, we believe IBSRELA will also face competition from branded products Linzess (linaclotide) and Trulance (plecanatide) as well as generic lubiprostone and prucalopride.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 and currently in Phase 3; and OLC, developed by Unicycive Therapeutics, which has resubmitted its NDA to the FDA for approval via the 505(b)(2) pathway. Additionally, Alebund is developing AP-306, an inhibitor of phosphate transporters NaPi-2b, PiT-1, and PiT-2, thus far studied in a Phase 2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managing our current activities and growth given our level of managerial, operational, financial and other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commercialization activities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clinical trials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improve our operational, financial and management controls, reporting systems and procedures;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retain and motivate our remaining employees and potentially identify, recruit and integrate additional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engage in strategic transactions that could impact our liquidity, increase our expenses and present significant distractions to our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exposure to unknown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incurrence of substantial debt or dilutive issuances of equity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higher-than-expected acquisition and integration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write-downs of assets or goodwill or impairment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amortization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difficulty and cost in combining the operations and personnel of any acquired businesses with our operations and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inability to retain key employees of any acquired businesses.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our commercialization of IBSRELA and XPHOZAH.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decreased demand for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investigations, product recalls or withdrawals, or labeling, marketing or promotional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inability to commercialize or co-promote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attract, retain and motivate our executives, senior management and key personnel, our business will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trial data) that are subject to privacy and security requirements under HIPAA. Depending on the facts and circumstances, we could be subject to significant penalties if we violate HIPAA.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number of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or may become subject to rapidly evolving data protection laws, rules and regulations in foreign jurisdictions.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EEA and UK. Companies that must comply with the GDPR face increased compliance obligations and risk, including more robust regulatory enforcement of data protection requirements and potential fines for noncompliance of up to €20 million/£17.5 million or four percent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diverse threat vectors, such as computer viruses, malware (e.g.,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Additionally, any integration of artificial intelligence in our or any third party’s operations, products or services is expected to pose new or unknown cybersecurity risks and challenges.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and with METiS for the development and commercialization of a portfolio of TGR5 agonist compounds for all therapeutic areas. Our previous collaboration partnership in Canada with Knight for commercialization of tenapanor for IBS-C and hyperphosphatemia was terminated in March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may pursue future collaborations, we face significant competition in seeking appropriate collaboration partners, and the process to identify an appropriate partner and negotiate appropriate terms is time-consuming and complex. Delays in identifying suitable additional collaboration partners and entering into agreements to commercialize our products in ex-U.S. territories and/or develop our product candidates will delay commercialization thereof, which may reduce their competitiveness even if they reach the market. In addition, current or future collaborations or partnerships with ex-U.S. parties and the expected benefits therefrom could be materially and adversely impacted by current or future healthcare reform legislation and initiatives (including evolving “most favored nation” pricing proposals) that may require U.S. pricing for our products to be tied to, or otherwise impacted by, ex-U.S. prices obtained by collaborators or partners.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third parties does not relieve us of our regulatory responsibilities. We, and these third parties are required to comply with current GLPs for nonclinical studies and GCPs for clinical studies. GLPs and GCPs are regulations and guidelines enforced by the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regulatory requirements for drug approvals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differing U.S. and foreign drug import and export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reimbursement systems, and different competitive drugs;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liability resulting from development work conducted by these distributors;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U.S. and international trade policies may adversely impact our business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rely on both U.S. and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involves the use of hazardous materials and we and third parties with whom we contract must comply with environmental laws and regulations, which can be expensive and restrict how we do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severe weather, public health emergencies and other catastrophic events, and our business continuity and disaster recovery plans may not adequately protect us from a serious disaster.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Events outside of our control, including natural disasters, severe or inclement weather (such as extreme snow and ice, extreme heat, tornados and flooding), public health emergencies, power outages, cyber or telecommunications disruptions, transportation incidents or other catastrophic events, could severely disrupt our operations and have a material adverse effect on our business, operating results, prospects or financial condition. Such events could disrupt our sales efforts, ongoing clinical trials and/or other operations by damaging or limiting access to critical infrastructure and facilities, including those operated by third parties on whom we rely, such as contract research organizations, contract manufacturing organizations, suppliers, specialty pharmacies and logistics and distribution providers, or by restricting travel, staffing availability or site access. If any such event prevents or materially impairs our ability, or the ability of these third parties, to manufacture or ship product or product candidates, conduct clinical trial activities, perform quality testing and release, or otherwise operate in the ordinary course, it may be difficult or, in certain cases, impossible for us to continue our business as currently planned.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shipment of product and product candidates, active pharmaceutical ingredients and other materials may be delayed, diverted or disrupted by severe weather or other events in any location where our third-party service providers operate or through which shipments must travel, including as a result of extreme snow or ice, extreme heat, tornados, flooding, transportation accidents or carrier interruptions. These disruptions could result in missed or delayed patient deliveries, delayed site resupply, inventory constraints, product loss or spoilage (including due to temperature excursions), increased shipping and handling costs, and delays in manufacturing, release or crucial business timelines, any of which could materially impact our sales, financial results, patient fulfillment efforts and reputation.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disaster recovery and business continuity plans we have in place may prove inadequate in the event of a serious disaster or similar event, including because we may not have sufficient redundancies, alternative suppliers, alternative distribution channels, backup manufacturing capacity or additional inventory to mitigate the impact of such disruptions. We may incur substantial expenses in connection with responding to and recovering from these events, and any of the foregoing could have a material adverse effect on our business, operating results, prospects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a number of legislative and regulatory changes and proposed changes regarding the healthcare system that could, among other things, restrict or regulate post approval activities with respect to our approved products and affect our ability to profitably sell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ACA was enacted in 2010 with a goal of reducing the cost of healthcare and substantially changing the way healthcare is financed by both government and private insurers. The ACA, among other things, increased the minimum Medicaid rebates owed by manufacturers under the MDRP, extended manufacturer rebate liability from fee-for-service Medicaid utilization to include the utilization of Medicaid managed care organizations and established annual fees and taxes on manufacturers of certain branded prescription drugs. Since its enactment, certain provisions of the ACA have been subject to judicial, executive, and legislative challenges. For example, on June 17, 2021, the U.S. Supreme Court dismissed the most recent judicial challenge to the ACA brought by several states without specifically ruling on the constitutionality of the ACA. There have also been ongoing changes to the implementation of the ACA since its adoption. For example, the availability of enhanced premium tax credits and other subsidies under the ACA expired as of December 31, 2025, and absent legislative action to reinstate or replace them, many individuals may experience higher out-of-pocket premium costs. These changes could result in an increase in uninsured or underinsured patients, which could negatively affect patients’ ability or willingness to start or continue treatment with our products or future product candidates, if successfully developed and approved, or may otherwise increase prescription abandonment rates or place greater downward pressure on drug pricing generally.</w:t>
      </w:r>
    </w:p>
    <w:p>
      <w:pPr>
        <w:pStyle w:val="TextBody"/>
        <w:bidi w:val="0"/>
        <w:spacing w:lineRule="auto" w:line="288" w:before="0" w:after="180"/>
        <w:ind w:left="0" w:right="0" w:firstLine="360"/>
        <w:jc w:val="left"/>
        <w:rPr/>
      </w:pPr>
      <w:r>
        <w:rPr>
          <w:rFonts w:ascii="Times New Roman;serif" w:hAnsi="Times New Roman;serif"/>
          <w:b w:val="false"/>
          <w:color w:val="000000"/>
          <w:sz w:val="20"/>
        </w:rPr>
        <w:t>Moreover, on January 1, 2025, XPHOZAH, along with other oral drugs for ESRD patients on dialysis without injectable or intravenous equivalents, became part of the ESRD PPS and coverage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 longer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U.S. since the ACA was enacted. These laws, among other things, included aggregate reductions of Medicare payments to providers that will remain in effect through 2032,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AMP.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2022, the IRA was signed into law in August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went into effect in January 2026, and the subsequent 15 drugs, which will first be effective in 2027. CMS has also published the next set of 15 drugs that will be subject to negotiation. The IRA permits the Secretary of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us and the pharmaceutical industry cannot yet be fully determined, it is likely to be significant.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our partner’s products or of any product candidate that we commercialize.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administration is pursuing a two-fold strategy to reduce drug costs in the U.S. While it is unclear whether and how these proposals will be implemented, the current administration’s policies are likely to have a negative impact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pharmaceutical industry and on our ability to receive adequate revenues for IBSRELA and XPHOZAH.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current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after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agency or other requirements, may result in,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warning or untitled letters or fines;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or revocation of existing regulatory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of any of our ongoing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refusal to approve pending applications or supplements to approved applications submitted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our or our CMOs’ operations;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FDA’s ability to perform routine functions. For example, over the last several years, the U.S. government has shut down several times, including October 2025 and November 2025 and a subsequent partial government shutdown in January and February 2026, and certain regulatory agencies, such as the FDA, have had to furlough FDA employees and suspend certain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drugs to be reviewed and/or approved by necessary government agencies, which would adversely affect our business. If a prolonged government shutdown occurs or continues,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In addition, before approving an NDA, the facilities and quality systems of some, or all, of the relevant CMOs must pass a pre-approval inspection for compliance with the applicable regulations as a condition of regulatory approval of our product candidates. The FDA will not approve a product candidate unless it determines that the manufacturing processes and facilities are in compliance with cGMP requirements and are adequate to assure consistent production of the product within required specifications. In addition, the regulatory authorities may, at any time, audit or inspect a manufacturing facility involved with the manufacture of our product or the associated quality systems for compliance with the regulations applicable to the activities being conducted. We enter into quality agreements with our CMOs, pursuant to which we expect our CMOs to comply with cGMPs and applicable regulatory requirements. Although we oversee the CMOs, we cannot control the manufacturing process of, and are completely dependent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direct control over the ability of our CMOs to maintain adequate quality control, quality assurance and qualified personnel. If our CMOs cannot successfully manufacture material that conforms to our specifications and the strict requirements of relevant regulatory authorities, and pass regulatory inspections, on the timelines we expect or at all, they will not be able to secure and/or maintain regulatory approval for their manufacturing facilities with respect to our products, which could materially impact our ability to supply product and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may result in delays to our desired clinical and commercial timelines.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or are found to have failed to comply with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regulations relating to the promotion of products for unapproved uses and the design and implementation of patient assistance programs are complex and subject to substantial interpretation by the FDA and other government agencies. With respect to the commercialization of IBSRELA and/or XPHOZAH, we are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brought by current or former employees. In a qui tam suit, the government must decide whether to intervene and prosecute the case. If it declines, the individual may pursue the case alone.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FDA or any other governmental agency initiates an enforcement action against us or if we are the subject of a qui tam suit and it is determined that we violated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regulatory approvals in foreign jurisdictions would prevent us from marketing our products internationally.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European and other foreign law equivalents of each of the laws, including reporting requirements detailing interactions with and payments to healthcare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clinical trials to be conducted prior to obtaining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manufacturing methods;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recall, replacement, or discontinuance of one or more of our products;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record keeping.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HHS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and Medicare Part B. Failure to make necessary disclosures and/or to identify overpayments could result in allegations against us under the Federal False Claims Act and other laws and regulations.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IRA imposes rebates under Medicare Part B and Medicare Part D that are triggered by price increases that outpace inflation (first due in 2023), as described under “—</w:t>
      </w:r>
      <w:r>
        <w:rPr>
          <w:rFonts w:ascii="Times New Roman;serif" w:hAnsi="Times New Roman;serif"/>
          <w:b w:val="false"/>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r>
        <w:rPr>
          <w:color w:val="000000"/>
        </w:rPr>
        <w:t xml:space="preserve">” </w:t>
      </w:r>
      <w:r>
        <w:rPr>
          <w:rFonts w:ascii="Times New Roman;serif" w:hAnsi="Times New Roman;serif"/>
          <w:b w:val="false"/>
          <w:color w:val="000000"/>
          <w:sz w:val="20"/>
        </w:rPr>
        <w:t>The Medicare Part D rebate, if applicable, will be calculated on the basis of the AMP figures we report pursuant to the MDRP.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Federal law requires that a manufacturer that participates in the MDRP also participate in the 340B program in order for federal funds to be available for the manufacturer’s covered outpatient drugs under Medicaid and Medicare Part B. We participate in the 340B program, which is administered by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pursue claims against participating manufacturers for overcharges, and through which manufacturers may pursue claims against 340B covered entities for engaging in unlawful diversion or duplicate discounting of 340B drugs.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be eligible to have drug products paid for with federal funds under Medicaid and Medicare Part B and purchased by certain federal agencies and grantees, we also participate in the U.S. VA/FSS pricing program. Under the VA/FSS program, we are obligated to report the Non-FAMP for our covered drugs to the VA and charge certain federal agencies no more than the Federal Ceiling Price (FCP), which is calculated based on Non-FAMP using a statutory formula. These four agencies are the VA, the U.S. Department of Defense, the U.S. Coast Guard and the U.S. Public Health Service (including the Indian Health Service).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If we fail to provide timely information or are found to have knowingly submitted false information, we may be subject to civil monetary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will depend on our ability to obtain, maintain and protect our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U.S.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challenged patents will ultimately be found to be valid and enforceable;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develop additional proprietary technologies or products that are separately patentable;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infringement claims against us, third parties may also raise similar claims before administrative bodies in the U.S. or abroad. Such mechanisms include reexamination, post grant review, inter partes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composition and use of IBSRELA and XPHOZAH are currently claimed by seven issued patents each that are listed in the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XPHOZAH or any of our future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Hatch-Waxman Act provides non-patent regulatory exclusivity for five years from the date of the first FDA approval of a drug containing an NCE. The FDA is prohibited during those five years from approving an ANDA or 505(b)(2) NDA that references the NDA that has been granted NCE exclusivity. However, if any patents are listed in the FDA Orange Book for such NCE-containing drug, a follow-on product manufacturer may file an ANDA or 505(b)(2) NDA that references an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FDA from approving, another full 505(b)(1) NDA for an already-approved drug where the third party has conducted its own pre-clinical and clinical trials to independently demonstrate safety and effectiveness without reliance on the original NDA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cases where NCE exclusivity has been granted for an NDA, as in the case of IBSRELA and XPHOZAH, if an ANDA or 505(b)(2) sponsor has provided a Paragraph IV certification to the FDA when filing its application, the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FDA from approving the ANDA or 505(b)(2) NDA until the earlier of 30 months after the NCE NDA owner’s receipt of the Paragraph IV certification notice, a final decision in the infringement case in favor of the ANDA or 505(b)(2) sponsor, or another date established by the court. There can be no assurances that an ANDA or 505(b)(2) NDA that references our IBSRELA or XPHOZAH NDAs and includes a Paragraph IV certification will not be filed, or that we will be successful in enforcing our Orange Book listed patents against such follow-on product sponsor.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 Patent No. 8,541,448 covering tenapanor was subject to patent term adjustment under the American Inventors Protection Act for delays by the USPTO in granting the patent. Additionally, following the approval by the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There could also be delays at the USPTO caused by staffing cuts and other U.S. government actions as a result of the U.S. Department of Government Efficiency or other executive actions to reduce the size of the U.S. government. In such an event, competitors might be able to enter the market earlier than would otherwise have been the case.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enforce our intellectual property rights throughout the world.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Europe’s new Unified Patent Court may, in particular, present uncertainties for our ability to protect and enforce our patent rights against competitors in Europe. In 2012, the EU Patent Package regulations were passed with the goal of providing a single pan-European Unitary Patent and a new UPC, for litigation involving European patents. Implementation of the EU Patent Package entered into force on June 1, 2023. Under the UPC, all European patents, including those issued prior to ratification of the EU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would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Unauthorized parties may also attempt to copy or reverse engineer certain aspects of our products that we consider proprietary. We may not be able to obtain adequate remedies in the event of such unauthorized use. Enforcing a claim that a 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If any of these events occurs or if we otherwise lose protection for our trade secrets, the value of such information may be greatly reduced and our competitive position, business, financial condition, results of operations and prospects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or future registered or unregistered trademarks or trade names may be challenged, infringed, circumvented or declared generic or descriptive, cancelled or determined to be infringing on other marks. We may not be able to protect or 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party against whom we have asserted trademark infringement has superior rights to the marks in question. In this case, we could ultimately be forced to cease use of such trademarks.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continue to be volatile and our stockholders may not be able to resell shares of our common stock at or above the price they paid.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or lack of success with regards to our commercialization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regarding coverage and reimbursement for XPHOZAH alone or with other oral ESRD-related drugs without injectable or intravenous equivalents;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regarding the results of clinical trials we may run evaluating tenapanor for CIC; RDX10531 or any other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relating to our current or future collaboration partnerships;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therapeutic innovations or new products or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developments in laws or regulations applicable to our approved products 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meet any of our projected timelines or goals with regard to the commercialization of IBSRELA and XPHOZAH, or the clinical development and commercialization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acquire or license or discover additional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intellectual property infringement actions in which we may become involved;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obtain adequate intellectual property protection for our products and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concerning our competitors or the pharmaceutical industry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achievement of expected product sales and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manufacture, supply or distribution shortages;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FDA or other U.S. or foreign regulatory actions affecting us or our industry or other healthcare reform measures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our common stock by us, our executive officers and directors or our stockholders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debt securities and sales or licensing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market conditions and overall fluctuations in the U.S. equity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loss of any of our key scientific or management personnel.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sell shares of our common stock in future financings, stockholders may experience immediate dilution and, as a result, our stock price may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adversely affected by the global economic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geopolitical tensions,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anticipate all the ways in which the global economic climate and global financial market conditions could adversely impact our business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alter our bylaws without obtaining stockholder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provisions would apply even if we were to receive an offer that some stockholders may consider beneficial.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on our common stock for the foreseeable future. We currently intend to invest our future earnings, if any, to fund our future business opportunities. Additionally, the terms of our 2022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Entry into a Material Definitive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28, 2026, Ardelyx, Inc. (the Company) entered into a Sixth Amendment (the Sixth Amendment) to the Loan and Security Agreement, originally dated February 23, 2022, by and among the Company, as borrower, SLR Investment Corp. (SLR), as collateral agent and the lenders party thereto (as later amended, amended and restated, supplemented or otherwise modified from time to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Sixth Amendment, among other things, (i) a portion of $200.0 million in outstanding principal previously allocated among the outstanding Term A through C Loans (collectively, the Revised Loans) was refinanced with a new Term H Loan; (ii) the maturity date for the Revised Loans has been extended from July 1, 2028 to July 1, 2030 (the New Maturity Date), which is the maturity date applicable for each other term loan; (iii) the interest-only payment period for the Revised Loans has been extended until the New Maturity Date; (iv) the interest rates for the Revised Loans, the Term H Loan, and the Term F and Term G Loans will have a collectively reduced interest rate, at the sum of 4.55% plus the greater of (a) the 1-month SOFR reference rate or (b) 3.5%; (v) the Company will retain the option to draw the Term F and Term G Loans, each in the amount of $50.0 million, at the Company’s election by June 30, 2026 and December 20, 2026, respectively; and (vi) certain negative covenants and other conditions were amended to provide additional flexibility to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the closing date of the Sixth Amendment, the Company paid approximately $1.9 million in final fees and prepayment fees in connection with the partial paydown of the Term A through C Loans.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pay a final fee with respect to each of the outstanding amounts under each of the term loans, upon the earliest to occur of (i) the New Maturity Date, (ii) the acceleration of the applicable term loan or (iii) the prepayment, refinancing, substitution or replacement of the applicable term loan. This final fee is 4.95% for the Term A through E loans, 3.45% for the Term F and Term G Loans and 2.50% for the new Term H Loan.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 summary of the material terms of the Sixth Amendment does not purport to be complete and is qualified in its entirety by reference to the Sixth Amendment, a copy of which is filed as Exhibit 10.3 to this Quarterly Report on Form 10-Q and incorporated by reference herein.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our Section 16 officers and directors adopted or terminated contracts, instructions or written plans for the purchase or sale of our securities as noted below.</w:t>
      </w:r>
    </w:p>
    <w:tbl>
      <w:tblPr>
        <w:tblW w:w="10205" w:type="dxa"/>
        <w:jc w:val="center"/>
        <w:tblInd w:w="0" w:type="dxa"/>
        <w:tblLayout w:type="fixed"/>
        <w:tblCellMar>
          <w:top w:w="28" w:type="dxa"/>
          <w:left w:w="28" w:type="dxa"/>
          <w:bottom w:w="28" w:type="dxa"/>
          <w:right w:w="28" w:type="dxa"/>
        </w:tblCellMar>
      </w:tblPr>
      <w:tblGrid>
        <w:gridCol w:w="862"/>
        <w:gridCol w:w="739"/>
        <w:gridCol w:w="742"/>
        <w:gridCol w:w="294"/>
        <w:gridCol w:w="294"/>
        <w:gridCol w:w="298"/>
        <w:gridCol w:w="362"/>
        <w:gridCol w:w="362"/>
        <w:gridCol w:w="369"/>
        <w:gridCol w:w="329"/>
        <w:gridCol w:w="329"/>
        <w:gridCol w:w="329"/>
        <w:gridCol w:w="479"/>
        <w:gridCol w:w="479"/>
        <w:gridCol w:w="450"/>
        <w:gridCol w:w="712"/>
        <w:gridCol w:w="712"/>
        <w:gridCol w:w="714"/>
        <w:gridCol w:w="392"/>
        <w:gridCol w:w="392"/>
        <w:gridCol w:w="566"/>
      </w:tblGrid>
      <w:tr>
        <w:trPr/>
        <w:tc>
          <w:tcPr>
            <w:tcW w:w="86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34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88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09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239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w:t>
            </w:r>
          </w:p>
        </w:tc>
        <w:tc>
          <w:tcPr>
            <w:tcW w:w="2138"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Available to be Sold</w:t>
            </w:r>
          </w:p>
        </w:tc>
        <w:tc>
          <w:tcPr>
            <w:tcW w:w="135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234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8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9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40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2138"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35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3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Laura Williams, Chief Patient Officer</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4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298,382</w:t>
            </w:r>
          </w:p>
        </w:tc>
        <w:tc>
          <w:tcPr>
            <w:tcW w:w="13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2027</w:t>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Intended to satisfy the affirmative defense conditions of Rule 10b5-1(c)</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Not intended to satisfy the affirmative defense conditions of Rule 10b5-1(c)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1802"/>
        <w:gridCol w:w="1524"/>
        <w:gridCol w:w="1529"/>
        <w:gridCol w:w="109"/>
        <w:gridCol w:w="109"/>
        <w:gridCol w:w="109"/>
        <w:gridCol w:w="195"/>
        <w:gridCol w:w="195"/>
        <w:gridCol w:w="196"/>
        <w:gridCol w:w="112"/>
        <w:gridCol w:w="112"/>
        <w:gridCol w:w="112"/>
        <w:gridCol w:w="187"/>
        <w:gridCol w:w="187"/>
        <w:gridCol w:w="191"/>
        <w:gridCol w:w="112"/>
        <w:gridCol w:w="112"/>
        <w:gridCol w:w="112"/>
        <w:gridCol w:w="265"/>
        <w:gridCol w:w="265"/>
        <w:gridCol w:w="266"/>
        <w:gridCol w:w="109"/>
        <w:gridCol w:w="109"/>
        <w:gridCol w:w="109"/>
        <w:gridCol w:w="271"/>
        <w:gridCol w:w="271"/>
        <w:gridCol w:w="39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06/24/2024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06/20/2023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08/04/2025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331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331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331xex321.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331xex101.htm">
              <w:r>
                <w:rPr>
                  <w:rStyle w:val="InternetLink"/>
                  <w:rFonts w:ascii="Times New Roman;serif" w:hAnsi="Times New Roman;serif"/>
                  <w:b w:val="false"/>
                  <w:color w:val="0000FF"/>
                  <w:sz w:val="20"/>
                  <w:u w:val="single"/>
                </w:rPr>
                <w:t>Offer Letter, dated February 18, 2026, by and between Ardelyx, Inc. and Felecia Ettenberg.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331xex102.htm">
              <w:r>
                <w:rPr>
                  <w:rStyle w:val="InternetLink"/>
                  <w:rFonts w:ascii="Times New Roman;serif" w:hAnsi="Times New Roman;serif"/>
                  <w:b w:val="false"/>
                  <w:color w:val="000080"/>
                  <w:sz w:val="20"/>
                  <w:u w:val="single"/>
                </w:rPr>
                <w:t>Offer Letter, date</w:t>
              </w:r>
            </w:hyperlink>
            <w:hyperlink w:anchor="ardx-20260331xex102.htm">
              <w:r>
                <w:rPr>
                  <w:rStyle w:val="InternetLink"/>
                  <w:rFonts w:ascii="Times New Roman;serif" w:hAnsi="Times New Roman;serif"/>
                  <w:b w:val="false"/>
                  <w:color w:val="000080"/>
                  <w:sz w:val="20"/>
                  <w:u w:val="single"/>
                </w:rPr>
                <w:t xml:space="preserve">d </w:t>
              </w:r>
            </w:hyperlink>
            <w:hyperlink w:anchor="ardx-20260331xex102.htm">
              <w:r>
                <w:rPr>
                  <w:rStyle w:val="InternetLink"/>
                  <w:rFonts w:ascii="Times New Roman;serif" w:hAnsi="Times New Roman;serif"/>
                  <w:b w:val="false"/>
                  <w:color w:val="000080"/>
                  <w:sz w:val="20"/>
                  <w:u w:val="single"/>
                </w:rPr>
                <w:t>March 2</w:t>
              </w:r>
            </w:hyperlink>
            <w:hyperlink w:anchor="ardx-20260331xex102.htm">
              <w:r>
                <w:rPr>
                  <w:rStyle w:val="InternetLink"/>
                  <w:rFonts w:ascii="Times New Roman;serif" w:hAnsi="Times New Roman;serif"/>
                  <w:b w:val="false"/>
                  <w:color w:val="000080"/>
                  <w:sz w:val="20"/>
                  <w:u w:val="single"/>
                </w:rPr>
                <w:t>,</w:t>
              </w:r>
            </w:hyperlink>
            <w:hyperlink w:anchor="ardx-20260331xex102.htm">
              <w:r>
                <w:rPr>
                  <w:rStyle w:val="InternetLink"/>
                  <w:rFonts w:ascii="Times New Roman;serif" w:hAnsi="Times New Roman;serif"/>
                  <w:b w:val="false"/>
                  <w:color w:val="000080"/>
                  <w:sz w:val="20"/>
                  <w:u w:val="single"/>
                </w:rPr>
                <w:t xml:space="preserve"> 2026</w:t>
              </w:r>
            </w:hyperlink>
            <w:hyperlink w:anchor="ardx-20260331xex102.htm">
              <w:r>
                <w:rPr>
                  <w:rStyle w:val="InternetLink"/>
                  <w:rFonts w:ascii="Times New Roman;serif" w:hAnsi="Times New Roman;serif"/>
                  <w:b w:val="false"/>
                  <w:color w:val="000080"/>
                  <w:sz w:val="20"/>
                  <w:u w:val="single"/>
                </w:rPr>
                <w:t>, b</w:t>
              </w:r>
            </w:hyperlink>
            <w:hyperlink w:anchor="ardx-20260331xex102.htm">
              <w:r>
                <w:rPr>
                  <w:rStyle w:val="InternetLink"/>
                  <w:rFonts w:ascii="Times New Roman;serif" w:hAnsi="Times New Roman;serif"/>
                  <w:b w:val="false"/>
                  <w:color w:val="000080"/>
                  <w:sz w:val="20"/>
                  <w:u w:val="single"/>
                </w:rPr>
                <w:t>y and between Ardelyx, Inc. and</w:t>
              </w:r>
            </w:hyperlink>
            <w:hyperlink w:anchor="ardx-20260331xex102.htm">
              <w:r>
                <w:rPr>
                  <w:rStyle w:val="InternetLink"/>
                  <w:rFonts w:ascii="Times New Roman;serif" w:hAnsi="Times New Roman;serif"/>
                  <w:b w:val="false"/>
                  <w:color w:val="000080"/>
                  <w:sz w:val="20"/>
                  <w:u w:val="single"/>
                </w:rPr>
                <w:t xml:space="preserve"> </w:t>
              </w:r>
            </w:hyperlink>
            <w:hyperlink w:anchor="ardx-20260331xex102.htm">
              <w:r>
                <w:rPr>
                  <w:rStyle w:val="InternetLink"/>
                  <w:rFonts w:ascii="Times New Roman;serif" w:hAnsi="Times New Roman;serif"/>
                  <w:b w:val="false"/>
                  <w:color w:val="000080"/>
                  <w:sz w:val="20"/>
                  <w:u w:val="single"/>
                </w:rPr>
                <w:t>Rajani Dinavahi</w:t>
              </w:r>
            </w:hyperlink>
            <w:hyperlink w:anchor="ardx-20260331xex102.htm">
              <w:r>
                <w:rPr>
                  <w:rStyle w:val="InternetLink"/>
                  <w:rFonts w:ascii="Times New Roman;serif" w:hAnsi="Times New Roman;serif"/>
                  <w:b w:val="false"/>
                  <w:color w:val="000080"/>
                  <w:sz w:val="20"/>
                  <w:u w:val="single"/>
                </w:rPr>
                <w:t>, M</w:t>
              </w:r>
            </w:hyperlink>
            <w:hyperlink w:anchor="ardx-20260331xex102.htm">
              <w:r>
                <w:rPr>
                  <w:rStyle w:val="InternetLink"/>
                  <w:rFonts w:ascii="Times New Roman;serif" w:hAnsi="Times New Roman;serif"/>
                  <w:b w:val="false"/>
                  <w:color w:val="000080"/>
                  <w:sz w:val="20"/>
                  <w:u w:val="single"/>
                </w:rPr>
                <w:t>.D</w:t>
              </w:r>
            </w:hyperlink>
            <w:hyperlink w:anchor="ardx-20260331xex102.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60331xex103.htm">
              <w:r>
                <w:rPr>
                  <w:rStyle w:val="InternetLink"/>
                  <w:rFonts w:ascii="Times New Roman;serif" w:hAnsi="Times New Roman;serif"/>
                  <w:b w:val="false"/>
                  <w:color w:val="000080"/>
                  <w:sz w:val="20"/>
                  <w:u w:val="single"/>
                </w:rPr>
                <w:t>Sixth</w:t>
              </w:r>
            </w:hyperlink>
            <w:hyperlink w:anchor="ardx-20260331xex103.htm">
              <w:r>
                <w:rPr>
                  <w:rStyle w:val="InternetLink"/>
                  <w:rFonts w:ascii="Times New Roman;serif" w:hAnsi="Times New Roman;serif"/>
                  <w:b w:val="false"/>
                  <w:color w:val="000080"/>
                  <w:sz w:val="20"/>
                  <w:u w:val="single"/>
                </w:rPr>
                <w:t xml:space="preserve"> Amendment to Loan and Security Agreement, dated </w:t>
              </w:r>
            </w:hyperlink>
            <w:hyperlink w:anchor="ardx-20260331xex103.htm">
              <w:r>
                <w:rPr>
                  <w:rStyle w:val="InternetLink"/>
                  <w:rFonts w:ascii="Times New Roman;serif" w:hAnsi="Times New Roman;serif"/>
                  <w:b w:val="false"/>
                  <w:color w:val="000080"/>
                  <w:sz w:val="20"/>
                  <w:u w:val="single"/>
                </w:rPr>
                <w:t xml:space="preserve">April </w:t>
              </w:r>
            </w:hyperlink>
            <w:hyperlink w:anchor="ardx-20260331xex103.htm">
              <w:r>
                <w:rPr>
                  <w:rStyle w:val="InternetLink"/>
                  <w:rFonts w:ascii="Times New Roman;serif" w:hAnsi="Times New Roman;serif"/>
                  <w:b w:val="false"/>
                  <w:color w:val="000080"/>
                  <w:sz w:val="20"/>
                  <w:u w:val="single"/>
                </w:rPr>
                <w:t>28</w:t>
              </w:r>
            </w:hyperlink>
            <w:hyperlink w:anchor="ardx-20260331xex103.htm">
              <w:r>
                <w:rPr>
                  <w:rStyle w:val="InternetLink"/>
                  <w:rFonts w:ascii="Times New Roman;serif" w:hAnsi="Times New Roman;serif"/>
                  <w:b w:val="false"/>
                  <w:color w:val="000080"/>
                  <w:sz w:val="20"/>
                  <w:u w:val="single"/>
                </w:rPr>
                <w:t>, 202</w:t>
              </w:r>
            </w:hyperlink>
            <w:hyperlink w:anchor="ardx-20260331xex103.htm">
              <w:r>
                <w:rPr>
                  <w:rStyle w:val="InternetLink"/>
                  <w:rFonts w:ascii="Times New Roman;serif" w:hAnsi="Times New Roman;serif"/>
                  <w:b w:val="false"/>
                  <w:color w:val="000080"/>
                  <w:sz w:val="20"/>
                  <w:u w:val="single"/>
                </w:rPr>
                <w:t>6</w:t>
              </w:r>
            </w:hyperlink>
            <w:hyperlink w:anchor="ardx-20260331xex103.htm">
              <w:r>
                <w:rPr>
                  <w:rStyle w:val="InternetLink"/>
                  <w:rFonts w:ascii="Times New Roman;serif" w:hAnsi="Times New Roman;serif"/>
                  <w:b w:val="false"/>
                  <w:color w:val="000080"/>
                  <w:sz w:val="20"/>
                  <w:u w:val="single"/>
                </w:rPr>
                <w:t>, by and among the Company, SLR Investment Corp., as collateral agent, and the lenders party thereto</w:t>
              </w:r>
            </w:hyperlink>
            <w:r>
              <w:rPr>
                <w:rFonts w:ascii="Times New Roman;serif" w:hAnsi="Times New Roman;serif"/>
                <w:b w:val="false"/>
                <w:color w:val="0E32E1"/>
                <w:sz w:val="20"/>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formatted in Inline Extensible Business Reporting Language (XBRL): (i) Condensed Balance Sheets as of March 31, 2026 and December 31, 2025, (ii) Condensed Statements of Operations and Comprehensive Loss for the three months ended March 31, 2026 and 2025, (iii) Condensed Statements of Changes in Stockholders’ Equity for the three months ended March 31, 2026 and 2025, (iv) Condensed Statements of Cash Flows for the three months ended March 31, 2026 and 2025,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 are deemed furnished and not filed with the SEC and are not to be incorporated by reference into any filing of Ardelyx,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60" w:type="dxa"/>
        <w:jc w:val="left"/>
        <w:tblInd w:w="0" w:type="dxa"/>
        <w:tblLayout w:type="fixed"/>
        <w:tblCellMar>
          <w:top w:w="28" w:type="dxa"/>
          <w:left w:w="28" w:type="dxa"/>
          <w:bottom w:w="28" w:type="dxa"/>
          <w:right w:w="28" w:type="dxa"/>
        </w:tblCellMar>
      </w:tblPr>
      <w:tblGrid>
        <w:gridCol w:w="645"/>
        <w:gridCol w:w="568"/>
        <w:gridCol w:w="571"/>
        <w:gridCol w:w="199"/>
        <w:gridCol w:w="199"/>
        <w:gridCol w:w="199"/>
        <w:gridCol w:w="1466"/>
        <w:gridCol w:w="1466"/>
        <w:gridCol w:w="1493"/>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c>
          <w:tcPr>
            <w:tcW w:w="154" w:type="dxa"/>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Joseph Reilly</w:t>
            </w:r>
          </w:p>
        </w:tc>
        <w:tc>
          <w:tcPr>
            <w:tcW w:w="154" w:type="dxa"/>
            <w:tcBorders/>
          </w:tcPr>
          <w:p>
            <w:pPr>
              <w:pStyle w:val="TableContents"/>
              <w:bidi w:val="0"/>
              <w:spacing w:before="0" w:after="283"/>
              <w:jc w:val="left"/>
              <w:rPr>
                <w:sz w:val="4"/>
                <w:szCs w:val="4"/>
              </w:rPr>
            </w:pPr>
            <w:r>
              <w:rPr>
                <w:sz w:val="4"/>
                <w:szCs w:val="4"/>
              </w:rPr>
            </w:r>
          </w:p>
        </w:tc>
      </w:tr>
      <w:tr>
        <w:trPr/>
        <w:tc>
          <w:tcPr>
            <w:tcW w:w="17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Joseph Reilly</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Vice President and Chief Accounting Officer</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(Principal Accounting Officer)</w:t>
            </w:r>
          </w:p>
        </w:tc>
        <w:tc>
          <w:tcPr>
            <w:tcW w:w="154" w:type="dxa"/>
            <w:tcBorders/>
          </w:tcPr>
          <w:p>
            <w:pPr>
              <w:pStyle w:val="TableContents"/>
              <w:bidi w:val="0"/>
              <w:spacing w:before="0" w:after="283"/>
              <w:jc w:val="left"/>
              <w:rPr>
                <w:sz w:val="4"/>
                <w:szCs w:val="4"/>
              </w:rPr>
            </w:pPr>
            <w:r>
              <w:rPr>
                <w:sz w:val="4"/>
                <w:szCs w:val="4"/>
              </w:rPr>
            </w:r>
          </w:p>
        </w:tc>
      </w:tr>
      <w:tr>
        <w:trPr/>
        <w:tc>
          <w:tcPr>
            <w:tcW w:w="1784"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both"/>
        <w:rPr/>
      </w:pPr>
      <w:hyperlink w:anchor="i54ca3432916345bd915dfb6df9c9c91a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 OF ABBREVIATED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have used terms which are defined below:</w:t>
      </w:r>
    </w:p>
    <w:tbl>
      <w:tblPr>
        <w:tblW w:w="10205" w:type="dxa"/>
        <w:jc w:val="center"/>
        <w:tblInd w:w="0" w:type="dxa"/>
        <w:tblLayout w:type="fixed"/>
        <w:tblCellMar>
          <w:top w:w="28" w:type="dxa"/>
          <w:left w:w="28" w:type="dxa"/>
          <w:bottom w:w="28" w:type="dxa"/>
          <w:right w:w="28" w:type="dxa"/>
        </w:tblCellMar>
      </w:tblPr>
      <w:tblGrid>
        <w:gridCol w:w="501"/>
        <w:gridCol w:w="436"/>
        <w:gridCol w:w="281"/>
        <w:gridCol w:w="1399"/>
        <w:gridCol w:w="1288"/>
        <w:gridCol w:w="1292"/>
        <w:gridCol w:w="411"/>
        <w:gridCol w:w="347"/>
        <w:gridCol w:w="351"/>
        <w:gridCol w:w="1257"/>
        <w:gridCol w:w="1091"/>
        <w:gridCol w:w="1551"/>
      </w:tblGrid>
      <w:tr>
        <w:trPr/>
        <w:tc>
          <w:tcPr>
            <w:tcW w:w="50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2025 Form 10-K</w:t>
            </w:r>
          </w:p>
        </w:tc>
        <w:tc>
          <w:tcPr>
            <w:tcW w:w="3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Annual Report on Form 10-K for the year ended December 31, 2025 filed with the SEC on February 19, 2026</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HCR</w:t>
            </w:r>
          </w:p>
        </w:tc>
        <w:tc>
          <w:tcPr>
            <w:tcW w:w="3899"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HealthCare Royalty Partners IV, L.P.</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340B Program</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Health Service’s 340B Drug Pricing Program</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 Agreement</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Sales Milestone Interest Acquisition Agreement</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AAKP</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Association of Kidney Patients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HHS</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Health and Human Services</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ACA</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Affordable Care Act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HIPAA</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Insurance Portability and Accountability Act of 1996, as amended, and regulations promulgated thereunder</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Technologies</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Artificial intelligence, machine learning and certain automated decision-making technologies </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HRSA</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Resources and Services Administration</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manufacturer price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IBS-C</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irritable bowel syndrome with constipation</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ANDA</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abbreviated New Drug Application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Investigational New Drug</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API</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pharmaceutical ingredient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IRA</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Reduction Act of 2022</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 AB</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IRB</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Review Board</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CCPA</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Consumer Privacy Act, as amended by the California Privacy Rights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Jefferies LLC</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cGMP</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Good Manufacturing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 Therapeutics, Inc.</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CIC</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chronic idiopathic constipation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 Co., Ltd.</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CKD</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chronic kidney disease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MDRP</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Medicaid Drug Rebate Program</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CME</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Mercantile Exchange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MIPPA</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Improvements for Patients and</w:t>
              <w:br/>
              <w:t>Providers Act</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CMO</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organization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 Therapeutics, Inc.</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CMS</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Centers for Medicare &amp; Medicaid Services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MHLW</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Ministry of Health, Labour and Welfare</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research organization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NCE</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chemical entity</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Customers</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collectively, major wholesalers, specialty pharmacies and GPOs (IBSRELA) and specialty wholesaler (XPHOZAH)</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NDA</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Drug Application</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DPF</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EU-US Data Privacy Framework</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NHE3</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sodium hydrogen exchange 3</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EEA</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Economic Area</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NMPA</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Medical Products Administration</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NMQF</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Minority Quality Forum</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NOL</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 PPS</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 Prospective Payment System</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Non-FAMP</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Non-Federal Average Manufacturer Price</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Patent Package</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Patent Package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OLC</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Oxylanthanum Carbonate</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REMS</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Evaluation and Mitigation Strategy</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FDA</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Drug Administration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FFDCA</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Food, Drug, and Cosmetic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Fosun Pharma</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Fosun Pharmaceutical Industrial Development Co. Ltd.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SLR</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SLR Investment Corp.</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FSS</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Supply Schedule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FTC</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Trade Commission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TDAPA</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Transitional Drug Add-on Payment Adjustment</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GCP</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Clinical Practice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Unified Patent Court</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GDPR</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Union General Data Protection Regulation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21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GLP</w:t>
            </w:r>
          </w:p>
        </w:tc>
        <w:tc>
          <w:tcPr>
            <w:tcW w:w="3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Laboratory Practice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USPTO</w:t>
            </w:r>
          </w:p>
        </w:tc>
        <w:tc>
          <w:tcPr>
            <w:tcW w:w="3899"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Patent and Trademark Office</w:t>
            </w:r>
          </w:p>
        </w:tc>
      </w:tr>
      <w:tr>
        <w:trPr/>
        <w:tc>
          <w:tcPr>
            <w:tcW w:w="121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GPO</w:t>
            </w:r>
          </w:p>
        </w:tc>
        <w:tc>
          <w:tcPr>
            <w:tcW w:w="3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purchasing organization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w:t>
            </w:r>
          </w:p>
        </w:tc>
        <w:tc>
          <w:tcPr>
            <w:tcW w:w="389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Veterans Affairs</w:t>
            </w:r>
          </w:p>
        </w:tc>
      </w:tr>
      <w:tr>
        <w:trPr/>
        <w:tc>
          <w:tcPr>
            <w:tcW w:w="1218"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GTN</w:t>
            </w:r>
          </w:p>
        </w:tc>
        <w:tc>
          <w:tcPr>
            <w:tcW w:w="39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gross-to-net</w:t>
            </w:r>
          </w:p>
        </w:tc>
        <w:tc>
          <w:tcPr>
            <w:tcW w:w="11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0"/>
        <w:jc w:val="center"/>
        <w:rPr/>
      </w:pPr>
      <w:r>
        <w:rPr/>
        <w:drawing>
          <wp:inline distT="0" distB="0" distL="0" distR="0">
            <wp:extent cx="2171700" cy="495300"/>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6"/>
                    <a:stretch>
                      <a:fillRect/>
                    </a:stretch>
                  </pic:blipFill>
                  <pic:spPr bwMode="auto">
                    <a:xfrm>
                      <a:off x="0" y="0"/>
                      <a:ext cx="2171700" cy="495300"/>
                    </a:xfrm>
                    <a:prstGeom prst="rect">
                      <a:avLst/>
                    </a:prstGeom>
                  </pic:spPr>
                </pic:pic>
              </a:graphicData>
            </a:graphic>
          </wp:inline>
        </w:drawing>
      </w:r>
    </w:p>
    <w:p>
      <w:pPr>
        <w:pStyle w:val="TextBody"/>
        <w:bidi w:val="0"/>
        <w:spacing w:before="193" w:after="283"/>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[Revised February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February 18,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Felecia Ettenberg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590 Lake Drive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Princeton, NJ 08540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Felecia,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 behalf of Ardelyx (the “Company”), I am pleased to offer you employment in the exempt position of Chief Legal Officer, reporting to Mike Raab, President and Chief Executive Officer. In this role, you will be a member of the Executive Leadership Team. Please note that this employment offer is contingent upon the successful completion of a background check paid for by the Company. Negative information may result in the rescission of this offer. If you accept this offer, following successful completion of a background check and after your first full day of employment, you and the Company will enter into a Change in Control Severance Agreement that will further define some of the provisions set forth in this offer letter (the “Severance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first day of full-time employment with Ardelyx is currently scheduled for April 20, 2026, which may be changed based upon the agreement between you and the Company. Your salary for this position will be $530,000 on an annualized basis, less applicable tax and other withholdings in accordance with the Company’s normal payroll procedure. You will be eligible for a base salary increase in the Company’s next merit increase cycle, subject to the discretion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you will be eligible to participate in our annual bonus plan. This bonus will be awarded at the discretion of the Board of Directors and based on both individual and Company performance. The target bonus for this position is 50% of base salary. This bonus is discretionary, and the business and individual objectives are set by you and your manager. Your bonus for 2026 will not be pro-rated.</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 housing consideration of $150,000, less all required withholding and deductions, will be delivered to you within 30 days of your start date with the mutual understanding that you will be present in our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offices on a routine basis determined by you and your manager, subject to other business-related travel, FTO and unforeseen personal circumstances that may arise from time-to-time.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you voluntarily terminate your employment with the Company or your employment is terminated by the Company for Cause (as defined in the Severance Agreement) (i) within one year of your start date, you agree to repay the Company the total amount of the housing consideration within 30 days of your termination date, or (ii) after one year, but less than two years of your start date, you agree to repay the Company fifty percent (50%) of the amount of the housing consideration within 30 days of your termination date, and in either case, to the maximum extent permitted by applicable law, you hereby authorize the Company to deduct as a valid set-off of wages, any housing consideration owed to the Company from your final wages, any performance bonus/incentive compensation, outstanding expense report, and/or any other payments or compensation otherwise owed to you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Subject to the approval of the Company’s Compensation Committee of the Board of Directors, or its designee, on or after your first day of employment, you will be granted an option to purchase 355,000 shares of the Company’s common stock (the “Stock Option”) and restricted stock units covering 237,000 shares of the Company’s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 You will be eligible to receive annual equity grants going forward consistent with Company practice, and for 2027, you will be eligible to receive a full equity grant delivering long term incentive value determined by the Compensation Committee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Please sign and date this letter on the spaces provided below to acknowledge your acceptance of the terms of this agreement on or before Monday, March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Felecia, we look forward to having you join the Ardelyx team.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Ardelyx, Inc.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Mike Raab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Mike Raab, President and Chief Executive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 agree to and accept employment with Ardelyx on the terms and conditions set forth in this agreement. I understand and agree that my employment with the Company is at-will.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right"/>
        <w:rPr>
          <w:color w:val="000000"/>
        </w:rPr>
      </w:pPr>
      <w:r>
        <w:rPr>
          <w:color w:val="000000"/>
        </w:rPr>
        <w:t>            </w:t>
      </w:r>
    </w:p>
    <w:tbl>
      <w:tblPr>
        <w:tblW w:w="4166" w:type="dxa"/>
        <w:jc w:val="right"/>
        <w:tblInd w:w="0" w:type="dxa"/>
        <w:tblLayout w:type="fixed"/>
        <w:tblCellMar>
          <w:top w:w="28" w:type="dxa"/>
          <w:left w:w="28" w:type="dxa"/>
          <w:bottom w:w="28" w:type="dxa"/>
          <w:right w:w="28" w:type="dxa"/>
        </w:tblCellMar>
      </w:tblPr>
      <w:tblGrid>
        <w:gridCol w:w="639"/>
        <w:gridCol w:w="564"/>
        <w:gridCol w:w="566"/>
        <w:gridCol w:w="109"/>
        <w:gridCol w:w="109"/>
        <w:gridCol w:w="109"/>
        <w:gridCol w:w="606"/>
        <w:gridCol w:w="606"/>
        <w:gridCol w:w="858"/>
      </w:tblGrid>
      <w:tr>
        <w:trPr/>
        <w:tc>
          <w:tcPr>
            <w:tcW w:w="6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02/27/2026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Felecia Ettenberg</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Felecia Ettenberg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before="0" w:after="0"/>
        <w:jc w:val="center"/>
        <w:rPr/>
      </w:pPr>
      <w:r>
        <w:rPr/>
        <w:drawing>
          <wp:inline distT="0" distB="0" distL="0" distR="0">
            <wp:extent cx="2171700" cy="495300"/>
            <wp:effectExtent l="0" t="0" r="0" b="0"/>
            <wp:docPr id="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 descr=""/>
                    <pic:cNvPicPr>
                      <a:picLocks noChangeAspect="1" noChangeArrowheads="1"/>
                    </pic:cNvPicPr>
                  </pic:nvPicPr>
                  <pic:blipFill>
                    <a:blip r:embed="rId7"/>
                    <a:stretch>
                      <a:fillRect/>
                    </a:stretch>
                  </pic:blipFill>
                  <pic:spPr bwMode="auto">
                    <a:xfrm>
                      <a:off x="0" y="0"/>
                      <a:ext cx="2171700" cy="4953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March 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Rajani Dinavahi, M.D.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1182 Kelsford Court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Westlake Village, CA 91361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Rajani,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 behalf of Ardelyx (the “Company”), I am pleased to offer you employment in the exempt position of Chief Medical Officer, reporting to Mike Raab, President and Chief Executive Officer. In this role, you will be a member of the Executive Leadership Team. Please note that this employment offer is contingent upon the successful completion of a background check paid for by the Company. Negative information may result in the rescission of this offer. If you accept this offer, following successful completion of a background check and after your first full day of employment, you and the Company will enter into a Change in Control Severance Agreement that will further define some of the provisions set forth in this offer letter (the “Severance Agreement”). You agree that you will be present in our Company offices on a routine basis determined by you and your manager, subject to other business-related travel, FTO and unforeseen personal circumstances that may arise from time-to-time.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first day of full-time employment with Ardelyx is currently scheduled for April 1, 2026, which may be changed based upon the agreement between you and the Company. Your salary for this position will be $545,000 on an annualized basis, less applicable tax and other withholdings in accordance with the Company’s normal payroll procedure. You will be eligible for a base salary increase in the Company’s next merit increase cycle, subject to the discretion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you will be eligible to participate in our annual bonus plan. This bonus will be awarded at the discretion of the Board of Directors and based on both individual and Company performance. The target bonus for this position is 50% of base salary. This bonus is discretionary, and the business and individual objectives are set by you and your manager. You will be eligible for the full 2026 bonus, subject to both individual and Company performance.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approval of the Company’s Compensation Committee of the Board of Directors, or its designee, on or after your first day of employment, you will be granted an option to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301,000 shares of the Company’s common stock (the “Stock Option”) and restricted stock units covering 201,000 shares of the Company’s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 You will be eligible to receive annual equity grants going forward consistent with Company practice, and for 2027, you will be eligible to receive a full equity grant delivering long term incentive value determined by the Compensation Committee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 in Los Angeles County, California.</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In the event of a discrepancy between the terms of this agreement and any other agreements outlined herein, the terms of this agreement shall control. The provisions of this agreement regarding “at will” employment and arbitration may only be modified by a document signed by you and an authorized representative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Please sign and date this letter on the spaces provided below to acknowledge your acceptance of the terms of this agreement on Monday, March 2,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Rajani, we look forward to having you join the Ardelyx team.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Sincerely,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Ardelyx, Inc.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Mike Raab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Mike Raab, President and Chief Executive Officer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 agree to and accept employment with Ardelyx on the terms and conditions set forth in this agreement. I understand and agree that my employment with the Company is at-will.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right"/>
        <w:rPr>
          <w:color w:val="000000"/>
        </w:rPr>
      </w:pPr>
      <w:r>
        <w:rPr>
          <w:color w:val="000000"/>
        </w:rPr>
        <w:t>            </w:t>
      </w:r>
    </w:p>
    <w:tbl>
      <w:tblPr>
        <w:tblW w:w="4690" w:type="dxa"/>
        <w:jc w:val="right"/>
        <w:tblInd w:w="0" w:type="dxa"/>
        <w:tblLayout w:type="fixed"/>
        <w:tblCellMar>
          <w:top w:w="28" w:type="dxa"/>
          <w:left w:w="28" w:type="dxa"/>
          <w:bottom w:w="28" w:type="dxa"/>
          <w:right w:w="28" w:type="dxa"/>
        </w:tblCellMar>
      </w:tblPr>
      <w:tblGrid>
        <w:gridCol w:w="639"/>
        <w:gridCol w:w="564"/>
        <w:gridCol w:w="566"/>
        <w:gridCol w:w="109"/>
        <w:gridCol w:w="109"/>
        <w:gridCol w:w="109"/>
        <w:gridCol w:w="758"/>
        <w:gridCol w:w="758"/>
        <w:gridCol w:w="1078"/>
      </w:tblGrid>
      <w:tr>
        <w:trPr/>
        <w:tc>
          <w:tcPr>
            <w:tcW w:w="6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pPr>
            <w:r>
              <w:rPr/>
              <w:t>Date: 03/02/2026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Rajani Dinavahi, M.D.</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Rajani Dinavahi, M.D.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SIXTH AMENDMENT TO LOAN AND SECURITY AGREEMENT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April 28, 2026</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SIXTH AMENDMENT TO LOAN AND SECURITY AGREEMENT (this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is entered into as of the date first written above, by and among SLR INVESTMENT CORP., a Maryland corporation with an office located at 500 Park Avenue, 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 New York, NY 10022 (“</w:t>
      </w:r>
      <w:r>
        <w:rPr>
          <w:rFonts w:ascii="Times New Roman;serif" w:hAnsi="Times New Roman;serif"/>
          <w:b/>
          <w:color w:val="000000"/>
          <w:sz w:val="20"/>
        </w:rPr>
        <w:t>SLR</w:t>
      </w:r>
      <w:r>
        <w:rPr>
          <w:color w:val="000000"/>
        </w:rPr>
        <w:t>”</w:t>
      </w:r>
      <w:r>
        <w:rPr>
          <w:rFonts w:ascii="Times New Roman;serif" w:hAnsi="Times New Roman;serif"/>
          <w:b w:val="false"/>
          <w:color w:val="000000"/>
          <w:sz w:val="20"/>
        </w:rPr>
        <w:t>), as collateral agent (in such capacity, together with its successors and assigns, “</w:t>
      </w:r>
      <w:r>
        <w:rPr>
          <w:rFonts w:ascii="Times New Roman;serif" w:hAnsi="Times New Roman;serif"/>
          <w:b/>
          <w:color w:val="000000"/>
          <w:sz w:val="20"/>
        </w:rPr>
        <w:t>Collateral Agent</w:t>
      </w:r>
      <w:r>
        <w:rPr>
          <w:color w:val="000000"/>
        </w:rPr>
        <w:t>”</w:t>
      </w:r>
      <w:r>
        <w:rPr>
          <w:rFonts w:ascii="Times New Roman;serif" w:hAnsi="Times New Roman;serif"/>
          <w:b w:val="false"/>
          <w:color w:val="000000"/>
          <w:sz w:val="20"/>
        </w:rPr>
        <w:t xml:space="preserve">), the Lenders listed on </w:t>
      </w:r>
      <w:r>
        <w:rPr>
          <w:rFonts w:ascii="Times New Roman;serif" w:hAnsi="Times New Roman;serif"/>
          <w:b w:val="false"/>
          <w:color w:val="000000"/>
          <w:sz w:val="20"/>
          <w:u w:val="single"/>
        </w:rPr>
        <w:t>Schedule 1.1</w:t>
      </w:r>
      <w:r>
        <w:rPr>
          <w:color w:val="000000"/>
        </w:rPr>
        <w:t xml:space="preserve"> </w:t>
      </w:r>
      <w:r>
        <w:rPr>
          <w:rFonts w:ascii="Times New Roman;serif" w:hAnsi="Times New Roman;serif"/>
          <w:b w:val="false"/>
          <w:color w:val="000000"/>
          <w:sz w:val="20"/>
        </w:rPr>
        <w:t>hereof or otherwise a party to the Loan Agreement from time to time including SLR in its capacity as a Lender (each a “</w:t>
      </w:r>
      <w:r>
        <w:rPr>
          <w:rFonts w:ascii="Times New Roman;serif" w:hAnsi="Times New Roman;serif"/>
          <w:b/>
          <w:color w:val="000000"/>
          <w:sz w:val="20"/>
        </w:rPr>
        <w:t>Lender</w:t>
      </w:r>
      <w:r>
        <w:rPr>
          <w:color w:val="000000"/>
        </w:rPr>
        <w:t xml:space="preserve">” </w:t>
      </w:r>
      <w:r>
        <w:rPr>
          <w:rFonts w:ascii="Times New Roman;serif" w:hAnsi="Times New Roman;serif"/>
          <w:b w:val="false"/>
          <w:color w:val="000000"/>
          <w:sz w:val="20"/>
        </w:rPr>
        <w:t>and collectively, the “</w:t>
      </w:r>
      <w:r>
        <w:rPr>
          <w:rFonts w:ascii="Times New Roman;serif" w:hAnsi="Times New Roman;serif"/>
          <w:b/>
          <w:color w:val="000000"/>
          <w:sz w:val="20"/>
        </w:rPr>
        <w:t>Lenders</w:t>
      </w:r>
      <w:r>
        <w:rPr>
          <w:color w:val="000000"/>
        </w:rPr>
        <w:t>”</w:t>
      </w:r>
      <w:r>
        <w:rPr>
          <w:rFonts w:ascii="Times New Roman;serif" w:hAnsi="Times New Roman;serif"/>
          <w:b w:val="false"/>
          <w:color w:val="000000"/>
          <w:sz w:val="20"/>
        </w:rPr>
        <w:t>), and ARDELYX, INC., a Delaware corporation with offices located at 400 Fifth Avenue, Suite 210, Waltham, MA 02451 (“</w:t>
      </w:r>
      <w:r>
        <w:rPr>
          <w:rFonts w:ascii="Times New Roman;serif" w:hAnsi="Times New Roman;serif"/>
          <w:b/>
          <w:color w:val="000000"/>
          <w:sz w:val="20"/>
        </w:rPr>
        <w:t>Borrower</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A.    Collateral Agent, Borrower and the Lenders have entered into that certain Loan and Security Agreement dated as of February 23, 2022 (as amended, supplemented or otherwise modified from time to time, including but not limited to, by that certain First Amendment to Loan and Security Agreement dated as of August 1, 2022, that certain Second Amendment to Loan and Security Agreement dated as of February 9, 2023, that certain Third Amendment to Loan and Security Agreement dated as of October 17, 2023, that certain Fourth Amendment to Loan and Security Agreement dated as of October 29, 2024, that certain Fifth Amendment to Loan and Security Agreement, dated June 30, 2025 and this Amendment, collectively, the “</w:t>
      </w:r>
      <w:r>
        <w:rPr>
          <w:rFonts w:ascii="Times New Roman;serif" w:hAnsi="Times New Roman;serif"/>
          <w:b/>
          <w:color w:val="000000"/>
          <w:sz w:val="20"/>
        </w:rPr>
        <w:t>Loan Agreement</w:t>
      </w:r>
      <w:r>
        <w:rPr>
          <w:color w:val="000000"/>
        </w:rPr>
        <w:t>”</w:t>
      </w:r>
      <w:r>
        <w:rPr>
          <w:rFonts w:ascii="Times New Roman;serif" w:hAnsi="Times New Roman;serif"/>
          <w:b w:val="false"/>
          <w:color w:val="000000"/>
          <w:sz w:val="20"/>
        </w:rPr>
        <w:t>), pursuant to which the Lenders have provided to Borrower certain loans in accordance with the terms and conditions thereof;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Borrower, Collateral Agent and the Required Lenders have agreed to amend certain provisions of the Loan Agreement as provided herein, subject to, and in accordance with, the terms and conditions set forth herein, and in reliance upon the representations and warranties set forth herein.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pStyle w:val="TextBody"/>
        <w:bidi w:val="0"/>
        <w:spacing w:lineRule="auto" w:line="288" w:before="0" w:after="240"/>
        <w:jc w:val="both"/>
        <w:rPr/>
      </w:pPr>
      <w:r>
        <w:rPr>
          <w:rFonts w:ascii="Times New Roman;serif" w:hAnsi="Times New Roman;serif"/>
          <w:b/>
          <w:color w:val="000000"/>
          <w:sz w:val="20"/>
        </w:rPr>
        <w:t>1.    Definitions</w:t>
      </w:r>
      <w:r>
        <w:rPr>
          <w:rFonts w:ascii="Times New Roman;serif" w:hAnsi="Times New Roman;serif"/>
          <w:b w:val="false"/>
          <w:color w:val="000000"/>
          <w:sz w:val="20"/>
        </w:rPr>
        <w:t>. Capitalized terms used but not defined in this Amendment shall have the meanings given to them in the Loan Agreement.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2.    Amendments to Loan Agreement. </w:t>
      </w:r>
    </w:p>
    <w:p>
      <w:pPr>
        <w:pStyle w:val="TextBody"/>
        <w:bidi w:val="0"/>
        <w:spacing w:lineRule="auto" w:line="288" w:before="0" w:after="240"/>
        <w:ind w:left="0" w:right="0" w:firstLine="720"/>
        <w:jc w:val="both"/>
        <w:rPr/>
      </w:pPr>
      <w:r>
        <w:rPr>
          <w:rFonts w:ascii="Times New Roman;serif" w:hAnsi="Times New Roman;serif"/>
          <w:b/>
          <w:color w:val="000000"/>
          <w:sz w:val="20"/>
        </w:rPr>
        <w:t>2.1    </w:t>
      </w:r>
      <w:r>
        <w:rPr>
          <w:rFonts w:ascii="Times New Roman;serif" w:hAnsi="Times New Roman;serif"/>
          <w:b w:val="false"/>
          <w:color w:val="000000"/>
          <w:sz w:val="20"/>
        </w:rPr>
        <w:t xml:space="preserve">The Loan Agreement is hereby amended (a) to delete the red or green stricken text (indicated textually in the same manner as the following examples: </w:t>
      </w:r>
      <w:r>
        <w:rPr>
          <w:rFonts w:ascii="Times New Roman;serif" w:hAnsi="Times New Roman;serif"/>
          <w:b w:val="false"/>
          <w:strike/>
          <w:color w:val="FF0000"/>
          <w:sz w:val="20"/>
        </w:rPr>
        <w:t>stricken text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strike/>
          <w:color w:val="00B050"/>
          <w:sz w:val="20"/>
        </w:rPr>
        <w:t>stricken text</w:t>
      </w:r>
      <w:r>
        <w:rPr>
          <w:rFonts w:ascii="Times New Roman;serif" w:hAnsi="Times New Roman;serif"/>
          <w:b w:val="false"/>
          <w:color w:val="000000"/>
          <w:sz w:val="20"/>
        </w:rPr>
        <w:t xml:space="preserve">) and (b) to add the blue or green double-underlined text (indicated textually in the same manner as the following examples: </w:t>
      </w:r>
      <w:r>
        <w:rPr>
          <w:rFonts w:ascii="Times New Roman;serif" w:hAnsi="Times New Roman;serif"/>
          <w:b w:val="false"/>
          <w:color w:val="0000FF"/>
          <w:sz w:val="20"/>
          <w:u w:val="single"/>
        </w:rPr>
        <w:t>double-underlined text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B050"/>
          <w:sz w:val="20"/>
          <w:u w:val="single"/>
        </w:rPr>
        <w:t>double-underlined text</w:t>
      </w:r>
      <w:r>
        <w:rPr>
          <w:rFonts w:ascii="Times New Roman;serif" w:hAnsi="Times New Roman;serif"/>
          <w:b w:val="false"/>
          <w:color w:val="000000"/>
          <w:sz w:val="20"/>
        </w:rPr>
        <w:t xml:space="preserve">), in each case, as set forth in the marked copy of the Loan Agreement attached hereto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 xml:space="preserve">and made a part hereof for all purposes.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3.    Limitation of Amendments.</w:t>
      </w:r>
    </w:p>
    <w:p>
      <w:pPr>
        <w:pStyle w:val="TextBody"/>
        <w:bidi w:val="0"/>
        <w:spacing w:lineRule="auto" w:line="288" w:before="0" w:after="240"/>
        <w:ind w:left="0" w:right="0" w:firstLine="720"/>
        <w:jc w:val="both"/>
        <w:rPr/>
      </w:pPr>
      <w:r>
        <w:rPr>
          <w:rFonts w:ascii="Times New Roman;serif" w:hAnsi="Times New Roman;serif"/>
          <w:b/>
          <w:color w:val="000000"/>
          <w:sz w:val="20"/>
        </w:rPr>
        <w:t>3.1    </w:t>
      </w:r>
      <w:r>
        <w:rPr>
          <w:rFonts w:ascii="Times New Roman;serif" w:hAnsi="Times New Roman;serif"/>
          <w:b w:val="false"/>
          <w:color w:val="000000"/>
          <w:sz w:val="20"/>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the Lenders or Borrower may now have or may have in the future under or in connection with any Loan Document, as amended hereby.</w:t>
      </w:r>
    </w:p>
    <w:p>
      <w:pPr>
        <w:pStyle w:val="TextBody"/>
        <w:bidi w:val="0"/>
        <w:spacing w:lineRule="auto" w:line="288" w:before="0" w:after="240"/>
        <w:ind w:left="0" w:right="0" w:firstLine="720"/>
        <w:jc w:val="both"/>
        <w:rPr/>
      </w:pPr>
      <w:r>
        <w:rPr>
          <w:rFonts w:ascii="Times New Roman;serif" w:hAnsi="Times New Roman;serif"/>
          <w:b/>
          <w:color w:val="000000"/>
          <w:sz w:val="20"/>
        </w:rPr>
        <w:t>3.2    </w:t>
      </w:r>
      <w:r>
        <w:rPr>
          <w:rFonts w:ascii="Times New Roman;serif" w:hAnsi="Times New Roman;serif"/>
          <w:b w:val="false"/>
          <w:color w:val="000000"/>
          <w:sz w:val="20"/>
        </w:rPr>
        <w:t>This Amendment shall be construed in connection with and as part of the Loan Documents and all terms, conditions, representations, warranties, covenants and agreements set forth in the Loan Documents are hereby ratified and confirmed and shall remain in full force and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0"/>
        </w:rPr>
        <w:t>4.    Representations and Warranties.</w:t>
      </w:r>
      <w:r>
        <w:rPr>
          <w:color w:val="000000"/>
        </w:rPr>
        <w:t xml:space="preserve"> </w:t>
      </w:r>
      <w:r>
        <w:rPr>
          <w:rFonts w:ascii="Times New Roman;serif" w:hAnsi="Times New Roman;serif"/>
          <w:b w:val="false"/>
          <w:color w:val="000000"/>
          <w:sz w:val="20"/>
        </w:rPr>
        <w:t xml:space="preserve">To induce Collateral Agent and the Required Lenders to enter into this Amendment, Borrower hereby represents and warrants to Collateral Agent and the Required Lenders as follows: </w:t>
      </w:r>
    </w:p>
    <w:p>
      <w:pPr>
        <w:pStyle w:val="TextBody"/>
        <w:bidi w:val="0"/>
        <w:spacing w:lineRule="auto" w:line="288" w:before="0" w:after="240"/>
        <w:ind w:left="0" w:right="0" w:firstLine="720"/>
        <w:jc w:val="both"/>
        <w:rPr/>
      </w:pPr>
      <w:r>
        <w:rPr>
          <w:rFonts w:ascii="Times New Roman;serif" w:hAnsi="Times New Roman;serif"/>
          <w:b/>
          <w:color w:val="000000"/>
          <w:sz w:val="20"/>
        </w:rPr>
        <w:t>4.1    </w:t>
      </w:r>
      <w:r>
        <w:rPr>
          <w:rFonts w:ascii="Times New Roman;serif" w:hAnsi="Times New Roman;serif"/>
          <w:b w:val="false"/>
          <w:color w:val="000000"/>
          <w:sz w:val="20"/>
        </w:rPr>
        <w:t xml:space="preserve">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 </w:t>
      </w:r>
    </w:p>
    <w:p>
      <w:pPr>
        <w:pStyle w:val="TextBody"/>
        <w:bidi w:val="0"/>
        <w:spacing w:lineRule="auto" w:line="288" w:before="0" w:after="240"/>
        <w:ind w:left="0" w:right="0" w:firstLine="720"/>
        <w:jc w:val="both"/>
        <w:rPr/>
      </w:pPr>
      <w:r>
        <w:rPr>
          <w:rFonts w:ascii="Times New Roman;serif" w:hAnsi="Times New Roman;serif"/>
          <w:b/>
          <w:color w:val="000000"/>
          <w:sz w:val="20"/>
        </w:rPr>
        <w:t>4.2    </w:t>
      </w:r>
      <w:r>
        <w:rPr>
          <w:rFonts w:ascii="Times New Roman;serif" w:hAnsi="Times New Roman;serif"/>
          <w:b w:val="false"/>
          <w:color w:val="000000"/>
          <w:sz w:val="20"/>
        </w:rPr>
        <w:t xml:space="preserve">Borrower has the power and due authority to execute and deliver this Amendment and to perform its obligations under the Loan Agreement, as amended by this Amendment; </w:t>
      </w:r>
    </w:p>
    <w:p>
      <w:pPr>
        <w:pStyle w:val="TextBody"/>
        <w:bidi w:val="0"/>
        <w:spacing w:lineRule="auto" w:line="288" w:before="0" w:after="240"/>
        <w:ind w:left="0" w:right="0" w:firstLine="720"/>
        <w:jc w:val="both"/>
        <w:rPr/>
      </w:pPr>
      <w:r>
        <w:rPr>
          <w:rFonts w:ascii="Times New Roman;serif" w:hAnsi="Times New Roman;serif"/>
          <w:b/>
          <w:color w:val="000000"/>
          <w:sz w:val="20"/>
        </w:rPr>
        <w:t>4.3    </w:t>
      </w:r>
      <w:r>
        <w:rPr>
          <w:rFonts w:ascii="Times New Roman;serif" w:hAnsi="Times New Roman;serif"/>
          <w:b w:val="false"/>
          <w:color w:val="000000"/>
          <w:sz w:val="20"/>
        </w:rPr>
        <w:t xml:space="preserve">The organizational documents of Borrower delivered to Collateral Agent on the Effective Date, and updated pursuant to subsequent deliveries by or on behalf of Borrower to Collateral Agent, remain true, accurate and complete and have not been amended, supplemented or restated and are and continue to be in full force and effect; </w:t>
      </w:r>
    </w:p>
    <w:p>
      <w:pPr>
        <w:pStyle w:val="TextBody"/>
        <w:bidi w:val="0"/>
        <w:spacing w:lineRule="auto" w:line="288" w:before="0" w:after="240"/>
        <w:ind w:left="0" w:right="0" w:firstLine="720"/>
        <w:jc w:val="both"/>
        <w:rPr/>
      </w:pPr>
      <w:r>
        <w:rPr>
          <w:rFonts w:ascii="Times New Roman;serif" w:hAnsi="Times New Roman;serif"/>
          <w:b/>
          <w:color w:val="000000"/>
          <w:sz w:val="20"/>
        </w:rPr>
        <w:t>4.4    </w:t>
      </w:r>
      <w:r>
        <w:rPr>
          <w:rFonts w:ascii="Times New Roman;serif" w:hAnsi="Times New Roman;serif"/>
          <w:b w:val="false"/>
          <w:color w:val="000000"/>
          <w:sz w:val="20"/>
        </w:rPr>
        <w:t>The execution and delivery by Borrower of this Amendment and the performance by Borrower of its obligations under the Loan Agreement, as amended by this Amendment, do not contravene (i) any material law or regulation binding on or affecting Borrower, (ii) any material contractual restriction with a Person binding on Borrower, (iii) any applicable order, judgment or decree of any court or other governmental or public body or authority, or subdivision thereof, binding on Borrower, or (iv) the organizational documents of Borrower;</w:t>
      </w:r>
    </w:p>
    <w:p>
      <w:pPr>
        <w:pStyle w:val="TextBody"/>
        <w:bidi w:val="0"/>
        <w:spacing w:lineRule="auto" w:line="288" w:before="0" w:after="240"/>
        <w:ind w:left="0" w:right="0" w:firstLine="720"/>
        <w:jc w:val="both"/>
        <w:rPr/>
      </w:pPr>
      <w:r>
        <w:rPr>
          <w:rFonts w:ascii="Times New Roman;serif" w:hAnsi="Times New Roman;serif"/>
          <w:b/>
          <w:color w:val="000000"/>
          <w:sz w:val="20"/>
        </w:rPr>
        <w:t>4.5    </w:t>
      </w:r>
      <w:r>
        <w:rPr>
          <w:rFonts w:ascii="Times New Roman;serif" w:hAnsi="Times New Roman;serif"/>
          <w:b w:val="false"/>
          <w:color w:val="000000"/>
          <w:sz w:val="20"/>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lineRule="auto" w:line="288" w:before="0" w:after="240"/>
        <w:ind w:left="0" w:right="0" w:firstLine="720"/>
        <w:jc w:val="both"/>
        <w:rPr/>
      </w:pPr>
      <w:r>
        <w:rPr>
          <w:rFonts w:ascii="Times New Roman;serif" w:hAnsi="Times New Roman;serif"/>
          <w:b/>
          <w:color w:val="000000"/>
          <w:sz w:val="20"/>
        </w:rPr>
        <w:t>4.6    </w:t>
      </w:r>
      <w:r>
        <w:rPr>
          <w:rFonts w:ascii="Times New Roman;serif" w:hAnsi="Times New Roman;serif"/>
          <w:b w:val="false"/>
          <w:color w:val="000000"/>
          <w:sz w:val="20"/>
        </w:rPr>
        <w:t xml:space="preserve">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lineRule="auto" w:line="288" w:before="0" w:after="240"/>
        <w:jc w:val="both"/>
        <w:rPr/>
      </w:pPr>
      <w:r>
        <w:rPr>
          <w:rFonts w:ascii="Times New Roman;serif" w:hAnsi="Times New Roman;serif"/>
          <w:b/>
          <w:color w:val="000000"/>
          <w:sz w:val="20"/>
        </w:rPr>
        <w:t>5.    </w:t>
      </w:r>
      <w:r>
        <w:rPr>
          <w:rFonts w:ascii="Times New Roman;serif" w:hAnsi="Times New Roman;serif"/>
          <w:b w:val="false"/>
          <w:color w:val="000000"/>
          <w:sz w:val="20"/>
        </w:rPr>
        <w:t>Loan Document. Borrower, the Lenders and Collateral Agent agree that this Amendment shall be a Loan Document. Except as expressly set forth herein, the Loan Agreement and the other Loan Documents shall continue in full force and effect without alteration or amendment. This Amendment and the Loan Documents represent the entire agreement about this subject matter and supersede prior negotiations or agreements. This Amendment shall not constitute an amendment or waiver or novation of or consent to any provision of the Loan Agreement and the other Loan Documents except as expressly stated herein and shall not be construed as an amendment, waiver or novation of, or consent to any action on the part of Borrower that would require an amendment, waiver, novation or consent of the Lenders except as expressly stated herein.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6.    Release by Borrower.</w:t>
      </w:r>
    </w:p>
    <w:p>
      <w:pPr>
        <w:pStyle w:val="TextBody"/>
        <w:bidi w:val="0"/>
        <w:spacing w:lineRule="auto" w:line="288" w:before="0" w:after="240"/>
        <w:ind w:left="0" w:right="0" w:firstLine="720"/>
        <w:jc w:val="both"/>
        <w:rPr/>
      </w:pPr>
      <w:r>
        <w:rPr>
          <w:rFonts w:ascii="Times New Roman;serif" w:hAnsi="Times New Roman;serif"/>
          <w:b/>
          <w:color w:val="000000"/>
          <w:sz w:val="20"/>
        </w:rPr>
        <w:t>6.1    FOR GOOD AND VALUABLE CONSIDERATION</w:t>
      </w:r>
      <w:r>
        <w:rPr>
          <w:rFonts w:ascii="Times New Roman;serif" w:hAnsi="Times New Roman;serif"/>
          <w:b w:val="false"/>
          <w:color w:val="000000"/>
          <w:sz w:val="20"/>
        </w:rPr>
        <w:t>, Borrower hereby forever relieves, releases, and discharges Collateral Agent and 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Effective Date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Times New Roman;serif" w:hAnsi="Times New Roman;serif"/>
          <w:b/>
          <w:color w:val="000000"/>
          <w:sz w:val="20"/>
        </w:rPr>
        <w:t>Released Claims</w:t>
      </w:r>
      <w:r>
        <w:rPr>
          <w:color w:val="000000"/>
        </w:rPr>
        <w:t>”</w:t>
      </w: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2735"/>
                <wp:effectExtent l="0" t="0" r="0" b="0"/>
                <wp:wrapNone/>
                <wp:docPr id="78" name="Frame75"/>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0"/>
        </w:rPr>
        <w:t>6.2    </w:t>
      </w:r>
      <w:r>
        <w:rPr>
          <w:rFonts w:ascii="Times New Roman;serif" w:hAnsi="Times New Roman;serif"/>
          <w:b w:val="false"/>
          <w:color w:val="000000"/>
          <w:sz w:val="20"/>
        </w:rPr>
        <w:t>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the Lenders with respect to the facts underlying this release or with regard to any of such party’s rights or asserted rights.</w:t>
      </w:r>
    </w:p>
    <w:p>
      <w:pPr>
        <w:pStyle w:val="TextBody"/>
        <w:bidi w:val="0"/>
        <w:spacing w:lineRule="auto" w:line="288" w:before="0" w:after="240"/>
        <w:ind w:left="0" w:right="0" w:firstLine="720"/>
        <w:jc w:val="both"/>
        <w:rPr/>
      </w:pPr>
      <w:r>
        <w:rPr>
          <w:rFonts w:ascii="Times New Roman;serif" w:hAnsi="Times New Roman;serif"/>
          <w:b/>
          <w:color w:val="000000"/>
          <w:sz w:val="20"/>
        </w:rPr>
        <w:t>6.3    </w:t>
      </w:r>
      <w:r>
        <w:rPr>
          <w:rFonts w:ascii="Times New Roman;serif" w:hAnsi="Times New Roman;serif"/>
          <w:b w:val="false"/>
          <w:color w:val="000000"/>
          <w:sz w:val="20"/>
        </w:rPr>
        <w:t>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pStyle w:val="TextBody"/>
        <w:bidi w:val="0"/>
        <w:spacing w:lineRule="auto" w:line="288" w:before="0" w:after="240"/>
        <w:jc w:val="both"/>
        <w:rPr/>
      </w:pPr>
      <w:r>
        <w:rPr>
          <w:rFonts w:ascii="Times New Roman;serif" w:hAnsi="Times New Roman;serif"/>
          <w:b/>
          <w:color w:val="000000"/>
          <w:sz w:val="20"/>
        </w:rPr>
        <w:t>7.    Reaffirmation.</w:t>
      </w:r>
      <w:r>
        <w:rPr>
          <w:color w:val="000000"/>
        </w:rPr>
        <w:t xml:space="preserve"> </w:t>
      </w:r>
      <w:r>
        <w:rPr>
          <w:rFonts w:ascii="Times New Roman;serif" w:hAnsi="Times New Roman;serif"/>
          <w:b w:val="false"/>
          <w:color w:val="000000"/>
          <w:sz w:val="20"/>
        </w:rPr>
        <w:t>Borrower hereby confirms the grant of the security interest in the Collateral to Collateral Agent and confirms and agrees that such security interest secures the Obligations.</w:t>
      </w:r>
    </w:p>
    <w:p>
      <w:pPr>
        <w:pStyle w:val="TextBody"/>
        <w:bidi w:val="0"/>
        <w:spacing w:lineRule="auto" w:line="288" w:before="0" w:after="240"/>
        <w:jc w:val="both"/>
        <w:rPr/>
      </w:pPr>
      <w:r>
        <w:rPr>
          <w:rFonts w:ascii="Times New Roman;serif" w:hAnsi="Times New Roman;serif"/>
          <w:b/>
          <w:color w:val="000000"/>
          <w:sz w:val="20"/>
        </w:rPr>
        <w:t>8.    Effectiveness</w:t>
      </w:r>
      <w:r>
        <w:rPr>
          <w:rFonts w:ascii="Times New Roman;serif" w:hAnsi="Times New Roman;serif"/>
          <w:b w:val="false"/>
          <w:color w:val="000000"/>
          <w:sz w:val="20"/>
        </w:rPr>
        <w:t>. This Amendment shall be deemed effective as of the date hereof upon (i) the due execution and delivery of this Amendment by each party hereto, (ii) the due execution and delivery to Collateral Agent and the Lenders of (a) a corporate certificate of Borrower with all authorizing resolutions and attachments thereto in substantially the form as previously provided to Collateral Agent, (b) a completed Loan Payment Request Form with respect to the funding of the Term H Loans and (c) the amendment to the Fee Letter dated as of the date hereof by each party thereto, (iii) the Term H Loans being funded as of the Sixth Amendment Effective Date, (iv) delivery by Borrower to Collateral Agent of (a) an update to Sections 5, 6, 10 and 11 of the Perfection Certificate, (b) a duly executed legal opinion of counsel dated as of the date hereof, and (c) such other documents, agreements, side letters, certificates and/or schedules as Collateral Agent may reasonably request to effect the purpose of this Amendment and (v) the receipt by Collateral Agent, for the benefit of the Lenders, of the Borrower Funded Amount.</w:t>
      </w:r>
    </w:p>
    <w:p>
      <w:pPr>
        <w:pStyle w:val="TextBody"/>
        <w:bidi w:val="0"/>
        <w:spacing w:lineRule="auto" w:line="288" w:before="0" w:after="240"/>
        <w:jc w:val="both"/>
        <w:rPr/>
      </w:pPr>
      <w:r>
        <w:rPr>
          <w:rFonts w:ascii="Times New Roman;serif" w:hAnsi="Times New Roman;serif"/>
          <w:b/>
          <w:color w:val="000000"/>
          <w:sz w:val="20"/>
        </w:rPr>
        <w:t>9.    Post-Closing</w:t>
      </w:r>
      <w:r>
        <w:rPr>
          <w:rFonts w:ascii="Times New Roman;serif" w:hAnsi="Times New Roman;serif"/>
          <w:b w:val="false"/>
          <w:color w:val="000000"/>
          <w:sz w:val="20"/>
        </w:rPr>
        <w:t>. Within five (5) Business Days (as such date may be extended by Collateral Agent in its sole discretion) after the Sixth Amendment Effective Date, Borrower shall deliver to Collateral Agent insurance certificates satisfying the requirements of Section 6.5 of the Loan Agreement.</w:t>
      </w:r>
    </w:p>
    <w:p>
      <w:pPr>
        <w:pStyle w:val="TextBody"/>
        <w:bidi w:val="0"/>
        <w:spacing w:lineRule="auto" w:line="288" w:before="0" w:after="240"/>
        <w:jc w:val="both"/>
        <w:rPr/>
      </w:pPr>
      <w:r>
        <w:rPr>
          <w:rFonts w:ascii="Times New Roman;serif" w:hAnsi="Times New Roman;serif"/>
          <w:b/>
          <w:color w:val="000000"/>
          <w:sz w:val="20"/>
        </w:rPr>
        <w:t>10.    Counterparts.</w:t>
      </w:r>
      <w:r>
        <w:rPr>
          <w:color w:val="000000"/>
        </w:rPr>
        <w:t xml:space="preserve"> </w:t>
      </w:r>
      <w:r>
        <w:rPr>
          <w:rFonts w:ascii="Times New Roman;serif" w:hAnsi="Times New Roman;serif"/>
          <w:b w:val="false"/>
          <w:color w:val="000000"/>
          <w:sz w:val="20"/>
        </w:rPr>
        <w:t xml:space="preserve">This Amendment may be executed in any number of counterparts, each of which shall be deemed an original, and all of which, taken together, shall constitute one and the same instrument. Delivery by electronic transmission (e.g. “.pdf”) of an executed counterpart of this Amendment shall be effective as a manually executed counterpart signature thereof. </w:t>
      </w:r>
    </w:p>
    <w:p>
      <w:pPr>
        <w:pStyle w:val="TextBody"/>
        <w:bidi w:val="0"/>
        <w:spacing w:lineRule="auto" w:line="288" w:before="0" w:after="240"/>
        <w:jc w:val="both"/>
        <w:rPr/>
      </w:pPr>
      <w:r>
        <w:rPr>
          <w:rFonts w:ascii="Times New Roman;serif" w:hAnsi="Times New Roman;serif"/>
          <w:b/>
          <w:color w:val="000000"/>
          <w:sz w:val="20"/>
        </w:rPr>
        <w:t>11.    Severability of Provisions</w:t>
      </w:r>
      <w:r>
        <w:rPr>
          <w:rFonts w:ascii="Times New Roman;serif" w:hAnsi="Times New Roman;serif"/>
          <w:b w:val="false"/>
          <w:color w:val="000000"/>
          <w:sz w:val="20"/>
        </w:rPr>
        <w:t>. Each provision of this Amendment is severable from every other provision in determining the enforceability of any provision.</w:t>
      </w:r>
    </w:p>
    <w:p>
      <w:pPr>
        <w:pStyle w:val="TextBody"/>
        <w:bidi w:val="0"/>
        <w:spacing w:lineRule="auto" w:line="288" w:before="0" w:after="240"/>
        <w:jc w:val="both"/>
        <w:rPr/>
      </w:pPr>
      <w:r>
        <w:rPr>
          <w:rFonts w:ascii="Times New Roman;serif" w:hAnsi="Times New Roman;serif"/>
          <w:b/>
          <w:color w:val="000000"/>
          <w:sz w:val="20"/>
        </w:rPr>
        <w:t>12.    Electronic Execution.</w:t>
      </w:r>
      <w:r>
        <w:rPr>
          <w:color w:val="000000"/>
        </w:rPr>
        <w:t xml:space="preserve"> </w:t>
      </w:r>
      <w:r>
        <w:rPr>
          <w:rFonts w:ascii="Times New Roman;serif" w:hAnsi="Times New Roman;serif"/>
          <w:b w:val="false"/>
          <w:color w:val="000000"/>
          <w:sz w:val="20"/>
        </w:rPr>
        <w:t>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jc w:val="both"/>
        <w:rPr/>
      </w:pPr>
      <w:r>
        <w:rPr>
          <w:rFonts w:ascii="Times New Roman;serif" w:hAnsi="Times New Roman;serif"/>
          <w:b/>
          <w:color w:val="000000"/>
          <w:sz w:val="20"/>
        </w:rPr>
        <w:t xml:space="preserve">13.    Governing Law. </w:t>
      </w:r>
      <w:r>
        <w:rPr>
          <w:rFonts w:ascii="Times New Roman;serif" w:hAnsi="Times New Roman;serif"/>
          <w:b w:val="false"/>
          <w:color w:val="000000"/>
          <w:sz w:val="20"/>
        </w:rPr>
        <w:t xml:space="preserve">THIS AMENDMENT AND THE RIGHTS AND OBLIGATIONS OF THE PARTIES HEREUNDER SHALL IN ALL RESPECTS BE GOVERNED BY AND CONSTRUED IN ACCORDANCE WITH, THE INTERNAL LAWS OF THE STATE OF NEW YORK (WITHOUT REGARD TO THE CONFLICT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2735"/>
                <wp:effectExtent l="0" t="0" r="0" b="0"/>
                <wp:wrapNone/>
                <wp:docPr id="79" name="Frame76"/>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lineRule="auto" w:line="288" w:before="0" w:after="240"/>
        <w:jc w:val="center"/>
        <w:rPr/>
      </w:pPr>
      <w:r>
        <w:rPr>
          <w:rFonts w:ascii="Times New Roman;serif" w:hAnsi="Times New Roman;serif"/>
          <w:b/>
          <w:color w:val="000000"/>
          <w:sz w:val="20"/>
        </w:rPr>
        <w:t>[</w:t>
      </w:r>
      <w:r>
        <w:rPr>
          <w:rFonts w:ascii="Times New Roman;serif" w:hAnsi="Times New Roman;serif"/>
          <w:b/>
          <w:i/>
          <w:color w:val="000000"/>
          <w:sz w:val="20"/>
        </w:rPr>
        <w:t>Balance of Page Intentionally Left Blank</w:t>
      </w:r>
      <w:r>
        <w:rPr>
          <w:rFonts w:ascii="Times New Roman;serif" w:hAnsi="Times New Roman;serif"/>
          <w:b/>
          <w:color w:val="000000"/>
          <w:sz w:val="20"/>
        </w:rPr>
        <w:t>]</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2735"/>
                <wp:effectExtent l="0" t="0" r="0" b="0"/>
                <wp:wrapNone/>
                <wp:docPr id="80" name="Frame77"/>
                <a:graphic xmlns:a="http://schemas.openxmlformats.org/drawingml/2006/main">
                  <a:graphicData uri="http://schemas.microsoft.com/office/word/2010/wordprocessingShape">
                    <wps:wsp>
                      <wps:cNvSpPr txBox="1"/>
                      <wps:spPr>
                        <a:xfrm>
                          <a:off x="0" y="0"/>
                          <a:ext cx="6480175" cy="2927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parties hereto have caused this Sixth Amendment to Loan and Security Agreement to be executed as of the date first set forth above.</w:t>
      </w:r>
    </w:p>
    <w:tbl>
      <w:tblPr>
        <w:tblW w:w="2746" w:type="dxa"/>
        <w:jc w:val="left"/>
        <w:tblInd w:w="0" w:type="dxa"/>
        <w:tblLayout w:type="fixed"/>
        <w:tblCellMar>
          <w:top w:w="28" w:type="dxa"/>
          <w:left w:w="28" w:type="dxa"/>
          <w:bottom w:w="28" w:type="dxa"/>
          <w:right w:w="28" w:type="dxa"/>
        </w:tblCellMar>
      </w:tblPr>
      <w:tblGrid>
        <w:gridCol w:w="268"/>
        <w:gridCol w:w="234"/>
        <w:gridCol w:w="234"/>
        <w:gridCol w:w="584"/>
        <w:gridCol w:w="584"/>
        <w:gridCol w:w="842"/>
      </w:tblGrid>
      <w:tr>
        <w:trPr/>
        <w:tc>
          <w:tcPr>
            <w:tcW w:w="2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27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BORROWER:</w:t>
            </w:r>
          </w:p>
        </w:tc>
      </w:tr>
      <w:tr>
        <w:trPr/>
        <w:tc>
          <w:tcPr>
            <w:tcW w:w="7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7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Susan Hohenleitner</w:t>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20"/>
        </w:rPr>
        <w:t>[</w:t>
      </w:r>
      <w:r>
        <w:rPr>
          <w:rFonts w:ascii="Times New Roman;serif" w:hAnsi="Times New Roman;serif"/>
          <w:b/>
          <w:i/>
          <w:color w:val="000000"/>
          <w:sz w:val="20"/>
        </w:rPr>
        <w:t>Signature Page to Sixth Amendment to Loan and Security Agreement</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548" w:type="dxa"/>
        <w:jc w:val="left"/>
        <w:tblInd w:w="0" w:type="dxa"/>
        <w:tblLayout w:type="fixed"/>
        <w:tblCellMar>
          <w:top w:w="28" w:type="dxa"/>
          <w:left w:w="28" w:type="dxa"/>
          <w:bottom w:w="28" w:type="dxa"/>
          <w:right w:w="28" w:type="dxa"/>
        </w:tblCellMar>
      </w:tblPr>
      <w:tblGrid>
        <w:gridCol w:w="959"/>
        <w:gridCol w:w="842"/>
        <w:gridCol w:w="842"/>
        <w:gridCol w:w="845"/>
        <w:gridCol w:w="845"/>
        <w:gridCol w:w="1215"/>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554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COLLATERAL AGENT AND LENDER:</w:t>
            </w:r>
          </w:p>
        </w:tc>
      </w:tr>
      <w:tr>
        <w:trPr/>
        <w:tc>
          <w:tcPr>
            <w:tcW w:w="5548"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554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SLR INVESTMENT CORP.</w:t>
            </w:r>
          </w:p>
        </w:tc>
      </w:tr>
      <w:tr>
        <w:trPr/>
        <w:tc>
          <w:tcPr>
            <w:tcW w:w="26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Anthony Storino </w:t>
            </w:r>
          </w:p>
        </w:tc>
      </w:tr>
      <w:tr>
        <w:trPr/>
        <w:tc>
          <w:tcPr>
            <w:tcW w:w="26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Anthony Storino </w:t>
            </w:r>
          </w:p>
        </w:tc>
      </w:tr>
      <w:tr>
        <w:trPr/>
        <w:tc>
          <w:tcPr>
            <w:tcW w:w="26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LENDERS:</w:t>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HC FUND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HC ONSHORE FUND L.P.</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HC BDC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HC BDC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1818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1818 L.P.</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PRIVATE CREDIT FUND II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PRIVATE CREDIT FUND II L.P.</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PRIVATE CREDIT BDC II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PRIVATE CREDIT BDC II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PRIVATE CORPORATE LENDING FUND II SPV (ABL)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PRIVATE CORPORATE LENDING FUND II L.P.</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CAYMAN DEBT MASTER FUND II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CAYMAN DEBT MASTER FUND II L.P.</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CRPTF-SLR CREDIT SPV LLC</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CRPTF-SLR CREDIT PARTNERSHIP L.P.</w:t>
            </w:r>
          </w:p>
        </w:tc>
      </w:tr>
      <w:tr>
        <w:trPr/>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SLR DEBT FUND ONE MASTER L.P.</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Storino</w:t>
            </w:r>
          </w:p>
        </w:tc>
      </w:tr>
      <w:tr>
        <w:trPr/>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Anthony Storino</w:t>
            </w:r>
          </w:p>
        </w:tc>
      </w:tr>
      <w:tr>
        <w:trPr/>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Authorized Signatory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i/>
          <w:color w:val="000000"/>
          <w:sz w:val="20"/>
        </w:rPr>
        <w:t>Signature Page to Sixth Amendment to Loan and Security Agreement</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Marked Copy of Conformed Loan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attached.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Conformed Copy through Sixth Amendment dated April 28, 2026</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2100"/>
                <wp:effectExtent l="0" t="0" r="0" b="0"/>
                <wp:wrapNone/>
                <wp:docPr id="83" name="Frame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185.4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1620966545.5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LOAN AND SECURITY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LOAN AND SECURITY AGREEMENT </w:t>
      </w:r>
      <w:r>
        <w:rPr>
          <w:rFonts w:ascii="Times New Roman;serif" w:hAnsi="Times New Roman;serif"/>
          <w:b w:val="false"/>
          <w:color w:val="000000"/>
          <w:sz w:val="22"/>
        </w:rPr>
        <w:t>(as the same may be amended, restated, modified, or supplemented from time to time,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dated as of February 23, 2022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among SLR Investment Corp., a Maryland corporation with an office located at 500 Park Avenue, 3rd Floor, New York, NY 10022 (“</w:t>
      </w:r>
      <w:r>
        <w:rPr>
          <w:rFonts w:ascii="Times New Roman;serif" w:hAnsi="Times New Roman;serif"/>
          <w:b/>
          <w:color w:val="000000"/>
          <w:sz w:val="22"/>
        </w:rPr>
        <w:t>SLR</w:t>
      </w:r>
      <w:r>
        <w:rPr>
          <w:color w:val="000000"/>
        </w:rPr>
        <w:t>”</w:t>
      </w:r>
      <w:r>
        <w:rPr>
          <w:rFonts w:ascii="Times New Roman;serif" w:hAnsi="Times New Roman;serif"/>
          <w:b w:val="false"/>
          <w:color w:val="000000"/>
          <w:sz w:val="22"/>
        </w:rPr>
        <w:t>), as collateral agent (in such capacity, together with its successors and assigns in such capacity, “</w:t>
      </w:r>
      <w:r>
        <w:rPr>
          <w:rFonts w:ascii="Times New Roman;serif" w:hAnsi="Times New Roman;serif"/>
          <w:b/>
          <w:color w:val="000000"/>
          <w:sz w:val="22"/>
        </w:rPr>
        <w:t>Collateral Agent</w:t>
      </w:r>
      <w:r>
        <w:rPr>
          <w:color w:val="000000"/>
        </w:rPr>
        <w:t>”</w:t>
      </w:r>
      <w:r>
        <w:rPr>
          <w:rFonts w:ascii="Times New Roman;serif" w:hAnsi="Times New Roman;serif"/>
          <w:b w:val="false"/>
          <w:color w:val="000000"/>
          <w:sz w:val="22"/>
        </w:rPr>
        <w:t xml:space="preserve">), and the lenders listed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hereof or otherwise a party hereto from time to time including SLR (together with any other lenders party hereto, the “</w:t>
      </w:r>
      <w:r>
        <w:rPr>
          <w:rFonts w:ascii="Times New Roman;serif" w:hAnsi="Times New Roman;serif"/>
          <w:b/>
          <w:color w:val="000000"/>
          <w:sz w:val="22"/>
        </w:rPr>
        <w:t>Lenders</w:t>
      </w:r>
      <w:r>
        <w:rPr>
          <w:color w:val="000000"/>
        </w:rPr>
        <w:t xml:space="preserve">” </w:t>
      </w:r>
      <w:r>
        <w:rPr>
          <w:rFonts w:ascii="Times New Roman;serif" w:hAnsi="Times New Roman;serif"/>
          <w:b w:val="false"/>
          <w:color w:val="000000"/>
          <w:sz w:val="22"/>
        </w:rPr>
        <w:t>and each, a “</w:t>
      </w:r>
      <w:r>
        <w:rPr>
          <w:rFonts w:ascii="Times New Roman;serif" w:hAnsi="Times New Roman;serif"/>
          <w:b/>
          <w:color w:val="000000"/>
          <w:sz w:val="22"/>
        </w:rPr>
        <w:t>Lender</w:t>
      </w:r>
      <w:r>
        <w:rPr>
          <w:color w:val="000000"/>
        </w:rPr>
        <w:t>”</w:t>
      </w:r>
      <w:r>
        <w:rPr>
          <w:rFonts w:ascii="Times New Roman;serif" w:hAnsi="Times New Roman;serif"/>
          <w:b w:val="false"/>
          <w:color w:val="000000"/>
          <w:sz w:val="22"/>
        </w:rPr>
        <w:t>), and ARDELYX, INC., a Delaware corporation with offices located at 400 Fifth Avenue, Suite 210, Waltham, MA 02451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provides the terms on which the Lenders shall lend to Borrower and Borrower shall repay the Lenders. The parties agree as follows:</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1.    DEFINITIONS AND OTHER TERMS</w:t>
      </w:r>
    </w:p>
    <w:p>
      <w:pPr>
        <w:pStyle w:val="TextBody"/>
        <w:bidi w:val="0"/>
        <w:spacing w:lineRule="auto" w:line="288" w:before="0" w:after="240"/>
        <w:ind w:left="0" w:right="0" w:firstLine="720"/>
        <w:jc w:val="both"/>
        <w:rPr/>
      </w:pPr>
      <w:r>
        <w:rPr>
          <w:rFonts w:ascii="Times New Roman;serif" w:hAnsi="Times New Roman;serif"/>
          <w:b/>
          <w:color w:val="000000"/>
          <w:sz w:val="22"/>
        </w:rPr>
        <w:t>1.1    Terms.</w:t>
      </w:r>
      <w:r>
        <w:rPr>
          <w:color w:val="000000"/>
        </w:rPr>
        <w:t xml:space="preserve"> </w:t>
      </w:r>
      <w:r>
        <w:rPr>
          <w:rFonts w:ascii="Times New Roman;serif" w:hAnsi="Times New Roman;serif"/>
          <w:b w:val="false"/>
          <w:color w:val="000000"/>
          <w:sz w:val="22"/>
        </w:rPr>
        <w:t xml:space="preserve">Capitalized terms used herein shall have the meanings set forth in </w:t>
      </w:r>
      <w:r>
        <w:rPr>
          <w:rFonts w:ascii="Times New Roman;serif" w:hAnsi="Times New Roman;serif"/>
          <w:b w:val="false"/>
          <w:color w:val="000000"/>
          <w:sz w:val="22"/>
          <w:u w:val="single"/>
        </w:rPr>
        <w:t>Section 1.4</w:t>
      </w:r>
      <w:r>
        <w:rPr>
          <w:color w:val="000000"/>
        </w:rPr>
        <w:t xml:space="preserve"> </w:t>
      </w:r>
      <w:r>
        <w:rPr>
          <w:rFonts w:ascii="Times New Roman;serif" w:hAnsi="Times New Roman;serif"/>
          <w:b w:val="false"/>
          <w:color w:val="000000"/>
          <w:sz w:val="22"/>
        </w:rPr>
        <w:t>to the extent defined therein. All other 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Section References. </w:t>
      </w:r>
      <w:r>
        <w:rPr>
          <w:rFonts w:ascii="Times New Roman;serif" w:hAnsi="Times New Roman;serif"/>
          <w:b w:val="false"/>
          <w:color w:val="000000"/>
          <w:sz w:val="22"/>
        </w:rPr>
        <w:t>Any section, subsection, schedule or exhibit references are to this Agreement unless otherwise specified.</w:t>
      </w:r>
    </w:p>
    <w:p>
      <w:pPr>
        <w:pStyle w:val="TextBody"/>
        <w:bidi w:val="0"/>
        <w:spacing w:lineRule="auto" w:line="288" w:before="0" w:after="240"/>
        <w:ind w:left="0" w:right="0" w:firstLine="720"/>
        <w:jc w:val="both"/>
        <w:rPr/>
      </w:pPr>
      <w:r>
        <w:rPr>
          <w:rFonts w:ascii="Times New Roman;serif" w:hAnsi="Times New Roman;serif"/>
          <w:b/>
          <w:color w:val="000000"/>
          <w:sz w:val="22"/>
        </w:rPr>
        <w:t>1.3    Divisions.</w:t>
      </w:r>
      <w:r>
        <w:rPr>
          <w:color w:val="000000"/>
        </w:rPr>
        <w:t xml:space="preserve"> </w:t>
      </w:r>
      <w:r>
        <w:rPr>
          <w:rFonts w:ascii="Times New Roman;serif" w:hAnsi="Times New Roman;serif"/>
          <w:b w:val="false"/>
          <w:color w:val="000000"/>
          <w:sz w:val="22"/>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88" w:before="240" w:after="240"/>
        <w:ind w:left="0" w:right="0" w:firstLine="720"/>
        <w:jc w:val="left"/>
        <w:rPr/>
      </w:pPr>
      <w:r>
        <w:rPr>
          <w:rFonts w:ascii="Times New Roman;serif" w:hAnsi="Times New Roman;serif"/>
          <w:b/>
          <w:color w:val="000000"/>
          <w:sz w:val="22"/>
        </w:rPr>
        <w:t>1.4    Definitions.</w:t>
      </w:r>
      <w:r>
        <w:rPr>
          <w:color w:val="000000"/>
        </w:rPr>
        <w:t xml:space="preserve"> </w:t>
      </w:r>
      <w:r>
        <w:rPr>
          <w:rFonts w:ascii="Times New Roman;serif" w:hAnsi="Times New Roman;serif"/>
          <w:b w:val="false"/>
          <w:color w:val="000000"/>
          <w:sz w:val="22"/>
        </w:rPr>
        <w:t xml:space="preserve">The following terms are defined in the Sections or subsections referenced opposite such terms: </w:t>
      </w:r>
    </w:p>
    <w:tbl>
      <w:tblPr>
        <w:tblW w:w="5008" w:type="dxa"/>
        <w:jc w:val="left"/>
        <w:tblInd w:w="0" w:type="dxa"/>
        <w:tblLayout w:type="fixed"/>
        <w:tblCellMar>
          <w:top w:w="28" w:type="dxa"/>
          <w:left w:w="28" w:type="dxa"/>
          <w:bottom w:w="28" w:type="dxa"/>
          <w:right w:w="28" w:type="dxa"/>
        </w:tblCellMar>
      </w:tblPr>
      <w:tblGrid>
        <w:gridCol w:w="1038"/>
        <w:gridCol w:w="912"/>
        <w:gridCol w:w="914"/>
        <w:gridCol w:w="628"/>
        <w:gridCol w:w="628"/>
        <w:gridCol w:w="88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Aggregate Accrual</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C, Section 10</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Agreement</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AHYDO Payment</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10</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Approved Lender</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12.1</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Borrower</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Claims</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12.2</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Collateral Agent</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Collateral Agent Report”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 Section 5</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Communications</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Connection Income Taxes</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Default Rate</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2.3(b)</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Effective Date</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Event of Default</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Excluded Taxes</w:t>
            </w:r>
            <w:r>
              <w:rPr>
                <w:color w:val="000000"/>
              </w:rPr>
              <w:t>”</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C, Section 1</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tbl>
      <w:tblPr>
        <w:tblW w:w="8189" w:type="dxa"/>
        <w:jc w:val="left"/>
        <w:tblInd w:w="0" w:type="dxa"/>
        <w:tblLayout w:type="fixed"/>
        <w:tblCellMar>
          <w:top w:w="28" w:type="dxa"/>
          <w:left w:w="28" w:type="dxa"/>
          <w:bottom w:w="28" w:type="dxa"/>
          <w:right w:w="28" w:type="dxa"/>
        </w:tblCellMar>
      </w:tblPr>
      <w:tblGrid>
        <w:gridCol w:w="1930"/>
        <w:gridCol w:w="1692"/>
        <w:gridCol w:w="1703"/>
        <w:gridCol w:w="837"/>
        <w:gridCol w:w="837"/>
        <w:gridCol w:w="1190"/>
      </w:tblGrid>
      <w:tr>
        <w:trPr/>
        <w:tc>
          <w:tcPr>
            <w:tcW w:w="1930"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Existing Term Loan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2.2(a)(v)</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FATCA</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Good Faith Deposit</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2.4(d)</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Incremental Term Loan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2.2(a)(vii)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Indemnified Person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12.2</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Indemnified Taxes</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Lenders</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Lender Transfer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Maximum Accrual</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10</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New Subsidiary</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6.10</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Non-Funding Lender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 Section 10(c)(ii)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Other Connection Taxes</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Other Lender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 Section 10(c)(ii)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Other Taxes</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Participant Register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ind w:left="0" w:right="0" w:hanging="60"/>
              <w:jc w:val="left"/>
              <w:rPr/>
            </w:pPr>
            <w:r>
              <w:rPr>
                <w:color w:val="000000"/>
              </w:rPr>
              <w:t>“</w:t>
            </w:r>
            <w:r>
              <w:rPr>
                <w:rFonts w:ascii="Times New Roman;serif" w:hAnsi="Times New Roman;serif"/>
                <w:b/>
                <w:color w:val="000000"/>
                <w:sz w:val="22"/>
              </w:rPr>
              <w:t>Perfection Certificate</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Perfection Certificates</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Recipient</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Register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SLR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Preamble</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Term A Loan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2.2(a)(i)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Term B Loan</w:t>
            </w:r>
            <w:r>
              <w:rPr>
                <w:color w:val="000000"/>
              </w:rPr>
              <w:t>”</w:t>
            </w:r>
          </w:p>
          <w:p>
            <w:pPr>
              <w:pStyle w:val="TableContents"/>
              <w:bidi w:val="0"/>
              <w:spacing w:lineRule="auto" w:line="288" w:before="0" w:after="0"/>
              <w:jc w:val="left"/>
              <w:rPr/>
            </w:pPr>
            <w:r>
              <w:rPr>
                <w:color w:val="000000"/>
              </w:rPr>
              <w:t>“</w:t>
            </w:r>
            <w:r>
              <w:rPr>
                <w:rFonts w:ascii="Times New Roman;serif" w:hAnsi="Times New Roman;serif"/>
                <w:b/>
                <w:color w:val="000000"/>
                <w:sz w:val="22"/>
              </w:rPr>
              <w:t>Term C Loan</w:t>
            </w:r>
            <w:r>
              <w:rPr>
                <w:color w:val="000000"/>
              </w:rPr>
              <w:t>”</w:t>
            </w:r>
          </w:p>
          <w:p>
            <w:pPr>
              <w:pStyle w:val="TableContents"/>
              <w:bidi w:val="0"/>
              <w:spacing w:lineRule="auto" w:line="288" w:before="0" w:after="0"/>
              <w:jc w:val="left"/>
              <w:rPr/>
            </w:pPr>
            <w:r>
              <w:rPr>
                <w:color w:val="000000"/>
              </w:rPr>
              <w:t>“</w:t>
            </w:r>
            <w:r>
              <w:rPr>
                <w:rFonts w:ascii="Times New Roman;serif" w:hAnsi="Times New Roman;serif"/>
                <w:b/>
                <w:color w:val="000000"/>
                <w:sz w:val="22"/>
              </w:rPr>
              <w:t>Term D Loan</w:t>
            </w:r>
            <w:r>
              <w:rPr>
                <w:color w:val="000000"/>
              </w:rPr>
              <w:t>”</w:t>
            </w:r>
          </w:p>
          <w:p>
            <w:pPr>
              <w:pStyle w:val="TableContents"/>
              <w:bidi w:val="0"/>
              <w:spacing w:lineRule="auto" w:line="288" w:before="0" w:after="0"/>
              <w:jc w:val="left"/>
              <w:rPr/>
            </w:pPr>
            <w:r>
              <w:rPr>
                <w:color w:val="000000"/>
              </w:rPr>
              <w:t>“</w:t>
            </w:r>
            <w:r>
              <w:rPr>
                <w:rFonts w:ascii="Times New Roman;serif" w:hAnsi="Times New Roman;serif"/>
                <w:b/>
                <w:color w:val="000000"/>
                <w:sz w:val="22"/>
              </w:rPr>
              <w:t>Term E Loan</w:t>
            </w:r>
            <w:r>
              <w:rPr>
                <w:color w:val="000000"/>
              </w:rPr>
              <w:t>”</w:t>
            </w:r>
          </w:p>
          <w:p>
            <w:pPr>
              <w:pStyle w:val="TableContents"/>
              <w:bidi w:val="0"/>
              <w:spacing w:lineRule="auto" w:line="288" w:before="0" w:after="0"/>
              <w:jc w:val="left"/>
              <w:rPr/>
            </w:pPr>
            <w:r>
              <w:rPr>
                <w:color w:val="000000"/>
              </w:rPr>
              <w:t>“</w:t>
            </w:r>
            <w:r>
              <w:rPr>
                <w:rFonts w:ascii="Times New Roman;serif" w:hAnsi="Times New Roman;serif"/>
                <w:b/>
                <w:color w:val="000000"/>
                <w:sz w:val="22"/>
              </w:rPr>
              <w:t>Term F Loan</w:t>
            </w:r>
            <w:r>
              <w:rPr>
                <w:color w:val="000000"/>
              </w:rPr>
              <w:t>”</w:t>
            </w:r>
          </w:p>
          <w:p>
            <w:pPr>
              <w:pStyle w:val="TableContents"/>
              <w:bidi w:val="0"/>
              <w:spacing w:lineRule="auto" w:line="288" w:before="0" w:after="0"/>
              <w:jc w:val="left"/>
              <w:rPr/>
            </w:pPr>
            <w:r>
              <w:rPr>
                <w:color w:val="000000"/>
              </w:rPr>
              <w:t>“</w:t>
            </w:r>
            <w:r>
              <w:rPr>
                <w:rFonts w:ascii="Times New Roman;serif" w:hAnsi="Times New Roman;serif"/>
                <w:b/>
                <w:color w:val="000000"/>
                <w:sz w:val="22"/>
              </w:rPr>
              <w:t>Term G Loan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2.2(a)(ii)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2.2(a)(iii)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2.2(a)(iv)</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2.2(a)(v)</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2.2(a)(vi)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Section 2.2(a)(vii)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Term H Loan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2.2(a)(viii)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Term Loan</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2.2(a)(viii)</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Termination Date</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 Section 8</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Transfer</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U.S. Tax Compliance Certificate</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7(b)(ii)(C)</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color w:val="000000"/>
                <w:sz w:val="22"/>
              </w:rPr>
              <w:t>Withholding Agent</w:t>
            </w:r>
            <w:r>
              <w:rPr>
                <w:color w:val="000000"/>
              </w:rPr>
              <w:t>”</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Section 1</w:t>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terms defined elsewhere in this Agreement,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1-Month CME Term SOFR</w:t>
      </w:r>
      <w:r>
        <w:rPr>
          <w:color w:val="000000"/>
        </w:rPr>
        <w:t xml:space="preserve">” </w:t>
      </w:r>
      <w:r>
        <w:rPr>
          <w:rFonts w:ascii="Times New Roman;serif" w:hAnsi="Times New Roman;serif"/>
          <w:b w:val="false"/>
          <w:color w:val="000000"/>
          <w:sz w:val="22"/>
        </w:rPr>
        <w:t>is the 1-month CME Term SOFR reference rate as published by the CME Term SOFR Administrator on the CME Term SOFR Administrator’s Website.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Account</w:t>
      </w:r>
      <w:r>
        <w:rPr>
          <w:color w:val="000000"/>
        </w:rPr>
        <w:t xml:space="preserve">” </w:t>
      </w:r>
      <w:r>
        <w:rPr>
          <w:rFonts w:ascii="Times New Roman;serif" w:hAnsi="Times New Roman;serif"/>
          <w:b w:val="false"/>
          <w:color w:val="000000"/>
          <w:sz w:val="22"/>
        </w:rPr>
        <w:t>is any “account” as defined in the Code with such additions to such term as may hereafter be made under the Code, and includes, without limitation, all accounts receivable and other sums owing to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Account Debtor</w:t>
      </w:r>
      <w:r>
        <w:rPr>
          <w:color w:val="000000"/>
        </w:rPr>
        <w:t xml:space="preserve">” </w:t>
      </w:r>
      <w:r>
        <w:rPr>
          <w:rFonts w:ascii="Times New Roman;serif" w:hAnsi="Times New Roman;serif"/>
          <w:b w:val="false"/>
          <w:color w:val="000000"/>
          <w:sz w:val="22"/>
        </w:rPr>
        <w:t>is any “account debtor” as defined in the Code with such additions to such term as may hereafter be made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ACH Letter</w:t>
      </w:r>
      <w:r>
        <w:rPr>
          <w:color w:val="000000"/>
        </w:rPr>
        <w:t xml:space="preserve">” </w:t>
      </w:r>
      <w:r>
        <w:rPr>
          <w:rFonts w:ascii="Times New Roman;serif" w:hAnsi="Times New Roman;serif"/>
          <w:b w:val="false"/>
          <w:color w:val="000000"/>
          <w:sz w:val="22"/>
        </w:rPr>
        <w:t xml:space="preserve">is an ACH debit authorization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hereto.</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00990"/>
                <wp:effectExtent l="0" t="0" r="0" b="0"/>
                <wp:wrapNone/>
                <wp:docPr id="85" name="Frame82"/>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Acquisition Consideration</w:t>
      </w:r>
      <w:r>
        <w:rPr>
          <w:color w:val="000000"/>
        </w:rPr>
        <w:t xml:space="preserve">” </w:t>
      </w:r>
      <w:r>
        <w:rPr>
          <w:rFonts w:ascii="Times New Roman;serif" w:hAnsi="Times New Roman;serif"/>
          <w:b w:val="false"/>
          <w:color w:val="000000"/>
          <w:sz w:val="22"/>
        </w:rPr>
        <w:t>shall mean the purchase consideration for a Permitted Acquisition and all other payments, directly or indirectly, by Borrower or any of its Subsidiaries in exchange for, or as part of, or in connection with, a Permitted Acquisition, whether paid in cash or by exchange of equity interests or of properties or otherwise and whether payable at or prior to the consummation of a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provided that any such future payment that is subject to a contingency shall be considered Acquisition Consideration only to the extent of the reserve, if any, required under GAAP (as determined at the time of the consummation of such Permitted Acquisition) to be established in respect thereof by the Borrower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Anti-Terrorism Laws</w:t>
      </w:r>
      <w:r>
        <w:rPr>
          <w:color w:val="000000"/>
        </w:rPr>
        <w:t xml:space="preserve">” </w:t>
      </w:r>
      <w:r>
        <w:rPr>
          <w:rFonts w:ascii="Times New Roman;serif" w:hAnsi="Times New Roman;serif"/>
          <w:b w:val="false"/>
          <w:color w:val="000000"/>
          <w:sz w:val="22"/>
        </w:rPr>
        <w:t>are any laws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Applicable FDA Threshold</w:t>
      </w:r>
      <w:r>
        <w:rPr>
          <w:color w:val="000000"/>
        </w:rPr>
        <w:t xml:space="preserve">” </w:t>
      </w:r>
      <w:r>
        <w:rPr>
          <w:rFonts w:ascii="Times New Roman;serif" w:hAnsi="Times New Roman;serif"/>
          <w:b w:val="false"/>
          <w:color w:val="000000"/>
          <w:sz w:val="22"/>
        </w:rPr>
        <w:t>means the greater of (a) One Million Dollars ($1,000,000), and (b) as of any date of determination, ten percent (10%) of the Borrower’s and its Subsidiaries’ consolidated revenues for the trailing twelve months ending as of the last day of the month immediately prior to such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Applicable</w:t>
      </w:r>
      <w:r>
        <w:rPr>
          <w:color w:val="000000"/>
        </w:rPr>
        <w:t xml:space="preserve"> </w:t>
      </w:r>
      <w:r>
        <w:rPr>
          <w:rFonts w:ascii="Times New Roman;serif" w:hAnsi="Times New Roman;serif"/>
          <w:b/>
          <w:color w:val="000000"/>
          <w:sz w:val="22"/>
        </w:rPr>
        <w:t>Rate</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    prior to the Sixth Amendment Effective Date, a per annum interest rate equal to the greater of (a)(i) one percent (1.00%) for all Term A Loans and Term B Loans, (ii) four and seven tenths of one percent (4.70%) for all Term C Loans, Term D Loans and Term E Loans, and (iii) three and one half of one percent (3.50%) for all Incremental Term Loans, and (b)(i) with respect to Term A Loans, Term B Loans, Term C Loans, Term D Loans, and Term E Loans, (x) 0.022% plus (y) 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and (ii) with respect to all Incremental Term Loans, 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provided that if, at any time, Lenders notify Collateral Agent that Lenders have determined that (x) Lenders are unable to determine or ascertain such rate, or (y) the applicable regulator has made public statements to the effect that the rate published by the CME Term SOFR Administrator is no longer used for determining interest rates for loans, then the Applicable Rate shall be equal to an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00990"/>
                <wp:effectExtent l="0" t="0" r="0" b="0"/>
                <wp:wrapNone/>
                <wp:docPr id="86" name="Frame83"/>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alternate benchmark rate and spread agreed between Collateral Agent and Borrowers,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(y)    on and after the Sixth Amendment Effective Date, with respect to all Term Loans, a per annum interest rate equal to the greater of (a) three and one half percent (3.50%) and (b) 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provided that if, at any time, Lenders notify Collateral Agent that Lenders have determined that (x) Lenders are unable to determine or ascertain such rate, or (y) the applicable regulator has made public statements to the effect that the rate published by the CME Term SOFR Administrator is no longer used for determining interest rates for loans, then the Applicable Rate shall be equal to an alternate benchmark rate and spread agreed between Collateral Agent and Borrowers,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Approved Fund</w:t>
      </w:r>
      <w:r>
        <w:rPr>
          <w:color w:val="000000"/>
        </w:rPr>
        <w:t xml:space="preserve">” </w:t>
      </w:r>
      <w:r>
        <w:rPr>
          <w:rFonts w:ascii="Times New Roman;serif" w:hAnsi="Times New Roman;serif"/>
          <w:b w:val="false"/>
          <w:color w:val="000000"/>
          <w:sz w:val="22"/>
        </w:rPr>
        <w:t>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Blocked Person</w:t>
      </w:r>
      <w:r>
        <w:rPr>
          <w:color w:val="000000"/>
        </w:rPr>
        <w:t xml:space="preserve">” </w:t>
      </w:r>
      <w:r>
        <w:rPr>
          <w:rFonts w:ascii="Times New Roman;serif" w:hAnsi="Times New Roman;serif"/>
          <w:b w:val="false"/>
          <w:color w:val="000000"/>
          <w:sz w:val="22"/>
        </w:rPr>
        <w:t>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Borrower Funded Amount</w:t>
      </w:r>
      <w:r>
        <w:rPr>
          <w:color w:val="000000"/>
        </w:rPr>
        <w:t xml:space="preserve">” </w:t>
      </w:r>
      <w:r>
        <w:rPr>
          <w:rFonts w:ascii="Times New Roman;serif" w:hAnsi="Times New Roman;serif"/>
          <w:b w:val="false"/>
          <w:color w:val="000000"/>
          <w:sz w:val="22"/>
        </w:rPr>
        <w:t>means all accrued but unpaid interest, the applicable Prepayment Premium and fees due in accordance with the Fee Letter, due and payable with respect to the Sixth Amendment Prepayment.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Borrower’s Books</w:t>
      </w:r>
      <w:r>
        <w:rPr>
          <w:color w:val="000000"/>
        </w:rPr>
        <w:t xml:space="preserve">” </w:t>
      </w:r>
      <w:r>
        <w:rPr>
          <w:rFonts w:ascii="Times New Roman;serif" w:hAnsi="Times New Roman;serif"/>
          <w:b w:val="false"/>
          <w:color w:val="000000"/>
          <w:sz w:val="22"/>
        </w:rPr>
        <w:t>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is any day that is not a Saturday, Sunday or a day on which commercial banks in New York, New York are required or authorized to be closed.</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0990"/>
                <wp:effectExtent l="0" t="0" r="0" b="0"/>
                <wp:wrapNone/>
                <wp:docPr id="87" name="Frame84"/>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Cash Equivalents</w:t>
      </w:r>
      <w:r>
        <w:rPr>
          <w:color w:val="000000"/>
        </w:rPr>
        <w:t xml:space="preserve">” </w:t>
      </w:r>
      <w:r>
        <w:rPr>
          <w:rFonts w:ascii="Times New Roman;serif" w:hAnsi="Times New Roman;serif"/>
          <w:b w:val="false"/>
          <w:color w:val="000000"/>
          <w:sz w:val="22"/>
        </w:rPr>
        <w:t>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and (d) any money market or similar funds under Borrower’s investment policy, as approved by Collateral Agent and the Lenders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CME Term SOFR Administrator</w:t>
      </w:r>
      <w:r>
        <w:rPr>
          <w:color w:val="000000"/>
        </w:rPr>
        <w:t xml:space="preserve">” </w:t>
      </w:r>
      <w:r>
        <w:rPr>
          <w:rFonts w:ascii="Times New Roman;serif" w:hAnsi="Times New Roman;serif"/>
          <w:b w:val="false"/>
          <w:color w:val="000000"/>
          <w:sz w:val="22"/>
        </w:rPr>
        <w:t>is CME Group Benchmark Administration Limited, as administrator of the forward-looking term SOFR, or any successor administrator of 1-Month CME Term SOFR selected by the Collateral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CME Term SOFR Administrator’s Website</w:t>
      </w:r>
      <w:r>
        <w:rPr>
          <w:color w:val="000000"/>
        </w:rPr>
        <w:t>”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the website of the CME Group Benchmark Administrator at </w:t>
      </w:r>
      <w:r>
        <w:rPr>
          <w:rFonts w:ascii="Times New Roman;serif" w:hAnsi="Times New Roman;serif"/>
          <w:b w:val="false"/>
          <w:color w:val="0563C1"/>
          <w:sz w:val="22"/>
          <w:u w:val="single"/>
        </w:rPr>
        <w:t>http://www.cmegroup.com</w:t>
      </w:r>
      <w:r>
        <w:rPr>
          <w:rFonts w:ascii="Times New Roman;serif" w:hAnsi="Times New Roman;serif"/>
          <w:b w:val="false"/>
          <w:color w:val="000000"/>
          <w:sz w:val="22"/>
        </w:rPr>
        <w:t>, or any successor source.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 xml:space="preserve">is any and all properties, rights and assets of Borrower described on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 Account</w:t>
      </w:r>
      <w:r>
        <w:rPr>
          <w:color w:val="000000"/>
        </w:rPr>
        <w:t xml:space="preserve">” </w:t>
      </w:r>
      <w:r>
        <w:rPr>
          <w:rFonts w:ascii="Times New Roman;serif" w:hAnsi="Times New Roman;serif"/>
          <w:b w:val="false"/>
          <w:color w:val="000000"/>
          <w:sz w:val="22"/>
        </w:rPr>
        <w:t>is any Deposit Account, Securities Account, or Commodity Account, or any other bank account maintained by Borrower or any Subsidiary at any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 Agent</w:t>
      </w:r>
      <w:r>
        <w:rPr>
          <w:color w:val="000000"/>
        </w:rPr>
        <w:t xml:space="preserve">” </w:t>
      </w:r>
      <w:r>
        <w:rPr>
          <w:rFonts w:ascii="Times New Roman;serif" w:hAnsi="Times New Roman;serif"/>
          <w:b w:val="false"/>
          <w:color w:val="000000"/>
          <w:sz w:val="22"/>
        </w:rPr>
        <w:t>is SLR, not in its individual capacity, but solely in its capacity as collateral agent on behalf of and for the ratable benefit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Commitment Percentage</w:t>
      </w:r>
      <w:r>
        <w:rPr>
          <w:color w:val="000000"/>
        </w:rPr>
        <w:t xml:space="preserve">” </w:t>
      </w:r>
      <w:r>
        <w:rPr>
          <w:rFonts w:ascii="Times New Roman;serif" w:hAnsi="Times New Roman;serif"/>
          <w:b w:val="false"/>
          <w:color w:val="000000"/>
          <w:sz w:val="22"/>
        </w:rPr>
        <w:t xml:space="preserve">is set forth in </w:t>
      </w:r>
      <w:r>
        <w:rPr>
          <w:rFonts w:ascii="Times New Roman;serif" w:hAnsi="Times New Roman;serif"/>
          <w:b w:val="false"/>
          <w:color w:val="000000"/>
          <w:sz w:val="22"/>
          <w:u w:val="single"/>
        </w:rPr>
        <w:t>Schedule 1.1</w:t>
      </w:r>
      <w:r>
        <w:rPr>
          <w:rFonts w:ascii="Times New Roman;serif" w:hAnsi="Times New Roman;serif"/>
          <w:b w:val="false"/>
          <w:color w:val="000000"/>
          <w:sz w:val="22"/>
        </w:rPr>
        <w:t>,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Commodity Account</w:t>
      </w:r>
      <w:r>
        <w:rPr>
          <w:color w:val="000000"/>
        </w:rPr>
        <w:t xml:space="preserve">” </w:t>
      </w:r>
      <w:r>
        <w:rPr>
          <w:rFonts w:ascii="Times New Roman;serif" w:hAnsi="Times New Roman;serif"/>
          <w:b w:val="false"/>
          <w:color w:val="000000"/>
          <w:sz w:val="22"/>
        </w:rPr>
        <w:t>is any “commodity account” as defined in the Code with such additions to such term as may hereafter be made under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Compliance Certificate</w:t>
      </w:r>
      <w:r>
        <w:rPr>
          <w:color w:val="000000"/>
        </w:rPr>
        <w:t xml:space="preserve">” </w:t>
      </w:r>
      <w:r>
        <w:rPr>
          <w:rFonts w:ascii="Times New Roman;serif" w:hAnsi="Times New Roman;serif"/>
          <w:b w:val="false"/>
          <w:color w:val="000000"/>
          <w:sz w:val="22"/>
        </w:rPr>
        <w:t xml:space="preserve">is that certain certificate in substantially the form attached hereto as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Contingent Obligation</w:t>
      </w:r>
      <w:r>
        <w:rPr>
          <w:color w:val="000000"/>
        </w:rPr>
        <w:t xml:space="preserve">” </w:t>
      </w:r>
      <w:r>
        <w:rPr>
          <w:rFonts w:ascii="Times New Roman;serif" w:hAnsi="Times New Roman;serif"/>
          <w:b w:val="false"/>
          <w:color w:val="000000"/>
          <w:sz w:val="22"/>
        </w:rPr>
        <w:t xml:space="preserve">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00990"/>
                <wp:effectExtent l="0" t="0" r="0" b="0"/>
                <wp:wrapNone/>
                <wp:docPr id="88" name="Frame85"/>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Control Agreement</w:t>
      </w:r>
      <w:r>
        <w:rPr>
          <w:color w:val="000000"/>
        </w:rPr>
        <w:t xml:space="preserve">” </w:t>
      </w:r>
      <w:r>
        <w:rPr>
          <w:rFonts w:ascii="Times New Roman;serif" w:hAnsi="Times New Roman;serif"/>
          <w:b w:val="false"/>
          <w:color w:val="000000"/>
          <w:sz w:val="22"/>
        </w:rPr>
        <w:t>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Collateral Agent pursuant to which Collateral Agent, for the ratable benefit of the Secured Parties, obtains “control” (within the meaning of the Code) over such Deposit Account, Securities Account, or Commodity Account.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Convertible Indebtedness</w:t>
      </w:r>
      <w:r>
        <w:rPr>
          <w:color w:val="000000"/>
        </w:rPr>
        <w:t xml:space="preserve">” </w:t>
      </w:r>
      <w:r>
        <w:rPr>
          <w:rFonts w:ascii="Times New Roman;serif" w:hAnsi="Times New Roman;serif"/>
          <w:b w:val="false"/>
          <w:color w:val="000000"/>
          <w:sz w:val="22"/>
        </w:rPr>
        <w:t xml:space="preserve">means (i) Indebtedness of the Borrower that is Subordinated Debt and convertible into equity securities of the Borrower or (ii) senior unsecured notes issued by the Borrower pursuant to either an effective registration statement under the Securities Act of 1933, as amended or Rule 144A of the regulations thereunder (which issuance shall include a customary offering document which describes (A) this Agreement and (B) the capital structure of Borrower after giving effect to such Indebtedness, in each case, in reasonable detail as determined by the Borrower in good faith) that are convertible into a fixed number (subject to customary anti-dilution adjustments, “make-whole” increases and the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and cash in lieu of fractional shares of common stock of the Borrower; provided that the Indebtedness thereunder must satisfy each of the following conditions, and any agreements providing for such Indebtedness may only be amended, restated, supplemented or modified from time to time if each of the following conditions remains satisfied: (1) both immediately prior to and after giving effect (including pro forma effect) thereto, no Default or Event of Default shall exist or result therefrom, (2) such Indebtedness matures, and does not provide for or require any scheduled amortization or other scheduled or otherwise provided for or required payments of principal or interest prior to, after the date that is one hundred eighty (180) days after the Maturity Date (it being understood that neither (x) any provision requiring an offer to purchase such Indebtedness as a result of change of control or other fundamental change (howsoever defined), (y) any early conversion of such Indebtedness in accordance with the terms thereof, nor (z) any provision providing for redemption of such Indebtedness upon satisfaction of a condition related to the stock price of the Borrower’s common stock, in each case, shall violate the foregoing restriction), (3) Borrower’s market capitalization, as of the close of the regular trading session for the Borrower’s common stock on the date that is one (1) Business Day prior to the date of launching (i.e. not pricing) of such convertible Indebtedness, is not less than an amount equal to the product of two (2) times the original principal amount of such convertible Indebtedness, (4) such Indebtedness (at any one time outstanding) is in an aggregate principal amount of not more than Four Hundred Million Dollars ($400,000,000.00), (5) the terms, conditions and covenants (other than pricing terms determined through a customary marketing process) of such Indebtedness must be customary for convertible Indebtedness of such type (as determined by the Borrower in good faith) and (6) such Indebtedness is not guaranteed by any Subsidiary of the Borrower (unless the Obligations are guaranteed by such Subsidiary on a secured basis).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00990"/>
                <wp:effectExtent l="0" t="0" r="0" b="0"/>
                <wp:wrapNone/>
                <wp:docPr id="89" name="Frame86"/>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Copyrights</w:t>
      </w:r>
      <w:r>
        <w:rPr>
          <w:color w:val="000000"/>
        </w:rPr>
        <w:t xml:space="preserve">” </w:t>
      </w:r>
      <w:r>
        <w:rPr>
          <w:rFonts w:ascii="Times New Roman;serif" w:hAnsi="Times New Roman;serif"/>
          <w:b w:val="false"/>
          <w:color w:val="000000"/>
          <w:sz w:val="22"/>
        </w:rPr>
        <w:t>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is any event that, with the giving of notice or passage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Deposit Account</w:t>
      </w:r>
      <w:r>
        <w:rPr>
          <w:color w:val="000000"/>
        </w:rPr>
        <w:t xml:space="preserve">” </w:t>
      </w:r>
      <w:r>
        <w:rPr>
          <w:rFonts w:ascii="Times New Roman;serif" w:hAnsi="Times New Roman;serif"/>
          <w:b w:val="false"/>
          <w:color w:val="000000"/>
          <w:sz w:val="22"/>
        </w:rPr>
        <w:t>is any “deposit account” as defined in the Code with such additions to such term as may hereafter be made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Disclosure Schedules</w:t>
      </w:r>
      <w:r>
        <w:rPr>
          <w:color w:val="000000"/>
        </w:rPr>
        <w:t xml:space="preserve">” </w:t>
      </w:r>
      <w:r>
        <w:rPr>
          <w:rFonts w:ascii="Times New Roman;serif" w:hAnsi="Times New Roman;serif"/>
          <w:b w:val="false"/>
          <w:color w:val="000000"/>
          <w:sz w:val="22"/>
        </w:rPr>
        <w:t>the disclosure schedules to this Agreement, as amended or supplemented from time to time by Borrower with the written consent of the Required Lenders (or as supplemented by Borrower pursuant to the terms of the Loan Documents), delivered by Borrower to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Dollars</w:t>
      </w:r>
      <w:r>
        <w:rPr>
          <w:rFonts w:ascii="Times New Roman;serif" w:hAnsi="Times New Roman;serif"/>
          <w:b w:val="false"/>
          <w:i/>
          <w:color w:val="000000"/>
          <w:sz w:val="22"/>
        </w:rPr>
        <w:t>,</w:t>
      </w:r>
      <w:r>
        <w:rPr>
          <w:color w:val="000000"/>
        </w:rPr>
        <w:t>” “</w:t>
      </w:r>
      <w:r>
        <w:rPr>
          <w:rFonts w:ascii="Times New Roman;serif" w:hAnsi="Times New Roman;serif"/>
          <w:b/>
          <w:color w:val="000000"/>
          <w:sz w:val="22"/>
        </w:rPr>
        <w:t>dollars</w:t>
      </w:r>
      <w:r>
        <w:rPr>
          <w:color w:val="000000"/>
        </w:rPr>
        <w:t xml:space="preserve">” </w:t>
      </w:r>
      <w:r>
        <w:rPr>
          <w:rFonts w:ascii="Times New Roman;serif" w:hAnsi="Times New Roman;serif"/>
          <w:b w:val="false"/>
          <w:color w:val="000000"/>
          <w:sz w:val="22"/>
        </w:rPr>
        <w:t xml:space="preserve">and “$” each mean lawful money of the United States.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Domestic Subsidiary</w:t>
      </w:r>
      <w:r>
        <w:rPr>
          <w:color w:val="000000"/>
        </w:rPr>
        <w:t xml:space="preserve">” </w:t>
      </w:r>
      <w:r>
        <w:rPr>
          <w:rFonts w:ascii="Times New Roman;serif" w:hAnsi="Times New Roman;serif"/>
          <w:b w:val="false"/>
          <w:color w:val="000000"/>
          <w:sz w:val="22"/>
        </w:rPr>
        <w:t>is any Subsidiary that is not a Foreign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Eligible Assignee</w:t>
      </w:r>
      <w:r>
        <w:rPr>
          <w:color w:val="000000"/>
        </w:rPr>
        <w:t xml:space="preserve">” </w:t>
      </w:r>
      <w:r>
        <w:rPr>
          <w:rFonts w:ascii="Times New Roman;serif" w:hAnsi="Times New Roman;serif"/>
          <w:b w:val="false"/>
          <w:color w:val="000000"/>
          <w:sz w:val="22"/>
        </w:rPr>
        <w:t>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Two Billion Five Hundred Million Dollars ($2,500,000,000.00),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a vulture hedge fund or a distressed debt fund, each as determined by Collateral Agent in its reasonable discretion. Notwithstanding the foregoing, (x) in connection with any assignment made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Equipment</w:t>
      </w:r>
      <w:r>
        <w:rPr>
          <w:color w:val="000000"/>
        </w:rPr>
        <w:t xml:space="preserve">” </w:t>
      </w:r>
      <w:r>
        <w:rPr>
          <w:rFonts w:ascii="Times New Roman;serif" w:hAnsi="Times New Roman;serif"/>
          <w:b w:val="false"/>
          <w:color w:val="000000"/>
          <w:sz w:val="22"/>
        </w:rPr>
        <w:t>is all “equipment” as defined in the Code with such additions to such term as may hereafter be made under the Code, and includes without limitation all machinery, fixtures, goods, vehicles (including motor vehicles and trailers), and any interest in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is the Employee Retirement Income Security Act of 1974, as amended, and its regulations.</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00990"/>
                <wp:effectExtent l="0" t="0" r="0" b="0"/>
                <wp:wrapNone/>
                <wp:docPr id="90" name="Frame87"/>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Exigent Circumstance</w:t>
      </w:r>
      <w:r>
        <w:rPr>
          <w:color w:val="000000"/>
        </w:rPr>
        <w:t xml:space="preserve">” </w:t>
      </w:r>
      <w:r>
        <w:rPr>
          <w:rFonts w:ascii="Times New Roman;serif" w:hAnsi="Times New Roman;serif"/>
          <w:b w:val="false"/>
          <w:color w:val="000000"/>
          <w:sz w:val="22"/>
        </w:rPr>
        <w:t>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Exit Fee Agreement</w:t>
      </w:r>
      <w:r>
        <w:rPr>
          <w:color w:val="000000"/>
        </w:rPr>
        <w:t xml:space="preserve">” </w:t>
      </w:r>
      <w:r>
        <w:rPr>
          <w:rFonts w:ascii="Times New Roman;serif" w:hAnsi="Times New Roman;serif"/>
          <w:b w:val="false"/>
          <w:color w:val="000000"/>
          <w:sz w:val="22"/>
        </w:rPr>
        <w:t>means that certain Exit Fee Agreement, dated as of the Effective Date, by and among Collateral Agent, as agent, Lenders and Borrower, as amended,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FDA</w:t>
      </w:r>
      <w:r>
        <w:rPr>
          <w:color w:val="000000"/>
        </w:rPr>
        <w:t xml:space="preserve">” </w:t>
      </w:r>
      <w:r>
        <w:rPr>
          <w:rFonts w:ascii="Times New Roman;serif" w:hAnsi="Times New Roman;serif"/>
          <w:b w:val="false"/>
          <w:color w:val="000000"/>
          <w:sz w:val="22"/>
        </w:rPr>
        <w:t>means the U.S. Food and Drug Administration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Fee Letter</w:t>
      </w:r>
      <w:r>
        <w:rPr>
          <w:color w:val="000000"/>
        </w:rPr>
        <w:t xml:space="preserve">” </w:t>
      </w:r>
      <w:r>
        <w:rPr>
          <w:rFonts w:ascii="Times New Roman;serif" w:hAnsi="Times New Roman;serif"/>
          <w:b w:val="false"/>
          <w:color w:val="000000"/>
          <w:sz w:val="22"/>
        </w:rPr>
        <w:t>means that certain Amended and Restated Fee Letter, dated as of the Fifth Amendment Effective Date, by and among Collateral Agent, as agent, Lenders and Borrower, as amended,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Fifth Amendment Effective Date</w:t>
      </w:r>
      <w:r>
        <w:rPr>
          <w:color w:val="000000"/>
        </w:rPr>
        <w:t xml:space="preserve">” </w:t>
      </w:r>
      <w:r>
        <w:rPr>
          <w:rFonts w:ascii="Times New Roman;serif" w:hAnsi="Times New Roman;serif"/>
          <w:b w:val="false"/>
          <w:color w:val="000000"/>
          <w:sz w:val="22"/>
        </w:rPr>
        <w:t>is June 30, 2025.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Foreign Subsidiary</w:t>
      </w:r>
      <w:r>
        <w:rPr>
          <w:color w:val="000000"/>
        </w:rPr>
        <w:t xml:space="preserve">” </w:t>
      </w:r>
      <w:r>
        <w:rPr>
          <w:rFonts w:ascii="Times New Roman;serif" w:hAnsi="Times New Roman;serif"/>
          <w:b w:val="false"/>
          <w:color w:val="000000"/>
          <w:sz w:val="22"/>
        </w:rPr>
        <w:t>is a Subsidiary that is not an entity organized under the laws of the United States or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Fourth Amendment Effective Date</w:t>
      </w:r>
      <w:r>
        <w:rPr>
          <w:color w:val="000000"/>
        </w:rPr>
        <w:t xml:space="preserve">” </w:t>
      </w:r>
      <w:r>
        <w:rPr>
          <w:rFonts w:ascii="Times New Roman;serif" w:hAnsi="Times New Roman;serif"/>
          <w:b w:val="false"/>
          <w:color w:val="000000"/>
          <w:sz w:val="22"/>
        </w:rPr>
        <w:t>is October 29, 2024.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Funding Date</w:t>
      </w:r>
      <w:r>
        <w:rPr>
          <w:color w:val="000000"/>
        </w:rPr>
        <w:t xml:space="preserve">” </w:t>
      </w:r>
      <w:r>
        <w:rPr>
          <w:rFonts w:ascii="Times New Roman;serif" w:hAnsi="Times New Roman;serif"/>
          <w:b w:val="false"/>
          <w:color w:val="000000"/>
          <w:sz w:val="22"/>
        </w:rPr>
        <w:t>is any date on which a Term Loan is made to or on account of Borrower which shall be a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provided that for purposes of the defined term “Permitted Indebtedness,” GAAP shall be GAAP as in effect on the Effective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General Intangibles</w:t>
      </w:r>
      <w:r>
        <w:rPr>
          <w:color w:val="000000"/>
        </w:rPr>
        <w:t xml:space="preserve">” </w:t>
      </w:r>
      <w:r>
        <w:rPr>
          <w:rFonts w:ascii="Times New Roman;serif" w:hAnsi="Times New Roman;serif"/>
          <w:b w:val="false"/>
          <w:color w:val="000000"/>
          <w:sz w:val="22"/>
        </w:rPr>
        <w:t>are all “general intangibles” as defined in the Code in effect on the Effective Date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0990"/>
                <wp:effectExtent l="0" t="0" r="0" b="0"/>
                <wp:wrapNone/>
                <wp:docPr id="91" name="Frame88"/>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Governmental Approval</w:t>
      </w:r>
      <w:r>
        <w:rPr>
          <w:color w:val="000000"/>
        </w:rPr>
        <w:t xml:space="preserve">” </w:t>
      </w:r>
      <w:r>
        <w:rPr>
          <w:rFonts w:ascii="Times New Roman;serif" w:hAnsi="Times New Roman;serif"/>
          <w:b w:val="false"/>
          <w:color w:val="000000"/>
          <w:sz w:val="22"/>
        </w:rPr>
        <w:t>is any consent, authorization, approval, order, license, franchise, permit, certificate, accreditation, registration, filing or notice, of, issued by, from or to, or other act by or in respect of,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is any federal, state, municipal, national or other government, governmental department, commission, board, bureau, court, agency or instrumentality or political subdivision thereof (including the FDA) or any entity exercising executive, legislative, judicial, regulatory or administrative functions of or pertaining to any government or any court, in each case whether associated with a state or locality of the United States, the United States, or a foreign government.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Guarantor</w:t>
      </w:r>
      <w:r>
        <w:rPr>
          <w:color w:val="000000"/>
        </w:rPr>
        <w:t xml:space="preserve">” </w:t>
      </w:r>
      <w:r>
        <w:rPr>
          <w:rFonts w:ascii="Times New Roman;serif" w:hAnsi="Times New Roman;serif"/>
          <w:b w:val="false"/>
          <w:color w:val="000000"/>
          <w:sz w:val="22"/>
        </w:rPr>
        <w:t>is any Person providing a Guaranty in favor of Collateral Agent for the benefit of the Secured Parties (including without limitation pursuant to Section 6.10).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Guaranty</w:t>
      </w:r>
      <w:r>
        <w:rPr>
          <w:color w:val="000000"/>
        </w:rPr>
        <w:t xml:space="preserve">” </w:t>
      </w:r>
      <w:r>
        <w:rPr>
          <w:rFonts w:ascii="Times New Roman;serif" w:hAnsi="Times New Roman;serif"/>
          <w:b w:val="false"/>
          <w:color w:val="000000"/>
          <w:sz w:val="22"/>
        </w:rPr>
        <w:t>is any guarantee of all or any part of the Obligations, as the same may from time to time be amended, restated, modified or otherwise supplemented.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Healthcare Laws</w:t>
      </w:r>
      <w:r>
        <w:rPr>
          <w:color w:val="000000"/>
        </w:rPr>
        <w:t xml:space="preserve">” </w:t>
      </w:r>
      <w:r>
        <w:rPr>
          <w:rFonts w:ascii="Times New Roman;serif" w:hAnsi="Times New Roman;serif"/>
          <w:b w:val="false"/>
          <w:color w:val="000000"/>
          <w:sz w:val="22"/>
        </w:rPr>
        <w:t>means all laws, rules and regulations relating to the provision or payment of health items and services applicable to the Borrower or its Subsidiaries, including, without limitation, (a) all federal and state fraud and abuse laws, including, without limitation, the federal Anti-Kickback Statute (42 U.S.C. §1320a-7b(b)), the Civil False Claims Act (31 U.S.C. §3729 et seq.), the criminal false statements law (42 U.S.C. § 1320a-7b(a)), all criminal laws relating to health care fraud and abuse, including but not limited to 18 U.S.C. Sections 286, 287, 1347 and 1349, and the health care fraud criminal provisions under the U.S. Health Insurance Portability and Accountability Act of 1996 (42 U.S.C. Section 1320d et seq.), any applicable state fraud and abuse prohibitions, including those that apply to all payors (governmental, commercial insurance and self-payors), the civil monetary penalty laws (42 U.S.C. § 1320a-7a), the exclusion laws (42 U.S.C. § 1320a-7), and any similar state laws or regulations, and (b) any laws relating to any governmental healthcare program, including, without limitation, the Medicare statute (Title XVIII of the Social Security Act) and the Medicaid statute (Title XIX of the Social Security Act), each of (a) through (b) as may be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Hyperphosphatemia</w:t>
      </w:r>
      <w:r>
        <w:rPr>
          <w:color w:val="000000"/>
        </w:rPr>
        <w:t xml:space="preserve">” </w:t>
      </w:r>
      <w:r>
        <w:rPr>
          <w:rFonts w:ascii="Times New Roman;serif" w:hAnsi="Times New Roman;serif"/>
          <w:b w:val="false"/>
          <w:color w:val="000000"/>
          <w:sz w:val="22"/>
        </w:rPr>
        <w:t>means elevated serum phosphorus.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Immaterial Subsidiary</w:t>
      </w:r>
      <w:r>
        <w:rPr>
          <w:color w:val="000000"/>
        </w:rPr>
        <w:t xml:space="preserve">” </w:t>
      </w:r>
      <w:r>
        <w:rPr>
          <w:rFonts w:ascii="Times New Roman;serif" w:hAnsi="Times New Roman;serif"/>
          <w:b w:val="false"/>
          <w:color w:val="000000"/>
          <w:sz w:val="22"/>
        </w:rPr>
        <w:t>is any Foreign Subsidiary that holds assets worth less than One Hundred Thousand Dollars ($100,000) in book value.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Insolvency Proceeding</w:t>
      </w:r>
      <w:r>
        <w:rPr>
          <w:color w:val="000000"/>
        </w:rPr>
        <w:t xml:space="preserve">” </w:t>
      </w:r>
      <w:r>
        <w:rPr>
          <w:rFonts w:ascii="Times New Roman;serif" w:hAnsi="Times New Roman;serif"/>
          <w:b w:val="false"/>
          <w:color w:val="000000"/>
          <w:sz w:val="22"/>
        </w:rPr>
        <w:t>is any proceeding by or against any Person under the United States Bankruptcy Code, or any other bankruptcy or insolvency law, including assignments for the benefit of creditors, compositions or proceedings seeking reorganization, arrangement, or other relief.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Insolvent</w:t>
      </w:r>
      <w:r>
        <w:rPr>
          <w:color w:val="000000"/>
        </w:rPr>
        <w:t xml:space="preserve">” </w:t>
      </w:r>
      <w:r>
        <w:rPr>
          <w:rFonts w:ascii="Times New Roman;serif" w:hAnsi="Times New Roman;serif"/>
          <w:b w:val="false"/>
          <w:color w:val="000000"/>
          <w:sz w:val="22"/>
        </w:rPr>
        <w:t>means not Solvent.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Intellectual Property</w:t>
      </w:r>
      <w:r>
        <w:rPr>
          <w:color w:val="000000"/>
        </w:rPr>
        <w:t xml:space="preserve">” </w:t>
      </w:r>
      <w:r>
        <w:rPr>
          <w:rFonts w:ascii="Times New Roman;serif" w:hAnsi="Times New Roman;serif"/>
          <w:b w:val="false"/>
          <w:color w:val="000000"/>
          <w:sz w:val="22"/>
        </w:rPr>
        <w:t>means all of Borrower’s or any of its Subsidiaries’ right, title and interest in and to the following:</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00990"/>
                <wp:effectExtent l="0" t="0" r="0" b="0"/>
                <wp:wrapNone/>
                <wp:docPr id="92" name="Frame89"/>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its Copyrights, Trademarks and Patents;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any and all trade secrets and trade secret rights, including, without limitation, any rights to unpatented inventions, know-how, operating manuals;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and all source code;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and all design rights which may be available to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all amendments, renewals and extensions of any of the Copyrights, Trademarks or Patents.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Interest-Only Extension Milestone</w:t>
      </w:r>
      <w:r>
        <w:rPr>
          <w:color w:val="000000"/>
        </w:rPr>
        <w:t xml:space="preserve">” </w:t>
      </w:r>
      <w:r>
        <w:rPr>
          <w:rFonts w:ascii="Times New Roman;serif" w:hAnsi="Times New Roman;serif"/>
          <w:b w:val="false"/>
          <w:color w:val="000000"/>
          <w:sz w:val="22"/>
        </w:rPr>
        <w:t>is the funding of the Term B Loans by the Lenders to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Internal Revenue Code</w:t>
      </w:r>
      <w:r>
        <w:rPr>
          <w:color w:val="000000"/>
        </w:rPr>
        <w:t xml:space="preserve">” </w:t>
      </w:r>
      <w:r>
        <w:rPr>
          <w:rFonts w:ascii="Times New Roman;serif" w:hAnsi="Times New Roman;serif"/>
          <w:b w:val="false"/>
          <w:color w:val="000000"/>
          <w:sz w:val="22"/>
        </w:rPr>
        <w:t>means the Internal Revenue Code of 1986, as amended, and the Treasury Regulations adopted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Inventory</w:t>
      </w:r>
      <w:r>
        <w:rPr>
          <w:color w:val="000000"/>
        </w:rPr>
        <w:t xml:space="preserve">” </w:t>
      </w:r>
      <w:r>
        <w:rPr>
          <w:rFonts w:ascii="Times New Roman;serif" w:hAnsi="Times New Roman;serif"/>
          <w:b w:val="false"/>
          <w:color w:val="000000"/>
          <w:sz w:val="22"/>
        </w:rPr>
        <w:t>is all “inventory” as defined in the Code in effect on the Effective Date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Investment</w:t>
      </w:r>
      <w:r>
        <w:rPr>
          <w:color w:val="000000"/>
        </w:rPr>
        <w:t xml:space="preserve">” </w:t>
      </w:r>
      <w:r>
        <w:rPr>
          <w:rFonts w:ascii="Times New Roman;serif" w:hAnsi="Times New Roman;serif"/>
          <w:b w:val="false"/>
          <w:color w:val="000000"/>
          <w:sz w:val="22"/>
        </w:rPr>
        <w:t>is any beneficial ownership interest in any Person (including stock, partnership interest or other securities), and any loan, advance or capital contribution to any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Key Person</w:t>
      </w:r>
      <w:r>
        <w:rPr>
          <w:color w:val="000000"/>
        </w:rPr>
        <w:t xml:space="preserve">” </w:t>
      </w:r>
      <w:r>
        <w:rPr>
          <w:rFonts w:ascii="Times New Roman;serif" w:hAnsi="Times New Roman;serif"/>
          <w:b w:val="false"/>
          <w:color w:val="000000"/>
          <w:sz w:val="22"/>
        </w:rPr>
        <w:t>is each of Borrower’s (i) Chief Executive Officer, who is Mike Raab as of the Effective Date and (ii) Chief Financial Officer, who is Susan Hohenleitner as of the Sixth Amendment Effective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is any one of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Lenders</w:t>
      </w:r>
      <w:r>
        <w:rPr>
          <w:color w:val="000000"/>
        </w:rPr>
        <w:t xml:space="preserve">” </w:t>
      </w:r>
      <w:r>
        <w:rPr>
          <w:rFonts w:ascii="Times New Roman;serif" w:hAnsi="Times New Roman;serif"/>
          <w:b w:val="false"/>
          <w:color w:val="000000"/>
          <w:sz w:val="22"/>
        </w:rPr>
        <w:t xml:space="preserve">are the Persons identified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and each assignee that becomes a party to this Agreement pursuant to Section 12.1.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Lenders’ Expenses</w:t>
      </w:r>
      <w:r>
        <w:rPr>
          <w:color w:val="000000"/>
        </w:rPr>
        <w:t xml:space="preserve">” </w:t>
      </w:r>
      <w:r>
        <w:rPr>
          <w:rFonts w:ascii="Times New Roman;serif" w:hAnsi="Times New Roman;serif"/>
          <w:b w:val="false"/>
          <w:color w:val="000000"/>
          <w:sz w:val="22"/>
        </w:rPr>
        <w:t xml:space="preserve">are (a) all reasonable audit fees and expenses, costs, and expenses (including reasonable attorneys’ fees and expenses, as well as appraisal fees, fees incurred on account of lien searches, inspection fees, and filing fees) for preparing, amending, negotiating and administering the Loan Documents, and (b) all fees and expenses (including attorneys’ fees and expenses, as well as appraisal fees, fees incurred on account of lien searches, inspection fees, and filing fees) for defending and enforcing the Loan Documents (including, without limitation, those incurred in connection with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0990"/>
                <wp:effectExtent l="0" t="0" r="0" b="0"/>
                <wp:wrapNone/>
                <wp:docPr id="93" name="Frame90"/>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appeals or Insolvency Proceedings) or otherwise incurred by Collateral Agent and/or the Lenders in connection with the Loan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is a claim, mortgage, deed of trust, levy, charge, pledge, security interest, or other encumbrance of any kind, whether voluntarily incurred or arising by operation of law or otherwise against any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Loan Documents</w:t>
      </w:r>
      <w:r>
        <w:rPr>
          <w:color w:val="000000"/>
        </w:rPr>
        <w:t xml:space="preserve">” </w:t>
      </w:r>
      <w:r>
        <w:rPr>
          <w:rFonts w:ascii="Times New Roman;serif" w:hAnsi="Times New Roman;serif"/>
          <w:b w:val="false"/>
          <w:color w:val="000000"/>
          <w:sz w:val="22"/>
        </w:rPr>
        <w:t>are, collectively, this Agreement, the Fee Letter, the Exit Fee Agreement, each Control Agreement, the Perfection Certificates, the Disclosure Schedules, each Compliance Certificate, the ACH Letter, each Loan Payment Request Form, any Guarantees, any subordination agreements, any note, or notes or guaranties executed by Borrower or any other Person, any agreements creating or perfecting rights in the Collateral (including all insurance certificates and endorsements, landlord consents and bailee consents) and any other present or future agreement entered into by Borrower, any Guarantor or any other Person for the benefit of the Lenders and Collateral Agent, as applicable, in connection with this Agreement; all as amended, restated, or otherwise modified.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Loan Payment Request Form</w:t>
      </w:r>
      <w:r>
        <w:rPr>
          <w:color w:val="000000"/>
        </w:rPr>
        <w:t xml:space="preserve">” </w:t>
      </w:r>
      <w:r>
        <w:rPr>
          <w:rFonts w:ascii="Times New Roman;serif" w:hAnsi="Times New Roman;serif"/>
          <w:b w:val="false"/>
          <w:color w:val="000000"/>
          <w:sz w:val="22"/>
        </w:rPr>
        <w:t xml:space="preserve">is that certain form attached hereto as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 Adverse Change</w:t>
      </w:r>
      <w:r>
        <w:rPr>
          <w:color w:val="000000"/>
        </w:rPr>
        <w:t xml:space="preserve">” </w:t>
      </w:r>
      <w:r>
        <w:rPr>
          <w:rFonts w:ascii="Times New Roman;serif" w:hAnsi="Times New Roman;serif"/>
          <w:b w:val="false"/>
          <w:color w:val="000000"/>
          <w:sz w:val="22"/>
        </w:rPr>
        <w:t xml:space="preserve">is (a) a material adverse change in the business, operations or financial condition of Borrower and its Subsidiaries, when taken as a whole; or (b) a material impairment of (i) the ability of Borrower and Guarantors to repay any portion of the Obligations, (ii) the legality, validity or enforceability of any Loan Document, (iii) the rights and remedies of Collateral Agent or Lenders under any Loan Document except as the result of the action or inaction of the Collateral Agent or Lenders or (iv) the validity, perfection or priority of any Lien in favor of Collateral Agent for the benefit of the Secured Parties on any of the Collateral except as the result of the action or inaction of the Collateral Agent or Lenders. For the avoidance of doubt, “Material Adverse Change” shall not include, in and of themselves, the non-occurrence of any of the events described under the “Term B Milestone”.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 Agreement</w:t>
      </w:r>
      <w:r>
        <w:rPr>
          <w:color w:val="000000"/>
        </w:rPr>
        <w:t xml:space="preserve">” </w:t>
      </w:r>
      <w:r>
        <w:rPr>
          <w:rFonts w:ascii="Times New Roman;serif" w:hAnsi="Times New Roman;serif"/>
          <w:b w:val="false"/>
          <w:color w:val="000000"/>
          <w:sz w:val="22"/>
        </w:rPr>
        <w:t>is (i) as long as Borrower is a publicly reporting entity under the Securities Exchange Act of 1934, any license, agreement or other contractual arrangement required to be disclosed (including amendments thereto) under regulations promulgated under the Securities Act of 1933 or Securities Exchange Act of 1934, as each may be amended, or (ii) if Borrower is not such a publicly reporting entity, any license, agreement or other contractual arrangement whereby Borrower or any of its Subsidiaries is reasonably likely to be required to transfer, either in-kind or in cash, prior to the Maturity Date for each Term Loan, assets or property valued (book or market) at more than One Million Dollars ($1,000,000) per year.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 xml:space="preserve">is, for each Term Loan, July 1, 2030.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Net Product Revenue</w:t>
      </w:r>
      <w:r>
        <w:rPr>
          <w:color w:val="000000"/>
        </w:rPr>
        <w:t xml:space="preserve">” </w:t>
      </w:r>
      <w:r>
        <w:rPr>
          <w:rFonts w:ascii="Times New Roman;serif" w:hAnsi="Times New Roman;serif"/>
          <w:b w:val="false"/>
          <w:color w:val="000000"/>
          <w:sz w:val="22"/>
        </w:rPr>
        <w:t xml:space="preserve">means the revenue, determined in accordance with GAAP, from the sale of any products of Borrower or its Subsidiaries, inclusive of Borrower’s share of sales generated indirectly through the sales of Borrower’s products under any licensing or similar arrangement and which amounts are included in the net product revenue of Borrower in accordance with GAAP.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Obligations</w:t>
      </w:r>
      <w:r>
        <w:rPr>
          <w:color w:val="000000"/>
        </w:rPr>
        <w:t xml:space="preserve">” </w:t>
      </w:r>
      <w:r>
        <w:rPr>
          <w:rFonts w:ascii="Times New Roman;serif" w:hAnsi="Times New Roman;serif"/>
          <w:b w:val="false"/>
          <w:color w:val="000000"/>
          <w:sz w:val="22"/>
        </w:rPr>
        <w:t xml:space="preserve">are all of Borrower’s obligations to pay when due any debts, principal, interest, Lenders’ Expenses, the Prepayment Premium, all fees under the Fee Letter, and any other amounts Borrower owes the Collateral Agent or the Lenders now or later, in connection with, related to, following, or arising from, out of or under, this Agreement or, the other Loan Documents (other than the Exit Fee Agreement and any fees payable thereunder), and including interest accruing after Insolvency Proceedings begin (whether or not allowed) and debts, liabilities, or obligations of Borrower assigned to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00990"/>
                <wp:effectExtent l="0" t="0" r="0" b="0"/>
                <wp:wrapNone/>
                <wp:docPr id="94" name="Frame91"/>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Lenders and/or Collateral Agent in connection with this Agreement and the other Loan Documents (other than the Exit Fee Agreement), and the performance of Borrower’s duties under the Loan Documents (other than the Exit Fee Agreement and any fees payable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OFAC</w:t>
      </w:r>
      <w:r>
        <w:rPr>
          <w:color w:val="000000"/>
        </w:rPr>
        <w:t xml:space="preserve">” </w:t>
      </w:r>
      <w:r>
        <w:rPr>
          <w:rFonts w:ascii="Times New Roman;serif" w:hAnsi="Times New Roman;serif"/>
          <w:b w:val="false"/>
          <w:color w:val="000000"/>
          <w:sz w:val="22"/>
        </w:rPr>
        <w:t>is the U.S. Department of Treasury Office of Foreign Assets Control.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OFAC Lists</w:t>
      </w:r>
      <w:r>
        <w:rPr>
          <w:color w:val="000000"/>
        </w:rPr>
        <w:t xml:space="preserve">” </w:t>
      </w:r>
      <w:r>
        <w:rPr>
          <w:rFonts w:ascii="Times New Roman;serif" w:hAnsi="Times New Roman;serif"/>
          <w:b w:val="false"/>
          <w:color w:val="000000"/>
          <w:sz w:val="22"/>
        </w:rPr>
        <w:t>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Operating Documents</w:t>
      </w:r>
      <w:r>
        <w:rPr>
          <w:color w:val="000000"/>
        </w:rPr>
        <w:t xml:space="preserve">” </w:t>
      </w:r>
      <w:r>
        <w:rPr>
          <w:rFonts w:ascii="Times New Roman;serif" w:hAnsi="Times New Roman;serif"/>
          <w:b w:val="false"/>
          <w:color w:val="000000"/>
          <w:sz w:val="22"/>
        </w:rPr>
        <w:t>are, for any Person, such Person’s formation documents, as certified by the Secretary of State (or equivalent agency) of such Person’s jurisdiction of organization on a date that is no earlier than thirty (30) days prior to the Effective Date or the Fifth Amendment Effective Date, as applicable,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Patents</w:t>
      </w:r>
      <w:r>
        <w:rPr>
          <w:color w:val="000000"/>
        </w:rPr>
        <w:t xml:space="preserve">” </w:t>
      </w:r>
      <w:r>
        <w:rPr>
          <w:rFonts w:ascii="Times New Roman;serif" w:hAnsi="Times New Roman;serif"/>
          <w:b w:val="false"/>
          <w:color w:val="000000"/>
          <w:sz w:val="22"/>
        </w:rPr>
        <w:t>means all patents, patent applications and like protections including without limitation improvements, divisions, continuations, renewals, reissues, extensions and continuations-in-part of the same.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Payment Date</w:t>
      </w:r>
      <w:r>
        <w:rPr>
          <w:color w:val="000000"/>
        </w:rPr>
        <w:t xml:space="preserve">” </w:t>
      </w:r>
      <w:r>
        <w:rPr>
          <w:rFonts w:ascii="Times New Roman;serif" w:hAnsi="Times New Roman;serif"/>
          <w:b w:val="false"/>
          <w:color w:val="000000"/>
          <w:sz w:val="22"/>
        </w:rPr>
        <w:t>is the first (1</w:t>
      </w:r>
      <w:r>
        <w:rPr>
          <w:rFonts w:ascii="Times New Roman;serif" w:hAnsi="Times New Roman;serif"/>
          <w:b w:val="false"/>
          <w:color w:val="000000"/>
          <w:sz w:val="14"/>
        </w:rPr>
        <w:t>st</w:t>
      </w:r>
      <w:r>
        <w:rPr>
          <w:rFonts w:ascii="Times New Roman;serif" w:hAnsi="Times New Roman;serif"/>
          <w:b w:val="false"/>
          <w:color w:val="000000"/>
          <w:sz w:val="22"/>
        </w:rPr>
        <w:t>) calendar day of each calendar month, commencing on April 1, 2022.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Acquisition</w:t>
      </w:r>
      <w:r>
        <w:rPr>
          <w:color w:val="000000"/>
        </w:rPr>
        <w:t xml:space="preserve">” </w:t>
      </w:r>
      <w:r>
        <w:rPr>
          <w:rFonts w:ascii="Times New Roman;serif" w:hAnsi="Times New Roman;serif"/>
          <w:b w:val="false"/>
          <w:color w:val="000000"/>
          <w:sz w:val="22"/>
        </w:rPr>
        <w:t>means any consensual transaction or series of related transactions for the direct or indirect (a) acquisition of all or substantially all of the property of any Person, or of any business or division of any Person, (b) acquisition of greater than ninety percent (90.0%) of the equity interests of any Person, and otherwise causing such person to become a Subsidiary of such Person, (c) merger or consolidation or any other combination with any Person or (d) the acquisition of any Intellectual Property and related ancillary rights or assets of any person, if each of the following conditions is met: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no Default or Event of Default exists immediately prior thereto, and no Default or Event of Default would immediately result therefrom;</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Person, business or asset to be acquired (other than non-core assets, if any, with respect to such acquisition) shall be, or shall be engaged in, a business of the type that the Borrower is then permitted to be engaged in and the property acquired in connection with any such transaction shall be made subject to the Lien of the Loan Documents to the extent required in accordance with Section 6.10 and shall be free and clear of any Liens (other than Permitted Liens);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Borrower shall be, after taking into account the payment of the Acquisition Consideration, in compliance with Section 7.13;</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Board of Directors or other governing body of the Person to be acquired shall not have indicated its opposition to the consummation of such acquisition (which opposition has not been publicly withdrawn);</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0990"/>
                <wp:effectExtent l="0" t="0" r="0" b="0"/>
                <wp:wrapNone/>
                <wp:docPr id="95" name="Frame92"/>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Acquisition Consideration in respect of such acquisition is funded with cash or Permitted Investments of the Borrower or the proceeds of a cash equity contribution to any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[reserved];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    Borrower has provided evidence satisfactory to Collateral Agent demonstrating that (i) immediately following the consummation of such acquisition and after giving pro forma effect to the payment of the Acquisition Consideration, Borrowers will have sufficient cash runway for the immediately succeeding twelve (12) month period based upon projections prepared in good faith by Borrower and agreed to by Collateral Agent and (ii) immediately preceding and immediately following the consummation of such acquisition and after giving pro forma effect thereto, Borrower has Net Product Revenue, calculated on a trailing six (6) month basis as of the last day of the calendar month preceding such acquisition, of at least Two Hundred Twenty Five Million Dollars ($225,000,000) and which shall be certified by a Responsible Officer of Borrower in the Compliance Certificate delivered pursuant to Section 6.2(b)(i) for such month;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    on or prior to the proposed date of consummation of such transaction, the Borrower shall have delivered to the Collateral Agent and the Lenders a certificate of a Responsible Officer of the Borrower certifying that such transaction complies with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Bond Hedge Transaction</w:t>
      </w:r>
      <w:r>
        <w:rPr>
          <w:color w:val="000000"/>
        </w:rPr>
        <w:t xml:space="preserve">” </w:t>
      </w:r>
      <w:r>
        <w:rPr>
          <w:rFonts w:ascii="Times New Roman;serif" w:hAnsi="Times New Roman;serif"/>
          <w:b w:val="false"/>
          <w:color w:val="000000"/>
          <w:sz w:val="22"/>
        </w:rPr>
        <w:t xml:space="preserve">means any call or capped call option (or substantively equivalent derivative transaction) pursuant to which the Borrower acquires an option requiring the counterparty thereto to deliver to the Borrower (i) shares of common stock of the Borrower (or other securities or property following a merger event or other change of the common stock of the Borrower), (ii) the cash value thereof or (iii) a combination thereof, in each case, from time to time upon exercise of such option entered into by the Borrower in connection with the issuance of any Convertible Indebtedness,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the purchase price for any Permitted Bond Hedge Transaction, less the proceeds received by the Borrower from the sale of any related Permitted Warrant Transaction, does not exceed the net proceeds received by the Borrower from the sale of the Convertible Indebtedness issued in connection with the Permitted Bond Hedge Transaction.</w:t>
      </w:r>
    </w:p>
    <w:p>
      <w:pPr>
        <w:pStyle w:val="TextBody"/>
        <w:bidi w:val="0"/>
        <w:spacing w:lineRule="auto" w:line="288" w:before="0" w:after="240"/>
        <w:jc w:val="left"/>
        <w:rPr/>
      </w:pPr>
      <w:r>
        <w:rPr>
          <w:color w:val="000000"/>
        </w:rPr>
        <w:t>“</w:t>
      </w:r>
      <w:r>
        <w:rPr>
          <w:rFonts w:ascii="Times New Roman;serif" w:hAnsi="Times New Roman;serif"/>
          <w:b/>
          <w:color w:val="000000"/>
          <w:sz w:val="22"/>
        </w:rPr>
        <w:t>Permitted Indebtedness</w:t>
      </w:r>
      <w:r>
        <w:rPr>
          <w:color w:val="000000"/>
        </w:rPr>
        <w:t xml:space="preserve">” </w:t>
      </w:r>
      <w:r>
        <w:rPr>
          <w:rFonts w:ascii="Times New Roman;serif" w:hAnsi="Times New Roman;serif"/>
          <w:b w:val="false"/>
          <w:color w:val="000000"/>
          <w:sz w:val="22"/>
        </w:rPr>
        <w:t>is: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Borrower’s Indebtedness to the Lenders and Collateral Agent under this Agreement and the other Loan Documents;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Indebtedness existing on the Fifth Amendment Effective Date and disclosed on the Disclosure Schedules;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Subordinated Debt;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unsecured Indebtedness to trade creditors incurred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unsecured Indebtedness in connection with credit cards incurred in the ordinary course of business;</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00990"/>
                <wp:effectExtent l="0" t="0" r="0" b="0"/>
                <wp:wrapNone/>
                <wp:docPr id="96" name="Frame93"/>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Seven Hundred Fifty Thousand Dollars ($750,000)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Indebtedness consisting of the obligation to pay rent when due under real property leases entered into in the ordinary course of Borrower’s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other unsecured Indebtedness at any time not to exceed Three Hundred Seventy-Five Thousand Dollars ($375,000) in the aggregate;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reimbursement obligations in respect of letters of credit in the aggregate amount not to exceed (1) Three Million Dollars ($3,000,000) at any time for any letters of credit with a maturity date of six (6) months or less, and (2) One Million Five Hundred Thousand Dollars ($1,500,000) at any time for any letters of credit with a maturity date of six (6) months or more, in each case as incurred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Indebtedness incurred as a result of endorsing negotiable instruments received in the ordinary course of Borrower’s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Convertible Indebtedness;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Hedges and similar transactions with respect to currency risk entered into in the ordinary course of business and not for speculative purposes;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(m)    Surety bonds and similar Indebtedness entered into in the ordinary course of business and in an amount not exceeding Two Hundred Fifty Thousand Dollars ($250,000) outstanding at any time;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“earnouts”, purchase price adjustments, profit sharing arrangements, deferred purchase money amounts and similar payment obligations or continuing obligations of any nature of such Person arising out of purchase and sale contracts (including any indemnification and other similar obligations incurred in an acquisition), in each case subject to the limitations in the definition of “Permitted Acquisition”;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    advances or deposits received in the ordinary course of business from customers or vendors;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(p)    Indebtedness arising in connection with the financing of insurance premiums in an amount not exceeding Fifty Thousand Dollars ($50,000) outstanding at any time;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(q)    Indebtedness incurred in the Permitted Royalty Transaction;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(r)    extensions, refinancings, modifications, amendments and restatements of any items of Permitted Indebtedness (a) through (q) above, provided that the principal amount thereof is not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00990"/>
                <wp:effectExtent l="0" t="0" r="0" b="0"/>
                <wp:wrapNone/>
                <wp:docPr id="97" name="Frame94"/>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increased or the terms thereof are not modified to impose materially more burdensome terms upon Borrower, or its Subsidiary, as the case may be.</w:t>
      </w:r>
    </w:p>
    <w:p>
      <w:pPr>
        <w:pStyle w:val="TextBody"/>
        <w:bidi w:val="0"/>
        <w:spacing w:lineRule="auto" w:line="288" w:before="0" w:after="240"/>
        <w:jc w:val="left"/>
        <w:rPr/>
      </w:pPr>
      <w:r>
        <w:rPr>
          <w:color w:val="000000"/>
        </w:rPr>
        <w:t>“</w:t>
      </w:r>
      <w:r>
        <w:rPr>
          <w:rFonts w:ascii="Times New Roman;serif" w:hAnsi="Times New Roman;serif"/>
          <w:b/>
          <w:color w:val="000000"/>
          <w:sz w:val="22"/>
        </w:rPr>
        <w:t>Permitted Investments</w:t>
      </w:r>
      <w:r>
        <w:rPr>
          <w:color w:val="000000"/>
        </w:rPr>
        <w:t xml:space="preserve">” </w:t>
      </w:r>
      <w:r>
        <w:rPr>
          <w:rFonts w:ascii="Times New Roman;serif" w:hAnsi="Times New Roman;serif"/>
          <w:b w:val="false"/>
          <w:color w:val="000000"/>
          <w:sz w:val="22"/>
        </w:rPr>
        <w:t>are: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Investments disclosed on the Disclosure Schedules and existing on the Fifth Amendment Effective Date;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Investments consisting of the endorsement of negotiable instruments for deposit or collection or similar transactions in the ordinary course of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Investments consisting of Deposit Accounts in which Collateral Agent has a perfected Lien (subject to the terms of this Agreement) for the ratable benefit of the Secured Parties except as permitted in Section 6.6 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Investments in connection with Permitted Indebtedness, Permitted Liens and with Transfers permitted by Section 7.1;</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Million Dollars ($1,000,000) in the aggregate for (i) and (ii) in any fiscal year;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Investments in Subsidiaries that are Guarantors;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(j)    Investments in Subsidiaries that are not Guarantors, the aggregate of which shall not exceed One Hundred Thousand Dollars ($100,000) per fiscal year;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(k)    Permitted Acquisitions;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(l)    Investments in joint ventures, corporate collaborations, or strategic alliances in the ordinary course of Borrower’s business consisting of the licensing of technology (in compliance with the definition of “Permitted Licenses”), the development of technology or the providing of technical support and provided that the aggregate amount for cash consideration for all such Investments cannot exceed One Million Dollars ($1,000,000) per year;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00990"/>
                <wp:effectExtent l="0" t="0" r="0" b="0"/>
                <wp:wrapNone/>
                <wp:docPr id="98" name="Frame95"/>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(m)    other Investments not to exceed One Million Dollars ($1,000,000) in the aggregate outstanding at any time;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to the extent constituting Investments, the performance of obligations under (including for the avoidance of doubt, the entry into, payment of any premium with respect to, and the settlement of) any Convertible Indebtedness, any Permitted Bond Hedge Transaction or any Permitted Warrant Transaction, in each case in accordance with its terms.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Licenses</w:t>
      </w:r>
      <w:r>
        <w:rPr>
          <w:color w:val="000000"/>
        </w:rPr>
        <w:t xml:space="preserve">” </w:t>
      </w:r>
      <w:r>
        <w:rPr>
          <w:rFonts w:ascii="Times New Roman;serif" w:hAnsi="Times New Roman;serif"/>
          <w:b w:val="false"/>
          <w:color w:val="000000"/>
          <w:sz w:val="22"/>
        </w:rPr>
        <w:t xml:space="preserve">are (A) licenses of over-the-counter software that is commercially available to the public, (B) non-exclusive licenses for the use of the Intellectual Property of Borrower or any of its Subsidiaries entered into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each such license described in clause (B),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(C) exclusive licenses for the use of the Intellectual Property of Borrower or any of its Subsidiaries entered into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each such license described in this clause (C),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is limited in territory with respect to a specific geographic country or region (i.e. Japan, Germany, northern China) outside of the United States, and (iii) Borrower has used commercially reasonable efforts to obtain the consent and acknowledgment of the counterparty to such license for the collateral assignment of such license to the Collateral Agent for the benefit of the Lenders, (D) exclusive licenses for the use of the Intellectual Property of Borrower or any of its Subsidiaries (excluding such Intellectual Property related to treatment of Hyperphosphatemia) in the United States entered into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each such license described in this clause (D),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Borrower has used commercially reasonable efforts to obtain the consent and acknowledgment of the counterparty to such license for the collateral assignment of such license to the Collateral Agent for the benefit of the Lenders, and (iii) Borrower shall have obtained the prior written consent of the Required Lenders to enter into such license, (E) exclusive licenses for the use in the United States of the Intellectual Property of Borrower or any of its Subsidiaries related to treatment of Hyperphosphatemia entered into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each such license described in this clause (E), the Borrower shall have obtained the prior written consent of the Required Lenders to enter into such license, and (F) licenses in connection with the Borrower’s TGR5 and FXR programs. </w:t>
      </w:r>
    </w:p>
    <w:p>
      <w:pPr>
        <w:pStyle w:val="TextBody"/>
        <w:bidi w:val="0"/>
        <w:spacing w:lineRule="auto" w:line="288" w:before="0" w:after="240"/>
        <w:jc w:val="left"/>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are: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Liens existing on the Fifth Amendment Effective Date and disclosed on the Disclosure Schedules or arising under this Agreement and the other Loan Documents;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Liens for taxes, fees, assessments or other government charges or levies, either (i) not due and payable or (ii) being contested in good faith and for which Borrower maintains adequate reserves on its Books in accordance with GAAP, provided that no notice of any such Lien has been filed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0990"/>
                <wp:effectExtent l="0" t="0" r="0" b="0"/>
                <wp:wrapNone/>
                <wp:docPr id="99" name="Frame96"/>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recorded in favor of the United States Treasury in accordance with the applicable provisions of the Internal Revenue Code;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Liens securing Indebtedness permitted under clause (f)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Liens to secure payment of workers’ compensation, employment insurance, old-age pensions, social security and other like obligations incurred in the ordinary course of business (other than Liens imposed by ERISA);</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Liens incurred in the extension, renewal or refinancing of the indebtedness secured by Liens described in (a) through (c), </w:t>
      </w:r>
      <w:r>
        <w:rPr>
          <w:rFonts w:ascii="Times New Roman;serif" w:hAnsi="Times New Roman;serif"/>
          <w:b w:val="false"/>
          <w:color w:val="000000"/>
          <w:sz w:val="22"/>
          <w:u w:val="single"/>
        </w:rPr>
        <w:t>but</w:t>
      </w:r>
      <w:r>
        <w:rPr>
          <w:color w:val="000000"/>
        </w:rPr>
        <w:t xml:space="preserve"> </w:t>
      </w:r>
      <w:r>
        <w:rPr>
          <w:rFonts w:ascii="Times New Roman;serif" w:hAnsi="Times New Roman;serif"/>
          <w:b w:val="false"/>
          <w:color w:val="000000"/>
          <w:sz w:val="22"/>
        </w:rPr>
        <w:t>any extension, renewal or replacement Lien must be limited to the property encumbered by the existing Lien and the principal amount of the indebtedness may not increase;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6.6(a) 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Liens arising from judgments, decrees or attachments in circumstances not constituting an Event of Default under Section 8.4 or 8.7;</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(j)    Liens on cash securing any obligations permitted to be incurred under clause (i) of the definition of “Permitted Indebtedness”;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(k)    security deposits under real property leases that are made in the ordinary course of business, in the aggregate amount not to exceed One Million Dollars ($1,000,000);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(l)    to the extent constitution a Lien, escrow arrangements securing indemnification obligations associated with any Permitted Acquisition;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00990"/>
                <wp:effectExtent l="0" t="0" r="0" b="0"/>
                <wp:wrapNone/>
                <wp:docPr id="100" name="Frame97"/>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Permitted Licenses.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Royalty Account</w:t>
      </w:r>
      <w:r>
        <w:rPr>
          <w:color w:val="000000"/>
        </w:rPr>
        <w:t xml:space="preserve">” </w:t>
      </w:r>
      <w:r>
        <w:rPr>
          <w:rFonts w:ascii="Times New Roman;serif" w:hAnsi="Times New Roman;serif"/>
          <w:b w:val="false"/>
          <w:color w:val="000000"/>
          <w:sz w:val="22"/>
        </w:rPr>
        <w:t>is a Deposit Account established by Borrower solely for the purpose of receiving remittance of royalty interest payments and disbursement thereof in respect of the Permitted Royalty Transaction, and disclosed to Collateral Agent by Borrower in writing.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Royalty Transaction</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the purchase of a royalty interest of the Borrower’s rights to research, develop and commercialize one of Borrower’s products in Japan,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acquisition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the transaction will be structured as a true sale with only precautionary security filings in the purchased royalty in the applicable jurisdiction, (iii) Borrower shall not grant a security interest in or lien on the underlying license agreement or any Intellectual Property and assets underlying the purchased royalty, (iv) Collateral Agent and Lenders will not be required to enter into an intercreditor or similar agreement, and (v) the royalty and sales milestone interest acquisition agreement and related documents are otherwise in form and substance reasonably satisfactory, including the amount of the upfront cash proceeds received by Borrower, to Collateral Agent and the Required Lenders; and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the purchase of a royalty interest of the Borrower’s rights to research, develop and commercialize any of Borrower’s products acquired after the Sixth Amendment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acquisition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the transaction will be structured as a true sale with only precautionary security filings in the purchased royalty in any applicable jurisdiction, (iii) Borrower shall not grant a security interest in or lien on the underlying license agreement or any Intellectual Property and assets underlying the purchased royalty, (iv) Collateral Agent and Lenders will not be required to enter into an intercreditor or similar agreement, (v) such product is under development by the Borrower and has not received marketing approval from the FDA, the European Medicines Agency, or any other applicable Governmental Authority for commercial sale in any jurisdiction as of the date of such transaction, (vi) the purchased royalty interest of any such product, shall not exceed ten percent (10.00%) of worldwide net sales or revenue of any such product, and (vii) the royalty and sales milestone interest acquisition agreement and related documents are otherwise in form and substance reasonably satisfactory, including the amount of the upfront cash proceeds received by Borrower, to Collateral Agent and the Required Lenders.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Warrant Transaction</w:t>
      </w:r>
      <w:r>
        <w:rPr>
          <w:color w:val="000000"/>
        </w:rPr>
        <w:t xml:space="preserve">” </w:t>
      </w:r>
      <w:r>
        <w:rPr>
          <w:rFonts w:ascii="Times New Roman;serif" w:hAnsi="Times New Roman;serif"/>
          <w:b w:val="false"/>
          <w:color w:val="000000"/>
          <w:sz w:val="22"/>
        </w:rPr>
        <w:t>means any call option, warrant or right to purchase (or substantively equivalent derivative transaction) relating to the Borrower’s common stock (or other securities or property following a merger event or other change of the common stock of the Borrower) and/or cash (in an amount determined by reference to the price of such common stock) entered into by Borrower substantially concurrently with any entry by the Borrower of a related Permitted Bond Hedge Transaction.</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0990"/>
                <wp:effectExtent l="0" t="0" r="0" b="0"/>
                <wp:wrapNone/>
                <wp:docPr id="101" name="Frame98"/>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Prepayment Premium</w:t>
      </w:r>
      <w:r>
        <w:rPr>
          <w:color w:val="000000"/>
        </w:rPr>
        <w:t xml:space="preserve">” </w:t>
      </w:r>
      <w:r>
        <w:rPr>
          <w:rFonts w:ascii="Times New Roman;serif" w:hAnsi="Times New Roman;serif"/>
          <w:b w:val="false"/>
          <w:color w:val="000000"/>
          <w:sz w:val="22"/>
        </w:rPr>
        <w:t xml:space="preserve">is: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with respect to any Existing Term Loan and any Term H Loan, subject to any prepayment prior to the Maturity Date, whether by mandatory or voluntary prepayment, acceleration or otherwise (including, but not limited to, upon the occurrence of a bankruptcy or insolvency event), an additional fee payable to the Lenders in accordance with their respective Pro Rata Shares in amount equal 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for any prepayment made on or after the Sixth Amendment Effective Date through and including the first anniversary of the Sixth Amendment Effective Date, three percent (3.00%) of the principal amount of such Existing Term Loan or such Term H Loan prepaid;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for any prepayment made after the date which is after the first anniversary of the Sixth Amendment Effective Date through and including the second anniversary of the Sixth Amendment Effective Date, two percent (2.00%) of the principal amount of such Existing Term Loan or such Term H Loan prepaid;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for any prepayment made after the date which is after the second anniversary of the Sixth Amendment Effective Date and prior to the Maturity Date, one percent (1.00%) of the principal amount of such Existing Term Loan or such Term H Loan prepaid;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with respect to any Incremental Term Loan (other than a Term H Loan) subject to any prepayment prior to the Maturity Date, whether by mandatory or voluntary prepayment, acceleration or otherwise (including, but not limited to, upon the occurrence of a bankruptcy or insolvency event), an additional fee payable to the Lenders in accordance with their respective Pro Rata Shares in amount equal to: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for any prepayment made on or after the Fifth Amendment Effective Date through and including the first anniversary of the Fifth Amendment Effective Date, three percent (3.00%) of the principal amount of such Incremental Term Loan prepaid;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for any prepayment made after the date which is after the first anniversary of the Fifth Amendment Effective Date through and including the second anniversary of the Fifth Amendment Effective Date, two percent (2.00%) of the principal amount of such Incremental Term Loan prepaid;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for any prepayment made after the date which is after the second anniversary of the Fifth Amendment Effective Date and prior to the Maturity Date, one percent (1.00%) of the principal amount of such Incremental Term Loan prepaid.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 Rata Share</w:t>
      </w:r>
      <w:r>
        <w:rPr>
          <w:color w:val="000000"/>
        </w:rPr>
        <w:t xml:space="preserve">” </w:t>
      </w:r>
      <w:r>
        <w:rPr>
          <w:rFonts w:ascii="Times New Roman;serif" w:hAnsi="Times New Roman;serif"/>
          <w:b w:val="false"/>
          <w:color w:val="000000"/>
          <w:sz w:val="22"/>
        </w:rPr>
        <w:t>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Property</w:t>
      </w:r>
      <w:r>
        <w:rPr>
          <w:color w:val="000000"/>
        </w:rPr>
        <w:t xml:space="preserve">” </w:t>
      </w:r>
      <w:r>
        <w:rPr>
          <w:rFonts w:ascii="Times New Roman;serif" w:hAnsi="Times New Roman;serif"/>
          <w:b w:val="false"/>
          <w:color w:val="000000"/>
          <w:sz w:val="22"/>
        </w:rPr>
        <w:t>means any interest in any kind of property or asset, whether real, personal or mixed, and whether tangible or intangible.</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00990"/>
                <wp:effectExtent l="0" t="0" r="0" b="0"/>
                <wp:wrapNone/>
                <wp:docPr id="102" name="Frame99"/>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Registered Organization</w:t>
      </w:r>
      <w:r>
        <w:rPr>
          <w:color w:val="000000"/>
        </w:rPr>
        <w:t xml:space="preserve">” </w:t>
      </w:r>
      <w:r>
        <w:rPr>
          <w:rFonts w:ascii="Times New Roman;serif" w:hAnsi="Times New Roman;serif"/>
          <w:b w:val="false"/>
          <w:color w:val="000000"/>
          <w:sz w:val="22"/>
        </w:rPr>
        <w:t>is any “registered organization” as defined in the Code with such additions to such term as may hereafter be made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Registration</w:t>
      </w:r>
      <w:r>
        <w:rPr>
          <w:color w:val="000000"/>
        </w:rPr>
        <w:t xml:space="preserve">” </w:t>
      </w:r>
      <w:r>
        <w:rPr>
          <w:rFonts w:ascii="Times New Roman;serif" w:hAnsi="Times New Roman;serif"/>
          <w:b w:val="false"/>
          <w:color w:val="000000"/>
          <w:sz w:val="22"/>
        </w:rPr>
        <w:t>means any registration, authorization, approval, license, permit, clearance, certificate, and exemption issued or allowed by the FDA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Regulatory Action</w:t>
      </w:r>
      <w:r>
        <w:rPr>
          <w:color w:val="000000"/>
        </w:rPr>
        <w:t xml:space="preserve">” </w:t>
      </w:r>
      <w:r>
        <w:rPr>
          <w:rFonts w:ascii="Times New Roman;serif" w:hAnsi="Times New Roman;serif"/>
          <w:b w:val="false"/>
          <w:color w:val="000000"/>
          <w:sz w:val="22"/>
        </w:rPr>
        <w:t>means an administrative or regulatory enforcement action, proceeding, investigation or inspection, FDA Form 483 notice of inspectional observation, warning letter, untitled letter, other notice of violation letter, recall, seizure, Section 305 notice or other similar written communication, or consent decree, issued by the FDA.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Related Persons</w:t>
      </w:r>
      <w:r>
        <w:rPr>
          <w:color w:val="000000"/>
        </w:rPr>
        <w:t xml:space="preserve">” </w:t>
      </w:r>
      <w:r>
        <w:rPr>
          <w:rFonts w:ascii="Times New Roman;serif" w:hAnsi="Times New Roman;serif"/>
          <w:b w:val="false"/>
          <w:color w:val="000000"/>
          <w:sz w:val="22"/>
        </w:rPr>
        <w:t>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Relevant Governmental Body</w:t>
      </w:r>
      <w:r>
        <w:rPr>
          <w:color w:val="000000"/>
        </w:rPr>
        <w:t xml:space="preserve">” </w:t>
      </w:r>
      <w:r>
        <w:rPr>
          <w:rFonts w:ascii="Times New Roman;serif" w:hAnsi="Times New Roman;serif"/>
          <w:b w:val="false"/>
          <w:color w:val="000000"/>
          <w:sz w:val="22"/>
        </w:rPr>
        <w:t>means the Federal Reserve Board, the Federal Reserve Bank of New York, and/or a committee officially endorsed or convened by the Federal Reserve Board and/or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Required Lenders</w:t>
      </w:r>
      <w:r>
        <w:rPr>
          <w:color w:val="000000"/>
        </w:rPr>
        <w:t xml:space="preserve">” </w:t>
      </w:r>
      <w:r>
        <w:rPr>
          <w:rFonts w:ascii="Times New Roman;serif" w:hAnsi="Times New Roman;serif"/>
          <w:b w:val="false"/>
          <w:color w:val="000000"/>
          <w:sz w:val="22"/>
        </w:rPr>
        <w:t>means (i) for so long as all of the Persons that are Lenders on the Effective Date (each an “</w:t>
      </w:r>
      <w:r>
        <w:rPr>
          <w:rFonts w:ascii="Times New Roman;serif" w:hAnsi="Times New Roman;serif"/>
          <w:b/>
          <w:color w:val="000000"/>
          <w:sz w:val="22"/>
        </w:rPr>
        <w:t>Original Lender</w:t>
      </w:r>
      <w:r>
        <w:rPr>
          <w:color w:val="000000"/>
        </w:rPr>
        <w:t>”</w:t>
      </w:r>
      <w:r>
        <w:rPr>
          <w:rFonts w:ascii="Times New Roman;serif" w:hAnsi="Times New Roman;serif"/>
          <w:b w:val="false"/>
          <w:color w:val="000000"/>
          <w:sz w:val="22"/>
        </w:rPr>
        <w:t>) have not assigned or transferred any of their interests in their Term Loan other than to an Affiliate of such Lender, Lenders holding one hundred percent (100%) of the aggregate outstanding principal balance of the Term Loan, or (ii) at any time from and after any Original Lender has assigned or transferred any interest in its Term Loan, Lenders holding at least sixty six and two thirds percent (66.67%)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Requirement of Law</w:t>
      </w:r>
      <w:r>
        <w:rPr>
          <w:color w:val="000000"/>
        </w:rPr>
        <w:t xml:space="preserve">” </w:t>
      </w:r>
      <w:r>
        <w:rPr>
          <w:rFonts w:ascii="Times New Roman;serif" w:hAnsi="Times New Roman;serif"/>
          <w:b w:val="false"/>
          <w:color w:val="000000"/>
          <w:sz w:val="22"/>
        </w:rPr>
        <w:t>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Responsible Officer</w:t>
      </w:r>
      <w:r>
        <w:rPr>
          <w:color w:val="000000"/>
        </w:rPr>
        <w:t xml:space="preserve">” </w:t>
      </w:r>
      <w:r>
        <w:rPr>
          <w:rFonts w:ascii="Times New Roman;serif" w:hAnsi="Times New Roman;serif"/>
          <w:b w:val="false"/>
          <w:color w:val="000000"/>
          <w:sz w:val="22"/>
        </w:rPr>
        <w:t>is any of the President, Chief Executive Officer, or Chief Financial Officer of Borrower acting alone.</w:t>
      </w:r>
    </w:p>
    <w:p>
      <w:pPr>
        <w:pStyle w:val="TextBody"/>
        <w:bidi w:val="0"/>
        <w:spacing w:lineRule="auto" w:line="288" w:before="0" w:after="240"/>
        <w:jc w:val="left"/>
        <w:rPr/>
      </w:pPr>
      <w:r>
        <w:rPr>
          <w:color w:val="000000"/>
        </w:rPr>
        <w:t>“</w:t>
      </w:r>
      <w:r>
        <w:rPr>
          <w:rFonts w:ascii="Times New Roman;serif" w:hAnsi="Times New Roman;serif"/>
          <w:b/>
          <w:color w:val="000000"/>
          <w:sz w:val="22"/>
        </w:rPr>
        <w:t>Secured Parties</w:t>
      </w:r>
      <w:r>
        <w:rPr>
          <w:color w:val="000000"/>
        </w:rPr>
        <w:t xml:space="preserve">” </w:t>
      </w:r>
      <w:r>
        <w:rPr>
          <w:rFonts w:ascii="Times New Roman;serif" w:hAnsi="Times New Roman;serif"/>
          <w:b w:val="false"/>
          <w:color w:val="000000"/>
          <w:sz w:val="22"/>
        </w:rPr>
        <w:t>means the Collateral Agent and the Lenders.</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0990"/>
                <wp:effectExtent l="0" t="0" r="0" b="0"/>
                <wp:wrapNone/>
                <wp:docPr id="103" name="Frame100"/>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Securities Account</w:t>
      </w:r>
      <w:r>
        <w:rPr>
          <w:color w:val="000000"/>
        </w:rPr>
        <w:t xml:space="preserve">” </w:t>
      </w:r>
      <w:r>
        <w:rPr>
          <w:rFonts w:ascii="Times New Roman;serif" w:hAnsi="Times New Roman;serif"/>
          <w:b w:val="false"/>
          <w:color w:val="000000"/>
          <w:sz w:val="22"/>
        </w:rPr>
        <w:t>is any “securities account” as defined in the Code with such additions to such term as may hereafter be made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Sixth Amendment Effective Date</w:t>
      </w:r>
      <w:r>
        <w:rPr>
          <w:color w:val="000000"/>
        </w:rPr>
        <w:t xml:space="preserve">” </w:t>
      </w:r>
      <w:r>
        <w:rPr>
          <w:rFonts w:ascii="Times New Roman;serif" w:hAnsi="Times New Roman;serif"/>
          <w:b w:val="false"/>
          <w:color w:val="000000"/>
          <w:sz w:val="22"/>
        </w:rPr>
        <w:t>is April 28,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means, with respect to any Person, that (a) the fair salable value of such Person’s consolidated assets (including goodwill minus disposition costs) exceeds the fair value of such Person’s liabilities, (b) such Person is not left with unreasonably small capital after giving effect to the transactions contemplated by this Agreement and the other Loan Documents, and (c) such Person is able to pay its debts (including trade debts) as they mature in the ordinary course.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Subordinated Debt</w:t>
      </w:r>
      <w:r>
        <w:rPr>
          <w:color w:val="000000"/>
        </w:rPr>
        <w:t xml:space="preserve">” </w:t>
      </w:r>
      <w:r>
        <w:rPr>
          <w:rFonts w:ascii="Times New Roman;serif" w:hAnsi="Times New Roman;serif"/>
          <w:b w:val="false"/>
          <w:color w:val="000000"/>
          <w:sz w:val="22"/>
        </w:rPr>
        <w:t>is indebtedness incurred by Borrower or any of its Subsidiaries subordinated to all Indebtedness of Borrower and/or its Subsidiaries to the Lenders (pursuant to a subordination, intercreditor, or other similar agreement in form and substance satisfactory to Collateral Agent and the Required Lenders entered into between Collateral Agent, Borrower, and/or any of its Subsidiaries, and the other creditor).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Tenapanor</w:t>
      </w:r>
      <w:r>
        <w:rPr>
          <w:color w:val="000000"/>
        </w:rPr>
        <w:t xml:space="preserve">” </w:t>
      </w:r>
      <w:r>
        <w:rPr>
          <w:rFonts w:ascii="Times New Roman;serif" w:hAnsi="Times New Roman;serif"/>
          <w:b w:val="false"/>
          <w:color w:val="000000"/>
          <w:sz w:val="22"/>
        </w:rPr>
        <w:t>is an inhibitor of NHE3 with the chemical name (S)-N,N'-(10,17-dioxo-3,6,21,24-tetraoxa-9,11,16,18-tetraazahexacosane-1,26-diyl)bis(3-((S)-6,8-dichloro-2-methyl-1,2,3,4 tetrahydroisoquinolin-4-yl)benzenesulfonamide) dihydrochloride.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A Loan Commitment</w:t>
      </w:r>
      <w:r>
        <w:rPr>
          <w:color w:val="000000"/>
        </w:rPr>
        <w:t xml:space="preserve">” </w:t>
      </w:r>
      <w:r>
        <w:rPr>
          <w:rFonts w:ascii="Times New Roman;serif" w:hAnsi="Times New Roman;serif"/>
          <w:b w:val="false"/>
          <w:color w:val="000000"/>
          <w:sz w:val="22"/>
        </w:rPr>
        <w:t>is each Lender’s commitment with respect to the Term A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B Draw Period</w:t>
      </w:r>
      <w:r>
        <w:rPr>
          <w:color w:val="000000"/>
        </w:rPr>
        <w:t xml:space="preserve">” </w:t>
      </w:r>
      <w:r>
        <w:rPr>
          <w:rFonts w:ascii="Times New Roman;serif" w:hAnsi="Times New Roman;serif"/>
          <w:b w:val="false"/>
          <w:color w:val="000000"/>
          <w:sz w:val="22"/>
        </w:rPr>
        <w:t>is the period commencing on the date of the occurrence of the Term B Milestone and ending on December 20, 2023.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B Loan Commitment</w:t>
      </w:r>
      <w:r>
        <w:rPr>
          <w:color w:val="000000"/>
        </w:rPr>
        <w:t xml:space="preserve">” </w:t>
      </w:r>
      <w:r>
        <w:rPr>
          <w:rFonts w:ascii="Times New Roman;serif" w:hAnsi="Times New Roman;serif"/>
          <w:b w:val="false"/>
          <w:color w:val="000000"/>
          <w:sz w:val="22"/>
        </w:rPr>
        <w:t>is each Lender’s commitment with respect to the Term B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B Milestone</w:t>
      </w:r>
      <w:r>
        <w:rPr>
          <w:color w:val="000000"/>
        </w:rPr>
        <w:t xml:space="preserve">” </w:t>
      </w:r>
      <w:r>
        <w:rPr>
          <w:rFonts w:ascii="Times New Roman;serif" w:hAnsi="Times New Roman;serif"/>
          <w:b w:val="false"/>
          <w:color w:val="000000"/>
          <w:sz w:val="22"/>
        </w:rPr>
        <w:t>is Collateral Agent’s receipt of satisfactory evidence that Borrower has received FDA approval of Tenapanor for use in certain patients with Hyperphosphatemia on or prior to November 30, 2023.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C Draw Period</w:t>
      </w:r>
      <w:r>
        <w:rPr>
          <w:color w:val="000000"/>
        </w:rPr>
        <w:t xml:space="preserve">” </w:t>
      </w:r>
      <w:r>
        <w:rPr>
          <w:rFonts w:ascii="Times New Roman;serif" w:hAnsi="Times New Roman;serif"/>
          <w:b w:val="false"/>
          <w:color w:val="000000"/>
          <w:sz w:val="22"/>
        </w:rPr>
        <w:t>is the period commencing on the first date on which both the Term B Milestone and Interest-Only Extension Milestone have been achieved, and ending on March 15, 2024.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C Loan Commitment</w:t>
      </w:r>
      <w:r>
        <w:rPr>
          <w:color w:val="000000"/>
        </w:rPr>
        <w:t xml:space="preserve">” </w:t>
      </w:r>
      <w:r>
        <w:rPr>
          <w:rFonts w:ascii="Times New Roman;serif" w:hAnsi="Times New Roman;serif"/>
          <w:b w:val="false"/>
          <w:color w:val="000000"/>
          <w:sz w:val="22"/>
        </w:rPr>
        <w:t>is each Lender’s commitment with respect to the Term C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D Loan Commitment</w:t>
      </w:r>
      <w:r>
        <w:rPr>
          <w:color w:val="000000"/>
        </w:rPr>
        <w:t xml:space="preserve">” </w:t>
      </w:r>
      <w:r>
        <w:rPr>
          <w:rFonts w:ascii="Times New Roman;serif" w:hAnsi="Times New Roman;serif"/>
          <w:b w:val="false"/>
          <w:color w:val="000000"/>
          <w:sz w:val="22"/>
        </w:rPr>
        <w:t>is each Lender’s commitment with respect to the Term D Loans as set forth on Schedule 1.1 hereto.</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00990"/>
                <wp:effectExtent l="0" t="0" r="0" b="0"/>
                <wp:wrapNone/>
                <wp:docPr id="104" name="Frame101"/>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E Draw Period</w:t>
      </w:r>
      <w:r>
        <w:rPr>
          <w:color w:val="000000"/>
        </w:rPr>
        <w:t xml:space="preserve">” </w:t>
      </w:r>
      <w:r>
        <w:rPr>
          <w:rFonts w:ascii="Times New Roman;serif" w:hAnsi="Times New Roman;serif"/>
          <w:b w:val="false"/>
          <w:color w:val="000000"/>
          <w:sz w:val="22"/>
        </w:rPr>
        <w:t>is the period commencing on the Fourth Amendment Effective Date and ending on June 30, 2025.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E Loan Commitment</w:t>
      </w:r>
      <w:r>
        <w:rPr>
          <w:color w:val="000000"/>
        </w:rPr>
        <w:t xml:space="preserve">” </w:t>
      </w:r>
      <w:r>
        <w:rPr>
          <w:rFonts w:ascii="Times New Roman;serif" w:hAnsi="Times New Roman;serif"/>
          <w:b w:val="false"/>
          <w:color w:val="000000"/>
          <w:sz w:val="22"/>
        </w:rPr>
        <w:t>is each Lender’s commitment with respect to the Term E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F Draw Period</w:t>
      </w:r>
      <w:r>
        <w:rPr>
          <w:color w:val="000000"/>
        </w:rPr>
        <w:t xml:space="preserve">” </w:t>
      </w:r>
      <w:r>
        <w:rPr>
          <w:rFonts w:ascii="Times New Roman;serif" w:hAnsi="Times New Roman;serif"/>
          <w:b w:val="false"/>
          <w:color w:val="000000"/>
          <w:sz w:val="22"/>
        </w:rPr>
        <w:t>is the period commencing on the Fifth Amendment Effective Date and ending on June 30,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F Loan Commitment</w:t>
      </w:r>
      <w:r>
        <w:rPr>
          <w:color w:val="000000"/>
        </w:rPr>
        <w:t xml:space="preserve">” </w:t>
      </w:r>
      <w:r>
        <w:rPr>
          <w:rFonts w:ascii="Times New Roman;serif" w:hAnsi="Times New Roman;serif"/>
          <w:b w:val="false"/>
          <w:color w:val="000000"/>
          <w:sz w:val="22"/>
        </w:rPr>
        <w:t>is each Lender’s commitment with respect to the Term F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G Draw Period</w:t>
      </w:r>
      <w:r>
        <w:rPr>
          <w:color w:val="000000"/>
        </w:rPr>
        <w:t xml:space="preserve">” </w:t>
      </w:r>
      <w:r>
        <w:rPr>
          <w:rFonts w:ascii="Times New Roman;serif" w:hAnsi="Times New Roman;serif"/>
          <w:b w:val="false"/>
          <w:color w:val="000000"/>
          <w:sz w:val="22"/>
        </w:rPr>
        <w:t>is the period commencing on the Fifth Amendment Effective Date and ending on December 20,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G Loan Commitment</w:t>
      </w:r>
      <w:r>
        <w:rPr>
          <w:color w:val="000000"/>
        </w:rPr>
        <w:t xml:space="preserve">” </w:t>
      </w:r>
      <w:r>
        <w:rPr>
          <w:rFonts w:ascii="Times New Roman;serif" w:hAnsi="Times New Roman;serif"/>
          <w:b w:val="false"/>
          <w:color w:val="000000"/>
          <w:sz w:val="22"/>
        </w:rPr>
        <w:t>is each Lender’s commitment with respect to the Term G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H Loan Commitment</w:t>
      </w:r>
      <w:r>
        <w:rPr>
          <w:color w:val="000000"/>
        </w:rPr>
        <w:t xml:space="preserve">” </w:t>
      </w:r>
      <w:r>
        <w:rPr>
          <w:rFonts w:ascii="Times New Roman;serif" w:hAnsi="Times New Roman;serif"/>
          <w:b w:val="false"/>
          <w:color w:val="000000"/>
          <w:sz w:val="22"/>
        </w:rPr>
        <w:t>is each Lender’s commitment with respect to the Term H Loans as set forth on Schedule 1.1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Loan Commitment</w:t>
      </w:r>
      <w:r>
        <w:rPr>
          <w:color w:val="000000"/>
        </w:rPr>
        <w:t xml:space="preserve">” </w:t>
      </w:r>
      <w:r>
        <w:rPr>
          <w:rFonts w:ascii="Times New Roman;serif" w:hAnsi="Times New Roman;serif"/>
          <w:b w:val="false"/>
          <w:color w:val="000000"/>
          <w:sz w:val="22"/>
        </w:rPr>
        <w:t xml:space="preserve">is, for any Lender, the obligation of such Lender to make a Term Loan, up to the principal amount shown on </w:t>
      </w:r>
      <w:r>
        <w:rPr>
          <w:rFonts w:ascii="Times New Roman;serif" w:hAnsi="Times New Roman;serif"/>
          <w:b w:val="false"/>
          <w:color w:val="000000"/>
          <w:sz w:val="22"/>
          <w:u w:val="single"/>
        </w:rPr>
        <w:t>Schedule 1.1</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Term Loan Commitments</w:t>
      </w:r>
      <w:r>
        <w:rPr>
          <w:color w:val="000000"/>
        </w:rPr>
        <w:t xml:space="preserve">” </w:t>
      </w:r>
      <w:r>
        <w:rPr>
          <w:rFonts w:ascii="Times New Roman;serif" w:hAnsi="Times New Roman;serif"/>
          <w:b w:val="false"/>
          <w:color w:val="000000"/>
          <w:sz w:val="22"/>
        </w:rPr>
        <w:t>means the aggregate amount of such commitments of all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Trademarks</w:t>
      </w:r>
      <w:r>
        <w:rPr>
          <w:color w:val="000000"/>
        </w:rPr>
        <w:t xml:space="preserve">” </w:t>
      </w:r>
      <w:r>
        <w:rPr>
          <w:rFonts w:ascii="Times New Roman;serif" w:hAnsi="Times New Roman;serif"/>
          <w:b w:val="false"/>
          <w:color w:val="000000"/>
          <w:sz w:val="22"/>
        </w:rPr>
        <w:t>means any trademark and servicemark rights, whether registered or not, applications to register and registrations of the same and like protections, and the entire goodwill of the business of Borrower connected with and symbolized by such trademarks.</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2.    LOANS AND TERMS OF PAYMENT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Promise to Pay. </w:t>
      </w:r>
      <w:r>
        <w:rPr>
          <w:rFonts w:ascii="Times New Roman;serif" w:hAnsi="Times New Roman;serif"/>
          <w:b w:val="false"/>
          <w:color w:val="000000"/>
          <w:sz w:val="22"/>
        </w:rPr>
        <w:t>Borrower hereby unconditionally promises to pay each Lender, the outstanding principal amount of all Term Loans advanced to Borrower by such Lender and accrued and unpaid interest thereon and any other amounts due hereunder as and when due in accordance with this Agreement.</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2.2    Term Loans.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Availability</w:t>
      </w:r>
      <w:r>
        <w:rPr>
          <w:rFonts w:ascii="Times New Roman;serif" w:hAnsi="Times New Roman;serif"/>
          <w:b w:val="false"/>
          <w:color w:val="000000"/>
          <w:sz w:val="22"/>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    Subject to the terms and conditions of this Agreement, the Lenders agree, severally and not jointly, to make term loans to Borrower on the Effective Date in an aggregate principal amount of Twenty-Seven Million Five Hundred Thousand Dollars ($27,500,000) according to each Lender’s Term A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A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A Loans</w:t>
      </w:r>
      <w:r>
        <w:rPr>
          <w:color w:val="000000"/>
        </w:rPr>
        <w:t>”</w:t>
      </w:r>
      <w:r>
        <w:rPr>
          <w:rFonts w:ascii="Times New Roman;serif" w:hAnsi="Times New Roman;serif"/>
          <w:b w:val="false"/>
          <w:color w:val="000000"/>
          <w:sz w:val="22"/>
        </w:rPr>
        <w:t>). After repayment, no Term A Loan may be re-borrowed.</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0990"/>
                <wp:effectExtent l="0" t="0" r="0" b="0"/>
                <wp:wrapNone/>
                <wp:docPr id="105" name="Frame102"/>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    Subject to the terms and conditions of this Agreement, the Lenders agree, severally and not jointly, during the Term B Draw Period to make term loans to Borrower in an aggregate principal amount of Twenty-Two Million Five Hundred Thousand Dollars ($22,500,000) and disbursed in a single advance according to each Lender’s Term B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B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B Loans</w:t>
      </w:r>
      <w:r>
        <w:rPr>
          <w:color w:val="000000"/>
        </w:rPr>
        <w:t>”</w:t>
      </w:r>
      <w:r>
        <w:rPr>
          <w:rFonts w:ascii="Times New Roman;serif" w:hAnsi="Times New Roman;serif"/>
          <w:b w:val="false"/>
          <w:color w:val="000000"/>
          <w:sz w:val="22"/>
        </w:rPr>
        <w:t>). After repayment, no Term B Loan may be re-borrowed.</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(iii)    Subject to the terms and conditions of this Agreement, the Lenders agree, severally and not jointly, during the Term C Draw Period to make term loans to Borrower in an aggregate principal amount of Fifty Million Dollars ($50,000,000) and disbursed in a single advance according to each Lender’s Term C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C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C Loans</w:t>
      </w:r>
      <w:r>
        <w:rPr>
          <w:color w:val="000000"/>
        </w:rPr>
        <w:t>”</w:t>
      </w:r>
      <w:r>
        <w:rPr>
          <w:rFonts w:ascii="Times New Roman;serif" w:hAnsi="Times New Roman;serif"/>
          <w:b w:val="false"/>
          <w:color w:val="000000"/>
          <w:sz w:val="22"/>
        </w:rPr>
        <w:t>). After repayment, no Term C Loan may be re-borrowed.</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(iv)    Subject to the terms and conditions of this Agreement, the Lenders agree, severally and not jointly, to make term loans to Borrower on the Fourth Amendment Effective Date in an aggregate principal amount of Fifty Million Dollars ($50,000,000) and disbursed in a single advance according to each Lender’s Term D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D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D Loans</w:t>
      </w:r>
      <w:r>
        <w:rPr>
          <w:color w:val="000000"/>
        </w:rPr>
        <w:t>”</w:t>
      </w:r>
      <w:r>
        <w:rPr>
          <w:rFonts w:ascii="Times New Roman;serif" w:hAnsi="Times New Roman;serif"/>
          <w:b w:val="false"/>
          <w:color w:val="000000"/>
          <w:sz w:val="22"/>
        </w:rPr>
        <w:t>). After repayment, no Term D Loan may be re-borrowed.</w:t>
      </w:r>
    </w:p>
    <w:p>
      <w:pPr>
        <w:pStyle w:val="TextBody"/>
        <w:bidi w:val="0"/>
        <w:spacing w:lineRule="auto" w:line="288" w:before="0" w:after="240"/>
        <w:ind w:left="0" w:right="0" w:firstLine="2160"/>
        <w:jc w:val="both"/>
        <w:rPr/>
      </w:pPr>
      <w:r>
        <w:rPr>
          <w:rFonts w:ascii="Times New Roman;serif" w:hAnsi="Times New Roman;serif"/>
          <w:b w:val="false"/>
          <w:color w:val="000000"/>
          <w:sz w:val="22"/>
        </w:rPr>
        <w:t>(v)    Subject to the terms and conditions of this Agreement,</w:t>
      </w:r>
      <w:r>
        <w:rPr>
          <w:color w:val="000000"/>
        </w:rPr>
        <w:t xml:space="preserve"> </w:t>
      </w:r>
      <w:r>
        <w:rPr>
          <w:rFonts w:ascii="Times New Roman;serif" w:hAnsi="Times New Roman;serif"/>
          <w:b w:val="false"/>
          <w:color w:val="000000"/>
          <w:sz w:val="22"/>
        </w:rPr>
        <w:t xml:space="preserve">the Lenders agree, severally and not jointly, during the Term E Draw Period to make term loans to Borrower in an aggregate principal amount of Fifty Million Dollars ($50,000,000) and disbursed in a single advance according to each Lender’s Term E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E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E Loans</w:t>
      </w:r>
      <w:r>
        <w:rPr>
          <w:color w:val="000000"/>
        </w:rPr>
        <w:t>”</w:t>
      </w:r>
      <w:r>
        <w:rPr>
          <w:rFonts w:ascii="Times New Roman;serif" w:hAnsi="Times New Roman;serif"/>
          <w:b w:val="false"/>
          <w:color w:val="000000"/>
          <w:sz w:val="22"/>
        </w:rPr>
        <w:t>; each Term A Loan, Term B Loan, Term C Loan, Term D Loan and Term E Loan is hereinafter referred to singly as an “</w:t>
      </w:r>
      <w:r>
        <w:rPr>
          <w:rFonts w:ascii="Times New Roman;serif" w:hAnsi="Times New Roman;serif"/>
          <w:b/>
          <w:color w:val="000000"/>
          <w:sz w:val="22"/>
        </w:rPr>
        <w:t>Existing</w:t>
      </w:r>
      <w:r>
        <w:rPr>
          <w:color w:val="000000"/>
        </w:rPr>
        <w:t xml:space="preserve"> </w:t>
      </w:r>
      <w:r>
        <w:rPr>
          <w:rFonts w:ascii="Times New Roman;serif" w:hAnsi="Times New Roman;serif"/>
          <w:b/>
          <w:color w:val="000000"/>
          <w:sz w:val="22"/>
        </w:rPr>
        <w:t>Term Loan</w:t>
      </w:r>
      <w:r>
        <w:rPr>
          <w:color w:val="000000"/>
        </w:rPr>
        <w:t xml:space="preserve">” </w:t>
      </w:r>
      <w:r>
        <w:rPr>
          <w:rFonts w:ascii="Times New Roman;serif" w:hAnsi="Times New Roman;serif"/>
          <w:b w:val="false"/>
          <w:color w:val="000000"/>
          <w:sz w:val="22"/>
        </w:rPr>
        <w:t>and the Term A Loans, the Term B Loans, Term C Loans, Term D Loans and Term E Loans are hereinafter referred to collectively as the “</w:t>
      </w:r>
      <w:r>
        <w:rPr>
          <w:rFonts w:ascii="Times New Roman;serif" w:hAnsi="Times New Roman;serif"/>
          <w:b/>
          <w:color w:val="000000"/>
          <w:sz w:val="22"/>
        </w:rPr>
        <w:t>Existing</w:t>
      </w:r>
      <w:r>
        <w:rPr>
          <w:color w:val="000000"/>
        </w:rPr>
        <w:t xml:space="preserve"> </w:t>
      </w:r>
      <w:r>
        <w:rPr>
          <w:rFonts w:ascii="Times New Roman;serif" w:hAnsi="Times New Roman;serif"/>
          <w:b/>
          <w:color w:val="000000"/>
          <w:sz w:val="22"/>
        </w:rPr>
        <w:t>Term Loans</w:t>
      </w:r>
      <w:r>
        <w:rPr>
          <w:color w:val="000000"/>
        </w:rPr>
        <w:t>”</w:t>
      </w:r>
      <w:r>
        <w:rPr>
          <w:rFonts w:ascii="Times New Roman;serif" w:hAnsi="Times New Roman;serif"/>
          <w:b w:val="false"/>
          <w:color w:val="000000"/>
          <w:sz w:val="22"/>
        </w:rPr>
        <w:t xml:space="preserve">). After repayment, no Term E Loan may be re-borrowed. </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(vi)    Subject to the terms and conditions of this Agreement and upon Borrower’s request, the Lenders agree, severally and not jointly, during the Term F Draw Period to make term loans to Borrower in an aggregate principal amount of Fifty Million Dollars ($50,000,000) and disbursed in a single advance according to each Lender’s Term F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F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F Loans</w:t>
      </w:r>
      <w:r>
        <w:rPr>
          <w:color w:val="000000"/>
        </w:rPr>
        <w:t>”</w:t>
      </w:r>
      <w:r>
        <w:rPr>
          <w:rFonts w:ascii="Times New Roman;serif" w:hAnsi="Times New Roman;serif"/>
          <w:b w:val="false"/>
          <w:color w:val="000000"/>
          <w:sz w:val="22"/>
        </w:rPr>
        <w:t>). After repayment, no Term F Loan may be re-borrowed.</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(vii)    Subject to the terms and conditions of this Agreement and upon Borrower’s request, the Lenders agree, severally and not jointly, during the Term G Draw Period to make term loans to Borrower in an aggregate principal amount of Fifty Million Dollars ($50,000,000) and disbursed in a single advance according to each Lender’s Term G Loan 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G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G Loans</w:t>
      </w:r>
      <w:r>
        <w:rPr>
          <w:color w:val="000000"/>
        </w:rPr>
        <w:t>”</w:t>
      </w:r>
      <w:r>
        <w:rPr>
          <w:rFonts w:ascii="Times New Roman;serif" w:hAnsi="Times New Roman;serif"/>
          <w:b w:val="false"/>
          <w:color w:val="000000"/>
          <w:sz w:val="22"/>
        </w:rPr>
        <w:t>). After repayment, no Term G Loan may be re-borrowed.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(viii)    Subject to the terms and conditions of this Agreement, the Lenders agree, severally and not jointly, to make term loans to Borrower on the Sixth Amendment Effective Date in an aggregate principal amount of Thirty-One Million Nine Hundred Thirty One Thousand Two Hundred Ninety Eight Dollars and Thirty Five Cents ($31,931,298.35) according to each Lender’s Term H Loan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00990"/>
                <wp:effectExtent l="0" t="0" r="0" b="0"/>
                <wp:wrapNone/>
                <wp:docPr id="106" name="Frame103"/>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Commitment as set forth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hereto (such term loans are hereinafter referred to singly as a “</w:t>
      </w:r>
      <w:r>
        <w:rPr>
          <w:rFonts w:ascii="Times New Roman;serif" w:hAnsi="Times New Roman;serif"/>
          <w:b/>
          <w:color w:val="000000"/>
          <w:sz w:val="22"/>
        </w:rPr>
        <w:t>Term H Loan</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Term H Loans</w:t>
      </w:r>
      <w:r>
        <w:rPr>
          <w:color w:val="000000"/>
        </w:rPr>
        <w:t>”</w:t>
      </w:r>
      <w:r>
        <w:rPr>
          <w:rFonts w:ascii="Times New Roman;serif" w:hAnsi="Times New Roman;serif"/>
          <w:b w:val="false"/>
          <w:color w:val="000000"/>
          <w:sz w:val="22"/>
        </w:rPr>
        <w:t>; each Term F Loan, Term G Loan or Term H Loan is hereinafter referred to singly as an “</w:t>
      </w:r>
      <w:r>
        <w:rPr>
          <w:rFonts w:ascii="Times New Roman;serif" w:hAnsi="Times New Roman;serif"/>
          <w:b/>
          <w:color w:val="000000"/>
          <w:sz w:val="22"/>
        </w:rPr>
        <w:t>Incremental Term Loan</w:t>
      </w:r>
      <w:r>
        <w:rPr>
          <w:color w:val="000000"/>
        </w:rPr>
        <w:t xml:space="preserve">” </w:t>
      </w:r>
      <w:r>
        <w:rPr>
          <w:rFonts w:ascii="Times New Roman;serif" w:hAnsi="Times New Roman;serif"/>
          <w:b w:val="false"/>
          <w:color w:val="000000"/>
          <w:sz w:val="22"/>
        </w:rPr>
        <w:t>and the Term F Loans, the Term G Loans and the Term H Loans are hereinafter referred to collectively as the “</w:t>
      </w:r>
      <w:r>
        <w:rPr>
          <w:rFonts w:ascii="Times New Roman;serif" w:hAnsi="Times New Roman;serif"/>
          <w:b/>
          <w:color w:val="000000"/>
          <w:sz w:val="22"/>
        </w:rPr>
        <w:t>Incremental Term Loans</w:t>
      </w:r>
      <w:r>
        <w:rPr>
          <w:color w:val="000000"/>
        </w:rPr>
        <w:t>”</w:t>
      </w:r>
      <w:r>
        <w:rPr>
          <w:rFonts w:ascii="Times New Roman;serif" w:hAnsi="Times New Roman;serif"/>
          <w:b w:val="false"/>
          <w:color w:val="000000"/>
          <w:sz w:val="22"/>
        </w:rPr>
        <w:t>; each Existing Term Loan and Incremental Term Loan is hereinafter referred to singly as a “</w:t>
      </w:r>
      <w:r>
        <w:rPr>
          <w:rFonts w:ascii="Times New Roman;serif" w:hAnsi="Times New Roman;serif"/>
          <w:b/>
          <w:color w:val="000000"/>
          <w:sz w:val="22"/>
        </w:rPr>
        <w:t>Term Loan</w:t>
      </w:r>
      <w:r>
        <w:rPr>
          <w:color w:val="000000"/>
        </w:rPr>
        <w:t xml:space="preserve">” </w:t>
      </w:r>
      <w:r>
        <w:rPr>
          <w:rFonts w:ascii="Times New Roman;serif" w:hAnsi="Times New Roman;serif"/>
          <w:b w:val="false"/>
          <w:color w:val="000000"/>
          <w:sz w:val="22"/>
        </w:rPr>
        <w:t>and the Existing Term Loans and the Incremental Term Loans are hereinafter referred to collectively as the “</w:t>
      </w:r>
      <w:r>
        <w:rPr>
          <w:rFonts w:ascii="Times New Roman;serif" w:hAnsi="Times New Roman;serif"/>
          <w:b/>
          <w:color w:val="000000"/>
          <w:sz w:val="22"/>
        </w:rPr>
        <w:t>Term Loans</w:t>
      </w:r>
      <w:r>
        <w:rPr>
          <w:color w:val="000000"/>
        </w:rPr>
        <w:t>”</w:t>
      </w:r>
      <w:r>
        <w:rPr>
          <w:rFonts w:ascii="Times New Roman;serif" w:hAnsi="Times New Roman;serif"/>
          <w:b w:val="false"/>
          <w:color w:val="000000"/>
          <w:sz w:val="22"/>
        </w:rPr>
        <w:t>). After repayment, no Term H Loan may be re-borrowed. Notwithstanding anything herein to the contrary, the proceeds of the Term H Loans shall be used solely to prepay a portion of the outstanding principal of each of the Term A Loans, the Term B Loans, and the Term C Loans held by the applicable Lenders on the Sixth Amendment Effective Date, as set forth in the Loan Payment Request Form delivered by Borrower to Collateral Agent on or before the Sixth Amendment Effective Date (the “</w:t>
      </w:r>
      <w:r>
        <w:rPr>
          <w:rFonts w:ascii="Times New Roman;serif" w:hAnsi="Times New Roman;serif"/>
          <w:b/>
          <w:color w:val="000000"/>
          <w:sz w:val="22"/>
        </w:rPr>
        <w:t>Sixth Amendment Prepayment</w:t>
      </w:r>
      <w:r>
        <w:rPr>
          <w:color w:val="000000"/>
        </w:rPr>
        <w:t>”</w:t>
      </w:r>
      <w:r>
        <w:rPr>
          <w:rFonts w:ascii="Times New Roman;serif" w:hAnsi="Times New Roman;serif"/>
          <w:b w:val="false"/>
          <w:color w:val="000000"/>
          <w:sz w:val="22"/>
        </w:rPr>
        <w:t>). Borrower shall pay the Borrower Funded Amount to Collateral Agent, for the benefit of the Lenders, on the Sixth Amendment Effective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Repayment</w:t>
      </w:r>
      <w:r>
        <w:rPr>
          <w:rFonts w:ascii="Times New Roman;serif" w:hAnsi="Times New Roman;serif"/>
          <w:b w:val="false"/>
          <w:color w:val="000000"/>
          <w:sz w:val="22"/>
        </w:rPr>
        <w:t xml:space="preserve">. </w:t>
      </w:r>
    </w:p>
    <w:p>
      <w:pPr>
        <w:pStyle w:val="TextBody"/>
        <w:bidi w:val="0"/>
        <w:spacing w:lineRule="auto" w:line="288" w:before="0" w:after="240"/>
        <w:ind w:left="0" w:right="0" w:firstLine="225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Existing Term Loans</w:t>
      </w:r>
      <w:r>
        <w:rPr>
          <w:rFonts w:ascii="Times New Roman;serif" w:hAnsi="Times New Roman;serif"/>
          <w:b w:val="false"/>
          <w:color w:val="000000"/>
          <w:sz w:val="22"/>
        </w:rPr>
        <w:t>. With respect to the Existing Term Loans, Borrower shall make monthly payments of interest only commencing on the first (1st) Payment Date following the Funding Date of each Existing Term Loan, and continuing on the Payment Date of each successive month thereafter, to each Lender in accordance with its Pro Rata Share, as calculated by Collateral Agent (which calculations shall be deemed correct absent manifest error) based upon the effective rate of interest applicable to such Existing Term Loan as determined in Section 2.3(a). Borrower agrees to pay, on the Funding Date of each Existing Term Loan, any initial partial monthly interest payment otherwise due for the period between the Funding Date of such Existing Term Loan and the first Payment Date after such Funding Date. All unpaid principal and accrued and unpaid interest with respect to each such Existing Term Loan is due and payable in full on the Maturity Date for the Existing Term Loans. The Existing Term Loans may only be prepaid in accordance with Sections 2.2(c) and 2.2(d).</w:t>
      </w:r>
    </w:p>
    <w:p>
      <w:pPr>
        <w:pStyle w:val="TextBody"/>
        <w:bidi w:val="0"/>
        <w:spacing w:lineRule="auto" w:line="288" w:before="0" w:after="240"/>
        <w:ind w:left="0" w:right="0" w:firstLine="225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Incremental Term Loans</w:t>
      </w:r>
      <w:r>
        <w:rPr>
          <w:rFonts w:ascii="Times New Roman;serif" w:hAnsi="Times New Roman;serif"/>
          <w:b w:val="false"/>
          <w:color w:val="000000"/>
          <w:sz w:val="22"/>
        </w:rPr>
        <w:t>. With respect to the Incremental Term Loans, Borrower shall make monthly payments of interest only commencing on the first (1st) Payment Date following the Funding Date of each Incremental Term Loan, and continuing on the Payment Date of each successive month thereafter, to each Lender in accordance with its Pro Rata Share, as calculated by Collateral Agent (which calculations shall be deemed correct absent manifest error) based upon the effective rate of interest applicable to such Incremental Term Loan as determined in Section 2.3(a). Borrower agrees to pay, on the Funding Date of each Incremental Term Loan, any initial partial monthly interest payment otherwise due for the period between the Funding Date of such Incremental Term Loans and the first Payment Date after such Funding Date. All unpaid principal and accrued and unpaid interest with respect to each Incremental Term Loan is due and payable in full on the Maturity Date for such Incremental Term Loans. The Incremental Term Loans may only be prepaid in accordance with Sections 2.2(c) and 2.2(d).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 xml:space="preserve">. If the Term Loans are accelerated (including, but not limited to, upon the occurrence of a bankruptcy or insolvency event (including the acceleration of claims by operation of law)), Borrower shall immediately pay to Lenders, payable to each Lender in accordance with its respective Pro Rata Share, an amount equal to the sum of: (i) all outstanding principal of the Term Loans plus accrued and unpaid interest thereon through the prepayment date, (ii) any fees payable under the Fee Letter by reason of such prepayment, (iii) the Prepayment Premium plus (iv) all other Obligations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0990"/>
                <wp:effectExtent l="0" t="0" r="0" b="0"/>
                <wp:wrapNone/>
                <wp:docPr id="107" name="Frame104"/>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that are due and payable, including Lenders’ Expenses and interest at the Default Rate (if any) with respect to any past due amounts. Notwithstanding (but without duplication with) the foregoing, on the Maturity Date, if any fees payable under the Fee Letter by reason of such prepayments had not previously been paid in full in connection with the prepayment of the Term Loans in full, Borrower shall pay to each Lender in accordance with the terms of the Fee Letter. The Prepayment Premium shall also be payable in the event the Obligations (and/or this Agreement) are satisfied or released by foreclosure (whether by power of judicial proceeding), deed in lieu of foreclosure or by any other means. EACH BORROWER AND GUARANTOR EXPRESSLY WAIVES (TO THE FULLEST EXTENT IT MAY LAWFULLY DO SO) THE PROVISIONS OF ANY PRESENT OR FUTURE STATUTE OR LAW THAT PROHIBITS OR MAY PROHIBIT THE COLLECTION OF THE FOREGOING PREPAYMENT PREMIUM IN CONNECTION WITH ANY SUCH ACCELERATION. Notwithstanding anything to the contrary contained herein, there shall be no Prepayment Premium due and payable by Borrower to the Lenders hereunder in connection with the voluntary prepayment by Borrower of all, but not less than all, of the outstanding Term Loans in connection with new loans made by either SLR or any Affiliate of SLR.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Permitted Prepayment of Term Loans</w:t>
      </w:r>
      <w:r>
        <w:rPr>
          <w:rFonts w:ascii="Times New Roman;serif" w:hAnsi="Times New Roman;serif"/>
          <w:b w:val="false"/>
          <w:color w:val="000000"/>
          <w:sz w:val="22"/>
        </w:rPr>
        <w:t>. Borrower shall have the option to prepay all, but not less than all, of the outstanding principal balance of the (x) the Existing Term Loans at any time, and/or (y) the Incremental Term Loans at any time, in each case advanced by the Lenders under this Agreement, provided Borrower (i) provides written notice to Collateral Agent of its election to prepay the applicable Term Loans at least five (5) Business Days prior to such prepayment, and (ii) pays to the Lenders on the date of such prepayment, payable to each Lender in accordance with its respective Pro Rata Share, an amount equal to the sum of (A) the outstanding principal of the applicable Term Loans plus accrued and unpaid interest thereon through the prepayment date, (B) any fees payable under the Fee Letter by reason of such prepayment of such applicable Term Loans, (C) the Prepayment Premium for such applicable Term Loans, plus (D) all other Obligations that are due and payable on such prepayment date, including any Lenders’ Expenses and interest at the Default Rate (if any) with respect to any past due amounts. Notwithstanding anything to the contrary contained herein, Borrower shall be permitted to make partial prepayment of the Existing Term Loans on the Sixth Amendment Effective Date with the proceeds of Term H Loans; provided that such partial prepayment shall be applied to the outstanding principal of each of the Term A Loans, Term B Loans, and Term C Loans on a pro rata basis across Lenders as set forth in the Loan Payment Request Form.</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2.3    Payment of Interest on the Term Loans.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Interest Rate</w:t>
      </w:r>
      <w:r>
        <w:rPr>
          <w:rFonts w:ascii="Times New Roman;serif" w:hAnsi="Times New Roman;serif"/>
          <w:b w:val="false"/>
          <w:color w:val="000000"/>
          <w:sz w:val="22"/>
        </w:rPr>
        <w:t>. Subject to Section 2.3(b):</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prior to the Sixth Amendment Effective Date, (A) with respect to the Term A Loans and the Term B Loans, the principal amount outstanding under such Term Loans shall accrue interest at a floating per annum rate equal to the Applicable Rate in effect from time to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7.95%, which aggregate interest rate shall be determined by Collateral Agent in accordance with the definition of “Applicable Rate” on the third Business Day prior to the Funding Date of such Term A Loan or Term B Loan, as applicable, and on the date occurring on the first Business Day of the month prior to each Payment Date occurring thereafter, which interest shall be payable monthly in arrears in accordance with Sections 2.2(b) and 2.3(e), (B) with respect to the Term C Loans, the principal amount outstanding under such Term Loans shall accrue interest at a floating per annum rate equal to the Applicable Rate in effect from time to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4.25%, which aggregate interest rate shall be determined by Collateral Agent in accordance with the definition of “Applicable Rate” on the third Business Day prior to the Funding Date of such Term C Loan and on the date occurring on the first Business Day of the month prior to each Payment Date occurring thereafter, which interest shall be payable monthly in arrears in accordance with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00990"/>
                <wp:effectExtent l="0" t="0" r="0" b="0"/>
                <wp:wrapNone/>
                <wp:docPr id="108" name="Frame105"/>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Sections 2.2(b) and 2.3(e), (C) with respect to the Term D Loans and Term E Loans, the principal amount outstanding under such Term Loans shall accrue interest at a floating per annum rate equal to the Applicable Rate in effect from time to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4.00%, which aggregate interest rate shall be determined by Collateral Agent in accordance with the definition of “Applicable Rate” on the third Business Day prior to the Funding Date of such Term D Loan or Term E Loan and on the date occurring on the first Business Day of the month prior to each Payment Date occurring thereafter, which interest shall be payable monthly in arrears in accordance with Sections 2.2(b) and 2.3(e), and (D) with respect to the Incremental Term Loans, the principal amount outstanding under such Incremental Term Loans shall accrue interest at a floating per annum rate equal to the Applicable Rate in effect from time to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4.95%, which aggregate interest rate shall be determined by Collateral Agent in accordance with the definition of “Applicable Rate” on the third Business Day prior to the Funding Date of such Incremental Term Loan and on the date occurring on the first Business Day of the month prior to each Payment Date occurring thereafter, which interest shall be payable monthly in arrears in accordance with Sections 2.2(b) and 2.3(e);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on and after the Sixth Amendment Effective Date, the principal amount outstanding under all Term Loans shall accrue interest at a floating per annum rate equal to the Applicable Rate in effect from time to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four and fifty-five hundredths of one percent (4.55%), which aggregate interest rate shall be determined by Collateral Agent in accordance with the definition of “Applicable Rate” on the third Business Day prior to the Funding Date of such Term Loan, and on the date occurring on the first Business Day of the month prior to each Payment Date occurring thereafter, which interest shall be payable monthly in arrears in accordance with Sections 2.2(b) and 2.3(e).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Default Rate</w:t>
      </w:r>
      <w:r>
        <w:rPr>
          <w:rFonts w:ascii="Times New Roman;serif" w:hAnsi="Times New Roman;serif"/>
          <w:b w:val="false"/>
          <w:color w:val="000000"/>
          <w:sz w:val="22"/>
        </w:rPr>
        <w:t>. Immediately upon the occurrence and during the continuance of an Event of Default, all Obligations shall accrue interest at a fixed per annum rate equal to the rate that is otherwise applicable thereto plus four percentage points (4%) (the “</w:t>
      </w:r>
      <w:r>
        <w:rPr>
          <w:rFonts w:ascii="Times New Roman;serif" w:hAnsi="Times New Roman;serif"/>
          <w:b/>
          <w:color w:val="000000"/>
          <w:sz w:val="22"/>
        </w:rPr>
        <w:t>Default Rate</w:t>
      </w:r>
      <w:r>
        <w:rPr>
          <w:color w:val="000000"/>
        </w:rPr>
        <w:t>”</w:t>
      </w:r>
      <w:r>
        <w:rPr>
          <w:rFonts w:ascii="Times New Roman;serif" w:hAnsi="Times New Roman;serif"/>
          <w:b w:val="false"/>
          <w:color w:val="000000"/>
          <w:sz w:val="22"/>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360-Day Year</w:t>
      </w:r>
      <w:r>
        <w:rPr>
          <w:rFonts w:ascii="Times New Roman;serif" w:hAnsi="Times New Roman;serif"/>
          <w:b w:val="false"/>
          <w:color w:val="000000"/>
          <w:sz w:val="22"/>
        </w:rPr>
        <w:t>. Interest shall be computed on the basis of a three hundred sixty (360) day year for the actual number of days elapsed.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Debit of Accounts</w:t>
      </w:r>
      <w:r>
        <w:rPr>
          <w:rFonts w:ascii="Times New Roman;serif" w:hAnsi="Times New Roman;serif"/>
          <w:b w:val="false"/>
          <w:color w:val="000000"/>
          <w:sz w:val="22"/>
        </w:rPr>
        <w:t>. Collateral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set-off.</w:t>
      </w:r>
    </w:p>
    <w:p>
      <w:pPr>
        <w:pStyle w:val="TextBody"/>
        <w:bidi w:val="0"/>
        <w:spacing w:lineRule="auto" w:line="288" w:before="0" w:after="240"/>
        <w:ind w:left="0" w:right="0" w:firstLine="1368"/>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Except as otherwise expressly provided herein, all payments by Borrower under the Loan Documents shall be made to the respective Lender to which such payments are owed, at such Person’s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0990"/>
                <wp:effectExtent l="0" t="0" r="0" b="0"/>
                <wp:wrapNone/>
                <wp:docPr id="109" name="Frame106"/>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2.4    Fees. </w:t>
      </w:r>
      <w:r>
        <w:rPr>
          <w:rFonts w:ascii="Times New Roman;serif" w:hAnsi="Times New Roman;serif"/>
          <w:b w:val="false"/>
          <w:color w:val="000000"/>
          <w:sz w:val="22"/>
        </w:rPr>
        <w:t>Borrower shall pay to Collateral Agent and/or Lenders (as applicable) the following fees, which shall be deemed fully-earned and non-refundable upon payment:</w:t>
      </w:r>
    </w:p>
    <w:p>
      <w:pPr>
        <w:pStyle w:val="TextBody"/>
        <w:bidi w:val="0"/>
        <w:spacing w:lineRule="auto" w:line="288" w:before="0" w:after="240"/>
        <w:ind w:left="0" w:right="0" w:firstLine="1368"/>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Fee Letter</w:t>
      </w:r>
      <w:r>
        <w:rPr>
          <w:rFonts w:ascii="Times New Roman;serif" w:hAnsi="Times New Roman;serif"/>
          <w:b w:val="false"/>
          <w:color w:val="000000"/>
          <w:sz w:val="22"/>
        </w:rPr>
        <w:t xml:space="preserve">. When due and payable under the terms of the Fee Letter, to Collateral Agent and each Lender, as applicable, the fees set forth in the Fee Letter. </w:t>
      </w:r>
    </w:p>
    <w:p>
      <w:pPr>
        <w:pStyle w:val="TextBody"/>
        <w:bidi w:val="0"/>
        <w:spacing w:lineRule="auto" w:line="288" w:before="0" w:after="240"/>
        <w:ind w:left="0" w:right="0" w:firstLine="1368"/>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Prepayment Premium</w:t>
      </w:r>
      <w:r>
        <w:rPr>
          <w:rFonts w:ascii="Times New Roman;serif" w:hAnsi="Times New Roman;serif"/>
          <w:b w:val="false"/>
          <w:color w:val="000000"/>
          <w:sz w:val="22"/>
        </w:rPr>
        <w:t>. The Prepayment Premium, when due hereunder, to be shared between the Lenders in accordance with their respective Pro Rata Shares. Borrower expressly agrees (to the fullest extent that each may lawfully do so) that: (i) the Prepayment Premium is reasonable and is the product of an arm’s length transaction between sophisticated business people, ably represented by counsel; (ii) the Prepayment Premium shall be payable notwithstanding the then prevailing market rates at the time payment is made; (iii) there has been a course of conduct between Collateral Agent, Lenders and Borrower giving specific consideration in this transaction for such agreement to pay the Prepayment Premium and (iv) Borrower shall be estopped hereafter from claiming differently than as agreed to in this paragraph. Borrower expressly acknowledges that its agreement to pay the Prepayment Premium to Lenders as herein described is a material inducement to Lenders to provide the Term Loan Commitments and make the Term Loans.</w:t>
      </w:r>
    </w:p>
    <w:p>
      <w:pPr>
        <w:pStyle w:val="TextBody"/>
        <w:bidi w:val="0"/>
        <w:spacing w:lineRule="auto" w:line="288" w:before="0" w:after="240"/>
        <w:ind w:left="0" w:right="0" w:firstLine="1368"/>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Lenders’ Expenses</w:t>
      </w:r>
      <w:r>
        <w:rPr>
          <w:rFonts w:ascii="Times New Roman;serif" w:hAnsi="Times New Roman;serif"/>
          <w:b w:val="false"/>
          <w:color w:val="000000"/>
          <w:sz w:val="22"/>
        </w:rPr>
        <w:t>. All Lenders’ Expenses (including reasonable attorneys’ fees and expenses for documentation and negotiation of this Agreement) incurred through and after the Effective Date, when due.</w:t>
      </w:r>
    </w:p>
    <w:p>
      <w:pPr>
        <w:pStyle w:val="TextBody"/>
        <w:bidi w:val="0"/>
        <w:spacing w:lineRule="auto" w:line="288" w:before="0" w:after="240"/>
        <w:ind w:left="0" w:right="0" w:firstLine="1368"/>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Good Faith Deposit</w:t>
      </w:r>
      <w:r>
        <w:rPr>
          <w:rFonts w:ascii="Times New Roman;serif" w:hAnsi="Times New Roman;serif"/>
          <w:b w:val="false"/>
          <w:color w:val="000000"/>
          <w:sz w:val="22"/>
        </w:rPr>
        <w:t>. Borrower has paid to SLR a deposit of Fifty Thousand Dollars ($50,000) (the “</w:t>
      </w:r>
      <w:r>
        <w:rPr>
          <w:rFonts w:ascii="Times New Roman;serif" w:hAnsi="Times New Roman;serif"/>
          <w:b/>
          <w:color w:val="000000"/>
          <w:sz w:val="22"/>
        </w:rPr>
        <w:t>Good Faith Deposit</w:t>
      </w:r>
      <w:r>
        <w:rPr>
          <w:color w:val="000000"/>
        </w:rPr>
        <w:t>”</w:t>
      </w:r>
      <w:r>
        <w:rPr>
          <w:rFonts w:ascii="Times New Roman;serif" w:hAnsi="Times New Roman;serif"/>
          <w:b w:val="false"/>
          <w:color w:val="000000"/>
          <w:sz w:val="22"/>
        </w:rPr>
        <w:t>), to initiate Collateral Agent’s and Lenders’ due diligence review and documentation process. The Good Faith Deposit shall be utilized to pay Lenders’ Expenses, with the remainder, if any, to pay a portion of the facility fee due in accordance with Section 1 of the Fee Letter.</w:t>
      </w:r>
    </w:p>
    <w:p>
      <w:pPr>
        <w:pStyle w:val="TextBody"/>
        <w:bidi w:val="0"/>
        <w:spacing w:lineRule="auto" w:line="288" w:before="0" w:after="240"/>
        <w:ind w:left="0" w:right="0" w:hanging="720"/>
        <w:jc w:val="left"/>
        <w:rPr/>
      </w:pPr>
      <w:r>
        <w:rPr>
          <w:rFonts w:ascii="Times New Roman;serif" w:hAnsi="Times New Roman;serif"/>
          <w:b/>
          <w:color w:val="000000"/>
          <w:sz w:val="22"/>
        </w:rPr>
        <w:t xml:space="preserve">2.5    Taxes; Increased Costs. </w:t>
      </w:r>
      <w:r>
        <w:rPr>
          <w:rFonts w:ascii="Times New Roman;serif" w:hAnsi="Times New Roman;serif"/>
          <w:b w:val="false"/>
          <w:color w:val="000000"/>
          <w:sz w:val="22"/>
        </w:rPr>
        <w:t xml:space="preserve">Borrower, Collateral Agent and the Lenders each hereby agree to the terms and conditions set forth on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attached hereto.</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3.    CONDITIONS OF LOANS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Conditions Precedent to Initial Term Loan. </w:t>
      </w:r>
      <w:r>
        <w:rPr>
          <w:rFonts w:ascii="Times New Roman;serif" w:hAnsi="Times New Roman;serif"/>
          <w:b w:val="false"/>
          <w:color w:val="000000"/>
          <w:sz w:val="22"/>
        </w:rPr>
        <w:t>Each Lender’s obligation to make a Term A Loan is subject to the 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original Loan Documents, each duly executed by Borrower and each Subsidiary, as applicable;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 completed Perfection Certificate for Borrower and each of its Subsidiaries and Disclosure Schedules for Borrower and each Guarantor;</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00990"/>
                <wp:effectExtent l="0" t="0" r="0" b="0"/>
                <wp:wrapNone/>
                <wp:docPr id="110" name="Frame107"/>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duly executed Control Agreements with respect to Collateral Accounts maintained by Borrower or any of its Subsidiaries to the extent required under Section 6.6;</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 duly executed Fee Letter;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Times New Roman;serif" w:hAnsi="Times New Roman;serif"/>
          <w:b/>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a certificate of Borrower in substantially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hereto executed by the Secretary of Borrower with appropriate insertions and attachments, including with respect to (i) the Operating Documents of such Person (which Certificate of Incorporation or Certificate of Formation of such Person shall be certified by the Secretary of State of the State of Delaware) and (ii) the resolutions adopted by such Person’s board of directors or other governing body for the purpose of approving the transactions contemplated by the Loan Documents;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 duly executed legal opinion of counsel to Borrower dated the Effective Date;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evidence satisfactory to Collateral Agent and the Lenders that the insurance policies required by Section 6.5 hereof are in full force and effect, and, subject to Section 6.12, together with appropriate evidence showing loss payable and/or additional insured clauses or endorsements in favor of Collateral Agent, for the ratable benefit of the Secured Parties;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the duly executed Exit Fee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(k)    payment of the fees payable under the terms of the Fee Letter and Lenders’ Expenses then due as specified in Section 2.4 hereof;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(l)    a payoff letter in form and substance satisfactory to Agent and the Lenders evidencing the repayment in full and release of liens with respect to Borrower’s existing Indebtedness;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(m)    a replacement Exit Fee Agreement related to Borrower’s existing Indebtedness.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Conditions Precedent to all Term Loans. </w:t>
      </w:r>
      <w:r>
        <w:rPr>
          <w:rFonts w:ascii="Times New Roman;serif" w:hAnsi="Times New Roman;serif"/>
          <w:b w:val="false"/>
          <w:color w:val="000000"/>
          <w:sz w:val="22"/>
        </w:rPr>
        <w:t>The obligation of each Lender to extend each Term Loan, including the initial Term Loan, is subject to the following additional conditions precedent: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receipt by Collateral Agent of an executed Loan Payment Request Form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attached 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the representations and warranties in Section 5 hereof shall be true, accurate and complete in all material respects on the Funding Date of each Term Loan; provided, however, that such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0990"/>
                <wp:effectExtent l="0" t="0" r="0" b="0"/>
                <wp:wrapNone/>
                <wp:docPr id="111" name="Frame108"/>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in such Lender’s reasonable discretion, there has not been any Material Adverse Change;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No Event of Default or Default, shall exist;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payment of the fees and Lenders’ Expenses then due as specified in Section 2.4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Covenant to Deliver. </w:t>
      </w:r>
      <w:r>
        <w:rPr>
          <w:rFonts w:ascii="Times New Roman;serif" w:hAnsi="Times New Roman;serif"/>
          <w:b w:val="false"/>
          <w:color w:val="000000"/>
          <w:sz w:val="22"/>
        </w:rPr>
        <w:t>Borrower agrees to deliver to Collateral Agent and to the extent applicable the Lenders each item required to be delivered to Collateral Agent under this Agreement as a condition precedent to the funding of any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3.4    Procedures for Borrowing. </w:t>
      </w:r>
      <w:r>
        <w:rPr>
          <w:rFonts w:ascii="Times New Roman;serif" w:hAnsi="Times New Roman;serif"/>
          <w:b w:val="false"/>
          <w:color w:val="000000"/>
          <w:sz w:val="22"/>
        </w:rPr>
        <w:t>Subject to the prior satisfaction of all other applicable conditions to the making of a Term Loan set forth in this Agreement, to obtain a Term Loan (other than the Term Loan funded on the Effective Date), Borrower shall notify the Lenders (which notice shall be irrevocable) by electronic mail, facsimile, or telephone by 2:00 p.m. New York City time three (3)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 On the Funding Date related to any Term Loan, each Lender shall credit and/or transfer (as applicable) to accounts designated by Borrower and agreed to by the Lenders, in an amount equal to its Term Loan Commitment in respect of such Term Loan.</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4.    CREATION OF SECURITY INTEREST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4.1    Grant of Security Interest. </w:t>
      </w:r>
      <w:r>
        <w:rPr>
          <w:rFonts w:ascii="Times New Roman;serif" w:hAnsi="Times New Roman;serif"/>
          <w:b w:val="false"/>
          <w:color w:val="000000"/>
          <w:sz w:val="22"/>
        </w:rPr>
        <w:t>Borrower hereby grants Collateral Agent, for the ratable benefit of the Secured Parties, to secure the payment and performance in full of all of the Obligations in full and, until payment in cash of all Obligations (other than (a) inchoate indemnity obligations, and (b) other obligations that, by their terms, survive termination of this Agreement, in each case, for which no claim has been made), a continuing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 If Borrower shall acquire any commercial tort claim (as defined in the Code) in an amount greater than Fifty Thousand Dollars ($50,000), Borrower shall grant to Collateral Agent, for the ratable benefit of the Secured Parties, a security interest therein and in the proceeds and products and supporting obligations (as defined in the Code) thereof, all upon the terms of this Agreement, with such writing to be in form and substance reasonably satisfactory to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this Agreement is terminated, Collateral Agent’s Lien in the Collateral shall continue until the Obligations (other than (a) inchoate indemnity obligations, and (b) other obligations that, by their terms,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00990"/>
                <wp:effectExtent l="0" t="0" r="0" b="0"/>
                <wp:wrapNone/>
                <wp:docPr id="112" name="Frame109"/>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survive termination of this Agreement, in each case, for which no claim has been made) are repaid in full in cash. Upon payment in full in cash of the Obligations (other than (a) inchoate indemnity obligations, and (b) other obligations that, by their terms, survive termination of this Agreement, in each case, for which no claim has been made) and at such time as the Lenders’ obligation to extend Term Loans has terminated, Collateral Agent shall, at the sole cost and expense of Borrower, release its Liens in the Collateral (and enter into any documentation reasonably requested by Borrower) and all rights therein shall revert to Borrower.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Authorization to File Financing Statements. </w:t>
      </w:r>
      <w:r>
        <w:rPr>
          <w:rFonts w:ascii="Times New Roman;serif" w:hAnsi="Times New Roman;serif"/>
          <w:b w:val="false"/>
          <w:color w:val="000000"/>
          <w:sz w:val="22"/>
        </w:rPr>
        <w:t>Borrower hereby authorizes Collateral Agent to file financing statements or take any other action required to perfect Collateral Agent’s security interests in the Collateral (held for the ratable benefit of the Secured Parties), without notice to Borrower, with all appropriate jurisdictions to perfect or protect Collateral Agent’s interest or rights under the Loan Documents; provided, however, that Borrower shall have no obligation to deliver to Collateral Agent share certificates with respect to its security interests in any Immaterial Subsidiary unless and until the first to occur of (a) an Event of Default or (b) the value of such Immaterial Subsidiary, on a book value, equals or exceeds One Hundred Thousand Dollars ($100,000).</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5.    REPRESENTATIONS AND WARRANTIES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Borrower represents and warrants to Collateral Agent and the Lenders as follows: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Due Organization, Authorization: Power and Authority. </w:t>
      </w:r>
      <w:r>
        <w:rPr>
          <w:rFonts w:ascii="Times New Roman;serif" w:hAnsi="Times New Roman;serif"/>
          <w:b w:val="false"/>
          <w:color w:val="000000"/>
          <w:sz w:val="22"/>
        </w:rPr>
        <w:t>Borrower and each of its Subsidiaries is duly existing and in good 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before or after the Effective Date (each a “</w:t>
      </w:r>
      <w:r>
        <w:rPr>
          <w:rFonts w:ascii="Times New Roman;serif" w:hAnsi="Times New Roman;serif"/>
          <w:b/>
          <w:color w:val="000000"/>
          <w:sz w:val="22"/>
        </w:rPr>
        <w:t>Perfection Certificate</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Perfection Certificates</w:t>
      </w:r>
      <w:r>
        <w:rPr>
          <w:color w:val="000000"/>
        </w:rPr>
        <w:t>”</w:t>
      </w:r>
      <w:r>
        <w:rPr>
          <w:rFonts w:ascii="Times New Roman;serif" w:hAnsi="Times New Roman;serif"/>
          <w:b w:val="false"/>
          <w:color w:val="000000"/>
          <w:sz w:val="22"/>
        </w:rPr>
        <w:t>). Borrower represents and warrants that all the information set forth on the Perfection Certificates pertaining to Borrower and each of its Subsidiaries is accurate and complete (other than clerical mistakes in addresses and other contact information).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any of its Subsidiaries or any of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0990"/>
                <wp:effectExtent l="0" t="0" r="0" b="0"/>
                <wp:wrapNone/>
                <wp:docPr id="113" name="Frame110"/>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5.2    Collateral.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in respect of which Borrower or such Subsidiary has given Collateral Agent notice and taken such actions as are necessary to give Collateral Agent a perfected security interest therein as required under this Agreement. The Accounts are bona fide, existing obligations of the Account Debtors.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security interest granted herein is and shall at all times continue to be a first priority perfected security interest in the Collateral, subject only to Permitted Liens that, under applicable law, have priority over Collateral Agent’s Lien.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On the Fifth Amendment Effective Date, and except as disclosed on the Disclosure Schedules (i) the Collateral is not in the possession of any third party bailee, and (ii) no such third party bailee possesses components of the Collateral in excess of Five Hundred Thousand Dollars ($500,000) in book value.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All Inventory and Equipment is in all material respects of good and marketable quality, free from material defects.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Borrower and each of its Subsidiaries is the sole owner of the Intellectual Property each respectively purports to own, free and clear of all Liens other than Permitted Liens. Except as noted on the Disclosure Schedules (which shall be updated within forty-five (45) days after the end of each fiscal quarter to reflect the consummation of any transaction not prohibited by this Agreement) or to be included in the next-delivered Compliance Certificate, neither Borrower nor any of its Subsidiaries is a party to, nor is bound by, any material license or other Material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5.3    Litigation. </w:t>
      </w:r>
      <w:r>
        <w:rPr>
          <w:rFonts w:ascii="Times New Roman;serif" w:hAnsi="Times New Roman;serif"/>
          <w:b w:val="false"/>
          <w:color w:val="000000"/>
          <w:sz w:val="22"/>
        </w:rPr>
        <w:t>Except as disclosed on the Perfection Certificate or with respect to which Borrower has provided notice as required hereunder, there are no actions, suits, investigations, or proceedings pending or, to the knowledge of the Responsible Officers, threatened in writing by or against Borrower or any of its Subsidiaries involving more than Two Hundred Fifty Thousand Dollars ($250,000).</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5.4    No Material Adverse Change; Financial Statements. </w:t>
      </w:r>
      <w:r>
        <w:rPr>
          <w:rFonts w:ascii="Times New Roman;serif" w:hAnsi="Times New Roman;serif"/>
          <w:b w:val="false"/>
          <w:color w:val="000000"/>
          <w:sz w:val="22"/>
        </w:rPr>
        <w:t>All consolidated financial statements for Borrower and its consolidated Subsidiaries, delivered to Collateral Agent fairly present, in conformity with GAAP, and in all material respects the consolidated financial condition of Borrower and its consolidated Subsidiaries, and the consolidated results of operations of Borrower and its consolidated Subsidiaries. Since December 31, 2020, there has not been a Material Adverse Change.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5.5    Solvency. </w:t>
      </w:r>
      <w:r>
        <w:rPr>
          <w:rFonts w:ascii="Times New Roman;serif" w:hAnsi="Times New Roman;serif"/>
          <w:b w:val="false"/>
          <w:color w:val="000000"/>
          <w:sz w:val="22"/>
        </w:rPr>
        <w:t>Borrower is Solvent. Borrower and each of its Subsidiaries, when taken as a whole, is Solvent.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5.6    Regulatory Compliance. </w:t>
      </w:r>
      <w:r>
        <w:rPr>
          <w:rFonts w:ascii="Times New Roman;serif" w:hAnsi="Times New Roman;serif"/>
          <w:b w:val="false"/>
          <w:color w:val="000000"/>
          <w:sz w:val="22"/>
        </w:rPr>
        <w:t xml:space="preserve">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0990"/>
                <wp:effectExtent l="0" t="0" r="0" b="0"/>
                <wp:wrapNone/>
                <wp:docPr id="114" name="Frame111"/>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5.7    Investments. </w:t>
      </w:r>
      <w:r>
        <w:rPr>
          <w:rFonts w:ascii="Times New Roman;serif" w:hAnsi="Times New Roman;serif"/>
          <w:b w:val="false"/>
          <w:color w:val="000000"/>
          <w:sz w:val="22"/>
        </w:rPr>
        <w:t>Neither Borrower nor any of its Subsidiaries owns any stock, shares, partnership</w:t>
      </w:r>
      <w:r>
        <w:rPr>
          <w:color w:val="000000"/>
        </w:rPr>
        <w:t xml:space="preserve"> </w:t>
      </w:r>
      <w:r>
        <w:rPr>
          <w:rFonts w:ascii="Times New Roman;serif" w:hAnsi="Times New Roman;serif"/>
          <w:b w:val="false"/>
          <w:color w:val="000000"/>
          <w:sz w:val="22"/>
        </w:rPr>
        <w:t>interests or other equity securities except for Permitted Investments.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5.8    Tax Returns and Payments; Pension Contributions. </w:t>
      </w:r>
      <w:r>
        <w:rPr>
          <w:rFonts w:ascii="Times New Roman;serif" w:hAnsi="Times New Roman;serif"/>
          <w:b w:val="false"/>
          <w:color w:val="000000"/>
          <w:sz w:val="22"/>
        </w:rPr>
        <w:t xml:space="preserve">Borrower and each of its Subsidiaries has timely filed all required tax returns and reports, each such tax return is true, correct and complete in all material respects, and Borrower and each of its Subsidiaries, has timely paid all foreign, federal, state, and local taxes, assessments, deposits and contributions owed by Borrower and such Subsidiaries in an amount greater than Fifty Thousand Dollars ($50,000),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of the commencement of, and any material development in, the proceeding; and (c) maintains adequate reserves or other appropriate provisions on the books of such Borrower or Subsidiary, as applicable, in accordance with GAAP and which do not involve, in the reasonable judgment of the Collateral Agent, any risk of the sale, forfeiture or loss of any material portion of the Collateral.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0990"/>
                <wp:effectExtent l="0" t="0" r="0" b="0"/>
                <wp:wrapNone/>
                <wp:docPr id="115" name="Frame112"/>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liability of Borrower or its Subsidiaries, including any liability to the Pension Benefit Guaranty Corporation or its successors or any other Governmental Authority.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5.9    Use of Proceeds. </w:t>
      </w:r>
      <w:r>
        <w:rPr>
          <w:rFonts w:ascii="Times New Roman;serif" w:hAnsi="Times New Roman;serif"/>
          <w:b w:val="false"/>
          <w:color w:val="000000"/>
          <w:sz w:val="22"/>
        </w:rPr>
        <w:t>Borrower shall use the proceeds of the Term Loans to repay existing Indebtedness, as working capital (including, without limitation, to fund Permitted Acquisitions) and to fund its general business requirements, and not for personal, family, household or agricultural purposes.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5.10    Full Disclosure. </w:t>
      </w:r>
      <w:r>
        <w:rPr>
          <w:rFonts w:ascii="Times New Roman;serif" w:hAnsi="Times New Roman;serif"/>
          <w:b w:val="false"/>
          <w:color w:val="000000"/>
          <w:sz w:val="22"/>
        </w:rPr>
        <w:t>No written representation, warranty or other statement of Borrower or any of its Subsidiaries in any certificate or written statement, when taken as a whole,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 xml:space="preserve">5.11    Healthcare Regulatory Matters.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Borrower and each Subsidiary is, and during the past three (3) years has been, in compliance with all applicable Healthcare Laws, except for such noncompliance, whether individually or in the aggregate, as could not reasonably be expected to have a Material Adverse Change. Without limiting the generality of the foregoing, during the past three (3) years, none of Borrower or its Subsidiaries has received written notice by a Governmental Authority of any violation (or of any investigation, audit, or other proceeding involving allegations of any violation) of any Healthcare Laws, which if determined or resolved adversely to the Borrower or any Subsidiary, could reasonably be expected to have a Material Adverse Change, and no such investigation, inspection, audit or other proceeding involving allegations of any such violation is, to Borrower’s knowledge, threatened in writing or contemplated which could reasonably be expected to have a Material Adverse Change.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Borrower and each Subsidiary, and its respective officers, directors, and employees are not and, during the past three (3) years, has not been, excluded, debarred, suspended or otherwise ineligible to participate in any governmental healthcare program where the same could reasonably be expected to have a Material Adverse Change, and no such action is pending or, to Borrower’s knowledge, threatened in writing. None of the Borrower or its Subsidiaries: is a party to or has any reporting obligations under a corporate integrity agreement, deferred or non-prosecution agreement, monitoring agreement, consent decree, settlement order, or any similar agreement with any Governmental Authority.</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6.    AFFIRMATIVE COVENANTS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Borrower shall, and shall cause each of its Subsidiaries to, do all of the following:</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6.1    Government Compliance.</w:t>
      </w:r>
    </w:p>
    <w:p>
      <w:pPr>
        <w:pStyle w:val="TextBody"/>
        <w:bidi w:val="0"/>
        <w:spacing w:lineRule="auto" w:line="288" w:before="0" w:after="240"/>
        <w:ind w:left="0" w:right="0" w:firstLine="1512"/>
        <w:jc w:val="both"/>
        <w:rPr>
          <w:rFonts w:ascii="Times New Roman;serif" w:hAnsi="Times New Roman;serif"/>
          <w:b w:val="false"/>
          <w:color w:val="000000"/>
          <w:sz w:val="22"/>
        </w:rPr>
      </w:pPr>
      <w:r>
        <w:rPr>
          <w:rFonts w:ascii="Times New Roman;serif" w:hAnsi="Times New Roman;serif"/>
          <w:b w:val="false"/>
          <w:color w:val="000000"/>
          <w:sz w:val="22"/>
        </w:rPr>
        <w:t xml:space="preserve">(a)    Other than specifically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including all Healthcare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0990"/>
                <wp:effectExtent l="0" t="0" r="0" b="0"/>
                <wp:wrapNone/>
                <wp:docPr id="116" name="Frame113"/>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Laws, to which Borrower or any of its Subsidiaries is subject, the noncompliance with which could reasonably be expected to have a Material Adverse Change.</w:t>
      </w:r>
    </w:p>
    <w:p>
      <w:pPr>
        <w:pStyle w:val="TextBody"/>
        <w:bidi w:val="0"/>
        <w:spacing w:lineRule="auto" w:line="288" w:before="0" w:after="240"/>
        <w:ind w:left="0" w:right="0" w:firstLine="1512"/>
        <w:jc w:val="both"/>
        <w:rPr>
          <w:rFonts w:ascii="Times New Roman;serif" w:hAnsi="Times New Roman;serif"/>
          <w:b w:val="false"/>
          <w:color w:val="000000"/>
          <w:sz w:val="22"/>
        </w:rPr>
      </w:pPr>
      <w:r>
        <w:rPr>
          <w:rFonts w:ascii="Times New Roman;serif" w:hAnsi="Times New Roman;serif"/>
          <w:b w:val="false"/>
          <w:color w:val="000000"/>
          <w:sz w:val="22"/>
        </w:rPr>
        <w:t>(b)    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Secured Parties, in all of the Collateral.</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6.2    Financial Statements, Reports, Certificates; Notices.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Deliver to Collateral Agent: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    as soon as available, but no later than thirty (30) days after the last day of each month that is not a quarter-end, a company prepared financial reports of Borrower’s revenue, accounts payable aging and cash and Cash Equivalents balances for such month certified by a Responsible Officer and in a form reasonably acceptable to the Collateral Agent;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as soon as available, but no later than forty-five (45) days after the last day of each fiscal quarter, a company prepared consolidated and, if prepared by Borrower or if reasonably requested by the Lenders, consolidating balance sheet, income statement and cash flow statement, in each case subject to year-end adjustments and the absence of footnotes, covering the consolidated operations of Borrower and its consolidated Subsidiaries for such fiscal quarter certified by a Responsible Officer and in a form reasonably acceptable to the Collateral Agent;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(other than with respect to a going concern limitation based solely on the amount of cash and Cash Equivalents held by Borrower) on the financial statements from an independent certified public accounting firm acceptable to Collateral Agent in its reasonable discretion;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no later than sixty (60) days after the last day of Borrower’s fiscal year, but no later than ten (10) days’ after approval thereof by the Borrower’s board of directors, Borrower’s annual financial projections for the entire current fiscal year as approved by Borrower’s board of directors; provided that, any revisions to such projections approved by Borrower’s board of directors shall be delivered to Collateral Agent and the Lenders no later than seven (7) days after such approval);</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together with the delivery of the Compliance Certificate, copies of all non-ministerial statements, reports and notices made available to Borrower’s security holders or holders of Subordinated Debt (except as otherwise required to be delivered hereunder, other than materials provided to members of Borrower’s board of directors solely in their capacities as board members or management of Borrower) or holders of Subordinated Debt (except as otherwise required to be delivered hereunder, other than materials provided to members of Borrower’s board of directors solely in their capacities as board members or management of Borrower);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with each Compliance Certificate, copies of the month-end account statements for each Collateral Account maintained by Borrower or its Subsidiaries, which statements may be provided to Collateral Agent and each Lender by Borrower or directly from the applicable institution(s);</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0990"/>
                <wp:effectExtent l="0" t="0" r="0" b="0"/>
                <wp:wrapNone/>
                <wp:docPr id="117" name="Frame114"/>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    prompt notice of any event that (A) could reasonably be expected to materially and adversely affect the value of the Intellectual Property or (B) could reasonably be expected to result in a Material Adverse Change;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(ix)    written notice delivered at least five (5) days’ prior to Borrower’s creation of a New Subsidiary in accordance with the terms of Section 6.10;</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    written notice delivered at least five (5) days’ prior to Borrower’s (A) adding any new offices or business locations, including warehouses (unless such new offices or business locations contain less than One Million Dollars ($1,000,000) in assets or property of Borrower or any of its Subsidiaries), (B) changing its respective jurisdiction of organization, (C) changing its organizational structure or type, (D) changing its respective legal name, or (E) changing any organizational number(s) (if any) assigned by its respective jurisdiction of organization;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    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(xii)    immediate notice if Borrower or such Subsidiary has knowledge that Borrower, or any Subsidiary or Affiliate of Borrower, is listed on the OFAC Lists or (a) is convicted on, (b) pleads </w:t>
      </w:r>
      <w:r>
        <w:rPr>
          <w:rFonts w:ascii="Times New Roman;serif" w:hAnsi="Times New Roman;serif"/>
          <w:b w:val="false"/>
          <w:i/>
          <w:color w:val="000000"/>
          <w:sz w:val="22"/>
        </w:rPr>
        <w:t xml:space="preserve">nolo contendere </w:t>
      </w:r>
      <w:r>
        <w:rPr>
          <w:rFonts w:ascii="Times New Roman;serif" w:hAnsi="Times New Roman;serif"/>
          <w:b w:val="false"/>
          <w:color w:val="000000"/>
          <w:sz w:val="22"/>
        </w:rPr>
        <w:t>to, (c) is indicted on, or (d) is arraigned and held over on charges involving money laundering or predicate crimes to money laundering;</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    together with the delivery of the Compliance Certificate, notice of any commercial tort claim (as defined in the Code) or letter of credit rights (as defined in the Code) held by Borrower or any Guarantor, in each case in an amount greater than One Hundred Thousand Dollars ($100,000) and of the general details thereof;</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(xiv)    if Borrower has any Subsidiaries any of which is not a Registered Organization upon formation thereof but later becomes one, written notice of such occurrence and information regarding such Person’s organizational identification number within seven (7) Business Days of receiving such organizational identification number;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    no later than forty-five (45) days after the end of each fiscal quarter an updated Perfection Certificate to reflect any amendments, modifications and updates, if any, to certain information in the Perfection Certificate after the Effective Date;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(xvi)    other information as reasonably requested by Collateral Agent or any Lender.</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0990"/>
                <wp:effectExtent l="0" t="0" r="0" b="0"/>
                <wp:wrapNone/>
                <wp:docPr id="118" name="Frame115"/>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terms herein, documents and notices required to be delivered pursuant to the terms hereof (to the extent any such documents and notices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Concurrently with the delivery of the financial statements specified in Section 6.2(a)(i) above but no later than thirty (30) days after the last day of each month, deliver to Collateral Agent: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 duly completed Compliance Certificate signed by a Responsible Officer;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copies of any material Governmental Approvals obtained by Borrower or any of its Subsidiaries;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written notice of the commencement of, and any material development in, the proceedings contemplated by Section 5.8 hereof;</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written notice of all returns, recoveries, disputes and claims regarding Inventory that involve more than Five Hundred Thousand Dollars ($500,000) individually or in the aggregate in any calendar year.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Inventory; Returns. </w:t>
      </w:r>
      <w:r>
        <w:rPr>
          <w:rFonts w:ascii="Times New Roman;serif" w:hAnsi="Times New Roman;serif"/>
          <w:b w:val="false"/>
          <w:color w:val="000000"/>
          <w:sz w:val="22"/>
        </w:rPr>
        <w:t>Keep all Inventory in good and marketable condition, free from material defects. Returns and allowances between Borrower, or any of its Subsidiaries, as applicable, and their respective Account Debtors shall follow Borrower’s, or such Subsidiary’s, as applicable, customary practices.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Taxes; Pensions. </w:t>
      </w:r>
      <w:r>
        <w:rPr>
          <w:rFonts w:ascii="Times New Roman;serif" w:hAnsi="Times New Roman;serif"/>
          <w:b w:val="false"/>
          <w:color w:val="000000"/>
          <w:sz w:val="22"/>
        </w:rPr>
        <w:t>Timely file and require each of its Subsidiaries to timely file, all required tax returns and reports and timely pay, and require each of its Subsidiaries to timely pay, all foreign, federal, state, and local taxes, assessments, deposits and contributions owed by Borrower or its Subsidiaries, as applicable, except as otherwise permitted pursuant to the terms of Section 5.8 hereof, and shall deliver to Collateral Agent, on demand, appropriate certificates attesting to such payments, and pay all amounts necessary to fund all present pension, profit sharing and deferred compensation plans in accordance with the terms of such plans.</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0990"/>
                <wp:effectExtent l="0" t="0" r="0" b="0"/>
                <wp:wrapNone/>
                <wp:docPr id="119" name="Frame116"/>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Insurance. </w:t>
      </w:r>
      <w:r>
        <w:rPr>
          <w:rFonts w:ascii="Times New Roman;serif" w:hAnsi="Times New Roman;serif"/>
          <w:b w:val="false"/>
          <w:color w:val="000000"/>
          <w:sz w:val="22"/>
        </w:rPr>
        <w:t>Keep Borrower’s and its Subsidiaries’ business and the Collateral insured for risks and in amounts standard for companies in Borrower’s and its Subsidiaries’ industry and location and as Collateral Agent may reasonably request. Insurance policies shall be in a form, with companies, and in amounts that are standard for companies in Borrower’s industry and location.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canceled (except in the case of nonpayment). At Collateral Agent’s request, Borrower shall deliver to the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 (a) so long as no Event of Default has occurred and is continuing, Borrower shall have the option of applying the proceeds of any casualty policy within one hundred eighty (180) days of receipt thereof up to Seven Hundred Fifty Thousand Dollars ($750,000) with respect to any loss, but not exceeding One Million Five Hundred Thousand Dollars ($1,500,000),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may make (but has no obligation to do so), at Borrower’s expense, all or part of such payment or obtain such insurance policies required in this Section 6.5, and take any action under the policies Collateral Agent deems prudent.</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6.6    Operating Accounts.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Maintain Borrower’s and Guarantors Collateral Accounts with depositary institutions that have agreed to execute Control Agreements in favor of Collateral Agent with respect to such Collateral Accounts. The provisions of the previous sentence shall not apply to (i) Deposit Accounts exclusively used for cash collateral for Permitted Liens under clause (j) of the definition thereof, (ii)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(iii)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 or (iv) any Permitted Royalty Account.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Borrower shall provide Collateral Agent ten (10) days’ prior written notice before Borrower or any Guarantor establishes any Collateral Account. In addition, for each Collateral Account that Borrower or any Guarantor, at any time maintains, Borrower or such Guarantor shall cause the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0990"/>
                <wp:effectExtent l="0" t="0" r="0" b="0"/>
                <wp:wrapNone/>
                <wp:docPr id="120" name="Frame117"/>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(i) Deposit Accounts exclusively used for cash collateral for Permitted Liens under clause (j) of the definition thereof, (ii)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or otherwise in writing to the Collateral Agent, (iii)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 or (iv) any Permitted Royalty Account.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Neither Borrower nor any Guarantor shall maintain any Collateral Accounts except Collateral Accounts maintained in accordance with this Section 6.6.</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Protection of Intellectual Property Rights. </w:t>
      </w:r>
      <w:r>
        <w:rPr>
          <w:rFonts w:ascii="Times New Roman;serif" w:hAnsi="Times New Roman;serif"/>
          <w:b w:val="false"/>
          <w:color w:val="000000"/>
          <w:sz w:val="22"/>
        </w:rPr>
        <w:t>Borrower and each of its Subsidiaries shall: (a) use commercially reasonable efforts to protect, defend and maintain the validity and enforceability of its respective Intellectual Property that is material to its business; (b) promptly advise Collateral Agent in writing of material infringement by a third party of its respective Intellectual Property; and (c) not allow any of its respective Intellectual Property material to its respective business to be abandoned, forfeited or dedicated to the public without Collateral Agent’s prior written consent.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Litigation Cooperation. </w:t>
      </w:r>
      <w:r>
        <w:rPr>
          <w:rFonts w:ascii="Times New Roman;serif" w:hAnsi="Times New Roman;serif"/>
          <w:b w:val="false"/>
          <w:color w:val="000000"/>
          <w:sz w:val="22"/>
        </w:rPr>
        <w:t>Commencing on the Effective Date and continuing through the</w:t>
      </w:r>
      <w:r>
        <w:rPr>
          <w:color w:val="000000"/>
        </w:rPr>
        <w:t xml:space="preserve"> </w:t>
      </w:r>
      <w:r>
        <w:rPr>
          <w:rFonts w:ascii="Times New Roman;serif" w:hAnsi="Times New Roman;serif"/>
          <w:b w:val="false"/>
          <w:color w:val="000000"/>
          <w:sz w:val="22"/>
        </w:rPr>
        <w:t>termination of this Agreement, make available to Collateral Agent, without expense to Collateral Agent or the Lenders, Borrower and each of Borrower’s officers, employees and agents and Borrower’s Books, to the extent that Collateral Agent may reasonably deem them necessary to prosecute or defend any third-party suit or proceeding instituted by or against Collateral Agent with respect to any Collateral or relating to Borrower.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6.9    Landlord Waivers; Bailee Waivers. </w:t>
      </w:r>
      <w:r>
        <w:rPr>
          <w:rFonts w:ascii="Times New Roman;serif" w:hAnsi="Times New Roman;serif"/>
          <w:b w:val="false"/>
          <w:color w:val="000000"/>
          <w:sz w:val="22"/>
        </w:rPr>
        <w:t>In the event that Borrower or any of its Subsidiaries, after the Effective Date, intends to add any new offices or business locations, including warehouses, or otherwise store any portion of the Collateral with, or deliver any portion of the Collateral to, a bailee, in each case pursuant to Section 7.2, then, in the event that the Collateral at any new location is valued (based on book value) in excess of One Million Dollars ($1,000,000) in the aggregate, at Collateral Agent’s election, Borrower or such Subsidiary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6.10    Creation/Acquisition of Subsidiaries. </w:t>
      </w:r>
      <w:r>
        <w:rPr>
          <w:rFonts w:ascii="Times New Roman;serif" w:hAnsi="Times New Roman;serif"/>
          <w:b w:val="false"/>
          <w:color w:val="000000"/>
          <w:sz w:val="22"/>
        </w:rPr>
        <w:t>In the event any Borrower or any Subsidiary of any</w:t>
      </w:r>
      <w:r>
        <w:rPr>
          <w:color w:val="000000"/>
        </w:rPr>
        <w:t xml:space="preserve"> </w:t>
      </w:r>
      <w:r>
        <w:rPr>
          <w:rFonts w:ascii="Times New Roman;serif" w:hAnsi="Times New Roman;serif"/>
          <w:b w:val="false"/>
          <w:color w:val="000000"/>
          <w:sz w:val="22"/>
        </w:rPr>
        <w:t>Borrower creates or acquires any Subsidiary after the Effective Date, Borrower or such Subsidiary shall promptly notify the Collateral Agent of such creation or acquisition, and Borrower or such Subsidiary shall take all actions reasonably requested by the Collateral Agent to achieve any of the following with respect to such “</w:t>
      </w:r>
      <w:r>
        <w:rPr>
          <w:rFonts w:ascii="Times New Roman;serif" w:hAnsi="Times New Roman;serif"/>
          <w:b/>
          <w:color w:val="000000"/>
          <w:sz w:val="22"/>
        </w:rPr>
        <w:t>New Subsidiary</w:t>
      </w:r>
      <w:r>
        <w:rPr>
          <w:color w:val="000000"/>
        </w:rPr>
        <w:t xml:space="preserve">” </w:t>
      </w:r>
      <w:r>
        <w:rPr>
          <w:rFonts w:ascii="Times New Roman;serif" w:hAnsi="Times New Roman;serif"/>
          <w:b w:val="false"/>
          <w:color w:val="000000"/>
          <w:sz w:val="22"/>
        </w:rPr>
        <w:t xml:space="preserve">(defined as a Subsidiary formed after the Effective Date during the term of this Agreement): (i) if such New Subsidiary is a Domestic Subsidiary (except for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0990"/>
                <wp:effectExtent l="0" t="0" r="0" b="0"/>
                <wp:wrapNone/>
                <wp:docPr id="121" name="Frame118"/>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 Domestic Subsidiary (1) substantially all of the assets of which consist of the equity interests of one or more Foreign Subsidiaries or (2) that is a subsidiary of a Foreign Subsidiary (each, an “</w:t>
      </w:r>
      <w:r>
        <w:rPr>
          <w:rFonts w:ascii="Times New Roman;serif" w:hAnsi="Times New Roman;serif"/>
          <w:b/>
          <w:color w:val="000000"/>
          <w:sz w:val="22"/>
        </w:rPr>
        <w:t>Excluded Domestic Subsidiary</w:t>
      </w:r>
      <w:r>
        <w:rPr>
          <w:color w:val="000000"/>
        </w:rPr>
        <w:t>”</w:t>
      </w:r>
      <w:r>
        <w:rPr>
          <w:rFonts w:ascii="Times New Roman;serif" w:hAnsi="Times New Roman;serif"/>
          <w:b w:val="false"/>
          <w:color w:val="000000"/>
          <w:sz w:val="22"/>
        </w:rPr>
        <w:t xml:space="preserve">)), to cause such New Subsidiary to become either a co-Borrower hereunder, or a secured guarantor with respect to the Obligations; and (ii) with respect to New Subsidiaries owned directly by Borrower or a Guarantor, to grant and pledge to Collateral Agent a perfected security interest in (A) 100% of the stock, units or other evidence of ownership held by Borrower or its Subsidiaries of any such New Subsidiary that is a Domestic Subsidiary (except if such New Subsidiary is an Excluded Domestic Subsidiary), or (B) 65% of the stock, units or other evidence of ownership held by Borrower or a Guarantor of any such New Subsidiary which is a Foreign Subsidiary or an Excluded Domestic Subsidiary.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6.11    Further Assurances. </w:t>
      </w:r>
      <w:r>
        <w:rPr>
          <w:rFonts w:ascii="Times New Roman;serif" w:hAnsi="Times New Roman;serif"/>
          <w:b w:val="false"/>
          <w:color w:val="000000"/>
          <w:sz w:val="22"/>
        </w:rPr>
        <w:t>Execute any further instruments and take further action as Collateral Agent or any Lender reasonably requests to perfect or continue Collateral Agent’s Lien in the Collateral or to effect the purposes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6.12    Post-Effective Date Obligations. </w:t>
      </w:r>
      <w:r>
        <w:rPr>
          <w:rFonts w:ascii="Times New Roman;serif" w:hAnsi="Times New Roman;serif"/>
          <w:b w:val="false"/>
          <w:color w:val="000000"/>
          <w:sz w:val="22"/>
        </w:rPr>
        <w:t>Notwithstanding any provision herein or in any other Loan Document to the contrary, to the extent not actually delivered on or prior to the Effective Date, Borrower shall, and shall cause each Subsidiary 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within thirty (30) days after the Effective Date (as such date may be extended by Collateral Agent in its sole discretion), deliver to Collateral Agent the insurance endorsements, in each case satisfying the requirements of Section 6.5;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within sixty (60) days after the Effective Date (as such date may be extended by Collateral Agent in its sole discretion), deliver to Collateral Agent evidence in form and substance reasonably acceptable to Collateral Agent, that the Collateral Accounts of Borrower at Western Alliance Bank have been closed;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use commercially reasonable efforts to deliver to Collateral Agent a landlord’s consent executed in favor of Collateral Agent in respect Borrower’s leased locations at 400 Fifth Avenue, Suites 210 &amp; 300, Waltham, MA 02451 and 34175 Ardenwood Blvd, Fremont, CA 94555 no later than sixty (60) days after the Effective Date (as such date may be extended by Collateral Agent in its sole discretion);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use commercially reasonable efforts to deliver to Collateral Agent a bailee waiver executed in favor of Collateral Agent in respect of each third party bailee where Borrower or any Subsidiary maintains Collateral having a book value in excess of Five Hundred Thousand Dollars ($500,000) in the aggregate no later than sixty (60) days after the Effective Date (as such date may be extended by Collateral Agent in its sole discretion);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within two (2) Business Days after the Effective Date (as such date may be extended by Collateral Agent in its sole discretion) deliver to Collateral Agent evidence in form and substance reasonably acceptable to Collateral Agent that Borrower has transferred all of its cash and Cash Equivalents from its Collateral Accounts at Western Alliance Bank to one or more Collateral Accounts at Silicon Valley Bank that are subject to Control Agreements in favor of Collateral Agent;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within ten (10) Business Days after the Effective Date (as such date may be extended by Collateral Agent in its sole discretion) deliver to Collateral Agent good standing certificates for each jurisdiction in which Borrower and each Subsidiary is qualified to conduct business; and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0990"/>
                <wp:effectExtent l="0" t="0" r="0" b="0"/>
                <wp:wrapNone/>
                <wp:docPr id="122" name="Frame119"/>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     within ten (10) Business Days after the Effective Date (as such date may be extended by Collateral Agent in its sole discretion) deliver to Collateral Agent an executed Control Agreement in favor of Collateral Agent with respect to the Collateral Account at Capital Advisors Group; provided, however, until such time that the Collateral Account is subject to a Control Agreement, Borrower shall not Transfer any assets into such Collateral Account. </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7.    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Borrower shall not, and shall not permit any of its Subsidiaries to, do any of the following without the prior written consent of the Required Lenders: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7.1    Dispositions. </w:t>
      </w:r>
      <w:r>
        <w:rPr>
          <w:rFonts w:ascii="Times New Roman;serif" w:hAnsi="Times New Roman;serif"/>
          <w:b w:val="false"/>
          <w:color w:val="000000"/>
          <w:sz w:val="22"/>
        </w:rPr>
        <w:t>Convey, sell, lease, transfer, assign, dispose of, license (collectively, “</w:t>
      </w:r>
      <w:r>
        <w:rPr>
          <w:rFonts w:ascii="Times New Roman;serif" w:hAnsi="Times New Roman;serif"/>
          <w:b/>
          <w:color w:val="000000"/>
          <w:sz w:val="22"/>
        </w:rPr>
        <w:t>Transfer</w:t>
      </w:r>
      <w:r>
        <w:rPr>
          <w:color w:val="000000"/>
        </w:rPr>
        <w:t>”</w:t>
      </w:r>
      <w:r>
        <w:rPr>
          <w:rFonts w:ascii="Times New Roman;serif" w:hAnsi="Times New Roman;serif"/>
          <w:b w:val="false"/>
          <w:color w:val="000000"/>
          <w:sz w:val="22"/>
        </w:rPr>
        <w:t xml:space="preserve">), or permit any of its Subsidiaries to Transfer, all or any part of its business or property, except for (a) Transfers of Inventory in the ordinary course of business; (b) Transfers of worn-out, surplus, uneconomic or obsolete Equipment; (c) Transfers in connection with the Permitted Royalty Transaction, Permitted Liens, Permitted Investments and Permitted Licenses; (d) Transfers of cash or Cash Equivalents pursuant to transactions not prohibited by this Agreement; (e) sales or discounting of delinquent accounts in the ordinary course of business; (f) other Transfers not to exceed One Million Dollars ($1,000,000) in any fiscal year; or (g)(i) the issuance or sale of any Convertible Indebtedness, (ii) the sale of any Permitted Warrant Transaction by the Borrower, (iii) the purchase of any Permitted Bond Hedge Transaction by the Borrower or (iv) the performance by the Borrower of its obligations under any Convertible Indebtedness, any Permitted Warrant Transaction or any Permitted Bond Hedge Transaction.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7.2    Changes in Business, Management, Ownership, or Business Locations. </w:t>
      </w:r>
      <w:r>
        <w:rPr>
          <w:rFonts w:ascii="Times New Roman;serif" w:hAnsi="Times New Roman;serif"/>
          <w:b w:val="false"/>
          <w:color w:val="000000"/>
          <w:sz w:val="22"/>
        </w:rPr>
        <w:t>(a) Engage in or permit any of its Subsidiaries to engage in any business other than the businesses engaged in by Borrower or such Subsidiary, as applicable, as of the Effective Date or reasonably related thereto; (b) liquidate or dissolve; or (c)(i) permit any Key Person to cease being actively engaged in the management of Borrower unless written notice thereof is provided to Collateral Agent within ten (10) Business Days of such cessation, or (ii) enter into any transaction or series of related transactions in which (A) the stockholders of Borrower who were not stockholders immediately prior to the first such transaction own more than 49% of the voting stock of Borrower immediately after giving effect to such transaction or related series of such transactions and (B) except as permitted by Section 7.3, Borrower ceases to own, directly or indirectly, 100% of the ownership interests in each Subsidiary of Borrower. Borrower shall not, and shall not permit any of its Subsidiaries to, without at least five (5) days’ prior written notice to Collateral Agent: (A) add any new offices or business locations, including warehouses (unless such new offices or business locations contain less than One Million Dollars ($1,000,000) in assets or property of Borrower or any of its Subsidiaries, as applicable); (B) change its respective jurisdiction of organization, (C) except as permitted by Section 7.3, change its respective organizational structure or type, (D) change its respective legal name, or (E) change any organizational number(s) (if any) assigned by its respective jurisdiction of organization.</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7.3    Mergers or Acquisitions. </w:t>
      </w:r>
      <w:r>
        <w:rPr>
          <w:rFonts w:ascii="Times New Roman;serif" w:hAnsi="Times New Roman;serif"/>
          <w:b w:val="false"/>
          <w:color w:val="000000"/>
          <w:sz w:val="22"/>
        </w:rPr>
        <w:t>Merge or consolidate, or permit any of its Subsidiaries to merge or consolidate, with any other Person, or acquire, or permit any of its Subsidiaries to acquire, all or substantially all of the capital stock, shares or property of another Person, other than Permitted Acquisitions. A Subsidiary may merge or consolidate into another Subsidiary (provided such surviving Subsidiary is a “co-Borrower” hereunder or has provided a secured Guaranty of Borrower’s Obligations hereunder in accordance with Section 6.10) or with (or into) Borrower provided Borrower is the surviving legal entity, and as long as no Event of Default is occurring prior thereto or arises as a result therefrom.</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0990"/>
                <wp:effectExtent l="0" t="0" r="0" b="0"/>
                <wp:wrapNone/>
                <wp:docPr id="123" name="Frame120"/>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7.4    Indebtedness. </w:t>
      </w:r>
      <w:r>
        <w:rPr>
          <w:rFonts w:ascii="Times New Roman;serif" w:hAnsi="Times New Roman;serif"/>
          <w:b w:val="false"/>
          <w:color w:val="000000"/>
          <w:sz w:val="22"/>
        </w:rPr>
        <w:t>Create, incur, assume, or be liable for any Indebtedness, or permit any Subsidiary to do so, other than Permitted Indebtedness.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7.5    Encumbrance. </w:t>
      </w:r>
      <w:r>
        <w:rPr>
          <w:rFonts w:ascii="Times New Roman;serif" w:hAnsi="Times New Roman;serif"/>
          <w:b w:val="false"/>
          <w:color w:val="000000"/>
          <w:sz w:val="22"/>
        </w:rPr>
        <w:t>Create, incur, allow, or suffer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Secured Parties)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7.6    Maintenance of Collateral Accounts. </w:t>
      </w:r>
      <w:r>
        <w:rPr>
          <w:rFonts w:ascii="Times New Roman;serif" w:hAnsi="Times New Roman;serif"/>
          <w:b w:val="false"/>
          <w:color w:val="000000"/>
          <w:sz w:val="22"/>
        </w:rPr>
        <w:t>With respect to Borrower and any Guarantors, maintain any Collateral Account except pursuant to the terms of Section 6.6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7.7    Restricted Payments. </w:t>
      </w:r>
      <w:r>
        <w:rPr>
          <w:rFonts w:ascii="Times New Roman;serif" w:hAnsi="Times New Roman;serif"/>
          <w:b w:val="false"/>
          <w:color w:val="000000"/>
          <w:sz w:val="22"/>
        </w:rPr>
        <w:t>(a) Declare or pay any dividends (other than dividends payable solely in capital stock) or make any other distribution or payment on account of or redeem, retire or purchase any capital stock (other than (i) the declaration or payment of dividends or other distributions to Borrower or any of its Subsidiaries, (ii) so long as no Event of Default or</w:t>
      </w:r>
      <w:r>
        <w:rPr>
          <w:color w:val="000000"/>
        </w:rPr>
        <w:t xml:space="preserve"> </w:t>
      </w:r>
      <w:r>
        <w:rPr>
          <w:rFonts w:ascii="Times New Roman;serif" w:hAnsi="Times New Roman;serif"/>
          <w:b w:val="false"/>
          <w:color w:val="000000"/>
          <w:sz w:val="22"/>
        </w:rPr>
        <w:t xml:space="preserve">Default exists or would result therefrom, the declaration or payment of any dividends solely in the form of equity securities, (iii) repurchases pursuant to the terms of employee stock purchase plans, employee restricted stock agreements, stockholder rights plans, director or consultant stock option plans, similar plans to any of the foregoing, or payments in connection with tax withholding obligations in connection with the foregoing, provided such repurchases do not exceed Three Hundred Fifty Thousand Dollars ($350,000) in the aggregate per fiscal year and One Million Dollars ($1,000,000) commencing as of the Fifth Amendment Effective Date and over the remaining term of this Agreement, and (iv)(x) the payment of the purchase price of any Permitted Bond Hedge Transaction or (y) the settlement, unwind or termination of all or any portion of any Permitted Warrant Transaction, by (A) set-off against the concurrent settlement, unwind or termination of all or any portion of the related Permitted Bond Hedge Transaction or (B) delivery of common stock of the Borrower; </w:t>
      </w:r>
      <w:r>
        <w:rPr>
          <w:rFonts w:ascii="Times New Roman;serif" w:hAnsi="Times New Roman;serif"/>
          <w:b w:val="false"/>
          <w:color w:val="000000"/>
          <w:sz w:val="22"/>
          <w:u w:val="single"/>
        </w:rPr>
        <w:t>provided that</w:t>
      </w:r>
      <w:r>
        <w:rPr>
          <w:color w:val="000000"/>
        </w:rPr>
        <w:t xml:space="preserve"> “</w:t>
      </w:r>
      <w:r>
        <w:rPr>
          <w:rFonts w:ascii="Times New Roman;serif" w:hAnsi="Times New Roman;serif"/>
          <w:b w:val="false"/>
          <w:color w:val="000000"/>
          <w:sz w:val="22"/>
        </w:rPr>
        <w:t>capital stock” shall not include at any time (y) Convertible Debt until such Convertible Debt has been converted pursuant to the terms thereof or (z) other debt securities that are or by their terms may be convertible or exchangeable into or for such capital stock until such debt securities have been converted or exchanged pursuant to the terms thereof, (b) other than the Obligations in accordance with the terms hereof, purchase, redeem, defease or prepay any principal of, premium, if any, interest or other amount payable in respect of any Indebtedness prior to its scheduled maturity unless being replaced with Indebtedness of at least the same principal amount and such new Indebtedness is Permitted Indebtedness, or (c) be a party to or bound by an agreement that restricts a Subsidiary from paying dividends or otherwise distributing property to Borrower other than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7.8    Investments. </w:t>
      </w:r>
      <w:r>
        <w:rPr>
          <w:rFonts w:ascii="Times New Roman;serif" w:hAnsi="Times New Roman;serif"/>
          <w:b w:val="false"/>
          <w:color w:val="000000"/>
          <w:sz w:val="22"/>
        </w:rPr>
        <w:t>Directly or indirectly make any Investment other than Permitted Investments, or permit any of its Subsidiaries to do so other than Permitted Investments.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7.9    Transactions with Affiliates. </w:t>
      </w:r>
      <w:r>
        <w:rPr>
          <w:rFonts w:ascii="Times New Roman;serif" w:hAnsi="Times New Roman;serif"/>
          <w:b w:val="false"/>
          <w:color w:val="000000"/>
          <w:sz w:val="22"/>
        </w:rPr>
        <w:t xml:space="preserve">Directly or indirectly enter into or permit to exist any material transaction with any Affiliate of Borrower or 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0990"/>
                <wp:effectExtent l="0" t="0" r="0" b="0"/>
                <wp:wrapNone/>
                <wp:docPr id="124" name="Frame121"/>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investors in Borrower or its Subsidiaries, and (c) compensation arrangements for Borrower’s and its Subsidiaries’ officers, directors and employees that are customary in Borrower’s industry.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7.10    Subordinated Debt. </w:t>
      </w:r>
      <w:r>
        <w:rPr>
          <w:rFonts w:ascii="Times New Roman;serif" w:hAnsi="Times New Roman;serif"/>
          <w:b w:val="false"/>
          <w:color w:val="000000"/>
          <w:sz w:val="22"/>
        </w:rPr>
        <w:t>(a)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7.11    Compliance. </w:t>
      </w:r>
      <w:r>
        <w:rPr>
          <w:rFonts w:ascii="Times New Roman;serif" w:hAnsi="Times New Roman;serif"/>
          <w:b w:val="false"/>
          <w:color w:val="000000"/>
          <w:sz w:val="22"/>
        </w:rPr>
        <w:t>(a)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Term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7.12    Compliance with Anti-Terrorism Laws. </w:t>
      </w:r>
      <w:r>
        <w:rPr>
          <w:rFonts w:ascii="Times New Roman;serif" w:hAnsi="Times New Roman;serif"/>
          <w:b w:val="false"/>
          <w:color w:val="000000"/>
          <w:sz w:val="22"/>
        </w:rPr>
        <w:t>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Anti-Terrorism Law, or (c) engage in or conspire to engage in any transaction that evades or avoids, or has the purpose of evading or avoiding, or attempts to violate, any of the prohibitions set forth in Executive Order No. 13224 or other Anti-Terrorism Law.</w:t>
      </w:r>
    </w:p>
    <w:p>
      <w:pPr>
        <w:pStyle w:val="TextBody"/>
        <w:bidi w:val="0"/>
        <w:spacing w:lineRule="auto" w:line="288" w:before="0" w:after="240"/>
        <w:ind w:left="0" w:right="0" w:firstLine="720"/>
        <w:jc w:val="left"/>
        <w:rPr/>
      </w:pPr>
      <w:r>
        <w:rPr>
          <w:rFonts w:ascii="Times New Roman;serif" w:hAnsi="Times New Roman;serif"/>
          <w:b/>
          <w:color w:val="000000"/>
          <w:sz w:val="22"/>
        </w:rPr>
        <w:t>7.13    Financial Covenant.</w:t>
      </w:r>
      <w:r>
        <w:rPr>
          <w:color w:val="000000"/>
        </w:rPr>
        <w:t xml:space="preserve"> </w:t>
      </w:r>
      <w:r>
        <w:rPr>
          <w:rFonts w:ascii="Times New Roman;serif" w:hAnsi="Times New Roman;serif"/>
          <w:b w:val="false"/>
          <w:color w:val="000000"/>
          <w:sz w:val="22"/>
        </w:rPr>
        <w:t xml:space="preserve">Borrower shall not allow, at any time, the sum of (a) Net Product Revenue, calculated on a trailing six (6) month basis as of the last day of each month, plus (b) the consolidated aggregate balance of Borrower’s unrestricted cash and Cash Equivalents in Collateral Accounts that are subject to Control Agreements, to be less than an amount equal to one hundred percent (100%) of the then outstanding principal amount of Term Loans. </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8.    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one of the following shall constitute an event of default (an “</w:t>
      </w:r>
      <w:r>
        <w:rPr>
          <w:rFonts w:ascii="Times New Roman;serif" w:hAnsi="Times New Roman;serif"/>
          <w:b/>
          <w:color w:val="000000"/>
          <w:sz w:val="22"/>
        </w:rPr>
        <w:t>Event of Default</w:t>
      </w:r>
      <w:r>
        <w:rPr>
          <w:color w:val="000000"/>
        </w:rPr>
        <w:t>”</w:t>
      </w:r>
      <w:r>
        <w:rPr>
          <w:rFonts w:ascii="Times New Roman;serif" w:hAnsi="Times New Roman;serif"/>
          <w:b w:val="false"/>
          <w:color w:val="000000"/>
          <w:sz w:val="22"/>
        </w:rPr>
        <w:t>) under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8.1    Payment Default. </w:t>
      </w:r>
      <w:r>
        <w:rPr>
          <w:rFonts w:ascii="Times New Roman;serif" w:hAnsi="Times New Roman;serif"/>
          <w:b w:val="false"/>
          <w:color w:val="000000"/>
          <w:sz w:val="22"/>
        </w:rPr>
        <w:t xml:space="preserve">Borrower fails to (a) make any payment of principal or interest on any Term Loan on its due date, or (b) pay any other Obligation within three (3) Business Days after such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0990"/>
                <wp:effectExtent l="0" t="0" r="0" b="0"/>
                <wp:wrapNone/>
                <wp:docPr id="125" name="Frame122"/>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are due and payable (which three (3) Business Day grace period shall not apply to payments due on the Maturity Date or the date or acceleration pursuant to Section 9.1(a) hereof).</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8.2    Covenant Default.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6.12 (Post-Effective Date Obligations) or Borrower violates any provision in Section 7;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or such Subsidiary, as applicable,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8.3    Material Adverse Change. </w:t>
      </w:r>
      <w:r>
        <w:rPr>
          <w:rFonts w:ascii="Times New Roman;serif" w:hAnsi="Times New Roman;serif"/>
          <w:b w:val="false"/>
          <w:color w:val="000000"/>
          <w:sz w:val="22"/>
        </w:rPr>
        <w:t>Required Lenders determine that a Material Adverse Change has occurred.</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8.4    Attachment; Levy; Restraint on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of this clause (a) are not, within ten (10) days after the occurrence thereof, discharged or stayed (whether through the posting of a bond or otherwise);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8.5    Insolvency. </w:t>
      </w:r>
      <w:r>
        <w:rPr>
          <w:rFonts w:ascii="Times New Roman;serif" w:hAnsi="Times New Roman;serif"/>
          <w:b w:val="false"/>
          <w:color w:val="000000"/>
          <w:sz w:val="22"/>
        </w:rPr>
        <w:t>(a) Borrower or any of its Subsidiaries is or becomes Insolvent; (b) Borrower or any of its Subsidiaries begins an Insolvency Proceeding; or (c) an Insolvency Proceeding is begun against Borrower or any of its Subsidiaries and not dismissed or stayed within forty-five (45) days (but no Term Loans shall be made while Borrower or any Subsidiary is Insolvent and/or until any Insolvency Proceeding is dismissed).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8.6    Other Agreements. </w:t>
      </w:r>
      <w:r>
        <w:rPr>
          <w:rFonts w:ascii="Times New Roman;serif" w:hAnsi="Times New Roman;serif"/>
          <w:b w:val="false"/>
          <w:color w:val="000000"/>
          <w:sz w:val="22"/>
        </w:rPr>
        <w:t>There is a default in any agreement to which Borrower or any of its</w:t>
      </w:r>
      <w:r>
        <w:rPr>
          <w:color w:val="000000"/>
        </w:rPr>
        <w:t xml:space="preserve"> </w:t>
      </w:r>
      <w:r>
        <w:rPr>
          <w:rFonts w:ascii="Times New Roman;serif" w:hAnsi="Times New Roman;serif"/>
          <w:b w:val="false"/>
          <w:color w:val="000000"/>
          <w:sz w:val="22"/>
        </w:rPr>
        <w:t xml:space="preserve">Subsidiaries is a party with a third party or parties resulting in a right by such third party or parties, whether or not exercised, to accelerate the maturity of any Indebtedness in an amount in excess of One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0990"/>
                <wp:effectExtent l="0" t="0" r="0" b="0"/>
                <wp:wrapNone/>
                <wp:docPr id="126" name="Frame123"/>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Million Dollars ($1,000,000) or that could reasonably be expected to have a Material Adverse Change;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this Section 8.6 shall not apply to early payment requirement or unwinding or termination with respect to any Permitted Bond Hedge Transaction or Permitted Warrant Transaction by (a) set-off against the concurrent settlement, unwind or termination of all or any portion of the related Permitted Bond Hedge Transaction or (b) delivery of common stock, so long as, in any such case, the Borrower is not the “defaulting party” (or substantially equivalent term) under the terms of such Permitted Bond Hedge Transaction or Permitted Warrant Transaction, as applicable.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8.7    Judgments. </w:t>
      </w:r>
      <w:r>
        <w:rPr>
          <w:rFonts w:ascii="Times New Roman;serif" w:hAnsi="Times New Roman;serif"/>
          <w:b w:val="false"/>
          <w:color w:val="000000"/>
          <w:sz w:val="22"/>
        </w:rPr>
        <w:t xml:space="preserve">One or more judgments, orders, or decrees for the payment of money in an amount, individually or in the aggregate, of at least One Million Dollars ($1,000,000) (not covered by independent third-party insurance as to which (a) Borrower reasonably believes such insurance carrier will accept liability, (b) Borrower or the applicable Subsidiary has submitted such claim to such insurance carrier and (c) liability has not been rejected by such insurance carrier) shall be rendered against Borrower or any of its Subsidiaries and shall remain unsatisfied, unvacated, or unstayed for a period of ten (10) days after the entry thereof.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8.8    Misrepresentations. </w:t>
      </w:r>
      <w:r>
        <w:rPr>
          <w:rFonts w:ascii="Times New Roman;serif" w:hAnsi="Times New Roman;serif"/>
          <w:b w:val="false"/>
          <w:color w:val="000000"/>
          <w:sz w:val="22"/>
        </w:rPr>
        <w:t>Borrower or any of its Subsidiaries or any Person acting for Borrower or any of its Subsidiaries makes any representation, warranty, or 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8.9    Subordinated Debt. </w:t>
      </w:r>
      <w:r>
        <w:rPr>
          <w:rFonts w:ascii="Times New Roman;serif" w:hAnsi="Times New Roman;serif"/>
          <w:b w:val="false"/>
          <w:color w:val="000000"/>
          <w:sz w:val="22"/>
        </w:rPr>
        <w:t>A default or breach occurs under any subordination agreement, or any</w:t>
      </w:r>
      <w:r>
        <w:rPr>
          <w:color w:val="000000"/>
        </w:rPr>
        <w:t xml:space="preserve"> </w:t>
      </w:r>
      <w:r>
        <w:rPr>
          <w:rFonts w:ascii="Times New Roman;serif" w:hAnsi="Times New Roman;serif"/>
          <w:b w:val="false"/>
          <w:color w:val="000000"/>
          <w:sz w:val="22"/>
        </w:rPr>
        <w:t>creditor that has signed such an agreement with Collateral Agent or the Lenders breaches any terms of such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8.10    Guaranty. </w:t>
      </w:r>
      <w:r>
        <w:rPr>
          <w:rFonts w:ascii="Times New Roman;serif" w:hAnsi="Times New Roman;serif"/>
          <w:b w:val="false"/>
          <w:color w:val="000000"/>
          <w:sz w:val="22"/>
        </w:rPr>
        <w:t>(a) Any Guaranty terminates or ceases for any reason to be in full force and effect; (b) any Guarantor does not perform any obligation or covenant under any Guaranty; or (c) any circumstance described in Section 8 occurs with respect to any Guarantor.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8.11    Governmental Approvals; FDA Action. </w:t>
      </w:r>
      <w:r>
        <w:rPr>
          <w:rFonts w:ascii="Times New Roman;serif" w:hAnsi="Times New Roman;serif"/>
          <w:b w:val="false"/>
          <w:color w:val="000000"/>
          <w:sz w:val="22"/>
        </w:rPr>
        <w:t>(a) Any Governmental Approval shall have been</w:t>
      </w:r>
      <w:r>
        <w:rPr>
          <w:color w:val="000000"/>
        </w:rPr>
        <w:t xml:space="preserve"> </w:t>
      </w:r>
      <w:r>
        <w:rPr>
          <w:rFonts w:ascii="Times New Roman;serif" w:hAnsi="Times New Roman;serif"/>
          <w:b w:val="false"/>
          <w:color w:val="000000"/>
          <w:sz w:val="22"/>
        </w:rPr>
        <w:t xml:space="preserve">revoked, rescinded, suspended, modified in an adverse manner, or not renewed in the ordinary course for a full term </w:t>
      </w:r>
      <w:r>
        <w:rPr>
          <w:rFonts w:ascii="Times New Roman;serif" w:hAnsi="Times New Roman;serif"/>
          <w:b w:val="false"/>
          <w:i/>
          <w:color w:val="000000"/>
          <w:sz w:val="22"/>
        </w:rPr>
        <w:t xml:space="preserve">and </w:t>
      </w:r>
      <w:r>
        <w:rPr>
          <w:rFonts w:ascii="Times New Roman;serif" w:hAnsi="Times New Roman;serif"/>
          <w:b w:val="false"/>
          <w:color w:val="000000"/>
          <w:sz w:val="22"/>
        </w:rPr>
        <w:t xml:space="preserve">such revocation, rescission, suspension, modification or non-renewal has resulted in or could reasonably be expected to result in a Material Adverse Change; or (b) (i) the FDA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marketing any of its products; (ii) the FDA or any other comparable Governmental Authority issues a warning letter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the Applicable FDA Threshold or more; (iv) Borrower or any of its Subsidiaries enters into a settlement agreement with the FDA that results in aggregate liability as to any single or related series of transactions, incidents or conditions, of the Applicable FDA Threshold or more, or that could reasonably be expected to result in a Material Adverse Change; or (v) the FDA or any other comparable Governmental Authority revokes any authorization or permission granted under any Registration, or Borrower or any of its Subsidiaries withdraws any Registration, that could reasonably be expected to result in a Material Adverse Change.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0990"/>
                <wp:effectExtent l="0" t="0" r="0" b="0"/>
                <wp:wrapNone/>
                <wp:docPr id="127" name="Frame124"/>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8.12    Lien Priority. </w:t>
      </w:r>
      <w:r>
        <w:rPr>
          <w:rFonts w:ascii="Times New Roman;serif" w:hAnsi="Times New Roman;serif"/>
          <w:b w:val="false"/>
          <w:color w:val="000000"/>
          <w:sz w:val="22"/>
        </w:rPr>
        <w:t>Except as the result of the action or inaction of the Collateral Agent or the</w:t>
      </w:r>
      <w:r>
        <w:rPr>
          <w:color w:val="000000"/>
        </w:rPr>
        <w:t xml:space="preserve"> </w:t>
      </w:r>
      <w:r>
        <w:rPr>
          <w:rFonts w:ascii="Times New Roman;serif" w:hAnsi="Times New Roman;serif"/>
          <w:b w:val="false"/>
          <w:color w:val="000000"/>
          <w:sz w:val="22"/>
        </w:rPr>
        <w:t>Lenders, any Lien created hereunder or by any other Loan Document shall at any time fail to constitute a valid and perfected Lien (to the extent required to be perfected) on any material Collateral purported to be secured thereby, subject to no prior or equal Lien, other than Permitted Liens arising as a matter of applicable law.</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9.    RIGHTS AND REMEDIES</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9.1    Rights and Remedies.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Upon the occurrence and during the continuance of an Event of Default, Collateral Agent shall at the written direction of Required Lenders,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Without limiting the rights of Collateral Agent and the Lenders set forth in Section 9.1(a) above, upon the occurrence and during the continuance of an Event of Default, Collateral Agent shall at the written direction of the Required Lenders, without notice or demand, to do any or all of the following:</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    foreclose upon and/or sell or otherwise liquidate, the Collateral;</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make a demand for payment upon any Guarantor pursuant to the Guaranty delivered by such Guarantor;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apply to the Obligations any (A) balances and deposits of Borrower that Collateral Agent or any Lender holds or controls, (B) any amount held or controlled by Collateral Agent or any Lender owing to or for the credit or the account of Borrower, or (C) amounts received from any Guarantors in accordance with the respective Guaranty delivered by such Guarantor; and/or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commence and prosecute an Insolvency Proceeding or consent to Borrower commencing any Insolvency Proceeding.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Without limiting the rights of Collateral Agent and the Lenders set forth in Sections 9.1(a) and (b) above, upon the occurrence and during the continuance of an Event of Default, Collateral Agent shall at the written direction of the Required Lenders, without notice or demand, to do any or all of the following:</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0990"/>
                <wp:effectExtent l="0" t="0" r="0" b="0"/>
                <wp:wrapNone/>
                <wp:docPr id="128" name="Frame125"/>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make any payments and do any acts it considers necessary or reasonable to protect the Collateral and/or its Liens in the Collateral (held for the ratable benefit of the Secured Parties). Borrower shall assemble the Collateral if Collateral Agent requests and make it available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ship, reclaim, recover, store, finish, maintain, repair, prepare for sale, and/or advertise for sale, any of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demand and receive possession of Borrower’s Books;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and during the continuance of an Exigent Circumstance.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9.2    Power of Attorney. </w:t>
      </w:r>
      <w:r>
        <w:rPr>
          <w:rFonts w:ascii="Times New Roman;serif" w:hAnsi="Times New Roman;serif"/>
          <w:b w:val="false"/>
          <w:color w:val="000000"/>
          <w:sz w:val="22"/>
        </w:rPr>
        <w:t xml:space="preserve">Borrower hereby irrevocably appoints Collateral Agent as its lawful attorney-in-fact, exercisable upon the 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of Borrower directly with the applicable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0990"/>
                <wp:effectExtent l="0" t="0" r="0" b="0"/>
                <wp:wrapNone/>
                <wp:docPr id="129" name="Frame126"/>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(a) inchoate indemnity obligations, and (b) other obligations that, by their terms, survive termination of this Agreement, in each case, for which no claim has been made) have been satisfied in full and Collateral Agent and the Lenders are under no further obligation to extend Term Loans hereunder. Collateral Agent’s foregoing appointment as Borrower’s or any of its Subsidiaries’ attorney in fact, and all of Collateral Agent’s rights and powers, coupled with an interest, are irrevocable until all Obligations (other than (a) inchoate indemnity obligations, and (b) other obligations that, by their terms, survive termination of this Agreement, in each case, for which no claim has been made) have been fully repaid and performed and Collateral Agent’s and the Lenders’ obligation to provide Term Loans terminates.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9.3    Protective Payments. </w:t>
      </w:r>
      <w:r>
        <w:rPr>
          <w:rFonts w:ascii="Times New Roman;serif" w:hAnsi="Times New Roman;serif"/>
          <w:b w:val="false"/>
          <w:color w:val="000000"/>
          <w:sz w:val="22"/>
        </w:rPr>
        <w:t>If Borrower or any of its Subsidiaries fail to obtain the insurance called for by Section 6.5 or fail to pay any premium thereon or fail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9.4    Application of Payments and Proceeds. </w:t>
      </w:r>
      <w:r>
        <w:rPr>
          <w:rFonts w:ascii="Times New Roman;serif" w:hAnsi="Times New Roman;serif"/>
          <w:b w:val="false"/>
          <w:color w:val="000000"/>
          <w:sz w:val="22"/>
        </w:rPr>
        <w:t xml:space="preserve">Notwithstanding anything to the contrary contained in this Agreement, upon the 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any Term Loan and the ratable distribution of interest, fees and reimbursements paid or made by Borrower. Notwithstanding the foregoing, a Lender receiving a scheduled payment shall not be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0990"/>
                <wp:effectExtent l="0" t="0" r="0" b="0"/>
                <wp:wrapNone/>
                <wp:docPr id="130" name="Frame127"/>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responsible for determining whether the other Lenders also received their scheduled payment on such date; provided, however,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9.5    Liability for Collateral. </w:t>
      </w:r>
      <w:r>
        <w:rPr>
          <w:rFonts w:ascii="Times New Roman;serif" w:hAnsi="Times New Roman;serif"/>
          <w:b w:val="false"/>
          <w:color w:val="000000"/>
          <w:sz w:val="22"/>
        </w:rPr>
        <w:t>So long as Collateral Agent and the Lenders comply with reasonable banking practices regarding 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9.6    No Waiver; Remedies Cumulative. </w:t>
      </w:r>
      <w:r>
        <w:rPr>
          <w:rFonts w:ascii="Times New Roman;serif" w:hAnsi="Times New Roman;serif"/>
          <w:b w:val="false"/>
          <w:color w:val="000000"/>
          <w:sz w:val="22"/>
        </w:rPr>
        <w:t>Failure by Collateral Agent or any Lender, at any time or times, to require strict performance by Borrower of any provision of this Agreement or by Borrower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9.7    Demand Waiver. </w:t>
      </w:r>
      <w:r>
        <w:rPr>
          <w:rFonts w:ascii="Times New Roman;serif" w:hAnsi="Times New Roman;serif"/>
          <w:b w:val="false"/>
          <w:color w:val="000000"/>
          <w:sz w:val="22"/>
        </w:rPr>
        <w:t>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Collateral Agent or any Lender on which Borrower or any Subsidiary is liable.</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 xml:space="preserve">10.    NOTICES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Other than as specifically provided herein, all notices, consents, requests, approvals, demands, or other communication (collectively, “</w:t>
      </w:r>
      <w:r>
        <w:rPr>
          <w:rFonts w:ascii="Times New Roman;serif" w:hAnsi="Times New Roman;serif"/>
          <w:b/>
          <w:color w:val="000000"/>
          <w:sz w:val="22"/>
        </w:rPr>
        <w:t>Communications</w:t>
      </w:r>
      <w:r>
        <w:rPr>
          <w:color w:val="000000"/>
        </w:rPr>
        <w:t>”</w:t>
      </w:r>
      <w:r>
        <w:rPr>
          <w:rFonts w:ascii="Times New Roman;serif" w:hAnsi="Times New Roman;serif"/>
          <w:b w:val="false"/>
          <w:color w:val="000000"/>
          <w:sz w:val="22"/>
        </w:rPr>
        <w:t xml:space="preserve">)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0990"/>
                <wp:effectExtent l="0" t="0" r="0" b="0"/>
                <wp:wrapNone/>
                <wp:docPr id="131" name="Frame128"/>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tbl>
      <w:tblPr>
        <w:tblW w:w="5865" w:type="dxa"/>
        <w:jc w:val="center"/>
        <w:tblInd w:w="0" w:type="dxa"/>
        <w:tblLayout w:type="fixed"/>
        <w:tblCellMar>
          <w:top w:w="28" w:type="dxa"/>
          <w:left w:w="28" w:type="dxa"/>
          <w:bottom w:w="28" w:type="dxa"/>
          <w:right w:w="28" w:type="dxa"/>
        </w:tblCellMar>
      </w:tblPr>
      <w:tblGrid>
        <w:gridCol w:w="716"/>
        <w:gridCol w:w="630"/>
        <w:gridCol w:w="634"/>
        <w:gridCol w:w="1138"/>
        <w:gridCol w:w="1138"/>
        <w:gridCol w:w="160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Borrower:</w:t>
            </w:r>
          </w:p>
        </w:tc>
        <w:tc>
          <w:tcPr>
            <w:tcW w:w="3885" w:type="dxa"/>
            <w:gridSpan w:val="3"/>
            <w:tcBorders/>
            <w:tcMar>
              <w:top w:w="0" w:type="dxa"/>
              <w:left w:w="0" w:type="dxa"/>
              <w:bottom w:w="0" w:type="dxa"/>
              <w:right w:w="0" w:type="dxa"/>
            </w:tcMar>
            <w:vAlign w:val="center"/>
          </w:tcPr>
          <w:p>
            <w:pPr>
              <w:pStyle w:val="TableContents"/>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ARDELYX, INC.</w:t>
              <w:br/>
              <w:t>400 Fifth Avenue, Suite 210</w:t>
              <w:br/>
              <w:t>Waltham, MA 02451</w:t>
              <w:br/>
              <w:t>Attn: Susan Hohenleitner</w:t>
              <w:br/>
              <w:t xml:space="preserve">Email: shohenleitner@ardelyx.com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with a copy (which </w:t>
              <w:br/>
              <w:t xml:space="preserve">shall not constitute </w:t>
              <w:br/>
              <w:t>notice) to:</w:t>
            </w:r>
          </w:p>
        </w:tc>
        <w:tc>
          <w:tcPr>
            <w:tcW w:w="3885" w:type="dxa"/>
            <w:gridSpan w:val="3"/>
            <w:tcBorders/>
            <w:tcMar>
              <w:top w:w="0" w:type="dxa"/>
              <w:left w:w="0" w:type="dxa"/>
              <w:bottom w:w="0" w:type="dxa"/>
              <w:right w:w="0" w:type="dxa"/>
            </w:tcMar>
            <w:vAlign w:val="center"/>
          </w:tcPr>
          <w:p>
            <w:pPr>
              <w:pStyle w:val="TableContents"/>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LATHAM &amp; WATKINS LLP</w:t>
              <w:br/>
              <w:t>140 Scott Drive</w:t>
              <w:br/>
              <w:t>Menlo Park, CA 94025</w:t>
              <w:br/>
              <w:t>Attn: Mark Roeder</w:t>
              <w:br/>
              <w:t xml:space="preserve">Email: mark.roeder@lw.com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If to Collateral </w:t>
              <w:br/>
              <w:t>Agent:</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INVESTMENT CORP.</w:t>
              <w:br/>
              <w:t xml:space="preserve">500 Park Avenue, 3rd Floor </w:t>
              <w:br/>
              <w:t xml:space="preserve">New York, NY 10022 </w:t>
              <w:br/>
              <w:t>Attn: Anthony Storino</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Fax: (212) 993-1698</w:t>
              <w:br/>
              <w:t>Email: astorino@slrcp.com</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with a copy (which </w:t>
              <w:br/>
              <w:t xml:space="preserve">shall not constitute </w:t>
              <w:br/>
              <w:t>notice) to:</w:t>
            </w:r>
          </w:p>
        </w:tc>
        <w:tc>
          <w:tcPr>
            <w:tcW w:w="3885" w:type="dxa"/>
            <w:gridSpan w:val="3"/>
            <w:tcBorders/>
            <w:tcMar>
              <w:top w:w="0" w:type="dxa"/>
              <w:left w:w="0" w:type="dxa"/>
              <w:bottom w:w="0" w:type="dxa"/>
              <w:right w:w="0" w:type="dxa"/>
            </w:tcMar>
            <w:vAlign w:val="center"/>
          </w:tcPr>
          <w:p>
            <w:pPr>
              <w:pStyle w:val="TableContents"/>
              <w:bidi w:val="0"/>
              <w:spacing w:lineRule="auto" w:line="288" w:before="220" w:after="283"/>
              <w:jc w:val="left"/>
              <w:rPr/>
            </w:pPr>
            <w:r>
              <w:rPr>
                <w:rFonts w:ascii="Times New Roman;serif" w:hAnsi="Times New Roman;serif"/>
                <w:b w:val="false"/>
                <w:color w:val="000000"/>
                <w:sz w:val="22"/>
              </w:rPr>
              <w:t xml:space="preserve">DLA Piper LLP (US) </w:t>
              <w:br/>
              <w:t>500 8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NW</w:t>
              <w:br/>
              <w:t>Washington, DC 20004</w:t>
              <w:br/>
              <w:t>Attn: Eric Eisenberg</w:t>
              <w:br/>
              <w:t>Fax: (202) 799-5211</w:t>
              <w:br/>
              <w:t xml:space="preserve">Email: eric.eisenberg@us.dlapiper.com </w:t>
            </w:r>
          </w:p>
        </w:tc>
      </w:tr>
    </w:tbl>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11.    CHOICE OF LAW, VENUE AND JURY TRIAL WAIVER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11.1    Waiver of Jury Trial. </w:t>
      </w:r>
      <w:r>
        <w:rPr>
          <w:rFonts w:ascii="Times New Roman;serif" w:hAnsi="Times New Roman;serif"/>
          <w:b w:val="false"/>
          <w:color w:val="000000"/>
          <w:sz w:val="22"/>
        </w:rPr>
        <w:t>EACH OF BORROWER, COLLATERAL AGENT AND LENDERS UNCONDITIONALLY WAIVES ANY AND 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w:t>
      </w:r>
      <w:r>
        <w:rPr>
          <w:color w:val="000000"/>
        </w:rPr>
        <w:t xml:space="preserve"> </w:t>
      </w:r>
      <w:r>
        <w:rPr>
          <w:rFonts w:ascii="Times New Roman;serif" w:hAnsi="Times New Roman;serif"/>
          <w:b w:val="false"/>
          <w:color w:val="000000"/>
          <w:sz w:val="22"/>
        </w:rPr>
        <w:t xml:space="preserve">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11.2    Governing Law and Jurisdiction. </w:t>
      </w:r>
      <w:r>
        <w:rPr>
          <w:rFonts w:ascii="Times New Roman;serif" w:hAnsi="Times New Roman;serif"/>
          <w:b w:val="false"/>
          <w:color w:val="000000"/>
          <w:sz w:val="22"/>
        </w:rPr>
        <w:t xml:space="preserve">THIS AGREEMENT, THE OTHER LOAN DOCUMENTS (EXCLUDING THOSE LOAN DOCUMENTS THAT BY THEIR OWN TERMS ARE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0990"/>
                <wp:effectExtent l="0" t="0" r="0" b="0"/>
                <wp:wrapNone/>
                <wp:docPr id="132" name="Frame129"/>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(OTHER THAN SECTION 5-1401 OF THE GENERAL OBLIGATIONS LAW)), INCLUDING ALL MATTERS OF CONSTRUCTION, VALIDITY AND PERFORMANCE, REGARDLESS OF THE LOCATION OF THE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11.3    Submission to Jurisdiction. </w:t>
      </w:r>
      <w:r>
        <w:rPr>
          <w:rFonts w:ascii="Times New Roman;serif" w:hAnsi="Times New Roman;serif"/>
          <w:b w:val="false"/>
          <w:color w:val="000000"/>
          <w:sz w:val="22"/>
        </w:rPr>
        <w:t xml:space="preserve">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Times New Roman;serif" w:hAnsi="Times New Roman;serif"/>
          <w:b w:val="false"/>
          <w:i/>
          <w:color w:val="000000"/>
          <w:sz w:val="22"/>
        </w:rPr>
        <w:t>forum non conveniens</w:t>
      </w:r>
      <w:r>
        <w:rPr>
          <w:rFonts w:ascii="Times New Roman;serif" w:hAnsi="Times New Roman;serif"/>
          <w:b w:val="false"/>
          <w:color w:val="000000"/>
          <w:sz w:val="22"/>
        </w:rPr>
        <w:t>, that any of them may now or hereafter have to the bringing of any such action or proceeding in such jurisdictions.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11.4    Service of Process. </w:t>
      </w:r>
      <w:r>
        <w:rPr>
          <w:rFonts w:ascii="Times New Roman;serif" w:hAnsi="Times New Roman;serif"/>
          <w:b w:val="false"/>
          <w:color w:val="000000"/>
          <w:sz w:val="22"/>
        </w:rPr>
        <w:t>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11.5    Non-exclusive Jurisdiction. </w:t>
      </w:r>
      <w:r>
        <w:rPr>
          <w:rFonts w:ascii="Times New Roman;serif" w:hAnsi="Times New Roman;serif"/>
          <w:b w:val="false"/>
          <w:color w:val="000000"/>
          <w:sz w:val="22"/>
        </w:rPr>
        <w:t>Nothing contained in this Article 11 shall affect the right of Collateral Agent or Lenders to serve process in any other manner permitted by applicable requirements of law or commence legal proceedings or otherwise proceed against Borrower in any other jurisdiction.</w:t>
      </w:r>
    </w:p>
    <w:p>
      <w:pPr>
        <w:pStyle w:val="TextBody"/>
        <w:bidi w:val="0"/>
        <w:spacing w:lineRule="auto" w:line="288" w:before="0" w:after="240"/>
        <w:ind w:left="0" w:right="0" w:hanging="720"/>
        <w:jc w:val="left"/>
        <w:rPr>
          <w:rFonts w:ascii="Times New Roman;serif" w:hAnsi="Times New Roman;serif"/>
          <w:b/>
          <w:color w:val="000000"/>
          <w:sz w:val="22"/>
        </w:rPr>
      </w:pPr>
      <w:r>
        <w:rPr>
          <w:rFonts w:ascii="Times New Roman;serif" w:hAnsi="Times New Roman;serif"/>
          <w:b/>
          <w:color w:val="000000"/>
          <w:sz w:val="22"/>
        </w:rPr>
        <w:t>12.    GENERAL PROVISIONS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12.1    Successors and Assigns. </w:t>
      </w:r>
      <w:r>
        <w:rPr>
          <w:rFonts w:ascii="Times New Roman;serif" w:hAnsi="Times New Roman;serif"/>
          <w:b w:val="false"/>
          <w:color w:val="000000"/>
          <w:sz w:val="22"/>
        </w:rPr>
        <w:t>This Agreement binds and is for the benefit of the successors and permitted assigns of each party. Borrower may 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Times New Roman;serif" w:hAnsi="Times New Roman;serif"/>
          <w:b/>
          <w:color w:val="000000"/>
          <w:sz w:val="22"/>
        </w:rPr>
        <w:t xml:space="preserve">, </w:t>
      </w:r>
      <w:r>
        <w:rPr>
          <w:rFonts w:ascii="Times New Roman;serif" w:hAnsi="Times New Roman;serif"/>
          <w:b w:val="false"/>
          <w:color w:val="000000"/>
          <w:sz w:val="22"/>
        </w:rPr>
        <w:t xml:space="preserve">or grant of a participation, a </w:t>
      </w:r>
      <w:r>
        <w:rPr>
          <w:color w:val="000000"/>
        </w:rPr>
        <w:t>“</w:t>
      </w:r>
      <w:r>
        <w:rPr>
          <w:rFonts w:ascii="Times New Roman;serif" w:hAnsi="Times New Roman;serif"/>
          <w:b/>
          <w:color w:val="000000"/>
          <w:sz w:val="22"/>
        </w:rPr>
        <w:t>Lender Transfer”</w:t>
      </w:r>
      <w:r>
        <w:rPr>
          <w:rFonts w:ascii="Times New Roman;serif" w:hAnsi="Times New Roman;serif"/>
          <w:b w:val="false"/>
          <w:color w:val="000000"/>
          <w:sz w:val="22"/>
        </w:rPr>
        <w:t xml:space="preserve">) all or any part of, or any interest in, the Lenders’ obligations, rights, and benefits under this Agreement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0990"/>
                <wp:effectExtent l="0" t="0" r="0" b="0"/>
                <wp:wrapNone/>
                <wp:docPr id="133" name="Frame130"/>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other Loan Documents;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any such Lender Transfer (other than (i) any Transfer at any time that an Event of Default has occurred and is continuing, or (ii) a transfer, pledge, sale or assignment to an Eligible Assignee) of its obligations, rights, and benefits under this Agreement and the other Loan Documents shall require the prior written consent of the Collateral Agent (such approved assignee, an “</w:t>
      </w:r>
      <w:r>
        <w:rPr>
          <w:rFonts w:ascii="Times New Roman;serif" w:hAnsi="Times New Roman;serif"/>
          <w:b/>
          <w:color w:val="000000"/>
          <w:sz w:val="22"/>
        </w:rPr>
        <w:t>Approved Lender</w:t>
      </w:r>
      <w:r>
        <w:rPr>
          <w:color w:val="000000"/>
        </w:rPr>
        <w:t>”</w:t>
      </w:r>
      <w:r>
        <w:rPr>
          <w:rFonts w:ascii="Times New Roman;serif" w:hAnsi="Times New Roman;serif"/>
          <w:b w:val="false"/>
          <w:color w:val="000000"/>
          <w:sz w:val="22"/>
        </w:rPr>
        <w:t xml:space="preserve">); and </w:t>
      </w:r>
      <w:r>
        <w:rPr>
          <w:rFonts w:ascii="Times New Roman;serif" w:hAnsi="Times New Roman;serif"/>
          <w:b w:val="false"/>
          <w:i/>
          <w:color w:val="000000"/>
          <w:sz w:val="22"/>
        </w:rPr>
        <w:t>provided, further</w:t>
      </w:r>
      <w:r>
        <w:rPr>
          <w:rFonts w:ascii="Times New Roman;serif" w:hAnsi="Times New Roman;serif"/>
          <w:b w:val="false"/>
          <w:color w:val="000000"/>
          <w:sz w:val="22"/>
        </w:rPr>
        <w:t>, that on the date it becomes a party</w:t>
      </w:r>
      <w:r>
        <w:rPr>
          <w:color w:val="000000"/>
        </w:rPr>
        <w:t xml:space="preserve"> </w:t>
      </w:r>
      <w:r>
        <w:rPr>
          <w:rFonts w:ascii="Times New Roman;serif" w:hAnsi="Times New Roman;serif"/>
          <w:b w:val="false"/>
          <w:color w:val="000000"/>
          <w:sz w:val="22"/>
        </w:rPr>
        <w:t>to this Agreement, an Approved Lender must be capable, through its applicable lending office, of receiving payments of interest from Borrower without the imposition of any withholding taxes that would be required to be borne by Borrower or requiring the payment of any additional amounts by Borrower pursuant to Section 2.5 hereof.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Collateral Agent shall use commercially reasonable efforts to provide notice to Borrower of each Lender Transfer promptly following such Lender Transfer.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a vulture hedge fund or a distressed debt fund, each as reasonably determined by Collateral Agent at the time of such assignment. Collateral Agent, acting solely for this purpose as an agent of Borrower, shall maintain at one of its offices in the United States a register for the recordation of the names and addresses of the Lenders, and the Term Loan Commitments of, and principal amounts (and stated interest) of the Term Loans owing to each Lender pursuant to the terms hereof from time to time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The entries in the Register shall be conclusive absent manifest error, and Borrower, Collateral Agent and Lenders shall treat each Person whose name is recorded in the Register pursuant to the terms hereof as Lender hereunder for all purposes of this Agreement. The Register shall be available for inspection by Borrower and any Lender at any reasonable time and from time to time upon reasonable prior notice.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xml:space="preserve">);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Collateral Agent (in its capacity as Collateral Agent) shall have no responsibility for maintaining a Participant Register. Borrower agrees that each participant shall be entitled to the benefits of the provisions in Exhibit C attached hereto (subject to the requirements and limitations therein, including the requirements under Section 7 of Exhibit C attached hereto (it being understood that the documentation required under Section 7 of Exhibit C attached hereto shall be delivered to the participating Lender)) to the same extent as if it were a Lender and had acquired its interest by assignment pursuant to this Section 12.1; provided that such participant shall not be entitled to receive any greater payment under Exhibit C attached hereto, with respect to any participation, than its participating Lender would have been entitled to receive, except to the extent such entitlement to receive a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0990"/>
                <wp:effectExtent l="0" t="0" r="0" b="0"/>
                <wp:wrapNone/>
                <wp:docPr id="134" name="Frame131"/>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greater payment results from a change in law that occurs after the participant acquired the applicable participation.</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12.2    Indemnification. </w:t>
      </w:r>
      <w:r>
        <w:rPr>
          <w:rFonts w:ascii="Times New Roman;serif" w:hAnsi="Times New Roman;serif"/>
          <w:b w:val="false"/>
          <w:color w:val="000000"/>
          <w:sz w:val="22"/>
        </w:rPr>
        <w:t>Subject to Section 2.5, Borrower agrees to indemnify, defend and hold each Secured Party and their respective directors, officers, employees, consultants, agents, attorneys, or any other Person affiliated with or representing such Secured Party (each, an “</w:t>
      </w:r>
      <w:r>
        <w:rPr>
          <w:rFonts w:ascii="Times New Roman;serif" w:hAnsi="Times New Roman;serif"/>
          <w:b/>
          <w:color w:val="000000"/>
          <w:sz w:val="22"/>
        </w:rPr>
        <w:t>Indemnified Person</w:t>
      </w:r>
      <w:r>
        <w:rPr>
          <w:color w:val="000000"/>
        </w:rPr>
        <w:t>”</w:t>
      </w:r>
      <w:r>
        <w:rPr>
          <w:rFonts w:ascii="Times New Roman;serif" w:hAnsi="Times New Roman;serif"/>
          <w:b w:val="false"/>
          <w:color w:val="000000"/>
          <w:sz w:val="22"/>
        </w:rPr>
        <w:t>) harmless against: (a) all obligations, demands, claims, and liabilities (collectively, “</w:t>
      </w:r>
      <w:r>
        <w:rPr>
          <w:rFonts w:ascii="Times New Roman;serif" w:hAnsi="Times New Roman;serif"/>
          <w:b/>
          <w:color w:val="000000"/>
          <w:sz w:val="22"/>
        </w:rPr>
        <w:t>Claims</w:t>
      </w:r>
      <w:r>
        <w:rPr>
          <w:color w:val="000000"/>
        </w:rPr>
        <w:t>”</w:t>
      </w:r>
      <w:r>
        <w:rPr>
          <w:rFonts w:ascii="Times New Roman;serif" w:hAnsi="Times New Roman;serif"/>
          <w:b w:val="false"/>
          <w:color w:val="000000"/>
          <w:sz w:val="22"/>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gross negligence or willful misconduct. Borrower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Notwithstanding the foregoing, if no direct conflict of interest is apparent in connection with the defense of any Claim, Collateral Agent and the Lenders shall first take commercially reasonable efforts to use the same counsel as Borrower, or, if a conflict does exist, use only one counsel among all Indemnified Persons with respect to the defense of any Claim. This Section 12.2 shall not apply with respect to any Indemnified Taxes subject to indemnification under Section 2.5 or Excluded Taxes.</w: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12.3    Severability of Provisions. </w:t>
      </w:r>
      <w:r>
        <w:rPr>
          <w:rFonts w:ascii="Times New Roman;serif" w:hAnsi="Times New Roman;serif"/>
          <w:b w:val="false"/>
          <w:color w:val="000000"/>
          <w:sz w:val="22"/>
        </w:rPr>
        <w:t>Each provision of this Agreement is severable from every other provision in determining the enforceability of any provision.</w: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12.4    Correction of Loan Documents. </w:t>
      </w:r>
      <w:r>
        <w:rPr>
          <w:rFonts w:ascii="Times New Roman;serif" w:hAnsi="Times New Roman;serif"/>
          <w:b w:val="false"/>
          <w:color w:val="000000"/>
          <w:sz w:val="22"/>
        </w:rPr>
        <w:t>Collateral Agent may correct patent errors and fill in any</w:t>
      </w:r>
      <w:r>
        <w:rPr>
          <w:color w:val="000000"/>
        </w:rPr>
        <w:t xml:space="preserve"> </w:t>
      </w:r>
      <w:r>
        <w:rPr>
          <w:rFonts w:ascii="Times New Roman;serif" w:hAnsi="Times New Roman;serif"/>
          <w:b w:val="false"/>
          <w:color w:val="000000"/>
          <w:sz w:val="22"/>
        </w:rPr>
        <w:t>blanks in this Agreement and the other Loan Documents consistent with the agreement of the parties</w:t>
      </w:r>
      <w:r>
        <w:rPr>
          <w:rFonts w:ascii="Times New Roman;serif" w:hAnsi="Times New Roman;serif"/>
          <w:b/>
          <w:color w:val="000000"/>
          <w:sz w:val="22"/>
        </w:rPr>
        <w:t>.</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12.5    Amendments in Writing; Integration.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no such amendment, waiver or other modification that would have the effect of increasing or reducing a Lender’s Term Loan Commitment or Commitment Percentage shall be effective as to such Lender without such Lender’s written consent;</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0990"/>
                <wp:effectExtent l="0" t="0" r="0" b="0"/>
                <wp:wrapNone/>
                <wp:docPr id="135" name="Frame132"/>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no such amendment, waiver or modification that would affect the rights and duties of Collateral Agent shall be effective without Collateral Agent’s written consent or signature;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12.7 or Section 12.8. It is hereby understood and agreed that all Lenders shall be deemed directly affected by an amendment, waiver or other modification of the type described in the preceding clauses (C), (D), (E), (F), (G) and (H) of the immediately preceding sentence.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Other than as expressly provided for in Section 12.5(a)(i)-(iii), Collateral Agent may, if requested by the Required Lenders, from time to time designate covenants in this Agreement less restrictive by notification to a representative of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12.6    Counterparts. </w:t>
      </w:r>
      <w:r>
        <w:rPr>
          <w:rFonts w:ascii="Times New Roman;serif" w:hAnsi="Times New Roman;serif"/>
          <w:b w:val="false"/>
          <w:color w:val="000000"/>
          <w:sz w:val="22"/>
        </w:rPr>
        <w:t>This Agreement may be executed in any number of counterparts and by different parties on separate 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12.7    Survival. </w:t>
      </w:r>
      <w:r>
        <w:rPr>
          <w:rFonts w:ascii="Times New Roman;serif" w:hAnsi="Times New Roman;serif"/>
          <w:b w:val="false"/>
          <w:color w:val="000000"/>
          <w:sz w:val="22"/>
        </w:rPr>
        <w:t xml:space="preserve">All covenants, representations and warranties made in this Agreement continue in full force and effect until this Agreement has terminated pursuant to its terms and all Obligations (other than (a) inchoate indemnity obligations, and (b) other obligations that, by their terms, survive termination of this Agreement, in each case, for which no claim has been made) have been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0990"/>
                <wp:effectExtent l="0" t="0" r="0" b="0"/>
                <wp:wrapNone/>
                <wp:docPr id="136" name="Frame133"/>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12.8    Confidentiality. </w:t>
      </w:r>
      <w:r>
        <w:rPr>
          <w:rFonts w:ascii="Times New Roman;serif" w:hAnsi="Times New Roman;serif"/>
          <w:b w:val="false"/>
          <w:color w:val="000000"/>
          <w:sz w:val="22"/>
        </w:rPr>
        <w:t>In handling any confidential information of Borrower, each of the Lenders and Collateral Agent shall 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(provided, however, the Lenders and Collateral Agent shall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12.9    Right of Set Off. </w:t>
      </w:r>
      <w:r>
        <w:rPr>
          <w:rFonts w:ascii="Times New Roman;serif" w:hAnsi="Times New Roman;serif"/>
          <w:b w:val="false"/>
          <w:color w:val="000000"/>
          <w:sz w:val="22"/>
        </w:rPr>
        <w:t>Borrower hereby grants to Collateral Agent and to each Lender, a Lien, security interest and right of set off as 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 Collateral Agent Affiliate) or in transit to any of them. At any time after the occurrence and during the continuance of an Event of Default, without demand or notice, any Secured Party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12.10    Cooperation of Borrower. </w:t>
      </w:r>
      <w:r>
        <w:rPr>
          <w:rFonts w:ascii="Times New Roman;serif" w:hAnsi="Times New Roman;serif"/>
          <w:b w:val="false"/>
          <w:color w:val="000000"/>
          <w:sz w:val="22"/>
        </w:rPr>
        <w:t xml:space="preserve">If necessary, Borrower agrees to (i) execute any documents reasonably required to effectuate and acknowledge each assignment of a Term Loan Commitment (or portion thereof) or Term Loan (or portion thereof) to an assignee in accordance with Section 12.1, (ii) make Borrower’s management personnel available to meet with Collateral Agent and prospective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0990"/>
                <wp:effectExtent l="0" t="0" r="0" b="0"/>
                <wp:wrapNone/>
                <wp:docPr id="137" name="Frame134"/>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Borrower for any prospective participant or assignee of a Term Loan Commitment (or portions thereof) or Term Loan (or portions thereof) as Collateral Agent or such Lender may reasonably may request. Subject to the provisions of Section 12.8, Borrower authorizes each Lender to disclose to any prospective participant or assignee of a Term Loan Commitment (or portions thereof),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 in each case subject to Section 12.8.</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12.11    Public Announcement. </w:t>
      </w:r>
      <w:r>
        <w:rPr>
          <w:rFonts w:ascii="Times New Roman;serif" w:hAnsi="Times New Roman;serif"/>
          <w:b w:val="false"/>
          <w:color w:val="000000"/>
          <w:sz w:val="22"/>
        </w:rPr>
        <w:t>Collateral Agent and each Lender may, with the prior written consent of Borrower (which consent may not be unreasonably conditioned, withheld or delayed), make a public announcement of the transactions contemplated by this Agreement, and may publicize the same in marketing materials, newspapers and other publications, and otherwise, and in connection therewith may use Borrower’s name, tradenames and logos. Notwithstanding the foregoing, such prior written consent from Borrower shall not be required for any disclosures by Collateral Agent or the Lenders required by the Securities and Exchange Commission or other governmental agency and any other public disclosure with investors, other governmental agencies or other related persons, in each case, subject to applicable law and regulations.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12.12    Collateral Agent and Lender Agreement. </w:t>
      </w:r>
      <w:r>
        <w:rPr>
          <w:rFonts w:ascii="Times New Roman;serif" w:hAnsi="Times New Roman;serif"/>
          <w:b w:val="false"/>
          <w:color w:val="000000"/>
          <w:sz w:val="22"/>
        </w:rPr>
        <w:t xml:space="preserve">Collateral Agent and each Lender hereby agree to the terms and conditions set forth on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attached hereto. Borrower acknowledges and agrees to the terms and conditions set forth on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attached hereto.</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12.13    Time of Essence. </w:t>
      </w:r>
      <w:r>
        <w:rPr>
          <w:rFonts w:ascii="Times New Roman;serif" w:hAnsi="Times New Roman;serif"/>
          <w:b w:val="false"/>
          <w:color w:val="000000"/>
          <w:sz w:val="22"/>
        </w:rPr>
        <w:t>Time is of the essence for the performance of Obligations under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12.14    Termination Prior to Maturity Date; Survival. </w:t>
      </w:r>
      <w:r>
        <w:rPr>
          <w:rFonts w:ascii="Times New Roman;serif" w:hAnsi="Times New Roman;serif"/>
          <w:b w:val="false"/>
          <w:color w:val="000000"/>
          <w:sz w:val="22"/>
        </w:rPr>
        <w:t>All covenants, representations and warranties made in this Agreement continue in full force until this Agreement has terminated pursuant to its terms and all Obligations have been satisfied (other than (a) inchoate indemnity obligations, and (b) other obligations that, by their terms, survive termination of this Agreement, in each case, for which no claim has been made). So long as Borrower has satisfied the Obligations (other than (a) inchoate indemnity obligations, and (b) other obligations that, by their terms, survive termination of this Agreement, in each case, for which no claim has been made) in accordance with the terms of this Agreement, this Agreement may be terminated prior to the Maturity Date by Borrower, effective three (3) Business Days after written notice of termination is given to the Collateral Agent and the Lenders.</w:t>
      </w:r>
    </w:p>
    <w:p>
      <w:pPr>
        <w:pStyle w:val="TextBody"/>
        <w:bidi w:val="0"/>
        <w:spacing w:lineRule="auto" w:line="288" w:before="0" w:after="240"/>
        <w:ind w:left="0" w:right="0" w:firstLine="720"/>
        <w:jc w:val="left"/>
        <w:rPr/>
      </w:pPr>
      <w:r>
        <w:rPr>
          <w:rFonts w:ascii="Times New Roman;serif" w:hAnsi="Times New Roman;serif"/>
          <w:b/>
          <w:color w:val="000000"/>
          <w:sz w:val="22"/>
        </w:rPr>
        <w:t xml:space="preserve">12.15    Electronic Execution of Certain Other Documents. </w:t>
      </w:r>
      <w:r>
        <w:rPr>
          <w:rFonts w:ascii="Times New Roman;serif" w:hAnsi="Times New Roman;serif"/>
          <w:b w:val="false"/>
          <w:color w:val="000000"/>
          <w:sz w:val="22"/>
        </w:rPr>
        <w:t xml:space="preserve">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0990"/>
                <wp:effectExtent l="0" t="0" r="0" b="0"/>
                <wp:wrapNone/>
                <wp:docPr id="138" name="Frame135"/>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Electronic Signatures and Records Act, or any other similar state laws based on the Uniform Electronic Transactions Act.</w:t>
      </w:r>
    </w:p>
    <w:p>
      <w:pPr>
        <w:pStyle w:val="TextBody"/>
        <w:bidi w:val="0"/>
        <w:spacing w:lineRule="auto" w:line="288" w:before="220" w:after="283"/>
        <w:jc w:val="center"/>
        <w:rPr/>
      </w:pPr>
      <w:r>
        <w:rPr>
          <w:rFonts w:ascii="Times New Roman;serif" w:hAnsi="Times New Roman;serif"/>
          <w:b/>
          <w:color w:val="000000"/>
          <w:sz w:val="22"/>
        </w:rPr>
        <w:t>[</w:t>
      </w:r>
      <w:r>
        <w:rPr>
          <w:rFonts w:ascii="Times New Roman;serif" w:hAnsi="Times New Roman;serif"/>
          <w:b/>
          <w:i/>
          <w:color w:val="000000"/>
          <w:sz w:val="22"/>
        </w:rPr>
        <w:t>Balance of Page Intentionally Left Blank</w:t>
      </w:r>
      <w:r>
        <w:rPr>
          <w:rFonts w:ascii="Times New Roman;serif" w:hAnsi="Times New Roman;serif"/>
          <w:b/>
          <w:color w:val="000000"/>
          <w:sz w:val="22"/>
        </w:rPr>
        <w:t>]</w:t>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0990"/>
                <wp:effectExtent l="0" t="0" r="0" b="0"/>
                <wp:wrapNone/>
                <wp:docPr id="139" name="Frame136"/>
                <a:graphic xmlns:a="http://schemas.openxmlformats.org/drawingml/2006/main">
                  <a:graphicData uri="http://schemas.microsoft.com/office/word/2010/wordprocessingShape">
                    <wps:wsp>
                      <wps:cNvSpPr txBox="1"/>
                      <wps:spPr>
                        <a:xfrm>
                          <a:off x="0" y="0"/>
                          <a:ext cx="6480175" cy="3009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56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executed as of the Effective Date.</w:t>
      </w:r>
    </w:p>
    <w:p>
      <w:pPr>
        <w:pStyle w:val="TextBody"/>
        <w:bidi w:val="0"/>
        <w:spacing w:before="0" w:after="0"/>
        <w:jc w:val="left"/>
        <w:rPr/>
      </w:pPr>
      <w:r>
        <w:rPr/>
      </w:r>
    </w:p>
    <w:tbl>
      <w:tblPr>
        <w:tblW w:w="4258" w:type="dxa"/>
        <w:jc w:val="left"/>
        <w:tblInd w:w="0" w:type="dxa"/>
        <w:tblLayout w:type="fixed"/>
        <w:tblCellMar>
          <w:top w:w="28" w:type="dxa"/>
          <w:left w:w="28" w:type="dxa"/>
          <w:bottom w:w="28" w:type="dxa"/>
          <w:right w:w="28" w:type="dxa"/>
        </w:tblCellMar>
      </w:tblPr>
      <w:tblGrid>
        <w:gridCol w:w="737"/>
        <w:gridCol w:w="645"/>
        <w:gridCol w:w="645"/>
        <w:gridCol w:w="645"/>
        <w:gridCol w:w="645"/>
        <w:gridCol w:w="941"/>
      </w:tblGrid>
      <w:tr>
        <w:trPr/>
        <w:tc>
          <w:tcPr>
            <w:tcW w:w="7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425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BORROWER:</w:t>
            </w:r>
          </w:p>
        </w:tc>
      </w:tr>
      <w:tr>
        <w:trPr/>
        <w:tc>
          <w:tcPr>
            <w:tcW w:w="20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20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COLLATERAL AGENT AND LENDER:</w:t>
            </w:r>
          </w:p>
        </w:tc>
      </w:tr>
      <w:tr>
        <w:trPr/>
        <w:tc>
          <w:tcPr>
            <w:tcW w:w="20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r>
      <w:tr>
        <w:trPr/>
        <w:tc>
          <w:tcPr>
            <w:tcW w:w="2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Anthony Storino </w:t>
            </w:r>
          </w:p>
        </w:tc>
      </w:tr>
      <w:tr>
        <w:trPr/>
        <w:tc>
          <w:tcPr>
            <w:tcW w:w="2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2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2100"/>
                <wp:effectExtent l="0" t="0" r="0" b="0"/>
                <wp:wrapNone/>
                <wp:docPr id="140" name="Frame1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tbl>
      <w:tblPr>
        <w:tblW w:w="6585" w:type="dxa"/>
        <w:jc w:val="left"/>
        <w:tblInd w:w="0" w:type="dxa"/>
        <w:tblLayout w:type="fixed"/>
        <w:tblCellMar>
          <w:top w:w="28" w:type="dxa"/>
          <w:left w:w="28" w:type="dxa"/>
          <w:bottom w:w="28" w:type="dxa"/>
          <w:right w:w="28" w:type="dxa"/>
        </w:tblCellMar>
      </w:tblPr>
      <w:tblGrid>
        <w:gridCol w:w="2107"/>
        <w:gridCol w:w="1850"/>
        <w:gridCol w:w="2628"/>
      </w:tblGrid>
      <w:tr>
        <w:trPr/>
        <w:tc>
          <w:tcPr>
            <w:tcW w:w="210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LENDERS:</w:t>
            </w:r>
          </w:p>
        </w:tc>
      </w:tr>
      <w:tr>
        <w:trPr/>
        <w:tc>
          <w:tcPr>
            <w:tcW w:w="658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HC ONSHORE FUND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HC BDC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1818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1818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PRIVATE CREDIT FUND II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PRIVATE CREDIT BDC II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PRIVATE CREDIT BDC II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SLR PRIVATE CORPORATE LENDING FUND II SPV (ABL) LLC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CRPTF-SLR CREDIT SPV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CRPTF-SLR CREDIT PARTNERSHIP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SLR DEBT FUND ONE MASTER L.P.</w:t>
            </w:r>
          </w:p>
        </w:tc>
      </w:tr>
    </w:tbl>
    <w:p>
      <w:pPr>
        <w:pStyle w:val="TextBody"/>
        <w:bidi w:val="0"/>
        <w:spacing w:before="0" w:after="0"/>
        <w:jc w:val="left"/>
        <w:rPr/>
      </w:pPr>
      <w:r>
        <w:rPr/>
      </w:r>
    </w:p>
    <w:p>
      <w:pPr>
        <w:pStyle w:val="TextBody"/>
        <w:bidi w:val="0"/>
        <w:spacing w:before="0" w:after="0"/>
        <w:jc w:val="left"/>
        <w:rPr/>
      </w:pPr>
      <w:r>
        <w:rPr/>
      </w:r>
    </w:p>
    <w:tbl>
      <w:tblPr>
        <w:tblW w:w="2955" w:type="dxa"/>
        <w:jc w:val="left"/>
        <w:tblInd w:w="0" w:type="dxa"/>
        <w:tblLayout w:type="fixed"/>
        <w:tblCellMar>
          <w:top w:w="28" w:type="dxa"/>
          <w:left w:w="28" w:type="dxa"/>
          <w:bottom w:w="28" w:type="dxa"/>
          <w:right w:w="28" w:type="dxa"/>
        </w:tblCellMar>
      </w:tblPr>
      <w:tblGrid>
        <w:gridCol w:w="286"/>
        <w:gridCol w:w="253"/>
        <w:gridCol w:w="256"/>
        <w:gridCol w:w="631"/>
        <w:gridCol w:w="631"/>
        <w:gridCol w:w="898"/>
      </w:tblGrid>
      <w:tr>
        <w:trPr/>
        <w:tc>
          <w:tcPr>
            <w:tcW w:w="2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Anthony Storino </w:t>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tc>
      </w:tr>
    </w:tbl>
    <w:p>
      <w:pPr>
        <w:pStyle w:val="TextBody"/>
        <w:bidi w:val="0"/>
        <w:spacing w:before="220" w:after="225"/>
        <w:jc w:val="left"/>
        <w:rPr/>
      </w:pPr>
      <w:r>
        <w:rPr/>
      </w:r>
    </w:p>
    <w:p>
      <w:pPr>
        <w:pStyle w:val="TextBody"/>
        <w:bidi w:val="0"/>
        <w:spacing w:before="220" w:after="225"/>
        <w:jc w:val="left"/>
        <w:rPr/>
      </w:pPr>
      <w:r>
        <w:rPr/>
      </w:r>
    </w:p>
    <w:p>
      <w:pPr>
        <w:pStyle w:val="TextBody"/>
        <w:bidi w:val="0"/>
        <w:spacing w:before="220" w:after="225"/>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92100"/>
                <wp:effectExtent l="0" t="0" r="0" b="0"/>
                <wp:wrapNone/>
                <wp:docPr id="141" name="Frame1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5"/>
        <w:jc w:val="center"/>
        <w:rPr>
          <w:rFonts w:ascii="Times New Roman;serif" w:hAnsi="Times New Roman;serif"/>
          <w:b/>
          <w:color w:val="000000"/>
          <w:sz w:val="22"/>
        </w:rPr>
      </w:pPr>
      <w:r>
        <w:rPr>
          <w:rFonts w:ascii="Times New Roman;serif" w:hAnsi="Times New Roman;serif"/>
          <w:b/>
          <w:color w:val="000000"/>
          <w:sz w:val="22"/>
        </w:rPr>
        <w:t>SCHEDULE 1.1</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Lenders and Commitments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Term A Loans</w:t>
      </w:r>
    </w:p>
    <w:p>
      <w:pPr>
        <w:pStyle w:val="TextBody"/>
        <w:bidi w:val="0"/>
        <w:spacing w:before="0" w:after="0"/>
        <w:jc w:val="center"/>
        <w:rPr/>
      </w:pPr>
      <w:r>
        <w:rPr/>
      </w:r>
    </w:p>
    <w:tbl>
      <w:tblPr>
        <w:tblW w:w="6702" w:type="dxa"/>
        <w:jc w:val="left"/>
        <w:tblInd w:w="0" w:type="dxa"/>
        <w:tblLayout w:type="fixed"/>
        <w:tblCellMar>
          <w:top w:w="28" w:type="dxa"/>
          <w:left w:w="28" w:type="dxa"/>
          <w:bottom w:w="28" w:type="dxa"/>
          <w:right w:w="28" w:type="dxa"/>
        </w:tblCellMar>
      </w:tblPr>
      <w:tblGrid>
        <w:gridCol w:w="862"/>
        <w:gridCol w:w="759"/>
        <w:gridCol w:w="763"/>
        <w:gridCol w:w="949"/>
        <w:gridCol w:w="949"/>
        <w:gridCol w:w="951"/>
        <w:gridCol w:w="430"/>
        <w:gridCol w:w="430"/>
        <w:gridCol w:w="609"/>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A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2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$9,475,251.16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65.94%</w:t>
            </w:r>
          </w:p>
        </w:tc>
      </w:tr>
      <w:tr>
        <w:trPr/>
        <w:tc>
          <w:tcPr>
            <w:tcW w:w="2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$4,044,074.37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28.14%</w:t>
            </w:r>
          </w:p>
        </w:tc>
      </w:tr>
      <w:tr>
        <w:trPr/>
        <w:tc>
          <w:tcPr>
            <w:tcW w:w="2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$851,217.95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5.92%</w:t>
            </w:r>
          </w:p>
        </w:tc>
      </w:tr>
      <w:tr>
        <w:trPr/>
        <w:tc>
          <w:tcPr>
            <w:tcW w:w="238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$14,370,543.48</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B Loans</w:t>
      </w:r>
    </w:p>
    <w:p>
      <w:pPr>
        <w:pStyle w:val="TextBody"/>
        <w:bidi w:val="0"/>
        <w:spacing w:before="0" w:after="0"/>
        <w:jc w:val="center"/>
        <w:rPr/>
      </w:pPr>
      <w:r>
        <w:rPr/>
      </w:r>
    </w:p>
    <w:tbl>
      <w:tblPr>
        <w:tblW w:w="6687" w:type="dxa"/>
        <w:jc w:val="left"/>
        <w:tblInd w:w="0" w:type="dxa"/>
        <w:tblLayout w:type="fixed"/>
        <w:tblCellMar>
          <w:top w:w="28" w:type="dxa"/>
          <w:left w:w="28" w:type="dxa"/>
          <w:bottom w:w="28" w:type="dxa"/>
          <w:right w:w="28" w:type="dxa"/>
        </w:tblCellMar>
      </w:tblPr>
      <w:tblGrid>
        <w:gridCol w:w="862"/>
        <w:gridCol w:w="759"/>
        <w:gridCol w:w="763"/>
        <w:gridCol w:w="944"/>
        <w:gridCol w:w="944"/>
        <w:gridCol w:w="946"/>
        <w:gridCol w:w="430"/>
        <w:gridCol w:w="430"/>
        <w:gridCol w:w="609"/>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B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2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$7,752,478.23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65.94%</w:t>
            </w:r>
          </w:p>
        </w:tc>
      </w:tr>
      <w:tr>
        <w:trPr/>
        <w:tc>
          <w:tcPr>
            <w:tcW w:w="2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$3,308,788.12</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28.14%</w:t>
            </w:r>
          </w:p>
        </w:tc>
      </w:tr>
      <w:tr>
        <w:trPr/>
        <w:tc>
          <w:tcPr>
            <w:tcW w:w="23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$696,451.05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5.92%</w:t>
            </w:r>
          </w:p>
        </w:tc>
      </w:tr>
      <w:tr>
        <w:trPr/>
        <w:tc>
          <w:tcPr>
            <w:tcW w:w="238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$11,757,717.40</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C Loans</w:t>
      </w:r>
    </w:p>
    <w:p>
      <w:pPr>
        <w:pStyle w:val="TextBody"/>
        <w:bidi w:val="0"/>
        <w:spacing w:before="0" w:after="0"/>
        <w:jc w:val="center"/>
        <w:rPr/>
      </w:pPr>
      <w:r>
        <w:rPr/>
      </w:r>
    </w:p>
    <w:tbl>
      <w:tblPr>
        <w:tblW w:w="9732" w:type="dxa"/>
        <w:jc w:val="left"/>
        <w:tblInd w:w="0" w:type="dxa"/>
        <w:tblLayout w:type="fixed"/>
        <w:tblCellMar>
          <w:top w:w="28" w:type="dxa"/>
          <w:left w:w="28" w:type="dxa"/>
          <w:bottom w:w="28" w:type="dxa"/>
          <w:right w:w="28" w:type="dxa"/>
        </w:tblCellMar>
      </w:tblPr>
      <w:tblGrid>
        <w:gridCol w:w="1957"/>
        <w:gridCol w:w="1724"/>
        <w:gridCol w:w="1733"/>
        <w:gridCol w:w="949"/>
        <w:gridCol w:w="949"/>
        <w:gridCol w:w="951"/>
        <w:gridCol w:w="430"/>
        <w:gridCol w:w="430"/>
        <w:gridCol w:w="609"/>
      </w:tblGrid>
      <w:tr>
        <w:trPr/>
        <w:tc>
          <w:tcPr>
            <w:tcW w:w="1957"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C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$15,874,439.36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37.85%</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$7,081,161.26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16.88%</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$1,345,156.00</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3.21%</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$6,168,352.10</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14.71%</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$3,434,372.33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8.19%</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$750,433.17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SPV (ABL)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$1,770,395.23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4.22%</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$1,815,120.06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4.33%</w:t>
            </w:r>
          </w:p>
        </w:tc>
      </w:tr>
      <w:tr>
        <w:trPr/>
        <w:tc>
          <w:tcPr>
            <w:tcW w:w="5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$3,701,011.26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8.82%</w:t>
            </w:r>
          </w:p>
        </w:tc>
      </w:tr>
      <w:tr>
        <w:trPr/>
        <w:tc>
          <w:tcPr>
            <w:tcW w:w="541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$41,940,440.77</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92100"/>
                <wp:effectExtent l="0" t="0" r="0" b="0"/>
                <wp:wrapNone/>
                <wp:docPr id="142" name="Frame1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D Loans</w:t>
      </w:r>
    </w:p>
    <w:p>
      <w:pPr>
        <w:pStyle w:val="TextBody"/>
        <w:bidi w:val="0"/>
        <w:spacing w:before="0" w:after="0"/>
        <w:jc w:val="center"/>
        <w:rPr/>
      </w:pPr>
      <w:r>
        <w:rPr/>
      </w:r>
    </w:p>
    <w:tbl>
      <w:tblPr>
        <w:tblW w:w="9733" w:type="dxa"/>
        <w:jc w:val="center"/>
        <w:tblInd w:w="0" w:type="dxa"/>
        <w:tblLayout w:type="fixed"/>
        <w:tblCellMar>
          <w:top w:w="28" w:type="dxa"/>
          <w:left w:w="28" w:type="dxa"/>
          <w:bottom w:w="28" w:type="dxa"/>
          <w:right w:w="28" w:type="dxa"/>
        </w:tblCellMar>
      </w:tblPr>
      <w:tblGrid>
        <w:gridCol w:w="1958"/>
        <w:gridCol w:w="1724"/>
        <w:gridCol w:w="1733"/>
        <w:gridCol w:w="949"/>
        <w:gridCol w:w="949"/>
        <w:gridCol w:w="951"/>
        <w:gridCol w:w="430"/>
        <w:gridCol w:w="430"/>
        <w:gridCol w:w="609"/>
      </w:tblGrid>
      <w:tr>
        <w:trPr/>
        <w:tc>
          <w:tcPr>
            <w:tcW w:w="195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D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$6,648,079.42</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13.30%</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$2,774,596.63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5.55%</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$556,076.58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$6,384,573.95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12.77%</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$5,581,570.08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$1,219,610.14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2.44%</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SPV (ABL)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$2,965,635.45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5.93%</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$2,969,053.44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5.94%</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SPV LLC</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$13,880,333.35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27.76%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Debt Fund One Master L.P.</w:t>
            </w:r>
          </w:p>
        </w:tc>
        <w:tc>
          <w:tcPr>
            <w:tcW w:w="28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$7,020,470.96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14.04%</w:t>
            </w:r>
          </w:p>
        </w:tc>
      </w:tr>
      <w:tr>
        <w:trPr/>
        <w:tc>
          <w:tcPr>
            <w:tcW w:w="54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w:t>
            </w:r>
          </w:p>
        </w:tc>
        <w:tc>
          <w:tcPr>
            <w:tcW w:w="28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$50,000,000.00</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E Loans</w:t>
      </w:r>
    </w:p>
    <w:p>
      <w:pPr>
        <w:pStyle w:val="TextBody"/>
        <w:bidi w:val="0"/>
        <w:spacing w:before="0" w:after="0"/>
        <w:jc w:val="center"/>
        <w:rPr/>
      </w:pPr>
      <w:r>
        <w:rPr/>
      </w:r>
    </w:p>
    <w:tbl>
      <w:tblPr>
        <w:tblW w:w="9718" w:type="dxa"/>
        <w:jc w:val="center"/>
        <w:tblInd w:w="0" w:type="dxa"/>
        <w:tblLayout w:type="fixed"/>
        <w:tblCellMar>
          <w:top w:w="28" w:type="dxa"/>
          <w:left w:w="28" w:type="dxa"/>
          <w:bottom w:w="28" w:type="dxa"/>
          <w:right w:w="28" w:type="dxa"/>
        </w:tblCellMar>
      </w:tblPr>
      <w:tblGrid>
        <w:gridCol w:w="1958"/>
        <w:gridCol w:w="1724"/>
        <w:gridCol w:w="1733"/>
        <w:gridCol w:w="944"/>
        <w:gridCol w:w="944"/>
        <w:gridCol w:w="946"/>
        <w:gridCol w:w="430"/>
        <w:gridCol w:w="430"/>
        <w:gridCol w:w="609"/>
      </w:tblGrid>
      <w:tr>
        <w:trPr/>
        <w:tc>
          <w:tcPr>
            <w:tcW w:w="195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E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$6,648,079.42</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13.30%</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$2,774,596.63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5.55%</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$556,076.58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L.P.</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$6,384,573.95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12.77%</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$5,581,570.08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SPV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$1,219,610.14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2.44%</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SPV (ABL)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$2,965,635.45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5.93%</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SPV LLC</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$2,969,053.44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5.94%</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Partnership L.P.</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$13,880,333.35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27.76%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Debt Fund One Master L.P.</w:t>
            </w:r>
          </w:p>
        </w:tc>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$7,020,470.96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14.04%</w:t>
            </w:r>
          </w:p>
        </w:tc>
      </w:tr>
      <w:tr>
        <w:trPr/>
        <w:tc>
          <w:tcPr>
            <w:tcW w:w="541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$50,000,000.00</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92100"/>
                <wp:effectExtent l="0" t="0" r="0" b="0"/>
                <wp:wrapNone/>
                <wp:docPr id="143" name="Frame1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F Loans</w:t>
      </w:r>
    </w:p>
    <w:tbl>
      <w:tblPr>
        <w:tblW w:w="8532" w:type="dxa"/>
        <w:jc w:val="center"/>
        <w:tblInd w:w="0" w:type="dxa"/>
        <w:tblLayout w:type="fixed"/>
        <w:tblCellMar>
          <w:top w:w="28" w:type="dxa"/>
          <w:left w:w="28" w:type="dxa"/>
          <w:bottom w:w="28" w:type="dxa"/>
          <w:right w:w="28" w:type="dxa"/>
        </w:tblCellMar>
      </w:tblPr>
      <w:tblGrid>
        <w:gridCol w:w="1535"/>
        <w:gridCol w:w="1350"/>
        <w:gridCol w:w="1359"/>
        <w:gridCol w:w="939"/>
        <w:gridCol w:w="939"/>
        <w:gridCol w:w="941"/>
        <w:gridCol w:w="430"/>
        <w:gridCol w:w="430"/>
        <w:gridCol w:w="609"/>
      </w:tblGrid>
      <w:tr>
        <w:trPr/>
        <w:tc>
          <w:tcPr>
            <w:tcW w:w="153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F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$14,636,247.93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29.27%</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Onshore Fund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$5,954,497.47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11.91%</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LLC</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$1,193,383.04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2.39%</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$9,779,201.47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19.56%</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$3,417,748.68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6.84%</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LLC</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$746,800.78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1.49%</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$1,803,208.54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3.61%</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$1,815,280.58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3.63%</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Partnership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$7,366,193.95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14.73%</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Debt Fund One Master L.P.</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$3,287,437.56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6.57%</w:t>
            </w:r>
          </w:p>
        </w:tc>
      </w:tr>
      <w:tr>
        <w:trPr/>
        <w:tc>
          <w:tcPr>
            <w:tcW w:w="424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$50,000,000.00</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G Loans</w:t>
      </w:r>
    </w:p>
    <w:p>
      <w:pPr>
        <w:pStyle w:val="TextBody"/>
        <w:bidi w:val="0"/>
        <w:spacing w:before="0" w:after="0"/>
        <w:jc w:val="center"/>
        <w:rPr/>
      </w:pPr>
      <w:r>
        <w:rPr/>
      </w:r>
    </w:p>
    <w:tbl>
      <w:tblPr>
        <w:tblW w:w="8577" w:type="dxa"/>
        <w:jc w:val="center"/>
        <w:tblInd w:w="0" w:type="dxa"/>
        <w:tblLayout w:type="fixed"/>
        <w:tblCellMar>
          <w:top w:w="28" w:type="dxa"/>
          <w:left w:w="28" w:type="dxa"/>
          <w:bottom w:w="28" w:type="dxa"/>
          <w:right w:w="28" w:type="dxa"/>
        </w:tblCellMar>
      </w:tblPr>
      <w:tblGrid>
        <w:gridCol w:w="1535"/>
        <w:gridCol w:w="1350"/>
        <w:gridCol w:w="1359"/>
        <w:gridCol w:w="954"/>
        <w:gridCol w:w="954"/>
        <w:gridCol w:w="956"/>
        <w:gridCol w:w="430"/>
        <w:gridCol w:w="430"/>
        <w:gridCol w:w="609"/>
      </w:tblGrid>
      <w:tr>
        <w:trPr/>
        <w:tc>
          <w:tcPr>
            <w:tcW w:w="153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G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$14,636,247.93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29.27%</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Onshore Fund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$5,954,497.47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11.91%</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LLC</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$1,193,383.04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2.39%</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$9,779,201.47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19.56%</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$3,417,748.68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6.84%</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LLC</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$746,800.78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1.49%</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$1,803,208.54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3.61%</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$1,815,280.58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3.63%</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Partnership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$7,366,193.95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14.73%</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Debt Fund One Master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$3,287,437.56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6.57%</w:t>
            </w:r>
          </w:p>
        </w:tc>
      </w:tr>
      <w:tr>
        <w:trPr/>
        <w:tc>
          <w:tcPr>
            <w:tcW w:w="424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$50,000,000.00</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Term H Loans</w:t>
      </w:r>
    </w:p>
    <w:p>
      <w:pPr>
        <w:pStyle w:val="TextBody"/>
        <w:bidi w:val="0"/>
        <w:spacing w:before="0" w:after="0"/>
        <w:jc w:val="center"/>
        <w:rPr/>
      </w:pPr>
      <w:r>
        <w:rPr/>
      </w:r>
    </w:p>
    <w:tbl>
      <w:tblPr>
        <w:tblW w:w="8577" w:type="dxa"/>
        <w:jc w:val="center"/>
        <w:tblInd w:w="0" w:type="dxa"/>
        <w:tblLayout w:type="fixed"/>
        <w:tblCellMar>
          <w:top w:w="28" w:type="dxa"/>
          <w:left w:w="28" w:type="dxa"/>
          <w:bottom w:w="28" w:type="dxa"/>
          <w:right w:w="28" w:type="dxa"/>
        </w:tblCellMar>
      </w:tblPr>
      <w:tblGrid>
        <w:gridCol w:w="1535"/>
        <w:gridCol w:w="1350"/>
        <w:gridCol w:w="1359"/>
        <w:gridCol w:w="954"/>
        <w:gridCol w:w="954"/>
        <w:gridCol w:w="956"/>
        <w:gridCol w:w="430"/>
        <w:gridCol w:w="430"/>
        <w:gridCol w:w="609"/>
      </w:tblGrid>
      <w:tr>
        <w:trPr/>
        <w:tc>
          <w:tcPr>
            <w:tcW w:w="153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28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 H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$9,013,613.39</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28.23%</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Onshore Fund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$4,598,736.39</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14.40%</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LLC</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$761,359.65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2.38%</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$5,546,168.98</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17.37%</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$3,137,305.51</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9.83%</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LLC</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$557,851.07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$1,655,246.37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5.18%</w:t>
            </w:r>
          </w:p>
        </w:tc>
      </w:tr>
      <w:tr>
        <w:trPr/>
        <w:tc>
          <w:tcPr>
            <w:tcW w:w="4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Partnership L.P.</w:t>
            </w:r>
          </w:p>
        </w:tc>
        <w:tc>
          <w:tcPr>
            <w:tcW w:w="28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$6,661,016.99</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20.86%</w:t>
            </w:r>
          </w:p>
        </w:tc>
      </w:tr>
      <w:tr>
        <w:trPr/>
        <w:tc>
          <w:tcPr>
            <w:tcW w:w="424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28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$31,931,298.35</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2100"/>
                <wp:effectExtent l="0" t="0" r="0" b="0"/>
                <wp:wrapNone/>
                <wp:docPr id="144" name="Frame14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Aggregate Commitments</w:t>
      </w:r>
    </w:p>
    <w:p>
      <w:pPr>
        <w:pStyle w:val="TextBody"/>
        <w:bidi w:val="0"/>
        <w:spacing w:before="0" w:after="0"/>
        <w:jc w:val="center"/>
        <w:rPr/>
      </w:pPr>
      <w:r>
        <w:rPr/>
      </w:r>
    </w:p>
    <w:tbl>
      <w:tblPr>
        <w:tblW w:w="10093" w:type="dxa"/>
        <w:jc w:val="center"/>
        <w:tblInd w:w="0" w:type="dxa"/>
        <w:tblLayout w:type="fixed"/>
        <w:tblCellMar>
          <w:top w:w="28" w:type="dxa"/>
          <w:left w:w="28" w:type="dxa"/>
          <w:bottom w:w="28" w:type="dxa"/>
          <w:right w:w="28" w:type="dxa"/>
        </w:tblCellMar>
      </w:tblPr>
      <w:tblGrid>
        <w:gridCol w:w="1958"/>
        <w:gridCol w:w="1723"/>
        <w:gridCol w:w="1734"/>
        <w:gridCol w:w="1069"/>
        <w:gridCol w:w="1069"/>
        <w:gridCol w:w="1071"/>
        <w:gridCol w:w="430"/>
        <w:gridCol w:w="430"/>
        <w:gridCol w:w="609"/>
      </w:tblGrid>
      <w:tr>
        <w:trPr/>
        <w:tc>
          <w:tcPr>
            <w:tcW w:w="195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Lender</w:t>
            </w:r>
          </w:p>
        </w:tc>
        <w:tc>
          <w:tcPr>
            <w:tcW w:w="32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 Term Loan Commitments</w:t>
            </w:r>
          </w:p>
        </w:tc>
        <w:tc>
          <w:tcPr>
            <w:tcW w:w="146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Commitment </w:t>
              <w:br/>
              <w:t>Percentage</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Investment Corp.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$84,684,436.84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28.23%</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Fund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$19,983,217.01</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6.66%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Onshore Fund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$16,507,731.33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5.50%</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$4,004,978.16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1.33%</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HC BDC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$3,148,125.73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$12,552,926.05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4.18%</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1818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$31,489,145.87</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10.50%</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$3,434,372.33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1.14%</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Fund II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$21,135,943.03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7.05%</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$3,189,653.45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Credit BDC II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$2,051,452.63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0.68%</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SPV (ABL)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$7,701,666.13</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2.57%</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Private Corporate Lending Fund II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$5,261,663.45</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$7,753,226.94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2.58%</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Cayman Debt Master Fund II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$3,630,561.16</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1.21%</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SPV LLC</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$17,581,344.61</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5.86%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CRPTF-SLR Credit Partnership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$35,273,738.24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11.76%</w:t>
            </w:r>
          </w:p>
        </w:tc>
      </w:tr>
      <w:tr>
        <w:trPr/>
        <w:tc>
          <w:tcPr>
            <w:tcW w:w="54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SLR Debt Fund One Master L.P.</w:t>
            </w:r>
          </w:p>
        </w:tc>
        <w:tc>
          <w:tcPr>
            <w:tcW w:w="32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$20,615,817.04</w:t>
            </w:r>
          </w:p>
        </w:tc>
        <w:tc>
          <w:tcPr>
            <w:tcW w:w="14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6.87%</w:t>
            </w:r>
          </w:p>
        </w:tc>
      </w:tr>
      <w:tr>
        <w:trPr/>
        <w:tc>
          <w:tcPr>
            <w:tcW w:w="541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r>
          </w:p>
        </w:tc>
        <w:tc>
          <w:tcPr>
            <w:tcW w:w="32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$300,000,000.00</w:t>
            </w:r>
          </w:p>
        </w:tc>
        <w:tc>
          <w:tcPr>
            <w:tcW w:w="14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100.00%</w:t>
            </w:r>
          </w:p>
        </w:tc>
      </w:tr>
    </w:tbl>
    <w:p>
      <w:pPr>
        <w:pStyle w:val="TextBody"/>
        <w:bidi w:val="0"/>
        <w:spacing w:before="22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92100"/>
                <wp:effectExtent l="0" t="0" r="0" b="0"/>
                <wp:wrapNone/>
                <wp:docPr id="145" name="Frame14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220" w:after="283"/>
        <w:jc w:val="center"/>
        <w:rPr>
          <w:rFonts w:ascii="Times New Roman;serif" w:hAnsi="Times New Roman;serif"/>
          <w:b/>
          <w:color w:val="000000"/>
          <w:sz w:val="22"/>
          <w:u w:val="single"/>
        </w:rPr>
      </w:pPr>
      <w:r>
        <w:rPr>
          <w:rFonts w:ascii="Times New Roman;serif" w:hAnsi="Times New Roman;serif"/>
          <w:b/>
          <w:color w:val="000000"/>
          <w:sz w:val="22"/>
          <w:u w:val="single"/>
        </w:rPr>
        <w:t>Description of Collateral</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The Collateral consists of all of Borrower’s and Guarantors’ right, title and interest in and to the following personal property:</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goods, Accounts (including health 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spacing w:lineRule="auto" w:line="288" w:before="220" w:after="407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the Collateral does not include (a) (1) more than 65% of the presently existing and hereafter arising issued and outstanding shares of capital stock owned by Borrower or any Guarantor of any Foreign Subsidiary or any Excluded Domestic Subsidiary which shares entitle the holder thereof to vote for directors or any other matter or (2) any of the stock or other equity interests in any Foreign Subsidiary that is not owned by Borrower or a Guarantor, (b) any interest of Borrower as a lessee or sublessee under a real property lease; (c) rights held under a license or other agreement that are not assignable by their terms without the consent of the counterparty thereof (but only to the extent such restriction on assignment is effective under Section 9-406, 9-407, 9408 or 9-409 of the Code (or any successor provision or provisions) of any relevant jurisdiction or any other applicable law (including the Bankruptcy Code) or principles of equity); (d) any interest of Borrower or any Guarantor as a lessee or borrower under an Equipment lease or Equipment financing if Borrower or such Guarantor, as applicable, is prohibited by the terms of such agreement from granting a security interest in such lease or agreement or under which such an assignment or Lien would cause a default to occur under such lease; provided, however, that upon termination of such prohibition, such interest shall immediately become Collateral without any action by Borrower (or such Guarantor, as applicable), Collateral Agent or any Lender, (e) any Permitted Royalty Account, including any amounts on deposit therein, or (f) any Intellectual Property; provided, however, the Collateral shall include, all Accounts with respect to Intellectual Property and all proceeds of Intellectual Property and any sale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2100"/>
                <wp:effectExtent l="0" t="0" r="0" b="0"/>
                <wp:wrapNone/>
                <wp:docPr id="146" name="Frame14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100" w:after="100"/>
        <w:ind w:left="0" w:right="0" w:firstLine="72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100" w:after="100"/>
        <w:ind w:left="0" w:right="0" w:firstLine="720"/>
        <w:jc w:val="center"/>
        <w:rPr>
          <w:rFonts w:ascii="Times New Roman;serif" w:hAnsi="Times New Roman;serif"/>
          <w:b/>
          <w:color w:val="000000"/>
          <w:sz w:val="22"/>
        </w:rPr>
      </w:pPr>
      <w:r>
        <w:rPr>
          <w:rFonts w:ascii="Times New Roman;serif" w:hAnsi="Times New Roman;serif"/>
          <w:b/>
          <w:color w:val="000000"/>
          <w:sz w:val="22"/>
        </w:rPr>
        <w:t>Collateral Agent and Lender Terms</w:t>
      </w:r>
    </w:p>
    <w:p>
      <w:pPr>
        <w:pStyle w:val="TextBody"/>
        <w:bidi w:val="0"/>
        <w:spacing w:before="0" w:after="0"/>
        <w:ind w:left="0" w:right="0" w:firstLine="720"/>
        <w:jc w:val="center"/>
        <w:rPr/>
      </w:pPr>
      <w:r>
        <w:rPr/>
      </w:r>
    </w:p>
    <w:p>
      <w:pPr>
        <w:pStyle w:val="TextBody"/>
        <w:bidi w:val="0"/>
        <w:spacing w:lineRule="auto" w:line="288" w:before="0" w:after="220"/>
        <w:ind w:left="0" w:right="0" w:hanging="360"/>
        <w:jc w:val="both"/>
        <w:rPr/>
      </w:pPr>
      <w:r>
        <w:rPr>
          <w:rFonts w:ascii="Times New Roman;serif" w:hAnsi="Times New Roman;serif"/>
          <w:b w:val="false"/>
          <w:color w:val="000000"/>
          <w:sz w:val="22"/>
        </w:rPr>
        <w:t>1.    </w:t>
      </w:r>
      <w:r>
        <w:rPr>
          <w:rFonts w:ascii="Times New Roman;serif" w:hAnsi="Times New Roman;serif"/>
          <w:b/>
          <w:color w:val="000000"/>
          <w:sz w:val="22"/>
        </w:rPr>
        <w:t>Appointment of Collateral Agent.</w:t>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Lender hereby appoints SLR (together with any successor Collateral Agent pursuant to Section 7 of this Exhibit B) 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pStyle w:val="TextBody"/>
        <w:bidi w:val="0"/>
        <w:spacing w:lineRule="auto" w:line="288" w:before="0" w:after="220"/>
        <w:ind w:left="0" w:right="0" w:firstLine="1440"/>
        <w:jc w:val="both"/>
        <w:rPr/>
      </w:pPr>
      <w:r>
        <w:rPr>
          <w:rFonts w:ascii="Times New Roman;serif" w:hAnsi="Times New Roman;serif"/>
          <w:b w:val="false"/>
          <w:color w:val="000000"/>
          <w:sz w:val="22"/>
        </w:rPr>
        <w:t xml:space="preserve">(b)    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the Secured Parties for purposes of the perfection of all Liens created by the Loan Documents and all other purposes stated therein, (iv) manage, supervise and otherwise deal with the Collateral as permitted pursuant to the Loan Agreement,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Collateral Agent hereby appoints, authorizes and directs each Lender to act as collateral sub-agent for Collateral Agent and the Lenders for purposes of the perfection of all Liens with respect to the Collateral, including any Deposit Account maintained by Borrower or any Guarantor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Collateral Agent.</w:t>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Under the Loan Documents, and except as expressly set forth in this Exhibit B,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w:t>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2100"/>
                <wp:effectExtent l="0" t="0" r="0" b="0"/>
                <wp:wrapNone/>
                <wp:docPr id="147" name="Frame1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expressly disclaimed in clauses (i) through (iii) above. Except as expressly set forth in the Loan Documents, Collateral Agent shall not have any duty to disclose, and shall not be liable for failure to disclose, any information relating to Borrower or any of its Subsidiaries that is communicated to or obtained by SLR or any of its Affiliates in any capacity.</w:t>
      </w:r>
    </w:p>
    <w:p>
      <w:pPr>
        <w:pStyle w:val="TextBody"/>
        <w:bidi w:val="0"/>
        <w:spacing w:lineRule="auto" w:line="288" w:before="0" w:after="220"/>
        <w:ind w:left="0" w:right="0" w:hanging="360"/>
        <w:jc w:val="both"/>
        <w:rPr/>
      </w:pPr>
      <w:r>
        <w:rPr>
          <w:rFonts w:ascii="Times New Roman;serif" w:hAnsi="Times New Roman;serif"/>
          <w:b w:val="false"/>
          <w:color w:val="000000"/>
          <w:sz w:val="22"/>
        </w:rPr>
        <w:t>2.    </w:t>
      </w:r>
      <w:r>
        <w:rPr>
          <w:rFonts w:ascii="Times New Roman;serif" w:hAnsi="Times New Roman;serif"/>
          <w:b/>
          <w:color w:val="000000"/>
          <w:sz w:val="22"/>
        </w:rPr>
        <w:t xml:space="preserve">Binding Effect; Use of Discretion; E-Systems. </w:t>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Lender, by accepting the benefits of the Loan Documents, agrees that (i) any action taken by Collateral Agent or the Required Lenders (or, if expressly required in any Loan Document, a greater proportion of the Lenders) in accordance with the provisions of the Loan Documents, (ii) any action taken by Collateral Agent in reliance upon the instructions of the Required Lenders (or, where so required, such greater proportion) and (iii) the exercise by Collateral Agent or the Required Lenders (or, where so required, such greater proportion) of the powers set forth herein or therein, together with such other powers as are reasonably incidental thereto, shall be authorized and binding upon all of Lenders.</w:t>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If Collateral Agent shall request instructions from the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the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the Required Lenders or all affected Lenders, as applicable.</w:t>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Collateral Agent is hereby authorized by Borrower and each Lender to establish procedures (and to amend such procedures from time to time) to facilitate administration and servicing of the Term Loans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E-SYSTEMS AND ELECTRONIC TRANSMISSIONS SHALL BE PROVIDED “AS IS” AND “AS AVAILABLE”. NO </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2100"/>
                <wp:effectExtent l="0" t="0" r="0" b="0"/>
                <wp:wrapNone/>
                <wp:docPr id="148" name="Frame14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REPRESENTATION OR WARRANTY OF ANY KIND IS MADE BY AGENT, ANY LENDER OR ANY OF THEIR RELATED PERSONS IN CONNECTION WITH ANY E-SYSTEMS.</w:t>
      </w:r>
    </w:p>
    <w:p>
      <w:pPr>
        <w:pStyle w:val="TextBody"/>
        <w:bidi w:val="0"/>
        <w:spacing w:lineRule="auto" w:line="288" w:before="0" w:after="220"/>
        <w:ind w:left="0" w:right="0" w:firstLine="1080"/>
        <w:jc w:val="both"/>
        <w:rPr/>
      </w:pPr>
      <w:r>
        <w:rPr>
          <w:rFonts w:ascii="Times New Roman;serif" w:hAnsi="Times New Roman;serif"/>
          <w:b w:val="false"/>
          <w:color w:val="000000"/>
          <w:sz w:val="22"/>
        </w:rPr>
        <w:t>3.    </w:t>
      </w:r>
      <w:r>
        <w:rPr>
          <w:rFonts w:ascii="Times New Roman;serif" w:hAnsi="Times New Roman;serif"/>
          <w:b/>
          <w:color w:val="000000"/>
          <w:sz w:val="22"/>
        </w:rPr>
        <w:t>Collateral Agent’s Reliance, Etc.</w:t>
      </w:r>
      <w:r>
        <w:rPr>
          <w:color w:val="000000"/>
        </w:rPr>
        <w:t xml:space="preserve"> </w:t>
      </w:r>
      <w:r>
        <w:rPr>
          <w:rFonts w:ascii="Times New Roman;serif" w:hAnsi="Times New Roman;serif"/>
          <w:b w:val="false"/>
          <w:color w:val="000000"/>
          <w:sz w:val="22"/>
        </w:rPr>
        <w:t xml:space="preserve">Collateral Agent may, without incurring any liability hereunder, (a) consult with any of its Related Persons and, whether or not selected by it, any other advisors, accountants and other experts (including advisors to, and accountants and experts engaged by, Borrower) and (b) rely and act upon any document and information (including those transmitted by electronic transmission) and any telephone message or conversation, in each case believed by it in good faith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labelled “notice of default” (in which case Collateral Agent shall promptly give notice of such receipt to all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Collateral Agent shall not be liable to any Lender for any failure to do so, except to the extent that such failure is attributable to Collateral Agent’s gross negligence or willful misconduct as determined by a final non-appealable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Collateral Agent based thereon.</w:t>
      </w:r>
    </w:p>
    <w:p>
      <w:pPr>
        <w:pStyle w:val="TextBody"/>
        <w:bidi w:val="0"/>
        <w:spacing w:lineRule="auto" w:line="288" w:before="0" w:after="220"/>
        <w:ind w:left="0" w:right="0" w:firstLine="1080"/>
        <w:jc w:val="both"/>
        <w:rPr/>
      </w:pPr>
      <w:r>
        <w:rPr>
          <w:rFonts w:ascii="Times New Roman;serif" w:hAnsi="Times New Roman;serif"/>
          <w:b w:val="false"/>
          <w:color w:val="000000"/>
          <w:sz w:val="22"/>
        </w:rPr>
        <w:t>4.    </w:t>
      </w:r>
      <w:r>
        <w:rPr>
          <w:rFonts w:ascii="Times New Roman;serif" w:hAnsi="Times New Roman;serif"/>
          <w:b/>
          <w:color w:val="000000"/>
          <w:sz w:val="22"/>
        </w:rPr>
        <w:t>Collateral Agent Individually.</w:t>
      </w:r>
      <w:r>
        <w:rPr>
          <w:color w:val="000000"/>
        </w:rPr>
        <w:t xml:space="preserve"> </w:t>
      </w:r>
      <w:r>
        <w:rPr>
          <w:rFonts w:ascii="Times New Roman;serif" w:hAnsi="Times New Roman;serif"/>
          <w:b w:val="false"/>
          <w:color w:val="000000"/>
          <w:sz w:val="22"/>
        </w:rPr>
        <w:t xml:space="preserve">Collateral Agent and its Affiliates may make loans and other extensions of credit to, acquire stock and stock equivalents of, engage in any kind of business with, Borrower or any Affiliate of Borrower as though it were not acting as Collateral Agent and may receive separate fees and other payments therefor. To the extent Collateral Agent or any of its Affiliates makes any Term Loans or otherwise becomes a Lender hereunder, it shall have and may exercise the same rights and powers hereunder and shall be subject to the same obligations and liabilities as any other Lender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2100"/>
                <wp:effectExtent l="0" t="0" r="0" b="0"/>
                <wp:wrapNone/>
                <wp:docPr id="149" name="Frame14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pStyle w:val="TextBody"/>
        <w:bidi w:val="0"/>
        <w:spacing w:lineRule="auto" w:line="288" w:before="0" w:after="220"/>
        <w:ind w:left="0" w:right="0" w:firstLine="1080"/>
        <w:jc w:val="both"/>
        <w:rPr/>
      </w:pPr>
      <w:r>
        <w:rPr>
          <w:rFonts w:ascii="Times New Roman;serif" w:hAnsi="Times New Roman;serif"/>
          <w:b w:val="false"/>
          <w:color w:val="000000"/>
          <w:sz w:val="22"/>
        </w:rPr>
        <w:t>5.    </w:t>
      </w:r>
      <w:r>
        <w:rPr>
          <w:rFonts w:ascii="Times New Roman;serif" w:hAnsi="Times New Roman;serif"/>
          <w:b/>
          <w:color w:val="000000"/>
          <w:sz w:val="22"/>
        </w:rPr>
        <w:t>Lender Credit Decision; Collateral Agent Report.</w:t>
      </w:r>
      <w:r>
        <w:rPr>
          <w:color w:val="000000"/>
        </w:rPr>
        <w:t xml:space="preserve"> </w:t>
      </w:r>
      <w:r>
        <w:rPr>
          <w:rFonts w:ascii="Times New Roman;serif" w:hAnsi="Times New Roman;serif"/>
          <w:b w:val="false"/>
          <w:color w:val="000000"/>
          <w:sz w:val="22"/>
        </w:rPr>
        <w:t>Each Lender acknowledges that it shall, independently and without reliance upon Collateral 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(an “</w:t>
      </w:r>
      <w:r>
        <w:rPr>
          <w:rFonts w:ascii="Times New Roman;serif" w:hAnsi="Times New Roman;serif"/>
          <w:b/>
          <w:color w:val="000000"/>
          <w:sz w:val="22"/>
        </w:rPr>
        <w:t>Collateral Agent Report</w:t>
      </w:r>
      <w:r>
        <w:rPr>
          <w:color w:val="000000"/>
        </w:rPr>
        <w:t>”</w:t>
      </w:r>
      <w:r>
        <w:rPr>
          <w:rFonts w:ascii="Times New Roman;serif" w:hAnsi="Times New Roman;serif"/>
          <w:b w:val="false"/>
          <w:color w:val="000000"/>
          <w:sz w:val="22"/>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 (iv) any work performed by Collateral Agent or Collateral Agent’s Related Persons in 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pStyle w:val="TextBody"/>
        <w:bidi w:val="0"/>
        <w:spacing w:lineRule="auto" w:line="288" w:before="0" w:after="220"/>
        <w:ind w:left="0" w:right="0" w:firstLine="1080"/>
        <w:jc w:val="both"/>
        <w:rPr/>
      </w:pPr>
      <w:r>
        <w:rPr>
          <w:rFonts w:ascii="Times New Roman;serif" w:hAnsi="Times New Roman;serif"/>
          <w:b w:val="false"/>
          <w:color w:val="000000"/>
          <w:sz w:val="22"/>
        </w:rPr>
        <w:t>6.    </w:t>
      </w:r>
      <w:r>
        <w:rPr>
          <w:rFonts w:ascii="Times New Roman;serif" w:hAnsi="Times New Roman;serif"/>
          <w:b/>
          <w:color w:val="000000"/>
          <w:sz w:val="22"/>
        </w:rPr>
        <w:t>Indemnification.</w:t>
      </w:r>
      <w:r>
        <w:rPr>
          <w:color w:val="000000"/>
        </w:rPr>
        <w:t xml:space="preserve"> </w:t>
      </w:r>
      <w:r>
        <w:rPr>
          <w:rFonts w:ascii="Times New Roman;serif" w:hAnsi="Times New Roman;serif"/>
          <w:b w:val="false"/>
          <w:color w:val="000000"/>
          <w:sz w:val="22"/>
        </w:rPr>
        <w:t xml:space="preserve">Each Lender agrees to reimburse Collateral Agent and each of its Related Persons (to the extent not reimbursed by Borrower as required under the Loan Documents (including pursuant to Section 12.2 of the Agreement))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150" name="Frame1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 xml:space="preserve">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(including pursuant to Section 12.2 of the Agreement)),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be liable to Collateral Agent or any of its Related Persons under this Section 6 of this Exhibit B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IRS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Exhibit B.</w:t>
      </w:r>
    </w:p>
    <w:p>
      <w:pPr>
        <w:pStyle w:val="TextBody"/>
        <w:bidi w:val="0"/>
        <w:spacing w:lineRule="auto" w:line="288" w:before="0" w:after="220"/>
        <w:ind w:left="0" w:right="0" w:firstLine="720"/>
        <w:jc w:val="both"/>
        <w:rPr/>
      </w:pPr>
      <w:r>
        <w:rPr>
          <w:rFonts w:ascii="Times New Roman;serif" w:hAnsi="Times New Roman;serif"/>
          <w:b w:val="false"/>
          <w:color w:val="000000"/>
          <w:sz w:val="22"/>
        </w:rPr>
        <w:t>7.    </w:t>
      </w:r>
      <w:r>
        <w:rPr>
          <w:rFonts w:ascii="Times New Roman;serif" w:hAnsi="Times New Roman;serif"/>
          <w:b/>
          <w:color w:val="000000"/>
          <w:sz w:val="22"/>
        </w:rPr>
        <w:t>Successor Collateral Agent.</w:t>
      </w:r>
      <w:r>
        <w:rPr>
          <w:color w:val="000000"/>
        </w:rPr>
        <w:t xml:space="preserve"> </w:t>
      </w:r>
      <w:r>
        <w:rPr>
          <w:rFonts w:ascii="Times New Roman;serif" w:hAnsi="Times New Roman;serif"/>
          <w:b w:val="false"/>
          <w:color w:val="000000"/>
          <w:sz w:val="22"/>
        </w:rPr>
        <w:t>Collateral Agent may resign at any time by delivering notice of such resignation to the Lenders and Borrower, effective on the date set forth in such notice or, if no such date is set forth therein, upon the date such notice shall be effective, in accordance with the terms of this Section 7 of this Exhibit B. If Collateral Agent delivers any such notice, the Required Lenders shall have the right to appoint a successor Collateral Agent. If, after thirty (30) days after the date of the retiring Collateral Agent’s notice of resignation, no successor Collateral Agent has been appointed by the Required Lenders and has accepted such appointment, then the retiring Collateral Agent may, on behalf of the Lenders, appoint a successor Collateral Agent from among the Lenders. Effective immediately upon its resignation, (a) the 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(iv) subject to its rights under Section 2(b) of this Exhibit B,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2100"/>
                <wp:effectExtent l="0" t="0" r="0" b="0"/>
                <wp:wrapNone/>
                <wp:docPr id="151" name="Frame14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ind w:left="0" w:right="0" w:firstLine="720"/>
        <w:jc w:val="both"/>
        <w:rPr/>
      </w:pPr>
      <w:r>
        <w:rPr>
          <w:rFonts w:ascii="Times New Roman;serif" w:hAnsi="Times New Roman;serif"/>
          <w:b w:val="false"/>
          <w:color w:val="000000"/>
          <w:sz w:val="22"/>
        </w:rPr>
        <w:t>8.    </w:t>
      </w:r>
      <w:r>
        <w:rPr>
          <w:rFonts w:ascii="Times New Roman;serif" w:hAnsi="Times New Roman;serif"/>
          <w:b/>
          <w:color w:val="000000"/>
          <w:sz w:val="22"/>
        </w:rPr>
        <w:t>Release of Collateral.</w:t>
      </w:r>
      <w:r>
        <w:rPr>
          <w:color w:val="000000"/>
        </w:rPr>
        <w:t xml:space="preserve"> </w:t>
      </w:r>
      <w:r>
        <w:rPr>
          <w:rFonts w:ascii="Times New Roman;serif" w:hAnsi="Times New Roman;serif"/>
          <w:b w:val="false"/>
          <w:color w:val="000000"/>
          <w:sz w:val="22"/>
        </w:rPr>
        <w:t>Each Lender hereby consents to the release and hereby directs Collateral Agent to release (or in the case of clause (b)(ii) below, release or subordinate) the following:</w:t>
      </w:r>
    </w:p>
    <w:p>
      <w:pPr>
        <w:pStyle w:val="TextBody"/>
        <w:bidi w:val="0"/>
        <w:spacing w:lineRule="auto" w:line="288" w:before="0" w:after="220"/>
        <w:ind w:left="0" w:right="0" w:firstLine="1411"/>
        <w:jc w:val="both"/>
        <w:rPr>
          <w:rFonts w:ascii="Times New Roman;serif" w:hAnsi="Times New Roman;serif"/>
          <w:b w:val="false"/>
          <w:color w:val="000000"/>
          <w:sz w:val="22"/>
        </w:rPr>
      </w:pPr>
      <w:r>
        <w:rPr>
          <w:rFonts w:ascii="Times New Roman;serif" w:hAnsi="Times New Roman;serif"/>
          <w:b w:val="false"/>
          <w:color w:val="000000"/>
          <w:sz w:val="22"/>
        </w:rPr>
        <w:t>(a)    any Guarantor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pStyle w:val="TextBody"/>
        <w:bidi w:val="0"/>
        <w:spacing w:lineRule="auto" w:line="288" w:before="0" w:after="220"/>
        <w:ind w:left="0" w:right="0" w:firstLine="1411"/>
        <w:jc w:val="both"/>
        <w:rPr/>
      </w:pPr>
      <w:r>
        <w:rPr>
          <w:rFonts w:ascii="Times New Roman;serif" w:hAnsi="Times New Roman;serif"/>
          <w:b w:val="false"/>
          <w:color w:val="000000"/>
          <w:sz w:val="22"/>
        </w:rPr>
        <w:t>(b)    any Lien held by Collateral Agent for the benefit of the Secured Parties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 (A) termination of all of the Commitments, (B) the payment in full in cash of all of the Obligations (other than (a) inchoate indemnity obligations, and (ii) other obligations that, by their terms, survive termination of this Agreement, in each case for which no claim has been made), and (C) to the extent requested by Collateral Agent, receipt by Collateral Agent and Lenders of liability releases from Borrower in form and substance acceptable to Collateral Agent (the satisfaction of the conditions in this clause (iii), the “</w:t>
      </w:r>
      <w:r>
        <w:rPr>
          <w:rFonts w:ascii="Times New Roman;serif" w:hAnsi="Times New Roman;serif"/>
          <w:b/>
          <w:color w:val="000000"/>
          <w:sz w:val="22"/>
        </w:rPr>
        <w:t>Termination Date</w:t>
      </w:r>
      <w:r>
        <w:rPr>
          <w:color w:val="000000"/>
        </w:rPr>
        <w:t>”</w:t>
      </w:r>
      <w:r>
        <w:rPr>
          <w:rFonts w:ascii="Times New Roman;serif" w:hAnsi="Times New Roman;serif"/>
          <w:b w:val="false"/>
          <w:color w:val="000000"/>
          <w:sz w:val="22"/>
        </w:rPr>
        <w:t>).</w:t>
      </w:r>
    </w:p>
    <w:p>
      <w:pPr>
        <w:pStyle w:val="TextBody"/>
        <w:bidi w:val="0"/>
        <w:spacing w:lineRule="auto" w:line="288" w:before="0" w:after="220"/>
        <w:ind w:left="0" w:right="0" w:firstLine="720"/>
        <w:jc w:val="both"/>
        <w:rPr/>
      </w:pPr>
      <w:r>
        <w:rPr>
          <w:rFonts w:ascii="Times New Roman;serif" w:hAnsi="Times New Roman;serif"/>
          <w:b w:val="false"/>
          <w:color w:val="000000"/>
          <w:sz w:val="22"/>
        </w:rPr>
        <w:t>9.    </w:t>
      </w:r>
      <w:r>
        <w:rPr>
          <w:rFonts w:ascii="Times New Roman;serif" w:hAnsi="Times New Roman;serif"/>
          <w:b/>
          <w:color w:val="000000"/>
          <w:sz w:val="22"/>
        </w:rPr>
        <w:t>Setoff and Sharing of Payments.</w:t>
      </w:r>
      <w:r>
        <w:rPr>
          <w:color w:val="000000"/>
        </w:rPr>
        <w:t xml:space="preserve"> </w:t>
      </w:r>
      <w:r>
        <w:rPr>
          <w:rFonts w:ascii="Times New Roman;serif" w:hAnsi="Times New Roman;serif"/>
          <w:b w:val="false"/>
          <w:color w:val="000000"/>
          <w:sz w:val="22"/>
        </w:rPr>
        <w:t>In addition to any rights now or hereafter granted under any applicable Requirement of Law and not by way of limitation of any such rights, upon the occurrence and during the continuance of any Event of Default and subject to Section 10(d) of this Exhibit B,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 bankers’ liens, counterclaims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pStyle w:val="TextBody"/>
        <w:bidi w:val="0"/>
        <w:spacing w:lineRule="auto" w:line="288" w:before="0" w:after="220"/>
        <w:ind w:left="0" w:right="0" w:firstLine="720"/>
        <w:jc w:val="both"/>
        <w:rPr/>
      </w:pPr>
      <w:r>
        <w:rPr>
          <w:rFonts w:ascii="Times New Roman;serif" w:hAnsi="Times New Roman;serif"/>
          <w:b w:val="false"/>
          <w:color w:val="000000"/>
          <w:sz w:val="22"/>
        </w:rPr>
        <w:t>10.    </w:t>
      </w:r>
      <w:r>
        <w:rPr>
          <w:rFonts w:ascii="Times New Roman;serif" w:hAnsi="Times New Roman;serif"/>
          <w:b/>
          <w:color w:val="000000"/>
          <w:sz w:val="22"/>
        </w:rPr>
        <w:t>Advances; Payments; Non-Funding Lenders; Actions in Concert.</w:t>
      </w:r>
    </w:p>
    <w:p>
      <w:pPr>
        <w:pStyle w:val="TextBody"/>
        <w:bidi w:val="0"/>
        <w:spacing w:lineRule="auto" w:line="288" w:before="0" w:after="220"/>
        <w:ind w:left="0" w:right="0" w:firstLine="1411"/>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Advances; Payments</w:t>
      </w:r>
      <w:r>
        <w:rPr>
          <w:rFonts w:ascii="Times New Roman;serif" w:hAnsi="Times New Roman;serif"/>
          <w:b w:val="false"/>
          <w:color w:val="000000"/>
          <w:sz w:val="22"/>
        </w:rPr>
        <w:t>. If Collateral Agent receives any payment with respect to a Term Loan for the account of the Lenders on or prior to 2:00 p.m. (New York time) on any Business Day, Collateral Agent shall pay to each applicable Lender such Lender’s Pro Rata Share of such payment on such Business Day. If Collateral Agent receives any payment with respect to a Term Loan for the account of Lenders after 2:00 p.m. (New York time) on any Business Day, Collateral Agent shall pay to each applicable Lender such Lender’s Pro Rata Share of such payment on the next Business Day.</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2100"/>
                <wp:effectExtent l="0" t="0" r="0" b="0"/>
                <wp:wrapNone/>
                <wp:docPr id="152" name="Frame1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ind w:left="0" w:right="0" w:firstLine="1411"/>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Return of Payments</w:t>
      </w:r>
      <w:r>
        <w:rPr>
          <w:rFonts w:ascii="Times New Roman;serif" w:hAnsi="Times New Roman;serif"/>
          <w:b w:val="false"/>
          <w:color w:val="000000"/>
          <w:sz w:val="22"/>
        </w:rPr>
        <w:t>.</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(i)    If Collateral Agent pays an amount to a Lender under this Agreement in the belief or expectation that a related payment has been or will be received by Collateral Agent or on behalf of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(ii)    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pStyle w:val="TextBody"/>
        <w:bidi w:val="0"/>
        <w:spacing w:lineRule="auto" w:line="288" w:before="0" w:after="220"/>
        <w:ind w:left="0" w:right="0" w:firstLine="1411"/>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Non-Funding Lenders</w:t>
      </w:r>
      <w:r>
        <w:rPr>
          <w:rFonts w:ascii="Times New Roman;serif" w:hAnsi="Times New Roman;serif"/>
          <w:b w:val="false"/>
          <w:color w:val="000000"/>
          <w:sz w:val="22"/>
        </w:rPr>
        <w:t>.</w:t>
      </w:r>
    </w:p>
    <w:p>
      <w:pPr>
        <w:pStyle w:val="TextBody"/>
        <w:bidi w:val="0"/>
        <w:spacing w:lineRule="auto" w:line="288" w:before="0" w:after="220"/>
        <w:ind w:left="0" w:right="0" w:firstLine="2146"/>
        <w:jc w:val="both"/>
        <w:rPr/>
      </w:pPr>
      <w:r>
        <w:rPr>
          <w:rFonts w:ascii="Times New Roman;serif" w:hAnsi="Times New Roman;serif"/>
          <w:b w:val="false"/>
          <w:color w:val="000000"/>
          <w:sz w:val="22"/>
        </w:rPr>
        <w:t>(i)    Unless Collateral Agent shall have received notice from a Lender prior to the date of any</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 that such Lender will not make available to Collateral Agent such Lender’s Pro Rata Share of such Term Loan, Collateral Agent may assume that such Lender will make such amount available to it on the date of such Term Loan in accordance with Section 2(b) of this Exhibit B,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pStyle w:val="TextBody"/>
        <w:bidi w:val="0"/>
        <w:spacing w:lineRule="auto" w:line="288" w:before="0" w:after="220"/>
        <w:ind w:left="0" w:right="0" w:firstLine="2146"/>
        <w:jc w:val="both"/>
        <w:rPr/>
      </w:pPr>
      <w:r>
        <w:rPr>
          <w:rFonts w:ascii="Times New Roman;serif" w:hAnsi="Times New Roman;serif"/>
          <w:b w:val="false"/>
          <w:color w:val="000000"/>
          <w:sz w:val="22"/>
        </w:rPr>
        <w:t>(ii)    To the extent that any Lender has failed to fund any Term Loan or any other payments required to be made by it under the Loan Documents after any such Term Loan is required to be made or such payment is due (a “</w:t>
      </w:r>
      <w:r>
        <w:rPr>
          <w:rFonts w:ascii="Times New Roman;serif" w:hAnsi="Times New Roman;serif"/>
          <w:b/>
          <w:color w:val="000000"/>
          <w:sz w:val="22"/>
        </w:rPr>
        <w:t>Non-Funding Lender</w:t>
      </w:r>
      <w:r>
        <w:rPr>
          <w:color w:val="000000"/>
        </w:rPr>
        <w:t>”</w:t>
      </w:r>
      <w:r>
        <w:rPr>
          <w:rFonts w:ascii="Times New Roman;serif" w:hAnsi="Times New Roman;serif"/>
          <w:b w:val="false"/>
          <w:color w:val="000000"/>
          <w:sz w:val="22"/>
        </w:rPr>
        <w:t>), Collateral Agent shall be entitled to set off the funding short-fall against that Non-Funding Lender’s Pro Rata Share of all payments received from or on behalf of Borrower thereunder. The failure of any Non-Funding Lender to make any Term Loan or any payment required by it hereunder shall not relieve any other Lender (each such other Lender, an “</w:t>
      </w:r>
      <w:r>
        <w:rPr>
          <w:rFonts w:ascii="Times New Roman;serif" w:hAnsi="Times New Roman;serif"/>
          <w:b/>
          <w:color w:val="000000"/>
          <w:sz w:val="22"/>
        </w:rPr>
        <w:t>Other Lender</w:t>
      </w:r>
      <w:r>
        <w:rPr>
          <w:color w:val="000000"/>
        </w:rPr>
        <w:t>”</w:t>
      </w:r>
      <w:r>
        <w:rPr>
          <w:rFonts w:ascii="Times New Roman;serif" w:hAnsi="Times New Roman;serif"/>
          <w:b w:val="false"/>
          <w:color w:val="000000"/>
          <w:sz w:val="22"/>
        </w:rPr>
        <w:t xml:space="preserve">)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Lenders”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2100"/>
                <wp:effectExtent l="0" t="0" r="0" b="0"/>
                <wp:wrapNone/>
                <wp:docPr id="153" name="Frame15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pStyle w:val="TextBody"/>
        <w:bidi w:val="0"/>
        <w:spacing w:lineRule="auto" w:line="288" w:before="0" w:after="220"/>
        <w:ind w:left="0" w:right="0" w:firstLine="1411"/>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Actions in Concert</w:t>
      </w:r>
      <w:r>
        <w:rPr>
          <w:rFonts w:ascii="Times New Roman;serif" w:hAnsi="Times New Roman;serif"/>
          <w:b w:val="false"/>
          <w:color w:val="000000"/>
          <w:sz w:val="22"/>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92100"/>
                <wp:effectExtent l="0" t="0" r="0" b="0"/>
                <wp:wrapNone/>
                <wp:docPr id="154" name="Frame1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100" w:after="100"/>
        <w:ind w:left="0" w:right="0" w:firstLine="18"/>
        <w:jc w:val="center"/>
        <w:rPr>
          <w:rFonts w:ascii="Times New Roman;serif" w:hAnsi="Times New Roman;serif"/>
          <w:b/>
          <w:color w:val="000000"/>
          <w:sz w:val="22"/>
        </w:rPr>
      </w:pPr>
      <w:r>
        <w:rPr>
          <w:rFonts w:ascii="Times New Roman;serif" w:hAnsi="Times New Roman;serif"/>
          <w:b/>
          <w:color w:val="000000"/>
          <w:sz w:val="22"/>
        </w:rPr>
        <w:t>EXHIBIT C</w:t>
      </w:r>
    </w:p>
    <w:p>
      <w:pPr>
        <w:pStyle w:val="TextBody"/>
        <w:bidi w:val="0"/>
        <w:spacing w:lineRule="auto" w:line="288" w:before="100" w:after="100"/>
        <w:ind w:left="0" w:right="0" w:firstLine="18"/>
        <w:jc w:val="center"/>
        <w:rPr>
          <w:rFonts w:ascii="Times New Roman;serif" w:hAnsi="Times New Roman;serif"/>
          <w:b/>
          <w:color w:val="000000"/>
          <w:sz w:val="22"/>
        </w:rPr>
      </w:pPr>
      <w:r>
        <w:rPr>
          <w:rFonts w:ascii="Times New Roman;serif" w:hAnsi="Times New Roman;serif"/>
          <w:b/>
          <w:color w:val="000000"/>
          <w:sz w:val="22"/>
        </w:rPr>
        <w:t>Taxes; Increased Costs.</w:t>
      </w:r>
    </w:p>
    <w:p>
      <w:pPr>
        <w:pStyle w:val="TextBody"/>
        <w:bidi w:val="0"/>
        <w:spacing w:lineRule="auto" w:line="288" w:before="0" w:after="220"/>
        <w:ind w:left="0" w:right="0" w:hanging="360"/>
        <w:jc w:val="both"/>
        <w:rPr/>
      </w:pPr>
      <w:r>
        <w:rPr>
          <w:rFonts w:ascii="Times New Roman;serif" w:hAnsi="Times New Roman;serif"/>
          <w:b w:val="false"/>
          <w:color w:val="000000"/>
          <w:sz w:val="22"/>
        </w:rPr>
        <w:t>1.    </w:t>
      </w:r>
      <w:r>
        <w:rPr>
          <w:rFonts w:ascii="Times New Roman;serif" w:hAnsi="Times New Roman;serif"/>
          <w:b/>
          <w:color w:val="000000"/>
          <w:sz w:val="22"/>
        </w:rPr>
        <w:t>Defined Terms.</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Exhibit C: </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(a)    “</w:t>
      </w:r>
      <w:r>
        <w:rPr>
          <w:rFonts w:ascii="Times New Roman;serif" w:hAnsi="Times New Roman;serif"/>
          <w:b/>
          <w:color w:val="000000"/>
          <w:sz w:val="22"/>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(b)    “</w:t>
      </w:r>
      <w:r>
        <w:rPr>
          <w:rFonts w:ascii="Times New Roman;serif" w:hAnsi="Times New Roman;serif"/>
          <w:b/>
          <w:color w:val="000000"/>
          <w:sz w:val="22"/>
        </w:rPr>
        <w:t>Excluded Taxes</w:t>
      </w:r>
      <w:r>
        <w:rPr>
          <w:color w:val="000000"/>
        </w:rPr>
        <w:t xml:space="preserve">” </w:t>
      </w:r>
      <w:r>
        <w:rPr>
          <w:rFonts w:ascii="Times New Roman;serif" w:hAnsi="Times New Roman;serif"/>
          <w:b w:val="false"/>
          <w:color w:val="000000"/>
          <w:sz w:val="22"/>
        </w:rPr>
        <w:t>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Term Loan or Term Loan Commitment pursuant to a law in effect on the date on which (A) such Lender acquires such interest in the Term Loan or Term Commitment or (B) such Lender changes its lending office, except in each case to the extent that, pursuant to Section 2 or Section 4 of this Exhibit C,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Exhibit C and (iv) any withholding Taxes imposed under FATCA.</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(c)</w:t>
      </w:r>
      <w:r>
        <w:rPr>
          <w:color w:val="000000"/>
        </w:rPr>
        <w:t>    “</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(d)</w:t>
      </w:r>
      <w:r>
        <w:rPr>
          <w:color w:val="000000"/>
        </w:rPr>
        <w:t>    “</w:t>
      </w:r>
      <w:r>
        <w:rPr>
          <w:rFonts w:ascii="Times New Roman;serif" w:hAnsi="Times New Roman;serif"/>
          <w:b/>
          <w:color w:val="000000"/>
          <w:sz w:val="22"/>
        </w:rPr>
        <w:t>Foreign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(e)    “</w:t>
      </w:r>
      <w:r>
        <w:rPr>
          <w:rFonts w:ascii="Times New Roman;serif" w:hAnsi="Times New Roman;serif"/>
          <w:b/>
          <w:color w:val="000000"/>
          <w:sz w:val="22"/>
        </w:rPr>
        <w:t>Indemnified Taxes</w:t>
      </w:r>
      <w:r>
        <w:rPr>
          <w:color w:val="000000"/>
        </w:rPr>
        <w:t xml:space="preserve">” </w:t>
      </w:r>
      <w:r>
        <w:rPr>
          <w:rFonts w:ascii="Times New Roman;serif" w:hAnsi="Times New Roman;serif"/>
          <w:b w:val="false"/>
          <w:color w:val="000000"/>
          <w:sz w:val="22"/>
        </w:rPr>
        <w:t>means (i) Taxes, other than Excluded Taxes, imposed on or with respect to any payment made by or on account of any obligation of Borrower under any Loan Document and (ii) to the extent not otherwise described in clause (i), Other Taxes.</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(f)    “</w:t>
      </w:r>
      <w:r>
        <w:rPr>
          <w:rFonts w:ascii="Times New Roman;serif" w:hAnsi="Times New Roman;serif"/>
          <w:b/>
          <w:color w:val="000000"/>
          <w:sz w:val="22"/>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(g)</w:t>
      </w:r>
      <w:r>
        <w:rPr>
          <w:color w:val="000000"/>
        </w:rPr>
        <w:t>    “</w:t>
      </w:r>
      <w:r>
        <w:rPr>
          <w:rFonts w:ascii="Times New Roman;serif" w:hAnsi="Times New Roman;serif"/>
          <w:b/>
          <w:color w:val="000000"/>
          <w:sz w:val="22"/>
        </w:rPr>
        <w:t>Other Taxes</w:t>
      </w:r>
      <w:r>
        <w:rPr>
          <w:color w:val="000000"/>
        </w:rPr>
        <w:t xml:space="preserve">” </w:t>
      </w:r>
      <w:r>
        <w:rPr>
          <w:rFonts w:ascii="Times New Roman;serif" w:hAnsi="Times New Roman;serif"/>
          <w:b w:val="false"/>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2100"/>
                <wp:effectExtent l="0" t="0" r="0" b="0"/>
                <wp:wrapNone/>
                <wp:docPr id="155" name="Frame1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(h)    “</w:t>
      </w:r>
      <w:r>
        <w:rPr>
          <w:rFonts w:ascii="Times New Roman;serif" w:hAnsi="Times New Roman;serif"/>
          <w:b/>
          <w:color w:val="000000"/>
          <w:sz w:val="22"/>
        </w:rPr>
        <w:t>Recipient</w:t>
      </w:r>
      <w:r>
        <w:rPr>
          <w:color w:val="000000"/>
        </w:rPr>
        <w:t xml:space="preserve">” </w:t>
      </w:r>
      <w:r>
        <w:rPr>
          <w:rFonts w:ascii="Times New Roman;serif" w:hAnsi="Times New Roman;serif"/>
          <w:b w:val="false"/>
          <w:color w:val="000000"/>
          <w:sz w:val="22"/>
        </w:rPr>
        <w:t>means Collateral Agent or any Lender, as applicable.</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(i)    “</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Internal Revenue Code.</w:t>
      </w:r>
    </w:p>
    <w:p>
      <w:pPr>
        <w:pStyle w:val="TextBody"/>
        <w:bidi w:val="0"/>
        <w:spacing w:lineRule="auto" w:line="288" w:before="0" w:after="220"/>
        <w:ind w:left="0" w:right="0" w:firstLine="720"/>
        <w:jc w:val="both"/>
        <w:rPr/>
      </w:pPr>
      <w:r>
        <w:rPr>
          <w:color w:val="000000"/>
        </w:rPr>
        <w:t>    </w:t>
      </w:r>
      <w:r>
        <w:rPr>
          <w:rFonts w:ascii="Times New Roman;serif" w:hAnsi="Times New Roman;serif"/>
          <w:b w:val="false"/>
          <w:color w:val="000000"/>
          <w:sz w:val="22"/>
        </w:rPr>
        <w:t>(j)</w:t>
      </w:r>
      <w:r>
        <w:rPr>
          <w:color w:val="000000"/>
        </w:rPr>
        <w:t>    “</w:t>
      </w:r>
      <w:r>
        <w:rPr>
          <w:rFonts w:ascii="Times New Roman;serif" w:hAnsi="Times New Roman;serif"/>
          <w:b/>
          <w:color w:val="000000"/>
          <w:sz w:val="22"/>
        </w:rPr>
        <w:t>Withholding Agent</w:t>
      </w:r>
      <w:r>
        <w:rPr>
          <w:color w:val="000000"/>
        </w:rPr>
        <w:t xml:space="preserve">” </w:t>
      </w:r>
      <w:r>
        <w:rPr>
          <w:rFonts w:ascii="Times New Roman;serif" w:hAnsi="Times New Roman;serif"/>
          <w:b w:val="false"/>
          <w:color w:val="000000"/>
          <w:sz w:val="22"/>
        </w:rPr>
        <w:t>means Borrower and Collateral Agent.</w:t>
      </w:r>
    </w:p>
    <w:p>
      <w:pPr>
        <w:pStyle w:val="TextBody"/>
        <w:bidi w:val="0"/>
        <w:spacing w:lineRule="auto" w:line="288" w:before="0" w:after="220"/>
        <w:ind w:left="0" w:right="0" w:firstLine="720"/>
        <w:jc w:val="both"/>
        <w:rPr/>
      </w:pPr>
      <w:r>
        <w:rPr>
          <w:rFonts w:ascii="Times New Roman;serif" w:hAnsi="Times New Roman;serif"/>
          <w:b w:val="false"/>
          <w:color w:val="000000"/>
          <w:sz w:val="22"/>
        </w:rPr>
        <w:t>2.    </w:t>
      </w:r>
      <w:r>
        <w:rPr>
          <w:rFonts w:ascii="Times New Roman;serif" w:hAnsi="Times New Roman;serif"/>
          <w:b/>
          <w:color w:val="000000"/>
          <w:sz w:val="22"/>
        </w:rPr>
        <w:t xml:space="preserve">Payments Free of Taxes. </w:t>
      </w:r>
      <w:r>
        <w:rPr>
          <w:rFonts w:ascii="Times New Roman;serif" w:hAnsi="Times New Roman;serif"/>
          <w:b w:val="false"/>
          <w:color w:val="000000"/>
          <w:sz w:val="22"/>
        </w:rPr>
        <w:t xml:space="preserve">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Exhibit C) the applicable Recipient receives an amount equal to the sum it would have received had no such deduction or withholding been made. </w:t>
      </w:r>
    </w:p>
    <w:p>
      <w:pPr>
        <w:pStyle w:val="TextBody"/>
        <w:bidi w:val="0"/>
        <w:spacing w:lineRule="auto" w:line="288" w:before="0" w:after="220"/>
        <w:ind w:left="0" w:right="0" w:firstLine="720"/>
        <w:jc w:val="both"/>
        <w:rPr/>
      </w:pPr>
      <w:r>
        <w:rPr>
          <w:rFonts w:ascii="Times New Roman;serif" w:hAnsi="Times New Roman;serif"/>
          <w:b w:val="false"/>
          <w:color w:val="000000"/>
          <w:sz w:val="22"/>
        </w:rPr>
        <w:t>3.    </w:t>
      </w:r>
      <w:r>
        <w:rPr>
          <w:rFonts w:ascii="Times New Roman;serif" w:hAnsi="Times New Roman;serif"/>
          <w:b/>
          <w:color w:val="000000"/>
          <w:sz w:val="22"/>
        </w:rPr>
        <w:t>Payment of Other Taxes by Borrower.</w:t>
      </w:r>
      <w:r>
        <w:rPr>
          <w:color w:val="000000"/>
        </w:rPr>
        <w:t xml:space="preserve"> </w:t>
      </w:r>
      <w:r>
        <w:rPr>
          <w:rFonts w:ascii="Times New Roman;serif" w:hAnsi="Times New Roman;serif"/>
          <w:b w:val="false"/>
          <w:color w:val="000000"/>
          <w:sz w:val="22"/>
        </w:rPr>
        <w:t>Borrower shall timely pay to the relevant Governmental Authority in accordance with applicable law, or at the option of Collateral Agent timely reimburse it for the payment of, any Other Taxes.</w:t>
      </w:r>
    </w:p>
    <w:p>
      <w:pPr>
        <w:pStyle w:val="TextBody"/>
        <w:bidi w:val="0"/>
        <w:spacing w:lineRule="auto" w:line="288" w:before="0" w:after="220"/>
        <w:ind w:left="0" w:right="0" w:firstLine="720"/>
        <w:jc w:val="both"/>
        <w:rPr/>
      </w:pPr>
      <w:r>
        <w:rPr>
          <w:rFonts w:ascii="Times New Roman;serif" w:hAnsi="Times New Roman;serif"/>
          <w:b w:val="false"/>
          <w:color w:val="000000"/>
          <w:sz w:val="22"/>
        </w:rPr>
        <w:t>4.    </w:t>
      </w:r>
      <w:r>
        <w:rPr>
          <w:rFonts w:ascii="Times New Roman;serif" w:hAnsi="Times New Roman;serif"/>
          <w:b/>
          <w:color w:val="000000"/>
          <w:sz w:val="22"/>
        </w:rPr>
        <w:t xml:space="preserve">Indemnification by Borrower. </w:t>
      </w:r>
      <w:r>
        <w:rPr>
          <w:rFonts w:ascii="Times New Roman;serif" w:hAnsi="Times New Roman;serif"/>
          <w:b w:val="false"/>
          <w:color w:val="000000"/>
          <w:sz w:val="22"/>
        </w:rPr>
        <w:t>Borrower shall indemnify each Recipient, within ten (10) days after demand therefor, for the full amount of any Indemnified Taxes (including Indemnified Taxes imposed or asserted on or attributable to amounts payable under Section 2 of this Exhibit C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Collateral Agent), or by Collateral Agent on its own behalf or on behalf of a Lender, shall be conclusive absent manifest error.</w:t>
      </w:r>
    </w:p>
    <w:p>
      <w:pPr>
        <w:pStyle w:val="TextBody"/>
        <w:bidi w:val="0"/>
        <w:spacing w:lineRule="auto" w:line="288" w:before="0" w:after="220"/>
        <w:ind w:left="0" w:right="0" w:firstLine="720"/>
        <w:jc w:val="both"/>
        <w:rPr/>
      </w:pPr>
      <w:r>
        <w:rPr>
          <w:rFonts w:ascii="Times New Roman;serif" w:hAnsi="Times New Roman;serif"/>
          <w:b w:val="false"/>
          <w:color w:val="000000"/>
          <w:sz w:val="22"/>
        </w:rPr>
        <w:t>5.    </w:t>
      </w:r>
      <w:r>
        <w:rPr>
          <w:rFonts w:ascii="Times New Roman;serif" w:hAnsi="Times New Roman;serif"/>
          <w:b/>
          <w:color w:val="000000"/>
          <w:sz w:val="22"/>
        </w:rPr>
        <w:t xml:space="preserve">Indemnification by the Lenders. </w:t>
      </w:r>
      <w:r>
        <w:rPr>
          <w:rFonts w:ascii="Times New Roman;serif" w:hAnsi="Times New Roman;serif"/>
          <w:b w:val="false"/>
          <w:color w:val="000000"/>
          <w:sz w:val="22"/>
        </w:rPr>
        <w:t>Each Lender shall severally indemnify Collateral Agent, within ten (10) days after demand therefor, for (a) any Indemnified Taxes attributable to such Lender (but only to the extent that Borrower has not already indemnified Collateral Agent for such Indemnified Taxes and without limiting the obligation of Borrower to do so), (b) any Taxes attributable to such Lender’s failure to comply with the provisions of Section 12.1 of the Agreement relating to the maintenance of a Participant Register and (c) any Excluded Taxes attributable to such Lender, in each case, that are payable or paid by Collateral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Collateral Agent shall be conclusive absent manifest error. Each Lender hereby authorizes Collateral Agent to set off and apply any and all amounts at any time owing to such Lender under any Loan Document or otherwise payable by Collateral Agent to the Lender from any other source against any amount due to Collateral Agent under this Section 5.</w:t>
      </w:r>
    </w:p>
    <w:p>
      <w:pPr>
        <w:pStyle w:val="TextBody"/>
        <w:bidi w:val="0"/>
        <w:spacing w:lineRule="auto" w:line="288" w:before="0" w:after="220"/>
        <w:ind w:left="0" w:right="0" w:firstLine="720"/>
        <w:jc w:val="both"/>
        <w:rPr/>
      </w:pPr>
      <w:r>
        <w:rPr>
          <w:rFonts w:ascii="Times New Roman;serif" w:hAnsi="Times New Roman;serif"/>
          <w:b w:val="false"/>
          <w:color w:val="000000"/>
          <w:sz w:val="22"/>
        </w:rPr>
        <w:t>6.    </w:t>
      </w:r>
      <w:r>
        <w:rPr>
          <w:rFonts w:ascii="Times New Roman;serif" w:hAnsi="Times New Roman;serif"/>
          <w:b/>
          <w:color w:val="000000"/>
          <w:sz w:val="22"/>
        </w:rPr>
        <w:t>Evidence of Payments.</w:t>
      </w:r>
      <w:r>
        <w:rPr>
          <w:color w:val="000000"/>
        </w:rPr>
        <w:t xml:space="preserve"> </w:t>
      </w:r>
      <w:r>
        <w:rPr>
          <w:rFonts w:ascii="Times New Roman;serif" w:hAnsi="Times New Roman;serif"/>
          <w:b w:val="false"/>
          <w:color w:val="000000"/>
          <w:sz w:val="22"/>
        </w:rPr>
        <w:t xml:space="preserve">As soon as practicable after any payment of Taxes by Borrower to a Governmental Authority pursuant to the provisions of this Exhibit C, Borrower shall deliver to Collateral Agent the original or a certified copy of a receipt issued by such Governmental Authority evidencing such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2100"/>
                <wp:effectExtent l="0" t="0" r="0" b="0"/>
                <wp:wrapNone/>
                <wp:docPr id="156" name="Frame15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2"/>
        </w:rPr>
      </w:pPr>
      <w:r>
        <w:rPr>
          <w:rFonts w:ascii="Times New Roman;serif" w:hAnsi="Times New Roman;serif"/>
          <w:b w:val="false"/>
          <w:color w:val="000000"/>
          <w:sz w:val="22"/>
        </w:rPr>
        <w:t>payment, a copy of the return reporting such payment or other evidence of such payment reasonably satisfactory to Collateral Agent.</w:t>
      </w:r>
    </w:p>
    <w:p>
      <w:pPr>
        <w:pStyle w:val="TextBody"/>
        <w:bidi w:val="0"/>
        <w:spacing w:lineRule="auto" w:line="288" w:before="0" w:after="220"/>
        <w:ind w:left="0" w:right="0" w:firstLine="720"/>
        <w:jc w:val="both"/>
        <w:rPr/>
      </w:pPr>
      <w:r>
        <w:rPr>
          <w:rFonts w:ascii="Times New Roman;serif" w:hAnsi="Times New Roman;serif"/>
          <w:b w:val="false"/>
          <w:color w:val="000000"/>
          <w:sz w:val="22"/>
        </w:rPr>
        <w:t>7.    </w:t>
      </w:r>
      <w:r>
        <w:rPr>
          <w:rFonts w:ascii="Times New Roman;serif" w:hAnsi="Times New Roman;serif"/>
          <w:b/>
          <w:color w:val="000000"/>
          <w:sz w:val="22"/>
        </w:rPr>
        <w:t xml:space="preserve">Status of Lenders. </w:t>
      </w:r>
    </w:p>
    <w:p>
      <w:pPr>
        <w:pStyle w:val="TextBody"/>
        <w:bidi w:val="0"/>
        <w:spacing w:lineRule="auto" w:line="288" w:before="0" w:after="220"/>
        <w:ind w:left="0" w:right="0" w:firstLine="1411"/>
        <w:jc w:val="both"/>
        <w:rPr>
          <w:rFonts w:ascii="Times New Roman;serif" w:hAnsi="Times New Roman;serif"/>
          <w:b w:val="false"/>
          <w:color w:val="000000"/>
          <w:sz w:val="22"/>
        </w:rPr>
      </w:pPr>
      <w:r>
        <w:rPr>
          <w:rFonts w:ascii="Times New Roman;serif" w:hAnsi="Times New Roman;serif"/>
          <w:b w:val="false"/>
          <w:color w:val="000000"/>
          <w:sz w:val="22"/>
        </w:rPr>
        <w:t>(a)    Any Lender that is entitled to an exemption from or reduction of withholding Tax with respect to payments made under any Loan Document shall deliver to Borrower and Collateral Agent, at the time or times reasonably requested by Borrower or Collateral Agent, such properly completed and executed documentation reasonably requested by Borrower or Collateral Agent as will permit such payments to be made without withholding or at a reduced rate of withholding. In addition, any Lender, if reasonably requested by Borrower or Collateral Agent, shall deliver such other documentation prescribed by applicable law or reasonably requested by Borrower or Collateral Agent as will enable Borrower or Collateral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Exhibit C)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0" w:after="220"/>
        <w:ind w:left="0" w:right="0" w:firstLine="1411"/>
        <w:jc w:val="both"/>
        <w:rPr>
          <w:rFonts w:ascii="Times New Roman;serif" w:hAnsi="Times New Roman;serif"/>
          <w:b w:val="false"/>
          <w:color w:val="000000"/>
          <w:sz w:val="22"/>
        </w:rPr>
      </w:pPr>
      <w:r>
        <w:rPr>
          <w:rFonts w:ascii="Times New Roman;serif" w:hAnsi="Times New Roman;serif"/>
          <w:b w:val="false"/>
          <w:color w:val="000000"/>
          <w:sz w:val="22"/>
        </w:rPr>
        <w:t>(b)    Without limiting the generality of the foregoing, in the event that Borrower is a U.S. Person,</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(i)    any Lender that is a U.S. Person shall deliver to Borrower and Collateral Agent on or prior to the date on which such Lender becomes a Lender under this Agreement (and from time to time thereafter upon the reasonable request of Borrower or Collateral Agent), executed copies of IRS Form W-9 certifying that such Lender is exempt from U.S. federal backup withholding tax;</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(ii)    any Foreign Lender shall, to the extent it is legally entitled to do so, deliver to Borrower and Collateral Agent (in such number of copies as shall be requested by the recipient) on or prior to the date on which such Foreign Lender becomes a Lender under this Agreement (and from time to time thereafter upon the reasonable request of Borrower or Collateral Agent), whichever of the following is applicable:</w:t>
      </w:r>
    </w:p>
    <w:p>
      <w:pPr>
        <w:pStyle w:val="TextBody"/>
        <w:bidi w:val="0"/>
        <w:spacing w:lineRule="auto" w:line="288"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(A)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lineRule="auto" w:line="288"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(B)    executed copies of IRS Form W-8ECI;</w:t>
      </w:r>
    </w:p>
    <w:p>
      <w:pPr>
        <w:pStyle w:val="TextBody"/>
        <w:bidi w:val="0"/>
        <w:spacing w:lineRule="auto" w:line="288"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(C)    in the case of a Foreign Lender claiming the benefits of the exemption for portfolio interest under Section 881(c) of the Internal Revenue Code, (x) a certificate, in form and substance reasonably acceptable to Borrower and Collateral Agent, to the effect that such Foreign Lender (or other applicable Person) is not a “bank” within the meaning of Section 881(c)(3)(A)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92100"/>
                <wp:effectExtent l="0" t="0" r="0" b="0"/>
                <wp:wrapNone/>
                <wp:docPr id="157" name="Frame1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Internal Revenue Code, a “10 percent shareholder” of Borrower within the meaning of Section 871(h)(3)(B) of the Internal Revenue Code, or a “controlled foreign corporation” related to Borrower as described in Section 881(c)(3)(C) of the Internal Revenue Code (a “</w:t>
      </w:r>
      <w:r>
        <w:rPr>
          <w:rFonts w:ascii="Times New Roman;serif" w:hAnsi="Times New Roman;serif"/>
          <w:b/>
          <w:color w:val="000000"/>
          <w:sz w:val="22"/>
        </w:rPr>
        <w:t>U.S. Tax Compliance Certificate</w:t>
      </w:r>
      <w:r>
        <w:rPr>
          <w:color w:val="000000"/>
        </w:rPr>
        <w:t>”</w:t>
      </w:r>
      <w:r>
        <w:rPr>
          <w:rFonts w:ascii="Times New Roman;serif" w:hAnsi="Times New Roman;serif"/>
          <w:b w:val="false"/>
          <w:color w:val="000000"/>
          <w:sz w:val="22"/>
        </w:rPr>
        <w:t>) and (y) executed copies of IRS Form W-8BEN or IRS Form W-8BEN-E; or</w:t>
      </w:r>
    </w:p>
    <w:p>
      <w:pPr>
        <w:pStyle w:val="TextBody"/>
        <w:bidi w:val="0"/>
        <w:spacing w:lineRule="auto" w:line="288"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(D)    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(iii)    any Foreign Lender shall, to the extent it is legally entitled to do so, deliver to Borrower and Collateral Agent (in such number of copies as shall be requested by the recipient) on or prior to the date on which such Foreign Lender becomes a Lender under this Agreement (and from time to time thereafter upon the reasonable request of Borrower or Collateral Agent), executed copies of any other form prescribed by applicable law as a basis for claiming exemption from or a reduction in U.S. federal withholding Tax, duly completed, together with such supplementary documentation as may be prescribed by applicable law to permit Borrower or Collateral Agent to determine the withholding or deduction required to be made; and</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(iv)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Collateral Agent at the time or times prescribed by law and at such time or times reasonably requested by Borrower or Collateral Agent such documentation prescribed by applicable law (including as prescribed by Section 1471(b)(3)(C)(i) of the Internal Revenue Code) and such additional documentation reasonably requested by Borrower or Collateral Agent as may be necessary for Borrower and Collateral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pStyle w:val="TextBody"/>
        <w:bidi w:val="0"/>
        <w:spacing w:lineRule="auto" w:line="288" w:before="0" w:after="220"/>
        <w:ind w:left="0" w:right="0" w:firstLine="2146"/>
        <w:jc w:val="both"/>
        <w:rPr>
          <w:rFonts w:ascii="Times New Roman;serif" w:hAnsi="Times New Roman;serif"/>
          <w:b w:val="false"/>
          <w:color w:val="000000"/>
          <w:sz w:val="22"/>
        </w:rPr>
      </w:pPr>
      <w:r>
        <w:rPr>
          <w:rFonts w:ascii="Times New Roman;serif" w:hAnsi="Times New Roman;serif"/>
          <w:b w:val="false"/>
          <w:color w:val="000000"/>
          <w:sz w:val="22"/>
        </w:rPr>
        <w:t>(v)    Each Lender agrees that if any form or certification it previously delivered expires or becomes obsolete or inaccurate in any respect, it shall update such form or certification or promptly notify Borrower and Collateral Agent in writing of its legal inability to do so.</w:t>
      </w:r>
    </w:p>
    <w:p>
      <w:pPr>
        <w:pStyle w:val="TextBody"/>
        <w:bidi w:val="0"/>
        <w:spacing w:lineRule="auto" w:line="288" w:before="0" w:after="220"/>
        <w:ind w:left="0" w:right="0" w:firstLine="720"/>
        <w:jc w:val="both"/>
        <w:rPr/>
      </w:pPr>
      <w:r>
        <w:rPr>
          <w:rFonts w:ascii="Times New Roman;serif" w:hAnsi="Times New Roman;serif"/>
          <w:b w:val="false"/>
          <w:color w:val="000000"/>
          <w:sz w:val="22"/>
        </w:rPr>
        <w:t>8.    </w:t>
      </w:r>
      <w:r>
        <w:rPr>
          <w:rFonts w:ascii="Times New Roman;serif" w:hAnsi="Times New Roman;serif"/>
          <w:b/>
          <w:color w:val="000000"/>
          <w:sz w:val="22"/>
        </w:rPr>
        <w:t>Treatment of Certain Refunds.</w:t>
      </w:r>
      <w:r>
        <w:rPr>
          <w:color w:val="000000"/>
        </w:rPr>
        <w:t xml:space="preserve"> </w:t>
      </w:r>
      <w:r>
        <w:rPr>
          <w:rFonts w:ascii="Times New Roman;serif" w:hAnsi="Times New Roman;serif"/>
          <w:b w:val="false"/>
          <w:color w:val="000000"/>
          <w:sz w:val="22"/>
        </w:rPr>
        <w:t xml:space="preserve">If any party determines, in its sole discretion exercised in good faith, that it has received a refund of any Taxes as to which it has been indemnified pursuant to the provisions of this Exhibit C (including by the payment of additional amounts pursuant to the provisions of this Exhibit C), it shall pay to the indemnifying party an amount equal to such refund (but only to the extent of indemnity payments made under the provisions of this Exhibit C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2100"/>
                <wp:effectExtent l="0" t="0" r="0" b="0"/>
                <wp:wrapNone/>
                <wp:docPr id="158" name="Frame1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color w:val="000000"/>
          <w:sz w:val="22"/>
        </w:rPr>
        <w:t xml:space="preserve">Increased Costs. </w:t>
      </w:r>
      <w:r>
        <w:rPr>
          <w:rFonts w:ascii="Times New Roman;serif" w:hAnsi="Times New Roman;serif"/>
          <w:b w:val="false"/>
          <w:color w:val="000000"/>
          <w:sz w:val="22"/>
        </w:rPr>
        <w:t>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Term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color w:val="000000"/>
          <w:sz w:val="22"/>
          <w:u w:val="single"/>
        </w:rPr>
        <w:t>AHYDO</w:t>
      </w:r>
      <w:r>
        <w:rPr>
          <w:rFonts w:ascii="Times New Roman;serif" w:hAnsi="Times New Roman;serif"/>
          <w:b w:val="false"/>
          <w:color w:val="000000"/>
          <w:sz w:val="22"/>
        </w:rPr>
        <w:t>. Notwithstanding anything in this Agreement or in any other Loan Document to the contrary, if any Term Loan remains outstanding after the fifth (5th) anniversary of the initial issuance thereof and the aggregate amount that would be includible in the gross income of a Lender with respect to the Term Loan (within the meaning of Section 163(i) of the Internal Revenue Code or any successor provision) for the periods ending on or before any Payment Date that occurs after such fifth (5th) anniversary (the “</w:t>
      </w:r>
      <w:r>
        <w:rPr>
          <w:rFonts w:ascii="Times New Roman;serif" w:hAnsi="Times New Roman;serif"/>
          <w:b/>
          <w:color w:val="000000"/>
          <w:sz w:val="22"/>
        </w:rPr>
        <w:t>Aggregate Accrual</w:t>
      </w:r>
      <w:r>
        <w:rPr>
          <w:color w:val="000000"/>
        </w:rPr>
        <w:t>”</w:t>
      </w:r>
      <w:r>
        <w:rPr>
          <w:rFonts w:ascii="Times New Roman;serif" w:hAnsi="Times New Roman;serif"/>
          <w:b w:val="false"/>
          <w:color w:val="000000"/>
          <w:sz w:val="22"/>
        </w:rPr>
        <w:t>) would otherwise exceed an amount equal to the sum of (i) the aggregate amount of interest to be paid (within the meaning of Section 163(i) of the Internal Revenue Code) under the Term Loan on or before such Payment Date, and (ii) the product of (A) the issue price (as defined in Section 1273(b) of the Internal Revenue Code) of the Term Loan and (B) the yield to maturity (interpreted in accordance with Section 163(i) of the Internal Revenue Code) of the Term Loan (such sum, the “</w:t>
      </w:r>
      <w:r>
        <w:rPr>
          <w:rFonts w:ascii="Times New Roman;serif" w:hAnsi="Times New Roman;serif"/>
          <w:b/>
          <w:color w:val="000000"/>
          <w:sz w:val="22"/>
        </w:rPr>
        <w:t>Maximum Accrual</w:t>
      </w:r>
      <w:r>
        <w:rPr>
          <w:color w:val="000000"/>
        </w:rPr>
        <w:t>”</w:t>
      </w:r>
      <w:r>
        <w:rPr>
          <w:rFonts w:ascii="Times New Roman;serif" w:hAnsi="Times New Roman;serif"/>
          <w:b w:val="false"/>
          <w:color w:val="000000"/>
          <w:sz w:val="22"/>
        </w:rPr>
        <w:t>), then the applicable Borrower shall pay on each applicable Payment Date occurring after such fifth (5th) anniversary that portion of the outstanding principal amount of the Term Loan necessary to prevent the Term Loan from constituting an “applicable high yield discount obligation” within the meaning of Section 163(i) of the Internal Revenue Code, up to an amount equal to the excess, if any, of the Aggregate Accrual over the Maximum Accrual (each such payment, the “</w:t>
      </w:r>
      <w:r>
        <w:rPr>
          <w:rFonts w:ascii="Times New Roman;serif" w:hAnsi="Times New Roman;serif"/>
          <w:b/>
          <w:color w:val="000000"/>
          <w:sz w:val="22"/>
        </w:rPr>
        <w:t>AHYDO Payment</w:t>
      </w:r>
      <w:r>
        <w:rPr>
          <w:color w:val="000000"/>
        </w:rPr>
        <w:t>”</w:t>
      </w:r>
      <w:r>
        <w:rPr>
          <w:rFonts w:ascii="Times New Roman;serif" w:hAnsi="Times New Roman;serif"/>
          <w:b w:val="false"/>
          <w:color w:val="000000"/>
          <w:sz w:val="22"/>
        </w:rPr>
        <w:t>) and the amount of such AHYDO Payment and any interest thereon shall be treated for U.S. federal income tax purposes as an amount of interest to be paid (within the meaning of Section 163(i)(2)(B)(i) of the Internal Revenue Code) under the Term Loan. This provision is intended to prevent the Term Loan from being classified as an “applicable high yield discount obligation,” as defined in Section 163(i) of the Code, and shall be interpreted consistently therewith.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color w:val="000000"/>
          <w:sz w:val="22"/>
        </w:rPr>
        <w:t xml:space="preserve">Survival. </w:t>
      </w:r>
      <w:r>
        <w:rPr>
          <w:rFonts w:ascii="Times New Roman;serif" w:hAnsi="Times New Roman;serif"/>
          <w:b w:val="false"/>
          <w:color w:val="000000"/>
          <w:sz w:val="22"/>
        </w:rPr>
        <w:t>Each party’s obligations under the provisions of this Exhibit C shall survive the resignation or replacement of Collateral Agent or any assignment of rights by, or the replacement of, a Lender, the termination of the Term Loan Commitments and the repayment, satisfaction or discharge of all obligations under any Loan Document.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2100"/>
                <wp:effectExtent l="0" t="0" r="0" b="0"/>
                <wp:wrapNone/>
                <wp:docPr id="159" name="Frame1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Loan Payment Request Form</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8"/>
        <w:gridCol w:w="914"/>
        <w:gridCol w:w="733"/>
        <w:gridCol w:w="889"/>
        <w:gridCol w:w="816"/>
        <w:gridCol w:w="707"/>
        <w:gridCol w:w="220"/>
        <w:gridCol w:w="220"/>
        <w:gridCol w:w="220"/>
        <w:gridCol w:w="689"/>
        <w:gridCol w:w="689"/>
        <w:gridCol w:w="702"/>
        <w:gridCol w:w="671"/>
        <w:gridCol w:w="671"/>
        <w:gridCol w:w="966"/>
      </w:tblGrid>
      <w:tr>
        <w:trPr/>
        <w:tc>
          <w:tcPr>
            <w:tcW w:w="109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51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Fax To: (212) 993-1698</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PAYMENT:</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From Account #</w:t>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Account #</w:t>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 Account #)</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(Loan Account #)</w:t>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w:t>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 Interest $</w:t>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Authorized Signature:</w:t>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Phone Number: </w:t>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Print Name/Title: </w:t>
            </w:r>
          </w:p>
        </w:tc>
        <w:tc>
          <w:tcPr>
            <w:tcW w:w="2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57"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ADVANCE:</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Complete Outgoing Wire Request section below if all or a portion of the funds from this loan advance are for an outgoing wire.</w:t>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From Account #</w:t>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Account #</w:t>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(Loan Account #)</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 Account #)</w:t>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 of Advance $</w:t>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Authorized Signature:</w:t>
            </w:r>
          </w:p>
        </w:tc>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Phone Number: </w:t>
            </w:r>
          </w:p>
        </w:tc>
        <w:tc>
          <w:tcPr>
            <w:tcW w:w="230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Print Name/Title: </w:t>
            </w:r>
          </w:p>
        </w:tc>
        <w:tc>
          <w:tcPr>
            <w:tcW w:w="2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2100"/>
                <wp:effectExtent l="0" t="0" r="0" b="0"/>
                <wp:wrapNone/>
                <wp:docPr id="160" name="Frame15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97"/>
        <w:gridCol w:w="835"/>
        <w:gridCol w:w="835"/>
        <w:gridCol w:w="778"/>
        <w:gridCol w:w="778"/>
        <w:gridCol w:w="794"/>
        <w:gridCol w:w="222"/>
        <w:gridCol w:w="222"/>
        <w:gridCol w:w="222"/>
        <w:gridCol w:w="1273"/>
        <w:gridCol w:w="1139"/>
        <w:gridCol w:w="1143"/>
        <w:gridCol w:w="222"/>
        <w:gridCol w:w="222"/>
        <w:gridCol w:w="323"/>
      </w:tblGrid>
      <w:tr>
        <w:trPr/>
        <w:tc>
          <w:tcPr>
            <w:tcW w:w="119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21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OUTGOING WIRE REQUEST:</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Complete only if all or a portion of funds from the loan advance above is to be wired.</w:t>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Beneficiary Name: </w:t>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 of Wire:</w:t>
            </w:r>
          </w:p>
        </w:tc>
        <w:tc>
          <w:tcPr>
            <w:tcW w:w="76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Beneficiary Bank:</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 Number:</w:t>
            </w:r>
          </w:p>
        </w:tc>
        <w:tc>
          <w:tcPr>
            <w:tcW w:w="76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and State:</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Beneficiary Bank Transit (ABA) #: </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Beneficiary Bank Code (Swift, Sort, Chip, etc.): </w:t>
            </w:r>
          </w:p>
        </w:tc>
        <w:tc>
          <w:tcPr>
            <w:tcW w:w="76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6"/>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International Wire Only)</w:t>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Intermediary Bank: </w:t>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Transit (ABA) #: </w:t>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 Further Credit to: </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Special Instruction: </w:t>
            </w:r>
          </w:p>
        </w:tc>
        <w:tc>
          <w:tcPr>
            <w:tcW w:w="2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Authorized Signature:</w:t>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2nd Signature (if required): </w:t>
            </w:r>
          </w:p>
        </w:tc>
        <w:tc>
          <w:tcPr>
            <w:tcW w:w="7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Print Name/Title: </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Print Name/Title:</w:t>
            </w:r>
          </w:p>
        </w:tc>
        <w:tc>
          <w:tcPr>
            <w:tcW w:w="76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Telephone #: </w:t>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Telephone #: </w:t>
            </w:r>
          </w:p>
        </w:tc>
        <w:tc>
          <w:tcPr>
            <w:tcW w:w="76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2100"/>
                <wp:effectExtent l="0" t="0" r="0" b="0"/>
                <wp:wrapNone/>
                <wp:docPr id="161" name="Frame1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Compliance Certificate</w:t>
      </w:r>
    </w:p>
    <w:p>
      <w:pPr>
        <w:pStyle w:val="TextBody"/>
        <w:bidi w:val="0"/>
        <w:spacing w:lineRule="auto" w:line="288" w:before="220" w:after="283"/>
        <w:ind w:left="0" w:right="0" w:hanging="1476"/>
        <w:jc w:val="left"/>
        <w:rPr>
          <w:rFonts w:ascii="Times New Roman;serif" w:hAnsi="Times New Roman;serif"/>
          <w:b w:val="false"/>
          <w:color w:val="000000"/>
          <w:sz w:val="22"/>
        </w:rPr>
      </w:pPr>
      <w:r>
        <w:rPr>
          <w:rFonts w:ascii="Times New Roman;serif" w:hAnsi="Times New Roman;serif"/>
          <w:b w:val="false"/>
          <w:color w:val="000000"/>
          <w:sz w:val="22"/>
        </w:rPr>
        <w:t xml:space="preserve">TO:    SLR INVESTMENT CORP., as Collateral Agent and Lender </w:t>
      </w:r>
    </w:p>
    <w:p>
      <w:pPr>
        <w:pStyle w:val="TextBody"/>
        <w:bidi w:val="0"/>
        <w:spacing w:lineRule="auto" w:line="288" w:before="220" w:after="283"/>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FROM:    ARDELYX, INC.</w:t>
      </w:r>
    </w:p>
    <w:p>
      <w:pPr>
        <w:pStyle w:val="TextBody"/>
        <w:bidi w:val="0"/>
        <w:spacing w:lineRule="auto" w:line="288" w:before="220" w:after="283"/>
        <w:jc w:val="both"/>
        <w:rPr/>
      </w:pPr>
      <w:r>
        <w:rPr>
          <w:rFonts w:ascii="Times New Roman;serif" w:hAnsi="Times New Roman;serif"/>
          <w:b w:val="false"/>
          <w:color w:val="000000"/>
          <w:sz w:val="22"/>
        </w:rPr>
        <w:t>The undersigned authorized officer (“</w:t>
      </w:r>
      <w:r>
        <w:rPr>
          <w:rFonts w:ascii="Times New Roman;serif" w:hAnsi="Times New Roman;serif"/>
          <w:b/>
          <w:color w:val="000000"/>
          <w:sz w:val="22"/>
        </w:rPr>
        <w:t>Officer</w:t>
      </w:r>
      <w:r>
        <w:rPr>
          <w:color w:val="000000"/>
        </w:rPr>
        <w:t>”</w:t>
      </w:r>
      <w:r>
        <w:rPr>
          <w:rFonts w:ascii="Times New Roman;serif" w:hAnsi="Times New Roman;serif"/>
          <w:b w:val="false"/>
          <w:color w:val="000000"/>
          <w:sz w:val="22"/>
        </w:rPr>
        <w:t>) of Ardelyx, Inc.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hereby certifies solely in his/her capacity as an officer of Borrower and not in his/her individual capacity, that in accordance with the terms and conditions of the Loan and Security Agreement dated as of February 23, 2022, by and among Borrower, Collateral Agent, and the Lenders from time to time party thereto (as amended, the “</w:t>
      </w:r>
      <w:r>
        <w:rPr>
          <w:rFonts w:ascii="Times New Roman;serif" w:hAnsi="Times New Roman;serif"/>
          <w:b/>
          <w:color w:val="000000"/>
          <w:sz w:val="22"/>
        </w:rPr>
        <w:t>Loan Agreement</w:t>
      </w:r>
      <w:r>
        <w:rPr>
          <w:rFonts w:ascii="Times New Roman;serif" w:hAnsi="Times New Roman;serif"/>
          <w:b w:val="false"/>
          <w:color w:val="000000"/>
          <w:sz w:val="22"/>
        </w:rPr>
        <w:t>;” capitalized terms used but not otherwise defined herein shall have the meanings given them in the Loan Agreement),</w:t>
      </w:r>
    </w:p>
    <w:p>
      <w:pPr>
        <w:pStyle w:val="TextBody"/>
        <w:bidi w:val="0"/>
        <w:spacing w:lineRule="auto" w:line="288" w:before="220" w:after="283"/>
        <w:ind w:left="0" w:right="0" w:firstLine="720"/>
        <w:jc w:val="both"/>
        <w:rPr/>
      </w:pPr>
      <w:r>
        <w:rPr>
          <w:rFonts w:ascii="Times New Roman;serif" w:hAnsi="Times New Roman;serif"/>
          <w:b w:val="false"/>
          <w:color w:val="000000"/>
          <w:sz w:val="22"/>
        </w:rPr>
        <w:t xml:space="preserve">(a)    Borrower is in complete compliance for the period ending </w:t>
      </w:r>
      <w:r>
        <w:rPr>
          <w:color w:val="000000"/>
          <w:u w:val="single"/>
        </w:rPr>
        <w:t>    </w:t>
      </w:r>
      <w:r>
        <w:rPr>
          <w:rFonts w:ascii="Times New Roman;serif" w:hAnsi="Times New Roman;serif"/>
          <w:b w:val="false"/>
          <w:color w:val="000000"/>
          <w:sz w:val="22"/>
        </w:rPr>
        <w:t>with all required</w:t>
        <w:br/>
        <w:t>covenants except as noted below;</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There are no Defaults or Events of Default, except as noted below;</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 Liens have been levied or claims made against Borrower or any of its Subsidiaries relating to unpaid employee payroll or benefits of which Borrower has not previously provided written notification to Collateral Agent and the Lenders.</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2100"/>
                <wp:effectExtent l="0" t="0" r="0" b="0"/>
                <wp:wrapNone/>
                <wp:docPr id="162" name="Frame1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both"/>
        <w:rPr>
          <w:rFonts w:ascii="Times New Roman;serif" w:hAnsi="Times New Roman;serif"/>
          <w:b/>
          <w:color w:val="000000"/>
          <w:sz w:val="22"/>
        </w:rPr>
      </w:pPr>
      <w:r>
        <w:rPr>
          <w:rFonts w:ascii="Times New Roman;serif" w:hAnsi="Times New Roman;serif"/>
          <w:b/>
          <w:color w:val="000000"/>
          <w:sz w:val="22"/>
        </w:rPr>
        <w:t>Please indicate compliance status since the last Compliance Certificate by circling Yes, No, or N/A under “Complies” column.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89"/>
        <w:gridCol w:w="1219"/>
        <w:gridCol w:w="1223"/>
        <w:gridCol w:w="1361"/>
        <w:gridCol w:w="1361"/>
        <w:gridCol w:w="1364"/>
        <w:gridCol w:w="250"/>
        <w:gridCol w:w="250"/>
        <w:gridCol w:w="251"/>
        <w:gridCol w:w="155"/>
        <w:gridCol w:w="155"/>
        <w:gridCol w:w="156"/>
        <w:gridCol w:w="130"/>
        <w:gridCol w:w="130"/>
        <w:gridCol w:w="131"/>
        <w:gridCol w:w="125"/>
        <w:gridCol w:w="125"/>
        <w:gridCol w:w="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Reporting Covenant</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Requirement</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Actual</w:t>
            </w:r>
          </w:p>
        </w:tc>
        <w:tc>
          <w:tcPr>
            <w:tcW w:w="1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Complies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w:t>
            </w:r>
          </w:p>
        </w:tc>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Monthly financial information (revenue, A/P aging and cash and cash equivalents)</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Monthly within 30 days (for each month that is not a quarter end)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w:t>
            </w:r>
          </w:p>
        </w:tc>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Quarterly financial statements</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Quarterly within 45 days </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w:t>
            </w:r>
          </w:p>
        </w:tc>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Annual (CPA Audited) statements</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Within 90 days after FYE or 5 days after filing with SEC</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w:t>
            </w:r>
          </w:p>
        </w:tc>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Annual Financial Projections/Budget</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Annually (within 60 days after FYE) or 10 days of approval and when received (7 days of approval)</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w:t>
            </w:r>
          </w:p>
        </w:tc>
        <w:tc>
          <w:tcPr>
            <w:tcW w:w="3731" w:type="dxa"/>
            <w:gridSpan w:val="3"/>
            <w:tcBorders/>
            <w:tcMar>
              <w:top w:w="0" w:type="dxa"/>
              <w:left w:w="0" w:type="dxa"/>
              <w:bottom w:w="0" w:type="dxa"/>
              <w:right w:w="0" w:type="dxa"/>
            </w:tcMar>
            <w:vAlign w:val="center"/>
          </w:tcPr>
          <w:p>
            <w:pPr>
              <w:pStyle w:val="TableContents"/>
              <w:bidi w:val="0"/>
              <w:spacing w:lineRule="atLeast" w:line="208" w:before="4" w:after="283"/>
              <w:jc w:val="center"/>
              <w:rPr>
                <w:rFonts w:ascii="Times New Roman;serif" w:hAnsi="Times New Roman;serif"/>
                <w:b w:val="false"/>
                <w:color w:val="000000"/>
                <w:sz w:val="21"/>
              </w:rPr>
            </w:pPr>
            <w:r>
              <w:rPr>
                <w:rFonts w:ascii="Times New Roman;serif" w:hAnsi="Times New Roman;serif"/>
                <w:b w:val="false"/>
                <w:color w:val="000000"/>
                <w:sz w:val="21"/>
              </w:rPr>
              <w:t>Account statements for each Collateral Account</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Monthly within 30 days</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w:t>
            </w:r>
          </w:p>
        </w:tc>
        <w:tc>
          <w:tcPr>
            <w:tcW w:w="3731" w:type="dxa"/>
            <w:gridSpan w:val="3"/>
            <w:tcBorders/>
            <w:tcMar>
              <w:top w:w="0" w:type="dxa"/>
              <w:left w:w="0" w:type="dxa"/>
              <w:bottom w:w="0" w:type="dxa"/>
              <w:right w:w="0" w:type="dxa"/>
            </w:tcMar>
            <w:vAlign w:val="center"/>
          </w:tcPr>
          <w:p>
            <w:pPr>
              <w:pStyle w:val="TableContents"/>
              <w:bidi w:val="0"/>
              <w:spacing w:lineRule="atLeast" w:line="208" w:before="4" w:after="283"/>
              <w:jc w:val="center"/>
              <w:rPr>
                <w:rFonts w:ascii="Times New Roman;serif" w:hAnsi="Times New Roman;serif"/>
                <w:b w:val="false"/>
                <w:color w:val="000000"/>
                <w:sz w:val="21"/>
              </w:rPr>
            </w:pPr>
            <w:r>
              <w:rPr>
                <w:rFonts w:ascii="Times New Roman;serif" w:hAnsi="Times New Roman;serif"/>
                <w:b w:val="false"/>
                <w:color w:val="000000"/>
                <w:sz w:val="21"/>
              </w:rPr>
              <w:t>Compliance Certificate</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Monthly within 30 days</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w:t>
            </w:r>
          </w:p>
        </w:tc>
        <w:tc>
          <w:tcPr>
            <w:tcW w:w="3731" w:type="dxa"/>
            <w:gridSpan w:val="3"/>
            <w:tcBorders/>
            <w:tcMar>
              <w:top w:w="0" w:type="dxa"/>
              <w:left w:w="0" w:type="dxa"/>
              <w:bottom w:w="0" w:type="dxa"/>
              <w:right w:w="0" w:type="dxa"/>
            </w:tcMar>
            <w:vAlign w:val="center"/>
          </w:tcPr>
          <w:p>
            <w:pPr>
              <w:pStyle w:val="TableContents"/>
              <w:bidi w:val="0"/>
              <w:spacing w:lineRule="atLeast" w:line="208" w:before="4" w:after="283"/>
              <w:jc w:val="center"/>
              <w:rPr>
                <w:rFonts w:ascii="Times New Roman;serif" w:hAnsi="Times New Roman;serif"/>
                <w:b w:val="false"/>
                <w:color w:val="000000"/>
                <w:sz w:val="21"/>
              </w:rPr>
            </w:pPr>
            <w:r>
              <w:rPr>
                <w:rFonts w:ascii="Times New Roman;serif" w:hAnsi="Times New Roman;serif"/>
                <w:b w:val="false"/>
                <w:color w:val="000000"/>
                <w:sz w:val="21"/>
              </w:rPr>
              <w:t>IP notice (events reasonably expected to materially and adversely affect value of IP or result in MAC)</w:t>
            </w:r>
          </w:p>
        </w:tc>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When required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bl>
    <w:p>
      <w:pPr>
        <w:pStyle w:val="TextBody"/>
        <w:bidi w:val="0"/>
        <w:spacing w:lineRule="auto" w:line="288" w:before="220" w:after="283"/>
        <w:jc w:val="left"/>
        <w:rPr/>
      </w:pPr>
      <w:r>
        <w:rPr>
          <w:rFonts w:ascii="Times New Roman;serif" w:hAnsi="Times New Roman;serif"/>
          <w:b/>
          <w:color w:val="000000"/>
          <w:sz w:val="22"/>
          <w:u w:val="single"/>
        </w:rPr>
        <w:t xml:space="preserve">Deposit and Securities Accounts </w:t>
        <w:br/>
      </w:r>
      <w:r>
        <w:rPr>
          <w:rFonts w:ascii="Times New Roman;serif" w:hAnsi="Times New Roman;serif"/>
          <w:b/>
          <w:i/>
          <w:color w:val="000000"/>
          <w:sz w:val="22"/>
        </w:rPr>
        <w:t>(Please list all accounts; attach separate sheet if additional space needed)</w:t>
      </w:r>
    </w:p>
    <w:tbl>
      <w:tblPr>
        <w:tblW w:w="9247" w:type="dxa"/>
        <w:jc w:val="left"/>
        <w:tblInd w:w="0" w:type="dxa"/>
        <w:tblLayout w:type="fixed"/>
        <w:tblCellMar>
          <w:top w:w="28" w:type="dxa"/>
          <w:left w:w="28" w:type="dxa"/>
          <w:bottom w:w="28" w:type="dxa"/>
          <w:right w:w="28" w:type="dxa"/>
        </w:tblCellMar>
      </w:tblPr>
      <w:tblGrid>
        <w:gridCol w:w="124"/>
        <w:gridCol w:w="109"/>
        <w:gridCol w:w="109"/>
        <w:gridCol w:w="579"/>
        <w:gridCol w:w="579"/>
        <w:gridCol w:w="581"/>
        <w:gridCol w:w="589"/>
        <w:gridCol w:w="589"/>
        <w:gridCol w:w="591"/>
        <w:gridCol w:w="254"/>
        <w:gridCol w:w="254"/>
        <w:gridCol w:w="254"/>
        <w:gridCol w:w="254"/>
        <w:gridCol w:w="254"/>
        <w:gridCol w:w="260"/>
        <w:gridCol w:w="600"/>
        <w:gridCol w:w="600"/>
        <w:gridCol w:w="600"/>
        <w:gridCol w:w="600"/>
        <w:gridCol w:w="600"/>
        <w:gridCol w:w="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Institution Name</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Account Number</w:t>
            </w:r>
          </w:p>
        </w:tc>
        <w:tc>
          <w:tcPr>
            <w:tcW w:w="1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New Account?</w:t>
            </w:r>
          </w:p>
        </w:tc>
        <w:tc>
          <w:tcPr>
            <w:tcW w:w="38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Account Control Agreement in Place?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bl>
    <w:p>
      <w:pPr>
        <w:pStyle w:val="TextBody"/>
        <w:bidi w:val="0"/>
        <w:spacing w:lineRule="auto" w:line="288" w:before="220" w:after="283"/>
        <w:jc w:val="left"/>
        <w:rPr>
          <w:rFonts w:ascii="Times New Roman;serif" w:hAnsi="Times New Roman;serif"/>
          <w:b/>
          <w:color w:val="000000"/>
          <w:sz w:val="22"/>
          <w:u w:val="single"/>
        </w:rPr>
      </w:pPr>
      <w:r>
        <w:rPr>
          <w:rFonts w:ascii="Times New Roman;serif" w:hAnsi="Times New Roman;serif"/>
          <w:b/>
          <w:color w:val="000000"/>
          <w:sz w:val="22"/>
          <w:u w:val="single"/>
        </w:rPr>
        <w:t>Financial Covenant</w:t>
      </w:r>
    </w:p>
    <w:p>
      <w:pPr>
        <w:pStyle w:val="TextBody"/>
        <w:bidi w:val="0"/>
        <w:spacing w:lineRule="auto" w:line="288" w:before="220" w:after="283"/>
        <w:jc w:val="left"/>
        <w:rPr/>
      </w:pPr>
      <w:r>
        <w:rPr>
          <w:rFonts w:ascii="Times New Roman;serif" w:hAnsi="Times New Roman;serif"/>
          <w:b/>
          <w:color w:val="000000"/>
          <w:sz w:val="22"/>
        </w:rPr>
        <w:t xml:space="preserve">7.13 – Minimum Liquidity </w:t>
      </w:r>
      <w:r>
        <w:rPr>
          <w:rFonts w:ascii="Times New Roman;serif" w:hAnsi="Times New Roman;serif"/>
          <w:b w:val="false"/>
          <w:color w:val="000000"/>
          <w:sz w:val="22"/>
        </w:rPr>
        <w:t>(please attach a schedule with the appropriate calculations) Complies? Yes No</w:t>
      </w:r>
    </w:p>
    <w:p>
      <w:pPr>
        <w:pStyle w:val="TextBody"/>
        <w:bidi w:val="0"/>
        <w:spacing w:before="0" w:after="0"/>
        <w:jc w:val="left"/>
        <w:rPr/>
      </w:pPr>
      <w:r>
        <w:rPr/>
      </w:r>
    </w:p>
    <w:p>
      <w:pPr>
        <w:pStyle w:val="TextBody"/>
        <w:bidi w:val="0"/>
        <w:spacing w:before="2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2100"/>
                <wp:effectExtent l="0" t="0" r="0" b="0"/>
                <wp:wrapNone/>
                <wp:docPr id="163" name="Frame1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left"/>
        <w:rPr>
          <w:rFonts w:ascii="Times New Roman;serif" w:hAnsi="Times New Roman;serif"/>
          <w:b/>
          <w:color w:val="000000"/>
          <w:sz w:val="22"/>
          <w:u w:val="single"/>
        </w:rPr>
      </w:pPr>
      <w:r>
        <w:rPr>
          <w:rFonts w:ascii="Times New Roman;serif" w:hAnsi="Times New Roman;serif"/>
          <w:b/>
          <w:color w:val="000000"/>
          <w:sz w:val="22"/>
          <w:u w:val="single"/>
        </w:rPr>
        <w:t>Other Matters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8"/>
        <w:gridCol w:w="2970"/>
        <w:gridCol w:w="2977"/>
        <w:gridCol w:w="155"/>
        <w:gridCol w:w="155"/>
        <w:gridCol w:w="156"/>
        <w:gridCol w:w="133"/>
        <w:gridCol w:w="133"/>
        <w:gridCol w:w="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w:t>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Have there been any changes in Key Persons since the last Compliance Certificate?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w:t>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Have there been any transfers/sales/disposals/retirement of Collateral or IP prohibited by the Loan Agreement?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w:t>
            </w:r>
          </w:p>
        </w:tc>
        <w:tc>
          <w:tcPr>
            <w:tcW w:w="8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Have there been any new or pending claims or causes of action against Borrower that involve more than Two Hundred Fifty Thousand Dollars ($250,000)?</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w:t>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Has Borrower provided the Collateral Agent with all notices required to be delivered under Sections 6.2(a) and 6.2(b) of the Loan Agreement?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No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w:t>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respect to each Foreign Subsidiary, do any hold assets worth One Hundred Thousand ($100,000) or more in book value?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w:t>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the answer to question 5 is Yes, has the Company provided certificates representing a pledge of 65% of the stock, units or other evidence of ownership held by Borrower or Guarantor of such Foreign Subsidiary?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w:t>
            </w:r>
          </w:p>
        </w:tc>
        <w:tc>
          <w:tcPr>
            <w:tcW w:w="8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Have you entered into a Material Agreement since the last Compliance Certificate? If yes, please provide a copy. </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Yes</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92100"/>
                <wp:effectExtent l="0" t="0" r="0" b="0"/>
                <wp:wrapNone/>
                <wp:docPr id="164" name="Frame1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0"/>
        <w:ind w:left="0" w:right="0" w:hanging="576"/>
        <w:jc w:val="left"/>
        <w:rPr/>
      </w:pPr>
      <w:r>
        <w:rPr>
          <w:rFonts w:ascii="Times New Roman;serif" w:hAnsi="Times New Roman;serif"/>
          <w:b/>
          <w:color w:val="000000"/>
          <w:sz w:val="22"/>
          <w:u w:val="single"/>
        </w:rPr>
        <w:t>Exceptions</w:t>
      </w:r>
      <w:r>
        <w:rPr>
          <w:color w:val="000000"/>
        </w:rPr>
        <w:t xml:space="preserve"> </w:t>
      </w:r>
    </w:p>
    <w:p>
      <w:pPr>
        <w:pStyle w:val="TextBody"/>
        <w:bidi w:val="0"/>
        <w:spacing w:before="0" w:after="0"/>
        <w:ind w:left="0" w:right="0" w:hanging="576"/>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Please explain any exceptions with respect to the certification above: (If no exceptions exist, state “No exceptions.” Attach separate sheet if additional space needed.)</w:t>
      </w:r>
    </w:p>
    <w:p>
      <w:pPr>
        <w:pStyle w:val="TextBody"/>
        <w:bidi w:val="0"/>
        <w:spacing w:before="0" w:after="0"/>
        <w:jc w:val="left"/>
        <w:rPr/>
      </w:pPr>
      <w:r>
        <w:rPr/>
      </w:r>
    </w:p>
    <w:tbl>
      <w:tblPr>
        <w:tblW w:w="1542" w:type="dxa"/>
        <w:jc w:val="left"/>
        <w:tblInd w:w="0" w:type="dxa"/>
        <w:tblLayout w:type="fixed"/>
        <w:tblCellMar>
          <w:top w:w="28" w:type="dxa"/>
          <w:left w:w="28" w:type="dxa"/>
          <w:bottom w:w="28" w:type="dxa"/>
          <w:right w:w="28" w:type="dxa"/>
        </w:tblCellMar>
      </w:tblPr>
      <w:tblGrid>
        <w:gridCol w:w="267"/>
        <w:gridCol w:w="234"/>
        <w:gridCol w:w="234"/>
        <w:gridCol w:w="234"/>
        <w:gridCol w:w="234"/>
        <w:gridCol w:w="339"/>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5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93" w:type="dxa"/>
        <w:jc w:val="left"/>
        <w:tblInd w:w="0" w:type="dxa"/>
        <w:tblLayout w:type="fixed"/>
        <w:tblCellMar>
          <w:top w:w="28" w:type="dxa"/>
          <w:left w:w="28" w:type="dxa"/>
          <w:bottom w:w="28" w:type="dxa"/>
          <w:right w:w="28" w:type="dxa"/>
        </w:tblCellMar>
      </w:tblPr>
      <w:tblGrid>
        <w:gridCol w:w="621"/>
        <w:gridCol w:w="544"/>
        <w:gridCol w:w="544"/>
        <w:gridCol w:w="304"/>
        <w:gridCol w:w="304"/>
        <w:gridCol w:w="304"/>
        <w:gridCol w:w="304"/>
        <w:gridCol w:w="304"/>
        <w:gridCol w:w="304"/>
        <w:gridCol w:w="304"/>
        <w:gridCol w:w="304"/>
        <w:gridCol w:w="452"/>
      </w:tblGrid>
      <w:tr>
        <w:trPr/>
        <w:tc>
          <w:tcPr>
            <w:tcW w:w="62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4593" w:type="dxa"/>
            <w:gridSpan w:val="12"/>
            <w:tcBorders/>
            <w:tcMar>
              <w:top w:w="0" w:type="dxa"/>
              <w:left w:w="0" w:type="dxa"/>
              <w:bottom w:w="0" w:type="dxa"/>
              <w:right w:w="0" w:type="dxa"/>
            </w:tcMar>
            <w:vAlign w:val="center"/>
          </w:tcPr>
          <w:p>
            <w:pPr>
              <w:pStyle w:val="TableContents"/>
              <w:bidi w:val="0"/>
              <w:spacing w:lineRule="auto" w:line="288" w:before="220" w:after="283"/>
              <w:jc w:val="left"/>
              <w:rPr>
                <w:rFonts w:ascii="Times New Roman;serif" w:hAnsi="Times New Roman;serif"/>
                <w:b/>
                <w:color w:val="000000"/>
                <w:sz w:val="22"/>
              </w:rPr>
            </w:pPr>
            <w:r>
              <w:rPr>
                <w:rFonts w:ascii="Times New Roman;serif" w:hAnsi="Times New Roman;serif"/>
                <w:b/>
                <w:color w:val="000000"/>
                <w:sz w:val="22"/>
              </w:rPr>
              <w:t>COLLATERAL AGENT USE ONLY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Received by</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Verified by:</w:t>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Status:</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Yes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2100"/>
                <wp:effectExtent l="0" t="0" r="0" b="0"/>
                <wp:wrapNone/>
                <wp:docPr id="165" name="Frame1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71"/>
        <w:jc w:val="center"/>
        <w:rPr>
          <w:rFonts w:ascii="Times New Roman;serif" w:hAnsi="Times New Roman;serif"/>
          <w:b/>
          <w:color w:val="000000"/>
          <w:sz w:val="22"/>
        </w:rPr>
      </w:pPr>
      <w:r>
        <w:rPr>
          <w:rFonts w:ascii="Times New Roman;serif" w:hAnsi="Times New Roman;serif"/>
          <w:b/>
          <w:color w:val="000000"/>
          <w:sz w:val="22"/>
        </w:rPr>
        <w:t>EXHIBIT 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CORPORATE BORROWING CERTIFICATE</w:t>
      </w:r>
    </w:p>
    <w:p>
      <w:pPr>
        <w:pStyle w:val="TextBody"/>
        <w:bidi w:val="0"/>
        <w:spacing w:lineRule="auto" w:line="288" w:before="220" w:after="283"/>
        <w:jc w:val="left"/>
        <w:rPr/>
      </w:pPr>
      <w:r>
        <w:rPr>
          <w:rFonts w:ascii="Times New Roman;serif" w:hAnsi="Times New Roman;serif"/>
          <w:b/>
          <w:color w:val="000000"/>
          <w:sz w:val="22"/>
        </w:rPr>
        <w:t xml:space="preserve">BORROWER: </w:t>
      </w:r>
      <w:r>
        <w:rPr>
          <w:rFonts w:ascii="Times New Roman;serif" w:hAnsi="Times New Roman;serif"/>
          <w:b w:val="false"/>
          <w:color w:val="000000"/>
          <w:sz w:val="22"/>
        </w:rPr>
        <w:t>ARDELYX, INC.    </w:t>
      </w:r>
      <w:r>
        <w:rPr>
          <w:rFonts w:ascii="Times New Roman;serif" w:hAnsi="Times New Roman;serif"/>
          <w:b/>
          <w:color w:val="000000"/>
          <w:sz w:val="22"/>
        </w:rPr>
        <w:t>DATE</w:t>
      </w:r>
      <w:r>
        <w:rPr>
          <w:rFonts w:ascii="Times New Roman;serif" w:hAnsi="Times New Roman;serif"/>
          <w:b w:val="false"/>
          <w:color w:val="000000"/>
          <w:sz w:val="22"/>
        </w:rPr>
        <w:t>: February 23, 2022</w:t>
      </w:r>
    </w:p>
    <w:p>
      <w:pPr>
        <w:pStyle w:val="TextBody"/>
        <w:bidi w:val="0"/>
        <w:spacing w:lineRule="auto" w:line="288" w:before="0" w:after="0"/>
        <w:ind w:left="0" w:right="0" w:hanging="1440"/>
        <w:jc w:val="left"/>
        <w:rPr/>
      </w:pPr>
      <w:r>
        <w:rPr>
          <w:rFonts w:ascii="Times New Roman;serif" w:hAnsi="Times New Roman;serif"/>
          <w:b/>
          <w:color w:val="000000"/>
          <w:sz w:val="22"/>
        </w:rPr>
        <w:t>LENDER:    </w:t>
      </w:r>
      <w:r>
        <w:rPr>
          <w:rFonts w:ascii="Times New Roman;serif" w:hAnsi="Times New Roman;serif"/>
          <w:b w:val="false"/>
          <w:color w:val="000000"/>
          <w:sz w:val="22"/>
        </w:rPr>
        <w:t xml:space="preserve">SLR INVESTMENT CORP., as Collateral Agent and Lender </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I hereby certify, solely in my capacity as an officer of Borrower and not in my individual capacity, as follows, as of the date set forth above:</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1.    I am the Secretary or other officer of Borrower. My title is as set forth below.</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2.    Borrower’s exact legal name is set forth above. Borrower is a corporation existing under the laws of the State of Delaware.</w:t>
      </w:r>
    </w:p>
    <w:p>
      <w:pPr>
        <w:pStyle w:val="TextBody"/>
        <w:bidi w:val="0"/>
        <w:spacing w:lineRule="auto" w:line="288" w:before="220" w:after="283"/>
        <w:jc w:val="both"/>
        <w:rPr/>
      </w:pPr>
      <w:r>
        <w:rPr>
          <w:rFonts w:ascii="Times New Roman;serif" w:hAnsi="Times New Roman;serif"/>
          <w:b w:val="false"/>
          <w:color w:val="000000"/>
          <w:sz w:val="22"/>
        </w:rPr>
        <w:t xml:space="preserve">3.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B</w:t>
      </w:r>
      <w:r>
        <w:rPr>
          <w:rFonts w:ascii="Times New Roman;serif" w:hAnsi="Times New Roman;serif"/>
          <w:b w:val="false"/>
          <w:color w:val="000000"/>
          <w:sz w:val="22"/>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4.    The following resolutions were duly and validly adopted by Borrower’s board of directors (or a duly authorized committee thereof)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pStyle w:val="TextBody"/>
        <w:bidi w:val="0"/>
        <w:spacing w:lineRule="auto" w:line="288" w:before="220" w:after="4993"/>
        <w:jc w:val="center"/>
        <w:rPr/>
      </w:pPr>
      <w:r>
        <w:rPr>
          <w:rFonts w:ascii="Times New Roman;serif" w:hAnsi="Times New Roman;serif"/>
          <w:b/>
          <w:color w:val="000000"/>
          <w:sz w:val="22"/>
        </w:rPr>
        <w:t>[</w:t>
      </w:r>
      <w:r>
        <w:rPr>
          <w:rFonts w:ascii="Times New Roman;serif" w:hAnsi="Times New Roman;serif"/>
          <w:b/>
          <w:i/>
          <w:color w:val="000000"/>
          <w:sz w:val="22"/>
        </w:rPr>
        <w:t>Balance of Page Intentionally Left Blank</w:t>
      </w:r>
      <w:r>
        <w:rPr>
          <w:rFonts w:ascii="Times New Roman;serif" w:hAnsi="Times New Roman;serif"/>
          <w:b/>
          <w:color w:val="000000"/>
          <w:sz w:val="22"/>
        </w:rPr>
        <w:t>]</w:t>
      </w:r>
    </w:p>
    <w:p>
      <w:pPr>
        <w:pStyle w:val="TextBody"/>
        <w:bidi w:val="0"/>
        <w:spacing w:before="2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2100"/>
                <wp:effectExtent l="0" t="0" r="0" b="0"/>
                <wp:wrapNone/>
                <wp:docPr id="166" name="Frame1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300"/>
        <w:jc w:val="left"/>
        <w:rPr/>
      </w:pPr>
      <w:r>
        <w:rPr>
          <w:rFonts w:ascii="Times New Roman;serif" w:hAnsi="Times New Roman;serif"/>
          <w:b/>
          <w:color w:val="000000"/>
          <w:sz w:val="22"/>
        </w:rPr>
        <w:t xml:space="preserve">RESOLVED, </w:t>
      </w:r>
      <w:r>
        <w:rPr>
          <w:rFonts w:ascii="Times New Roman;serif" w:hAnsi="Times New Roman;serif"/>
          <w:b w:val="false"/>
          <w:color w:val="000000"/>
          <w:sz w:val="22"/>
        </w:rPr>
        <w:t xml:space="preserve">that </w:t>
      </w:r>
      <w:r>
        <w:rPr>
          <w:rFonts w:ascii="Times New Roman;serif" w:hAnsi="Times New Roman;serif"/>
          <w:b/>
          <w:color w:val="000000"/>
          <w:sz w:val="22"/>
        </w:rPr>
        <w:t xml:space="preserve">any one </w:t>
      </w:r>
      <w:r>
        <w:rPr>
          <w:rFonts w:ascii="Times New Roman;serif" w:hAnsi="Times New Roman;serif"/>
          <w:b w:val="false"/>
          <w:color w:val="000000"/>
          <w:sz w:val="22"/>
        </w:rPr>
        <w:t>of the following officers or employees of Borrower, whose names, titles and signatures are below, may act on behalf of Borrower:</w:t>
      </w:r>
    </w:p>
    <w:tbl>
      <w:tblPr>
        <w:tblW w:w="6942" w:type="dxa"/>
        <w:jc w:val="center"/>
        <w:tblInd w:w="0" w:type="dxa"/>
        <w:tblLayout w:type="fixed"/>
        <w:tblCellMar>
          <w:top w:w="28" w:type="dxa"/>
          <w:left w:w="28" w:type="dxa"/>
          <w:bottom w:w="28" w:type="dxa"/>
          <w:right w:w="28" w:type="dxa"/>
        </w:tblCellMar>
      </w:tblPr>
      <w:tblGrid>
        <w:gridCol w:w="245"/>
        <w:gridCol w:w="215"/>
        <w:gridCol w:w="216"/>
        <w:gridCol w:w="109"/>
        <w:gridCol w:w="109"/>
        <w:gridCol w:w="109"/>
        <w:gridCol w:w="175"/>
        <w:gridCol w:w="175"/>
        <w:gridCol w:w="176"/>
        <w:gridCol w:w="109"/>
        <w:gridCol w:w="109"/>
        <w:gridCol w:w="109"/>
        <w:gridCol w:w="330"/>
        <w:gridCol w:w="330"/>
        <w:gridCol w:w="331"/>
        <w:gridCol w:w="1197"/>
        <w:gridCol w:w="1197"/>
        <w:gridCol w:w="1701"/>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Signature</w:t>
            </w:r>
          </w:p>
        </w:tc>
        <w:tc>
          <w:tcPr>
            <w:tcW w:w="40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 xml:space="preserve">Authorized to Add or Remove </w:t>
            </w:r>
            <w:r>
              <w:rPr>
                <w:rFonts w:ascii="Times New Roman;serif" w:hAnsi="Times New Roman;serif"/>
                <w:b w:val="false"/>
                <w:color w:val="000000"/>
                <w:sz w:val="22"/>
                <w:u w:val="single"/>
              </w:rPr>
              <w:t>Signatories</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320" w:after="283"/>
        <w:jc w:val="both"/>
        <w:rPr/>
      </w:pPr>
      <w:r>
        <w:rPr>
          <w:rFonts w:ascii="Times New Roman;serif" w:hAnsi="Times New Roman;serif"/>
          <w:b/>
          <w:color w:val="000000"/>
          <w:sz w:val="22"/>
        </w:rPr>
        <w:t xml:space="preserve">RESOLVED FURTHER, </w:t>
      </w:r>
      <w:r>
        <w:rPr>
          <w:rFonts w:ascii="Times New Roman;serif" w:hAnsi="Times New Roman;serif"/>
          <w:b w:val="false"/>
          <w:color w:val="000000"/>
          <w:sz w:val="22"/>
        </w:rPr>
        <w:t xml:space="preserve">that </w:t>
      </w:r>
      <w:r>
        <w:rPr>
          <w:rFonts w:ascii="Times New Roman;serif" w:hAnsi="Times New Roman;serif"/>
          <w:b/>
          <w:color w:val="000000"/>
          <w:sz w:val="22"/>
        </w:rPr>
        <w:t xml:space="preserve">any one </w:t>
      </w:r>
      <w:r>
        <w:rPr>
          <w:rFonts w:ascii="Times New Roman;serif" w:hAnsi="Times New Roman;serif"/>
          <w:b w:val="false"/>
          <w:color w:val="000000"/>
          <w:sz w:val="22"/>
        </w:rPr>
        <w:t>of the persons designated above with a checked box beside his or her name may, from time to time, add or remove any individuals to and from the above list of persons authorized to act on behalf of Borrower.</w:t>
      </w:r>
    </w:p>
    <w:p>
      <w:pPr>
        <w:pStyle w:val="TextBody"/>
        <w:bidi w:val="0"/>
        <w:spacing w:lineRule="auto" w:line="288" w:before="220" w:after="283"/>
        <w:jc w:val="both"/>
        <w:rPr/>
      </w:pPr>
      <w:r>
        <w:rPr>
          <w:rFonts w:ascii="Times New Roman;serif" w:hAnsi="Times New Roman;serif"/>
          <w:b/>
          <w:color w:val="000000"/>
          <w:sz w:val="22"/>
        </w:rPr>
        <w:t xml:space="preserve">RESOLVED FURTHER, </w:t>
      </w:r>
      <w:r>
        <w:rPr>
          <w:rFonts w:ascii="Times New Roman;serif" w:hAnsi="Times New Roman;serif"/>
          <w:b w:val="false"/>
          <w:color w:val="000000"/>
          <w:sz w:val="22"/>
        </w:rPr>
        <w:t>that such individuals may, on behalf of Borrower:</w:t>
      </w:r>
    </w:p>
    <w:p>
      <w:pPr>
        <w:pStyle w:val="TextBody"/>
        <w:bidi w:val="0"/>
        <w:spacing w:lineRule="auto" w:line="288" w:before="220" w:after="283"/>
        <w:jc w:val="both"/>
        <w:rPr/>
      </w:pPr>
      <w:r>
        <w:rPr>
          <w:rFonts w:ascii="Times New Roman;serif" w:hAnsi="Times New Roman;serif"/>
          <w:b/>
          <w:color w:val="000000"/>
          <w:sz w:val="22"/>
        </w:rPr>
        <w:t>Borrow Money</w:t>
      </w:r>
      <w:r>
        <w:rPr>
          <w:rFonts w:ascii="Times New Roman;serif" w:hAnsi="Times New Roman;serif"/>
          <w:b w:val="false"/>
          <w:color w:val="000000"/>
          <w:sz w:val="22"/>
        </w:rPr>
        <w:t>. Borrow money from the Lenders.</w:t>
      </w:r>
    </w:p>
    <w:p>
      <w:pPr>
        <w:pStyle w:val="TextBody"/>
        <w:bidi w:val="0"/>
        <w:spacing w:lineRule="auto" w:line="288" w:before="220" w:after="283"/>
        <w:jc w:val="both"/>
        <w:rPr/>
      </w:pPr>
      <w:r>
        <w:rPr>
          <w:rFonts w:ascii="Times New Roman;serif" w:hAnsi="Times New Roman;serif"/>
          <w:b/>
          <w:color w:val="000000"/>
          <w:sz w:val="22"/>
        </w:rPr>
        <w:t>Execute Loan Documents</w:t>
      </w:r>
      <w:r>
        <w:rPr>
          <w:rFonts w:ascii="Times New Roman;serif" w:hAnsi="Times New Roman;serif"/>
          <w:b w:val="false"/>
          <w:color w:val="000000"/>
          <w:sz w:val="22"/>
        </w:rPr>
        <w:t>. Execute any loan documents any Lender requires.</w:t>
      </w:r>
    </w:p>
    <w:p>
      <w:pPr>
        <w:pStyle w:val="TextBody"/>
        <w:bidi w:val="0"/>
        <w:spacing w:lineRule="auto" w:line="288" w:before="220" w:after="283"/>
        <w:jc w:val="both"/>
        <w:rPr/>
      </w:pPr>
      <w:r>
        <w:rPr>
          <w:rFonts w:ascii="Times New Roman;serif" w:hAnsi="Times New Roman;serif"/>
          <w:b/>
          <w:color w:val="000000"/>
          <w:sz w:val="22"/>
        </w:rPr>
        <w:t>Grant Security</w:t>
      </w:r>
      <w:r>
        <w:rPr>
          <w:rFonts w:ascii="Times New Roman;serif" w:hAnsi="Times New Roman;serif"/>
          <w:b w:val="false"/>
          <w:color w:val="000000"/>
          <w:sz w:val="22"/>
        </w:rPr>
        <w:t>. Grant Collateral Agent a security interest in any of Borrower’s assets (excluding intellectual property).</w:t>
      </w:r>
    </w:p>
    <w:p>
      <w:pPr>
        <w:pStyle w:val="TextBody"/>
        <w:bidi w:val="0"/>
        <w:spacing w:lineRule="auto" w:line="288" w:before="220" w:after="283"/>
        <w:jc w:val="both"/>
        <w:rPr/>
      </w:pPr>
      <w:r>
        <w:rPr>
          <w:rFonts w:ascii="Times New Roman;serif" w:hAnsi="Times New Roman;serif"/>
          <w:b/>
          <w:color w:val="000000"/>
          <w:sz w:val="22"/>
        </w:rPr>
        <w:t>Negotiate Items</w:t>
      </w:r>
      <w:r>
        <w:rPr>
          <w:rFonts w:ascii="Times New Roman;serif" w:hAnsi="Times New Roman;serif"/>
          <w:b w:val="false"/>
          <w:color w:val="000000"/>
          <w:sz w:val="22"/>
        </w:rPr>
        <w:t>. Negotiate or discount all drafts, trade acceptances, promissory notes, or other indebtedness in which Borrower has an interest and receive cash or otherwise use the proceeds.</w:t>
      </w:r>
    </w:p>
    <w:p>
      <w:pPr>
        <w:pStyle w:val="TextBody"/>
        <w:bidi w:val="0"/>
        <w:spacing w:lineRule="auto" w:line="288" w:before="220" w:after="283"/>
        <w:jc w:val="both"/>
        <w:rPr/>
      </w:pPr>
      <w:r>
        <w:rPr>
          <w:rFonts w:ascii="Times New Roman;serif" w:hAnsi="Times New Roman;serif"/>
          <w:b/>
          <w:color w:val="000000"/>
          <w:sz w:val="22"/>
        </w:rPr>
        <w:t>Pay Fees</w:t>
      </w:r>
      <w:r>
        <w:rPr>
          <w:rFonts w:ascii="Times New Roman;serif" w:hAnsi="Times New Roman;serif"/>
          <w:b w:val="false"/>
          <w:color w:val="000000"/>
          <w:sz w:val="22"/>
        </w:rPr>
        <w:t>. Pay fees under the Loan Agreement or any other Loan Document.</w:t>
      </w:r>
    </w:p>
    <w:p>
      <w:pPr>
        <w:pStyle w:val="TextBody"/>
        <w:bidi w:val="0"/>
        <w:spacing w:lineRule="auto" w:line="288" w:before="220" w:after="283"/>
        <w:jc w:val="both"/>
        <w:rPr/>
      </w:pPr>
      <w:r>
        <w:rPr>
          <w:rFonts w:ascii="Times New Roman;serif" w:hAnsi="Times New Roman;serif"/>
          <w:b/>
          <w:color w:val="000000"/>
          <w:sz w:val="22"/>
        </w:rPr>
        <w:t>Further Acts</w:t>
      </w:r>
      <w:r>
        <w:rPr>
          <w:rFonts w:ascii="Times New Roman;serif" w:hAnsi="Times New Roman;serif"/>
          <w:b w:val="false"/>
          <w:color w:val="000000"/>
          <w:sz w:val="22"/>
        </w:rPr>
        <w:t>. Designate other individuals to request advances, pay fees and costs and execute other documents or agreements (including documents or agreement that waive Borrower’s right to a jury trial) they believe to be necessary to effectuate such resolutions.</w:t>
      </w:r>
    </w:p>
    <w:p>
      <w:pPr>
        <w:pStyle w:val="TextBody"/>
        <w:bidi w:val="0"/>
        <w:spacing w:lineRule="auto" w:line="288" w:before="220" w:after="283"/>
        <w:jc w:val="both"/>
        <w:rPr/>
      </w:pPr>
      <w:r>
        <w:rPr>
          <w:rFonts w:ascii="Times New Roman;serif" w:hAnsi="Times New Roman;serif"/>
          <w:b/>
          <w:color w:val="000000"/>
          <w:sz w:val="22"/>
        </w:rPr>
        <w:t xml:space="preserve">RESOLVED FURTHER, </w:t>
      </w:r>
      <w:r>
        <w:rPr>
          <w:rFonts w:ascii="Times New Roman;serif" w:hAnsi="Times New Roman;serif"/>
          <w:b w:val="false"/>
          <w:color w:val="000000"/>
          <w:sz w:val="22"/>
        </w:rPr>
        <w:t>that all acts authorized by the above resolutions and any prior acts relating thereto are ratified.</w:t>
      </w:r>
    </w:p>
    <w:p>
      <w:pPr>
        <w:pStyle w:val="TextBody"/>
        <w:bidi w:val="0"/>
        <w:spacing w:lineRule="auto" w:line="288" w:before="220" w:after="3659"/>
        <w:jc w:val="center"/>
        <w:rPr/>
      </w:pPr>
      <w:r>
        <w:rPr>
          <w:rFonts w:ascii="Times New Roman;serif" w:hAnsi="Times New Roman;serif"/>
          <w:b/>
          <w:color w:val="000000"/>
          <w:sz w:val="22"/>
        </w:rPr>
        <w:t>[</w:t>
      </w:r>
      <w:r>
        <w:rPr>
          <w:rFonts w:ascii="Times New Roman;serif" w:hAnsi="Times New Roman;serif"/>
          <w:b/>
          <w:i/>
          <w:color w:val="000000"/>
          <w:sz w:val="22"/>
        </w:rPr>
        <w:t>Balance of Page Intentionally Left Blank</w:t>
      </w:r>
      <w:r>
        <w:rPr>
          <w:rFonts w:ascii="Times New Roman;serif" w:hAnsi="Times New Roman;serif"/>
          <w:b/>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92100"/>
                <wp:effectExtent l="0" t="0" r="0" b="0"/>
                <wp:wrapNone/>
                <wp:docPr id="167" name="Frame1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both"/>
        <w:rPr>
          <w:rFonts w:ascii="Times New Roman;serif" w:hAnsi="Times New Roman;serif"/>
          <w:b w:val="false"/>
          <w:color w:val="000000"/>
          <w:sz w:val="22"/>
        </w:rPr>
      </w:pPr>
      <w:r>
        <w:rPr>
          <w:rFonts w:ascii="Times New Roman;serif" w:hAnsi="Times New Roman;serif"/>
          <w:b w:val="false"/>
          <w:color w:val="000000"/>
          <w:sz w:val="22"/>
        </w:rPr>
        <w:t>5.    The persons listed above are Borrower’s officers or employees with their titles and signatures shown next to their names.</w:t>
      </w:r>
    </w:p>
    <w:tbl>
      <w:tblPr>
        <w:tblW w:w="1047" w:type="dxa"/>
        <w:jc w:val="right"/>
        <w:tblInd w:w="0" w:type="dxa"/>
        <w:tblLayout w:type="fixed"/>
        <w:tblCellMar>
          <w:top w:w="28" w:type="dxa"/>
          <w:left w:w="28" w:type="dxa"/>
          <w:bottom w:w="28" w:type="dxa"/>
          <w:right w:w="28" w:type="dxa"/>
        </w:tblCellMar>
      </w:tblPr>
      <w:tblGrid>
        <w:gridCol w:w="242"/>
        <w:gridCol w:w="215"/>
        <w:gridCol w:w="218"/>
        <w:gridCol w:w="109"/>
        <w:gridCol w:w="109"/>
        <w:gridCol w:w="154"/>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Times New Roman;serif" w:hAnsi="Times New Roman;serif"/>
          <w:b w:val="false"/>
          <w:i/>
          <w:color w:val="000000"/>
          <w:sz w:val="22"/>
        </w:rPr>
      </w:pPr>
      <w:r>
        <w:rPr>
          <w:rFonts w:ascii="Times New Roman;serif" w:hAnsi="Times New Roman;serif"/>
          <w:b w:val="false"/>
          <w:i/>
          <w:color w:val="000000"/>
          <w:sz w:val="22"/>
        </w:rPr>
        <w:t>*** If the Secretary or other certifying officer executing above is designated by the resolutions set forth in paragraph 4 as one of the authorized signing officers, this Certificate must also be signed by a second authorized officer or director of Borrower.</w:t>
      </w:r>
    </w:p>
    <w:p>
      <w:pPr>
        <w:pStyle w:val="TextBody"/>
        <w:bidi w:val="0"/>
        <w:spacing w:lineRule="auto" w:line="288" w:before="220" w:after="283"/>
        <w:jc w:val="both"/>
        <w:rPr/>
      </w:pPr>
      <w:r>
        <w:rPr>
          <w:rFonts w:ascii="Times New Roman;serif" w:hAnsi="Times New Roman;serif"/>
          <w:b w:val="false"/>
          <w:color w:val="000000"/>
          <w:sz w:val="22"/>
        </w:rPr>
        <w:t xml:space="preserve">I, the </w:t>
      </w:r>
      <w:r>
        <w:rPr>
          <w:rFonts w:ascii="Times New Roman;serif" w:hAnsi="Times New Roman;serif"/>
          <w:b w:val="false"/>
          <w:color w:val="000000"/>
          <w:sz w:val="22"/>
          <w:u w:val="single"/>
        </w:rPr>
        <w:t>[    ]</w:t>
      </w:r>
      <w:r>
        <w:rPr>
          <w:color w:val="000000"/>
        </w:rPr>
        <w:t xml:space="preserve"> </w:t>
      </w:r>
      <w:r>
        <w:rPr>
          <w:rFonts w:ascii="Times New Roman;serif" w:hAnsi="Times New Roman;serif"/>
          <w:b w:val="false"/>
          <w:color w:val="000000"/>
          <w:sz w:val="22"/>
        </w:rPr>
        <w:t xml:space="preserve">of Borrower, hereby certify as to paragraphs 1 through 5 above, as </w:t>
      </w:r>
      <w:r>
        <w:rPr>
          <w:rFonts w:ascii="Times New Roman;serif" w:hAnsi="Times New Roman;serif"/>
          <w:b w:val="false"/>
          <w:color w:val="000000"/>
          <w:sz w:val="22"/>
          <w:u w:val="single"/>
        </w:rPr>
        <w:t>[    ]</w:t>
      </w:r>
      <w:r>
        <w:rPr>
          <w:color w:val="000000"/>
        </w:rPr>
        <w:t xml:space="preserve"> </w:t>
      </w:r>
      <w:r>
        <w:rPr>
          <w:rFonts w:ascii="Times New Roman;serif" w:hAnsi="Times New Roman;serif"/>
          <w:b w:val="false"/>
          <w:color w:val="000000"/>
          <w:sz w:val="22"/>
        </w:rPr>
        <w:t>on the date set</w:t>
      </w:r>
    </w:p>
    <w:p>
      <w:pPr>
        <w:pStyle w:val="TextBody"/>
        <w:bidi w:val="0"/>
        <w:spacing w:lineRule="auto" w:line="288" w:before="220" w:after="283"/>
        <w:jc w:val="left"/>
        <w:rPr>
          <w:rFonts w:ascii="Times New Roman;serif" w:hAnsi="Times New Roman;serif"/>
          <w:b w:val="false"/>
          <w:color w:val="000000"/>
          <w:sz w:val="22"/>
        </w:rPr>
      </w:pPr>
      <w:r>
        <w:rPr>
          <w:rFonts w:ascii="Times New Roman;serif" w:hAnsi="Times New Roman;serif"/>
          <w:b w:val="false"/>
          <w:color w:val="000000"/>
          <w:sz w:val="22"/>
        </w:rPr>
        <w:t>forth above.</w:t>
      </w:r>
    </w:p>
    <w:tbl>
      <w:tblPr>
        <w:tblW w:w="1047" w:type="dxa"/>
        <w:jc w:val="right"/>
        <w:tblInd w:w="0" w:type="dxa"/>
        <w:tblLayout w:type="fixed"/>
        <w:tblCellMar>
          <w:top w:w="28" w:type="dxa"/>
          <w:left w:w="28" w:type="dxa"/>
          <w:bottom w:w="28" w:type="dxa"/>
          <w:right w:w="28" w:type="dxa"/>
        </w:tblCellMar>
      </w:tblPr>
      <w:tblGrid>
        <w:gridCol w:w="242"/>
        <w:gridCol w:w="215"/>
        <w:gridCol w:w="218"/>
        <w:gridCol w:w="109"/>
        <w:gridCol w:w="109"/>
        <w:gridCol w:w="154"/>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220" w:after="2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2100"/>
                <wp:effectExtent l="0" t="0" r="0" b="0"/>
                <wp:wrapNone/>
                <wp:docPr id="168" name="Frame1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2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220" w:after="283"/>
        <w:jc w:val="center"/>
        <w:rPr>
          <w:rFonts w:ascii="Times New Roman;serif" w:hAnsi="Times New Roman;serif"/>
          <w:b/>
          <w:color w:val="000000"/>
          <w:sz w:val="22"/>
          <w:u w:val="single"/>
        </w:rPr>
      </w:pPr>
      <w:r>
        <w:rPr>
          <w:rFonts w:ascii="Times New Roman;serif" w:hAnsi="Times New Roman;serif"/>
          <w:b/>
          <w:color w:val="000000"/>
          <w:sz w:val="22"/>
          <w:u w:val="single"/>
        </w:rPr>
        <w:t>Certificate of Incorporation (including amendments)</w:t>
      </w:r>
    </w:p>
    <w:p>
      <w:pPr>
        <w:pStyle w:val="TextBody"/>
        <w:bidi w:val="0"/>
        <w:spacing w:lineRule="auto" w:line="288" w:before="220" w:after="283"/>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22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92100"/>
                <wp:effectExtent l="0" t="0" r="0" b="0"/>
                <wp:wrapNone/>
                <wp:docPr id="169" name="Frame1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220" w:after="120"/>
        <w:jc w:val="center"/>
        <w:rPr>
          <w:rFonts w:ascii="Times New Roman;serif" w:hAnsi="Times New Roman;serif"/>
          <w:b/>
          <w:color w:val="000000"/>
          <w:sz w:val="22"/>
          <w:u w:val="single"/>
        </w:rPr>
      </w:pPr>
      <w:r>
        <w:rPr>
          <w:rFonts w:ascii="Times New Roman;serif" w:hAnsi="Times New Roman;serif"/>
          <w:b/>
          <w:color w:val="000000"/>
          <w:sz w:val="22"/>
          <w:u w:val="single"/>
        </w:rPr>
        <w:t>Bylaws</w:t>
      </w:r>
    </w:p>
    <w:p>
      <w:pPr>
        <w:pStyle w:val="TextBody"/>
        <w:bidi w:val="0"/>
        <w:spacing w:lineRule="auto" w:line="288" w:before="220" w:after="12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pStyle w:val="TextBody"/>
        <w:bidi w:val="0"/>
        <w:spacing w:before="2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92100"/>
                <wp:effectExtent l="0" t="0" r="0" b="0"/>
                <wp:wrapNone/>
                <wp:docPr id="170" name="Frame1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EXHIBIT G</w:t>
      </w:r>
    </w:p>
    <w:p>
      <w:pPr>
        <w:pStyle w:val="TextBody"/>
        <w:bidi w:val="0"/>
        <w:spacing w:lineRule="auto" w:line="288" w:before="220" w:after="283"/>
        <w:jc w:val="center"/>
        <w:rPr>
          <w:rFonts w:ascii="Times New Roman;serif" w:hAnsi="Times New Roman;serif"/>
          <w:b/>
          <w:color w:val="000000"/>
          <w:sz w:val="22"/>
        </w:rPr>
      </w:pPr>
      <w:r>
        <w:rPr>
          <w:rFonts w:ascii="Times New Roman;serif" w:hAnsi="Times New Roman;serif"/>
          <w:b/>
          <w:color w:val="000000"/>
          <w:sz w:val="22"/>
        </w:rPr>
        <w:t>ACH LETTER</w:t>
      </w:r>
    </w:p>
    <w:p>
      <w:pPr>
        <w:pStyle w:val="TextBody"/>
        <w:bidi w:val="0"/>
        <w:spacing w:before="0" w:after="0"/>
        <w:jc w:val="both"/>
        <w:rPr/>
      </w:pPr>
      <w:r>
        <w:rPr/>
      </w:r>
    </w:p>
    <w:p>
      <w:pPr>
        <w:pStyle w:val="TextBody"/>
        <w:bidi w:val="0"/>
        <w:spacing w:lineRule="atLeast" w:line="28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SLR INVESTMENT CORP. </w:t>
      </w:r>
    </w:p>
    <w:p>
      <w:pPr>
        <w:pStyle w:val="TextBody"/>
        <w:bidi w:val="0"/>
        <w:spacing w:lineRule="atLeast" w:line="280" w:before="0" w:after="0"/>
        <w:jc w:val="both"/>
        <w:rPr>
          <w:rFonts w:ascii="Times New Roman;serif" w:hAnsi="Times New Roman;serif"/>
          <w:b w:val="false"/>
          <w:color w:val="000000"/>
          <w:sz w:val="22"/>
        </w:rPr>
      </w:pPr>
      <w:r>
        <w:rPr>
          <w:rFonts w:ascii="Times New Roman;serif" w:hAnsi="Times New Roman;serif"/>
          <w:b w:val="false"/>
          <w:color w:val="000000"/>
          <w:sz w:val="22"/>
        </w:rPr>
        <w:t>500 Park Avenue, 3rd Floor</w:t>
      </w:r>
    </w:p>
    <w:p>
      <w:pPr>
        <w:pStyle w:val="TextBody"/>
        <w:bidi w:val="0"/>
        <w:spacing w:lineRule="atLeast" w:line="280"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10022</w:t>
      </w:r>
    </w:p>
    <w:p>
      <w:pPr>
        <w:pStyle w:val="TextBody"/>
        <w:bidi w:val="0"/>
        <w:spacing w:lineRule="atLeast" w:line="280" w:before="0" w:after="0"/>
        <w:jc w:val="both"/>
        <w:rPr>
          <w:rFonts w:ascii="Times New Roman;serif" w:hAnsi="Times New Roman;serif"/>
          <w:b w:val="false"/>
          <w:color w:val="000000"/>
          <w:sz w:val="22"/>
        </w:rPr>
      </w:pPr>
      <w:r>
        <w:rPr>
          <w:rFonts w:ascii="Times New Roman;serif" w:hAnsi="Times New Roman;serif"/>
          <w:b w:val="false"/>
          <w:color w:val="000000"/>
          <w:sz w:val="22"/>
        </w:rPr>
        <w:t>Attention: Anthony Storino</w:t>
      </w:r>
    </w:p>
    <w:p>
      <w:pPr>
        <w:pStyle w:val="TextBody"/>
        <w:bidi w:val="0"/>
        <w:spacing w:lineRule="atLeast" w:line="280" w:before="0" w:after="0"/>
        <w:jc w:val="both"/>
        <w:rPr>
          <w:rFonts w:ascii="Times New Roman;serif" w:hAnsi="Times New Roman;serif"/>
          <w:b w:val="false"/>
          <w:color w:val="000000"/>
          <w:sz w:val="22"/>
        </w:rPr>
      </w:pPr>
      <w:r>
        <w:rPr>
          <w:rFonts w:ascii="Times New Roman;serif" w:hAnsi="Times New Roman;serif"/>
          <w:b w:val="false"/>
          <w:color w:val="000000"/>
          <w:sz w:val="22"/>
        </w:rPr>
        <w:t>Fax: (212) 993-1698</w:t>
      </w:r>
    </w:p>
    <w:p>
      <w:pPr>
        <w:pStyle w:val="TextBody"/>
        <w:bidi w:val="0"/>
        <w:spacing w:lineRule="atLeast" w:line="28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Email: astorino@slrcp.com </w:t>
      </w:r>
    </w:p>
    <w:p>
      <w:pPr>
        <w:pStyle w:val="TextBody"/>
        <w:bidi w:val="0"/>
        <w:spacing w:lineRule="auto" w:line="288" w:before="0" w:after="220"/>
        <w:jc w:val="both"/>
        <w:rPr/>
      </w:pPr>
      <w:r>
        <w:rPr>
          <w:rFonts w:ascii="Times New Roman;serif" w:hAnsi="Times New Roman;serif"/>
          <w:b w:val="false"/>
          <w:color w:val="000000"/>
          <w:sz w:val="22"/>
        </w:rPr>
        <w:t>Re: Loan and Security Agreement dated as of February 23, 2022 (the “Agreement”) by and among Ardelyx, Inc. (“Borrower”), SLR Investment Corp. (“</w:t>
      </w:r>
      <w:r>
        <w:rPr>
          <w:rFonts w:ascii="Times New Roman;serif" w:hAnsi="Times New Roman;serif"/>
          <w:b w:val="false"/>
          <w:color w:val="000000"/>
          <w:sz w:val="22"/>
          <w:u w:val="single"/>
        </w:rPr>
        <w:t>SLR</w:t>
      </w:r>
      <w:r>
        <w:rPr>
          <w:color w:val="000000"/>
        </w:rPr>
        <w:t>”</w:t>
      </w:r>
      <w:r>
        <w:rPr>
          <w:rFonts w:ascii="Times New Roman;serif" w:hAnsi="Times New Roman;serif"/>
          <w:b w:val="false"/>
          <w:color w:val="000000"/>
          <w:sz w:val="22"/>
        </w:rPr>
        <w:t xml:space="preserve">), as collateral agent (in such capacity, “Collateral Agent”) and the Lenders listed on </w:t>
      </w:r>
      <w:r>
        <w:rPr>
          <w:rFonts w:ascii="Times New Roman;serif" w:hAnsi="Times New Roman;serif"/>
          <w:b w:val="false"/>
          <w:color w:val="000000"/>
          <w:sz w:val="22"/>
          <w:u w:val="single"/>
        </w:rPr>
        <w:t>Schedule 1.1</w:t>
      </w:r>
      <w:r>
        <w:rPr>
          <w:color w:val="000000"/>
        </w:rPr>
        <w:t xml:space="preserve"> </w:t>
      </w:r>
      <w:r>
        <w:rPr>
          <w:rFonts w:ascii="Times New Roman;serif" w:hAnsi="Times New Roman;serif"/>
          <w:b w:val="false"/>
          <w:color w:val="000000"/>
          <w:sz w:val="22"/>
        </w:rPr>
        <w:t xml:space="preserve">thereof or otherwise a party thereto from time to time, including SLR in its capacity as a Lender (each a “Lender” and collectively, the “Lenders”). Capitalized terms used but not otherwise defined herein shall have the meanings given them under the Agreement.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connection with the above referenced Agreement, the Borrower hereby authorizes the Collateral Agent to, at its discretion and with prior notice of at least one (1) Business Day, initiate debit entries to the Borrower’s account indicated below (i) on each payment date of all Obligations then due and owing, (ii) at any time any payment due and owing with respect to Lender Expenses, and (iii) upon an Event of Default, any other Obligations outstanding, in each case pursuant to Section 2.3(e) of the Agreement. The Borrower authorizes the depository institution named below to debit to such account.</w:t>
      </w:r>
    </w:p>
    <w:tbl>
      <w:tblPr>
        <w:tblW w:w="3495" w:type="dxa"/>
        <w:jc w:val="left"/>
        <w:tblInd w:w="0" w:type="dxa"/>
        <w:tblLayout w:type="fixed"/>
        <w:tblCellMar>
          <w:top w:w="28" w:type="dxa"/>
          <w:left w:w="28" w:type="dxa"/>
          <w:bottom w:w="28" w:type="dxa"/>
          <w:right w:w="28" w:type="dxa"/>
        </w:tblCellMar>
      </w:tblPr>
      <w:tblGrid>
        <w:gridCol w:w="653"/>
        <w:gridCol w:w="572"/>
        <w:gridCol w:w="575"/>
        <w:gridCol w:w="495"/>
        <w:gridCol w:w="495"/>
        <w:gridCol w:w="705"/>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240"/>
              <w:jc w:val="both"/>
              <w:rPr>
                <w:rFonts w:ascii="Times New Roman;serif" w:hAnsi="Times New Roman;serif"/>
                <w:b w:val="false"/>
                <w:color w:val="000000"/>
                <w:sz w:val="14"/>
              </w:rPr>
            </w:pPr>
            <w:r>
              <w:rPr>
                <w:rFonts w:ascii="Times New Roman;serif" w:hAnsi="Times New Roman;serif"/>
                <w:b w:val="false"/>
                <w:color w:val="000000"/>
                <w:sz w:val="14"/>
              </w:rPr>
              <w:t>DEPOSITORY NAME</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0" w:after="240"/>
              <w:jc w:val="both"/>
              <w:rPr>
                <w:rFonts w:ascii="Times New Roman;serif" w:hAnsi="Times New Roman;serif"/>
                <w:b w:val="false"/>
                <w:color w:val="000000"/>
                <w:sz w:val="14"/>
              </w:rPr>
            </w:pPr>
            <w:r>
              <w:rPr>
                <w:rFonts w:ascii="Times New Roman;serif" w:hAnsi="Times New Roman;serif"/>
                <w:b w:val="false"/>
                <w:color w:val="000000"/>
                <w:sz w:val="14"/>
              </w:rPr>
              <w:t>BRANCH</w:t>
            </w:r>
          </w:p>
        </w:tc>
      </w:tr>
      <w:tr>
        <w:trPr/>
        <w:tc>
          <w:tcPr>
            <w:tcW w:w="1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80" w:before="0" w:after="240"/>
              <w:jc w:val="both"/>
              <w:rPr>
                <w:rFonts w:ascii="Times New Roman;serif" w:hAnsi="Times New Roman;serif"/>
                <w:b w:val="false"/>
                <w:color w:val="000000"/>
                <w:sz w:val="14"/>
              </w:rPr>
            </w:pPr>
            <w:r>
              <w:rPr>
                <w:rFonts w:ascii="Times New Roman;serif" w:hAnsi="Times New Roman;serif"/>
                <w:b w:val="false"/>
                <w:color w:val="000000"/>
                <w:sz w:val="14"/>
              </w:rPr>
              <w:t>CITY</w:t>
            </w:r>
          </w:p>
        </w:tc>
        <w:tc>
          <w:tcPr>
            <w:tcW w:w="16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80" w:before="0" w:after="240"/>
              <w:jc w:val="both"/>
              <w:rPr>
                <w:rFonts w:ascii="Times New Roman;serif" w:hAnsi="Times New Roman;serif"/>
                <w:b w:val="false"/>
                <w:color w:val="000000"/>
                <w:sz w:val="14"/>
              </w:rPr>
            </w:pPr>
            <w:r>
              <w:rPr>
                <w:rFonts w:ascii="Times New Roman;serif" w:hAnsi="Times New Roman;serif"/>
                <w:b w:val="false"/>
                <w:color w:val="000000"/>
                <w:sz w:val="14"/>
              </w:rPr>
              <w:t>STATE AND ZIP CODE</w:t>
            </w:r>
          </w:p>
        </w:tc>
      </w:tr>
      <w:tr>
        <w:trPr/>
        <w:tc>
          <w:tcPr>
            <w:tcW w:w="18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80" w:before="0" w:after="240"/>
              <w:jc w:val="both"/>
              <w:rPr>
                <w:rFonts w:ascii="Times New Roman;serif" w:hAnsi="Times New Roman;serif"/>
                <w:b w:val="false"/>
                <w:color w:val="000000"/>
                <w:sz w:val="14"/>
              </w:rPr>
            </w:pPr>
            <w:r>
              <w:rPr>
                <w:rFonts w:ascii="Times New Roman;serif" w:hAnsi="Times New Roman;serif"/>
                <w:b w:val="false"/>
                <w:color w:val="000000"/>
                <w:sz w:val="14"/>
              </w:rPr>
              <w:t>TRANSIT/ABA NUMBER</w:t>
            </w:r>
          </w:p>
        </w:tc>
        <w:tc>
          <w:tcPr>
            <w:tcW w:w="16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80" w:before="0" w:after="240"/>
              <w:jc w:val="both"/>
              <w:rPr>
                <w:rFonts w:ascii="Times New Roman;serif" w:hAnsi="Times New Roman;serif"/>
                <w:b w:val="false"/>
                <w:color w:val="000000"/>
                <w:sz w:val="14"/>
              </w:rPr>
            </w:pPr>
            <w:r>
              <w:rPr>
                <w:rFonts w:ascii="Times New Roman;serif" w:hAnsi="Times New Roman;serif"/>
                <w:b w:val="false"/>
                <w:color w:val="000000"/>
                <w:sz w:val="14"/>
              </w:rPr>
              <w:t>ACCOUNT NUMBER</w:t>
            </w:r>
          </w:p>
        </w:tc>
      </w:tr>
    </w:tbl>
    <w:p>
      <w:pPr>
        <w:pStyle w:val="TextBody"/>
        <w:bidi w:val="0"/>
        <w:spacing w:lineRule="atLeast" w:line="280" w:before="0" w:after="1680"/>
        <w:jc w:val="both"/>
        <w:rPr>
          <w:rFonts w:ascii="Times New Roman;serif" w:hAnsi="Times New Roman;serif"/>
          <w:b w:val="false"/>
          <w:color w:val="000000"/>
          <w:sz w:val="22"/>
        </w:rPr>
      </w:pPr>
      <w:r>
        <w:rPr>
          <w:rFonts w:ascii="Times New Roman;serif" w:hAnsi="Times New Roman;serif"/>
          <w:b w:val="false"/>
          <w:color w:val="000000"/>
          <w:sz w:val="22"/>
        </w:rPr>
        <w:t xml:space="preserve">This authority will remain in full force and effect so long as any amounts are due under the Agreement. </w:t>
      </w:r>
    </w:p>
    <w:p>
      <w:pPr>
        <w:pStyle w:val="TextBody"/>
        <w:bidi w:val="0"/>
        <w:spacing w:before="0" w:after="240"/>
        <w:jc w:val="both"/>
        <w:rPr/>
      </w:pPr>
      <w:r>
        <w:rPr/>
      </w:r>
    </w:p>
    <w:tbl>
      <w:tblPr>
        <w:tblW w:w="1589" w:type="dxa"/>
        <w:jc w:val="left"/>
        <w:tblInd w:w="0" w:type="dxa"/>
        <w:tblLayout w:type="fixed"/>
        <w:tblCellMar>
          <w:top w:w="28" w:type="dxa"/>
          <w:left w:w="28" w:type="dxa"/>
          <w:bottom w:w="28" w:type="dxa"/>
          <w:right w:w="28" w:type="dxa"/>
        </w:tblCellMar>
      </w:tblPr>
      <w:tblGrid>
        <w:gridCol w:w="275"/>
        <w:gridCol w:w="242"/>
        <w:gridCol w:w="242"/>
        <w:gridCol w:w="242"/>
        <w:gridCol w:w="242"/>
        <w:gridCol w:w="346"/>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r>
      <w:tr>
        <w:trPr/>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2100"/>
                <wp:effectExtent l="0" t="0" r="0" b="0"/>
                <wp:wrapNone/>
                <wp:docPr id="171" name="Frame16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1631230664.5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Raab,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54"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1210"/>
        <w:gridCol w:w="1210"/>
        <w:gridCol w:w="171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Susan Hohenleitner,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79" w:type="dxa"/>
        <w:jc w:val="center"/>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50"/>
        <w:gridCol w:w="750"/>
        <w:gridCol w:w="106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Ardelyx, Inc. (the “Company”) on Form 10-Q for the period ending March 31, 2026, as filed with the Securities and Exchange Commission on the date hereof (the “Report”), Michael Raab, President and Chief Executive Officer of the Company, and Susan Hohenleitner, Chief Financial Officer of the Company, respectively, do each hereby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654"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1210"/>
        <w:gridCol w:w="1210"/>
        <w:gridCol w:w="171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tbl>
      <w:tblPr>
        <w:tblW w:w="5079"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50"/>
        <w:gridCol w:w="750"/>
        <w:gridCol w:w="106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47380/d748616dex31.htm" TargetMode="External"/><Relationship Id="rId4" Type="http://schemas.openxmlformats.org/officeDocument/2006/relationships/hyperlink" Target="https://www.sec.gov/Archives/edgar/data/1437402/000162828023022681/certificateofamendment6-16.htm" TargetMode="External"/><Relationship Id="rId5" Type="http://schemas.openxmlformats.org/officeDocument/2006/relationships/hyperlink" Target="https://www.sec.gov/Archives/edgar/data/1437402/000162828025037441/ardx-20250630xexhibit31.htm" TargetMode="External"/><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109</Pages>
  <Words>93557</Words>
  <Characters>509090</Characters>
  <CharactersWithSpaces>600640</CharactersWithSpaces>
  <Paragraphs>4335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