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1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1533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2"/>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Cadoret-Manier Onaiza</w:t>
              </w:r>
            </w:hyperlink>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0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ARDELYX,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ARDX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bottom w:val="single" w:sz="8" w:color="0000EE"/>
            </w:tcBorders>
          </w:tcPr>
          <w:p>
            <w:pPr>
              <w:spacing w:after="0"/>
              <w:rPr>
                <w:sz w:val="4"/>
                <w:szCs w:val="4"/>
                <w:color w:val="auto"/>
              </w:rPr>
            </w:pPr>
          </w:p>
        </w:tc>
        <w:tc>
          <w:tcPr>
            <w:tcW w:w="52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Borders>
              <w:bottom w:val="single" w:sz="8" w:color="0000EE"/>
            </w:tcBorders>
            <w:gridSpan w:val="2"/>
            <w:vMerge w:val="continue"/>
          </w:tcPr>
          <w:p>
            <w:pPr>
              <w:spacing w:after="0"/>
              <w:rPr>
                <w:sz w:val="4"/>
                <w:szCs w:val="4"/>
                <w:color w:val="auto"/>
              </w:rPr>
            </w:pPr>
          </w:p>
        </w:tc>
        <w:tc>
          <w:tcPr>
            <w:tcW w:w="16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6"/>
                <w:szCs w:val="6"/>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0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720" w:type="dxa"/>
            <w:vAlign w:val="bottom"/>
          </w:tcPr>
          <w:p>
            <w:pPr>
              <w:spacing w:after="0"/>
              <w:rPr>
                <w:sz w:val="2"/>
                <w:szCs w:val="2"/>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ARDELYX, INC.</w:t>
            </w: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06/16/2026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400 FIFTH AVENUE, SUITE 210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54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WALTHAM</w:t>
            </w:r>
          </w:p>
        </w:tc>
        <w:tc>
          <w:tcPr>
            <w:tcW w:w="7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MA</w:t>
            </w:r>
          </w:p>
        </w:tc>
        <w:tc>
          <w:tcPr>
            <w:tcW w:w="720" w:type="dxa"/>
            <w:vAlign w:val="bottom"/>
          </w:tcPr>
          <w:p>
            <w:pPr>
              <w:spacing w:after="0"/>
              <w:rPr>
                <w:sz w:val="7"/>
                <w:szCs w:val="7"/>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02451</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00" w:type="dxa"/>
            <w:vAlign w:val="bottom"/>
            <w:gridSpan w:val="2"/>
          </w:tcPr>
          <w:p>
            <w:pPr>
              <w:ind w:left="200"/>
              <w:spacing w:after="0"/>
              <w:rPr>
                <w:sz w:val="20"/>
                <w:szCs w:val="20"/>
                <w:color w:val="auto"/>
              </w:rPr>
            </w:pPr>
            <w:r>
              <w:rPr>
                <w:rFonts w:ascii="Arial" w:cs="Arial" w:eastAsia="Arial" w:hAnsi="Arial"/>
                <w:sz w:val="10"/>
                <w:szCs w:val="10"/>
                <w:color w:val="auto"/>
              </w:rPr>
              <w:t>(State)</w:t>
            </w:r>
          </w:p>
        </w:tc>
        <w:tc>
          <w:tcPr>
            <w:tcW w:w="72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960" w:type="dxa"/>
            <w:vAlign w:val="bottom"/>
            <w:gridSpan w:val="3"/>
          </w:tcPr>
          <w:p>
            <w:pPr>
              <w:ind w:left="14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960" w:type="dxa"/>
            <w:vAlign w:val="bottom"/>
            <w:gridSpan w:val="3"/>
          </w:tcPr>
          <w:p>
            <w:pPr>
              <w:ind w:left="14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3"/>
          </w:tcPr>
          <w:p>
            <w:pPr>
              <w:ind w:left="14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06/16/2026</w:t>
            </w: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26,455</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2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3"/>
                <w:szCs w:val="13"/>
                <w:color w:val="0000FF"/>
                <w:w w:val="99"/>
              </w:rPr>
              <w:t>178,156</w:t>
            </w: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540" w:type="dxa"/>
            <w:vAlign w:val="bottom"/>
            <w:tcBorders>
              <w:top w:val="single" w:sz="8" w:color="2C2C2C"/>
            </w:tcBorders>
          </w:tcPr>
          <w:p>
            <w:pPr>
              <w:spacing w:after="0"/>
              <w:rPr>
                <w:sz w:val="14"/>
                <w:szCs w:val="14"/>
                <w:color w:val="auto"/>
              </w:rPr>
            </w:pPr>
          </w:p>
        </w:tc>
        <w:tc>
          <w:tcPr>
            <w:tcW w:w="16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38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4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16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Conversion</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Price of</w:t>
            </w:r>
          </w:p>
        </w:tc>
        <w:tc>
          <w:tcPr>
            <w:tcW w:w="720" w:type="dxa"/>
            <w:vAlign w:val="bottom"/>
          </w:tcPr>
          <w:p>
            <w:pPr>
              <w:spacing w:after="0"/>
              <w:rPr>
                <w:sz w:val="9"/>
                <w:szCs w:val="9"/>
                <w:color w:val="auto"/>
              </w:rPr>
            </w:pP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Derivative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(D) (Instr. 3, 4 and 5)</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Stock Option (Right to</w:t>
            </w:r>
          </w:p>
        </w:tc>
        <w:tc>
          <w:tcPr>
            <w:tcW w:w="540" w:type="dxa"/>
            <w:vAlign w:val="bottom"/>
            <w:vMerge w:val="restart"/>
          </w:tcPr>
          <w:p>
            <w:pPr>
              <w:ind w:left="26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5.67</w:t>
            </w:r>
          </w:p>
        </w:tc>
        <w:tc>
          <w:tcPr>
            <w:tcW w:w="160" w:type="dxa"/>
            <w:vAlign w:val="bottom"/>
          </w:tcPr>
          <w:p>
            <w:pPr>
              <w:spacing w:after="0"/>
              <w:rPr>
                <w:sz w:val="12"/>
                <w:szCs w:val="12"/>
                <w:color w:val="auto"/>
              </w:rPr>
            </w:pPr>
          </w:p>
        </w:tc>
        <w:tc>
          <w:tcPr>
            <w:tcW w:w="72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0000FF"/>
              </w:rPr>
              <w:t>06/16/2026</w:t>
            </w:r>
          </w:p>
        </w:tc>
        <w:tc>
          <w:tcPr>
            <w:tcW w:w="1020" w:type="dxa"/>
            <w:vAlign w:val="bottom"/>
          </w:tcPr>
          <w:p>
            <w:pPr>
              <w:spacing w:after="0"/>
              <w:rPr>
                <w:sz w:val="12"/>
                <w:szCs w:val="12"/>
                <w:color w:val="auto"/>
              </w:rPr>
            </w:pPr>
          </w:p>
        </w:tc>
        <w:tc>
          <w:tcPr>
            <w:tcW w:w="8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00FF"/>
              </w:rPr>
              <w:t>39,715</w:t>
            </w:r>
            <w:r>
              <w:rPr>
                <w:rFonts w:ascii="Times New Roman" w:cs="Times New Roman" w:eastAsia="Times New Roman" w:hAnsi="Times New Roman"/>
                <w:sz w:val="17"/>
                <w:szCs w:val="17"/>
                <w:color w:val="008000"/>
                <w:vertAlign w:val="superscript"/>
              </w:rPr>
              <w:t>(2)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9"/>
                <w:szCs w:val="9"/>
                <w:color w:val="008000"/>
              </w:rPr>
              <w:t>(3)</w:t>
            </w:r>
          </w:p>
        </w:tc>
        <w:tc>
          <w:tcPr>
            <w:tcW w:w="26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06/16/2036</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39,715</w:t>
            </w:r>
          </w:p>
        </w:tc>
        <w:tc>
          <w:tcPr>
            <w:tcW w:w="82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0000FF"/>
              </w:rPr>
              <w:t>39,715</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Buy)</w:t>
            </w:r>
          </w:p>
        </w:tc>
        <w:tc>
          <w:tcPr>
            <w:tcW w:w="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("RSUs"). The Reporting Person is entitled to receive one (1) share of Common Stock for each one (1) RSU upon the vesting thereof. The RSUs were issued pursuant to the Issuer's Non-Employee Director Compensation Program.</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was issued pursuant to the Issuer's Non-Employee Director Compensation Program.</w:t>
      </w:r>
    </w:p>
    <w:p>
      <w:pPr>
        <w:spacing w:after="0" w:line="40" w:lineRule="exact"/>
        <w:rPr>
          <w:rFonts w:ascii="Times New Roman" w:cs="Times New Roman" w:eastAsia="Times New Roman" w:hAnsi="Times New Roman"/>
          <w:sz w:val="10"/>
          <w:szCs w:val="10"/>
          <w:color w:val="008000"/>
        </w:rPr>
      </w:pPr>
    </w:p>
    <w:p>
      <w:pPr>
        <w:ind w:left="40" w:right="4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Felecia Ettenberg, Attorney-in-fact</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460" w:type="dxa"/>
            <w:vAlign w:val="bottom"/>
            <w:tcBorders>
              <w:top w:val="single" w:sz="8" w:color="auto"/>
            </w:tcBorders>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for Onaiza Cadoret-Manier</w:t>
            </w:r>
          </w:p>
        </w:tc>
        <w:tc>
          <w:tcPr>
            <w:tcW w:w="580" w:type="dxa"/>
            <w:vAlign w:val="bottom"/>
            <w:tcBorders>
              <w:top w:val="single" w:sz="8" w:color="auto"/>
            </w:tcBorders>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1460" w:type="dxa"/>
            <w:vAlign w:val="bottom"/>
            <w:tcBorders>
              <w:top w:val="single" w:sz="8" w:color="auto"/>
              <w:bottom w:val="single" w:sz="8" w:color="auto"/>
            </w:tcBorders>
            <w:vMerge w:val="continue"/>
          </w:tcPr>
          <w:p>
            <w:pPr>
              <w:spacing w:after="0"/>
              <w:rPr>
                <w:sz w:val="5"/>
                <w:szCs w:val="5"/>
                <w:color w:val="auto"/>
              </w:rPr>
            </w:pPr>
          </w:p>
        </w:tc>
        <w:tc>
          <w:tcPr>
            <w:tcW w:w="580" w:type="dxa"/>
            <w:vAlign w:val="bottom"/>
            <w:tcBorders>
              <w:top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2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0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2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2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9355"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2026-06-18T15:13:34Z</dcterms:created>
  <dcterms:modified xsi:type="dcterms:W3CDTF">2026-06-18T15:13:34Z</dcterms:modified>
</cp:coreProperties>
</file>