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603250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620395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746125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99060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April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3412490</wp:posOffset>
            </wp:positionH>
            <wp:positionV relativeFrom="paragraph">
              <wp:posOffset>184785</wp:posOffset>
            </wp:positionV>
            <wp:extent cx="342900" cy="3429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ARDELYX,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76" w:lineRule="exact"/>
        <w:rPr>
          <w:sz w:val="24"/>
          <w:szCs w:val="24"/>
          <w:color w:val="auto"/>
        </w:rPr>
      </w:pPr>
    </w:p>
    <w:tbl>
      <w:tblPr>
        <w:tblLayout w:type="fixed"/>
        <w:tblInd w:w="0" w:type="dxa"/>
        <w:tblCellMar>
          <w:top w:w="0" w:type="dxa"/>
          <w:left w:w="0" w:type="dxa"/>
          <w:bottom w:w="0" w:type="dxa"/>
          <w:right w:w="0" w:type="dxa"/>
        </w:tblCellMar>
      </w:tblPr>
      <w:tr>
        <w:trPr>
          <w:trHeight w:val="151"/>
        </w:trPr>
        <w:tc>
          <w:tcPr>
            <w:tcW w:w="3120" w:type="dxa"/>
            <w:vAlign w:val="bottom"/>
          </w:tcPr>
          <w:p>
            <w:pPr>
              <w:jc w:val="center"/>
              <w:ind w:left="588"/>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50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001-36485</w:t>
            </w:r>
          </w:p>
        </w:tc>
        <w:tc>
          <w:tcPr>
            <w:tcW w:w="3100" w:type="dxa"/>
            <w:vAlign w:val="bottom"/>
          </w:tcPr>
          <w:p>
            <w:pPr>
              <w:jc w:val="center"/>
              <w:ind w:right="628"/>
              <w:spacing w:after="0"/>
              <w:rPr>
                <w:sz w:val="20"/>
                <w:szCs w:val="20"/>
                <w:color w:val="auto"/>
              </w:rPr>
            </w:pPr>
            <w:r>
              <w:rPr>
                <w:rFonts w:ascii="Times New Roman" w:cs="Times New Roman" w:eastAsia="Times New Roman" w:hAnsi="Times New Roman"/>
                <w:sz w:val="12"/>
                <w:szCs w:val="12"/>
                <w:b w:val="1"/>
                <w:bCs w:val="1"/>
                <w:color w:val="auto"/>
                <w:w w:val="99"/>
              </w:rPr>
              <w:t>26-1303944</w:t>
            </w:r>
          </w:p>
        </w:tc>
      </w:tr>
      <w:tr>
        <w:trPr>
          <w:trHeight w:val="99"/>
        </w:trPr>
        <w:tc>
          <w:tcPr>
            <w:tcW w:w="3120" w:type="dxa"/>
            <w:vAlign w:val="bottom"/>
          </w:tcPr>
          <w:p>
            <w:pPr>
              <w:jc w:val="center"/>
              <w:ind w:left="588"/>
              <w:spacing w:after="0" w:line="99" w:lineRule="exact"/>
              <w:rPr>
                <w:sz w:val="20"/>
                <w:szCs w:val="20"/>
                <w:color w:val="auto"/>
              </w:rPr>
            </w:pPr>
            <w:r>
              <w:rPr>
                <w:rFonts w:ascii="Times New Roman" w:cs="Times New Roman" w:eastAsia="Times New Roman" w:hAnsi="Times New Roman"/>
                <w:sz w:val="10"/>
                <w:szCs w:val="10"/>
                <w:b w:val="1"/>
                <w:bCs w:val="1"/>
                <w:color w:val="auto"/>
                <w:w w:val="94"/>
              </w:rPr>
              <w:t>(State or other jurisdiction</w:t>
            </w:r>
          </w:p>
        </w:tc>
        <w:tc>
          <w:tcPr>
            <w:tcW w:w="50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6"/>
              </w:rPr>
              <w:t>(Commission</w:t>
            </w:r>
          </w:p>
        </w:tc>
        <w:tc>
          <w:tcPr>
            <w:tcW w:w="3100" w:type="dxa"/>
            <w:vAlign w:val="bottom"/>
          </w:tcPr>
          <w:p>
            <w:pPr>
              <w:jc w:val="center"/>
              <w:ind w:right="628"/>
              <w:spacing w:after="0" w:line="99" w:lineRule="exact"/>
              <w:rPr>
                <w:sz w:val="20"/>
                <w:szCs w:val="20"/>
                <w:color w:val="auto"/>
              </w:rPr>
            </w:pPr>
            <w:r>
              <w:rPr>
                <w:rFonts w:ascii="Times New Roman" w:cs="Times New Roman" w:eastAsia="Times New Roman" w:hAnsi="Times New Roman"/>
                <w:sz w:val="10"/>
                <w:szCs w:val="10"/>
                <w:b w:val="1"/>
                <w:bCs w:val="1"/>
                <w:color w:val="auto"/>
                <w:w w:val="95"/>
              </w:rPr>
              <w:t>(IRS Employer</w:t>
            </w:r>
          </w:p>
        </w:tc>
      </w:tr>
      <w:tr>
        <w:trPr>
          <w:trHeight w:val="125"/>
        </w:trPr>
        <w:tc>
          <w:tcPr>
            <w:tcW w:w="3120" w:type="dxa"/>
            <w:vAlign w:val="bottom"/>
          </w:tcPr>
          <w:p>
            <w:pPr>
              <w:jc w:val="center"/>
              <w:ind w:left="608"/>
              <w:spacing w:after="0"/>
              <w:rPr>
                <w:sz w:val="20"/>
                <w:szCs w:val="20"/>
                <w:color w:val="auto"/>
              </w:rPr>
            </w:pPr>
            <w:r>
              <w:rPr>
                <w:rFonts w:ascii="Times New Roman" w:cs="Times New Roman" w:eastAsia="Times New Roman" w:hAnsi="Times New Roman"/>
                <w:sz w:val="10"/>
                <w:szCs w:val="10"/>
                <w:b w:val="1"/>
                <w:bCs w:val="1"/>
                <w:color w:val="auto"/>
                <w:w w:val="95"/>
              </w:rPr>
              <w:t>of incorporation)</w:t>
            </w:r>
          </w:p>
        </w:tc>
        <w:tc>
          <w:tcPr>
            <w:tcW w:w="50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File Number)</w:t>
            </w:r>
          </w:p>
        </w:tc>
        <w:tc>
          <w:tcPr>
            <w:tcW w:w="3100" w:type="dxa"/>
            <w:vAlign w:val="bottom"/>
          </w:tcPr>
          <w:p>
            <w:pPr>
              <w:jc w:val="center"/>
              <w:ind w:right="608"/>
              <w:spacing w:after="0"/>
              <w:rPr>
                <w:sz w:val="20"/>
                <w:szCs w:val="20"/>
                <w:color w:val="auto"/>
              </w:rPr>
            </w:pPr>
            <w:r>
              <w:rPr>
                <w:rFonts w:ascii="Times New Roman" w:cs="Times New Roman" w:eastAsia="Times New Roman" w:hAnsi="Times New Roman"/>
                <w:sz w:val="10"/>
                <w:szCs w:val="10"/>
                <w:b w:val="1"/>
                <w:bCs w:val="1"/>
                <w:color w:val="auto"/>
                <w:w w:val="96"/>
              </w:rPr>
              <w:t>Identification Number)</w:t>
            </w:r>
          </w:p>
        </w:tc>
      </w:tr>
      <w:tr>
        <w:trPr>
          <w:trHeight w:val="271"/>
        </w:trPr>
        <w:tc>
          <w:tcPr>
            <w:tcW w:w="3120" w:type="dxa"/>
            <w:vAlign w:val="bottom"/>
          </w:tcPr>
          <w:p>
            <w:pPr>
              <w:spacing w:after="0"/>
              <w:rPr>
                <w:sz w:val="23"/>
                <w:szCs w:val="23"/>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400 FIFTH AVE., SUITE 210, WALTHAM, MASSACHUSETTS 02451</w:t>
            </w:r>
          </w:p>
        </w:tc>
        <w:tc>
          <w:tcPr>
            <w:tcW w:w="3100" w:type="dxa"/>
            <w:vAlign w:val="bottom"/>
          </w:tcPr>
          <w:p>
            <w:pPr>
              <w:spacing w:after="0"/>
              <w:rPr>
                <w:sz w:val="23"/>
                <w:szCs w:val="23"/>
                <w:color w:val="auto"/>
              </w:rPr>
            </w:pPr>
          </w:p>
        </w:tc>
      </w:tr>
      <w:tr>
        <w:trPr>
          <w:trHeight w:val="125"/>
        </w:trPr>
        <w:tc>
          <w:tcPr>
            <w:tcW w:w="3120" w:type="dxa"/>
            <w:vAlign w:val="bottom"/>
          </w:tcPr>
          <w:p>
            <w:pPr>
              <w:spacing w:after="0"/>
              <w:rPr>
                <w:sz w:val="10"/>
                <w:szCs w:val="10"/>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(Address of principal executive offices, including Zip Code)</w:t>
            </w:r>
          </w:p>
        </w:tc>
        <w:tc>
          <w:tcPr>
            <w:tcW w:w="3100" w:type="dxa"/>
            <w:vAlign w:val="bottom"/>
          </w:tcPr>
          <w:p>
            <w:pPr>
              <w:spacing w:after="0"/>
              <w:rPr>
                <w:sz w:val="10"/>
                <w:szCs w:val="10"/>
                <w:color w:val="auto"/>
              </w:rPr>
            </w:pPr>
          </w:p>
        </w:tc>
      </w:tr>
      <w:tr>
        <w:trPr>
          <w:trHeight w:val="251"/>
        </w:trPr>
        <w:tc>
          <w:tcPr>
            <w:tcW w:w="3120" w:type="dxa"/>
            <w:vAlign w:val="bottom"/>
          </w:tcPr>
          <w:p>
            <w:pPr>
              <w:spacing w:after="0"/>
              <w:rPr>
                <w:sz w:val="21"/>
                <w:szCs w:val="21"/>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 (617) 675-2739</w:t>
            </w:r>
          </w:p>
        </w:tc>
        <w:tc>
          <w:tcPr>
            <w:tcW w:w="3100" w:type="dxa"/>
            <w:vAlign w:val="bottom"/>
          </w:tcPr>
          <w:p>
            <w:pPr>
              <w:spacing w:after="0"/>
              <w:rPr>
                <w:sz w:val="21"/>
                <w:szCs w:val="21"/>
                <w:color w:val="auto"/>
              </w:rPr>
            </w:pPr>
          </w:p>
        </w:tc>
      </w:tr>
      <w:tr>
        <w:trPr>
          <w:trHeight w:val="126"/>
        </w:trPr>
        <w:tc>
          <w:tcPr>
            <w:tcW w:w="3120" w:type="dxa"/>
            <w:vAlign w:val="bottom"/>
            <w:tcBorders>
              <w:bottom w:val="single" w:sz="8" w:color="auto"/>
            </w:tcBorders>
          </w:tcPr>
          <w:p>
            <w:pPr>
              <w:spacing w:after="0"/>
              <w:rPr>
                <w:sz w:val="10"/>
                <w:szCs w:val="10"/>
                <w:color w:val="auto"/>
              </w:rPr>
            </w:pPr>
          </w:p>
        </w:tc>
        <w:tc>
          <w:tcPr>
            <w:tcW w:w="508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tcPr>
          <w:p>
            <w:pPr>
              <w:spacing w:after="0"/>
              <w:rPr>
                <w:sz w:val="10"/>
                <w:szCs w:val="10"/>
                <w:color w:val="auto"/>
              </w:rPr>
            </w:pPr>
          </w:p>
        </w:tc>
      </w:tr>
    </w:tbl>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Check the appropriate box below if the Form 8-K filing is intended to simultaneously satisfy the filing obligation of the registrant under any of the following provisions:</w:t>
      </w:r>
    </w:p>
    <w:p>
      <w:pPr>
        <w:spacing w:after="0" w:line="126" w:lineRule="exact"/>
        <w:rPr>
          <w:sz w:val="24"/>
          <w:szCs w:val="24"/>
          <w:color w:val="auto"/>
        </w:rPr>
      </w:pPr>
    </w:p>
    <w:p>
      <w:pPr>
        <w:ind w:left="400" w:hanging="396"/>
        <w:spacing w:after="0"/>
        <w:tabs>
          <w:tab w:leader="none" w:pos="400" w:val="left"/>
        </w:tabs>
        <w:numPr>
          <w:ilvl w:val="0"/>
          <w:numId w:val="1"/>
        </w:numPr>
        <w:rPr>
          <w:rFonts w:ascii="MS PGothic" w:cs="MS PGothic" w:eastAsia="MS PGothic" w:hAnsi="MS PGothic"/>
          <w:sz w:val="11"/>
          <w:szCs w:val="11"/>
          <w:color w:val="auto"/>
          <w:highlight w:val="black"/>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29" w:lineRule="exact"/>
        <w:rPr>
          <w:rFonts w:ascii="MS PGothic" w:cs="MS PGothic" w:eastAsia="MS PGothic" w:hAnsi="MS PGothic"/>
          <w:sz w:val="11"/>
          <w:szCs w:val="11"/>
          <w:color w:val="auto"/>
          <w:highlight w:val="black"/>
        </w:rPr>
      </w:pPr>
    </w:p>
    <w:p>
      <w:pPr>
        <w:ind w:left="400" w:hanging="396"/>
        <w:spacing w:after="0"/>
        <w:tabs>
          <w:tab w:leader="none" w:pos="400" w:val="left"/>
        </w:tabs>
        <w:numPr>
          <w:ilvl w:val="0"/>
          <w:numId w:val="1"/>
        </w:numPr>
        <w:rPr>
          <w:rFonts w:ascii="MS PGothic" w:cs="MS PGothic" w:eastAsia="MS PGothic" w:hAnsi="MS PGothic"/>
          <w:sz w:val="11"/>
          <w:szCs w:val="11"/>
          <w:color w:val="auto"/>
          <w:highlight w:val="black"/>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17" w:lineRule="exact"/>
        <w:rPr>
          <w:rFonts w:ascii="MS PGothic" w:cs="MS PGothic" w:eastAsia="MS PGothic" w:hAnsi="MS PGothic"/>
          <w:sz w:val="11"/>
          <w:szCs w:val="11"/>
          <w:color w:val="auto"/>
          <w:highlight w:val="black"/>
        </w:rPr>
      </w:pPr>
    </w:p>
    <w:p>
      <w:pPr>
        <w:ind w:left="400" w:hanging="396"/>
        <w:spacing w:after="0"/>
        <w:tabs>
          <w:tab w:leader="none" w:pos="400" w:val="left"/>
        </w:tabs>
        <w:numPr>
          <w:ilvl w:val="0"/>
          <w:numId w:val="1"/>
        </w:numPr>
        <w:rPr>
          <w:rFonts w:ascii="MS PGothic" w:cs="MS PGothic" w:eastAsia="MS PGothic" w:hAnsi="MS PGothic"/>
          <w:sz w:val="11"/>
          <w:szCs w:val="11"/>
          <w:color w:val="auto"/>
          <w:highlight w:val="black"/>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17" w:lineRule="exact"/>
        <w:rPr>
          <w:rFonts w:ascii="MS PGothic" w:cs="MS PGothic" w:eastAsia="MS PGothic" w:hAnsi="MS PGothic"/>
          <w:sz w:val="11"/>
          <w:szCs w:val="11"/>
          <w:color w:val="auto"/>
          <w:highlight w:val="black"/>
        </w:rPr>
      </w:pPr>
    </w:p>
    <w:p>
      <w:pPr>
        <w:ind w:left="400" w:hanging="396"/>
        <w:spacing w:after="0"/>
        <w:tabs>
          <w:tab w:leader="none" w:pos="400" w:val="left"/>
        </w:tabs>
        <w:numPr>
          <w:ilvl w:val="0"/>
          <w:numId w:val="1"/>
        </w:numPr>
        <w:rPr>
          <w:rFonts w:ascii="MS PGothic" w:cs="MS PGothic" w:eastAsia="MS PGothic" w:hAnsi="MS PGothic"/>
          <w:sz w:val="11"/>
          <w:szCs w:val="11"/>
          <w:color w:val="auto"/>
          <w:highlight w:val="black"/>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0"/>
        </w:trPr>
        <w:tc>
          <w:tcPr>
            <w:tcW w:w="4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60" w:type="dxa"/>
            <w:vAlign w:val="bottom"/>
          </w:tcPr>
          <w:p>
            <w:pPr>
              <w:spacing w:after="0"/>
              <w:rPr>
                <w:sz w:val="12"/>
                <w:szCs w:val="12"/>
                <w:color w:val="auto"/>
              </w:rPr>
            </w:pPr>
          </w:p>
        </w:tc>
      </w:tr>
      <w:tr>
        <w:trPr>
          <w:trHeight w:val="227"/>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Title of each class</w:t>
            </w:r>
          </w:p>
        </w:tc>
        <w:tc>
          <w:tcPr>
            <w:tcW w:w="33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3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133"/>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Common Stock, par value $0.0001 per share</w:t>
            </w:r>
          </w:p>
        </w:tc>
        <w:tc>
          <w:tcPr>
            <w:tcW w:w="140" w:type="dxa"/>
            <w:vAlign w:val="bottom"/>
          </w:tcPr>
          <w:p>
            <w:pPr>
              <w:spacing w:after="0"/>
              <w:rPr>
                <w:sz w:val="11"/>
                <w:szCs w:val="11"/>
                <w:color w:val="auto"/>
              </w:rPr>
            </w:pPr>
          </w:p>
        </w:tc>
        <w:tc>
          <w:tcPr>
            <w:tcW w:w="3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ARDX</w:t>
            </w:r>
          </w:p>
        </w:tc>
        <w:tc>
          <w:tcPr>
            <w:tcW w:w="120" w:type="dxa"/>
            <w:vAlign w:val="bottom"/>
          </w:tcPr>
          <w:p>
            <w:pPr>
              <w:spacing w:after="0"/>
              <w:rPr>
                <w:sz w:val="11"/>
                <w:szCs w:val="11"/>
                <w:color w:val="auto"/>
              </w:rPr>
            </w:pPr>
          </w:p>
        </w:tc>
        <w:tc>
          <w:tcPr>
            <w:tcW w:w="3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The Nasdaq Global Market</w:t>
            </w:r>
          </w:p>
        </w:tc>
      </w:tr>
    </w:tbl>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highlight w:val="black"/>
        </w:rPr>
        <w:t>☐</w:t>
      </w:r>
    </w:p>
    <w:p>
      <w:pPr>
        <w:spacing w:after="0" w:line="12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1"/>
          <w:szCs w:val="11"/>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610235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171450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188595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91" w:right="299" w:bottom="1440" w:gutter="0" w:footer="0" w:header="0"/>
        </w:sectPr>
      </w:pPr>
    </w:p>
    <w:bookmarkStart w:id="1" w:name="page2"/>
    <w:bookmarkEnd w:id="1"/>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118"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On April 30, 2026, Ardelyx, Inc. (the “Company”) announced its financial results for the quarter ended March 31, 2026. The full text of the press release issued in connection with the announcement is furnished as Exhibit 99.1 to this Current Report on Form 8-K.</w:t>
      </w:r>
    </w:p>
    <w:p>
      <w:pPr>
        <w:spacing w:after="0" w:line="75"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The information furnished under this Item 2.02, including Exhibit 99.1 hereto, shall not be considered “filed” under the Securities Exchange Act of 1934, as amended (the “Exchange Act”), nor shall it be incorporated by reference into any future filing under the Securities Act of 1933, as amended (the “Securities Act”), or under the Exchange Act, unless the Company expressly sets forth in such future filing that such information is to be considered “filed” or incorporated by reference therein.</w:t>
      </w:r>
    </w:p>
    <w:p>
      <w:pPr>
        <w:spacing w:after="0" w:line="7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72"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On April 30, 2026, the Company will host a conference call to discuss its financial results for the quarter ended March 31, 2026. A copy of the earnings presentation that will be used during this conference call is furnished as Exhibit 99.2 to this Current Report on Form 8-K and is incorporated herein by reference.</w:t>
      </w:r>
    </w:p>
    <w:p>
      <w:pPr>
        <w:spacing w:after="0" w:line="75"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The information furnished under this Item 7.01, including Exhibit 99.2 hereto, shall not be considered “filed” under the Exchange Act nor shall it be incorporated by reference into any future filing under the Securities Act, or under the Exchange Act, unless the Company expressly sets forth in such future filing that such information is to be considered “filed” or incorporated by reference therein.</w:t>
      </w:r>
    </w:p>
    <w:p>
      <w:pPr>
        <w:spacing w:after="0" w:line="7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 Exhibits.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9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0"/>
                <w:szCs w:val="10"/>
                <w:color w:val="auto"/>
              </w:rPr>
              <w:t>Exhibit No.</w:t>
            </w:r>
          </w:p>
        </w:tc>
        <w:tc>
          <w:tcPr>
            <w:tcW w:w="220" w:type="dxa"/>
            <w:vAlign w:val="bottom"/>
          </w:tcPr>
          <w:p>
            <w:pPr>
              <w:spacing w:after="0"/>
              <w:rPr>
                <w:sz w:val="11"/>
                <w:szCs w:val="11"/>
                <w:color w:val="auto"/>
              </w:rPr>
            </w:pPr>
          </w:p>
        </w:tc>
        <w:tc>
          <w:tcPr>
            <w:tcW w:w="100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0"/>
                <w:szCs w:val="10"/>
                <w:color w:val="auto"/>
              </w:rPr>
              <w:t>Description</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99.1</w:t>
            </w:r>
          </w:p>
        </w:tc>
        <w:tc>
          <w:tcPr>
            <w:tcW w:w="220" w:type="dxa"/>
            <w:vAlign w:val="bottom"/>
          </w:tcPr>
          <w:p>
            <w:pPr>
              <w:spacing w:after="0"/>
              <w:rPr>
                <w:sz w:val="11"/>
                <w:szCs w:val="11"/>
                <w:color w:val="auto"/>
              </w:rPr>
            </w:pPr>
          </w:p>
        </w:tc>
        <w:tc>
          <w:tcPr>
            <w:tcW w:w="10100" w:type="dxa"/>
            <w:vAlign w:val="bottom"/>
            <w:gridSpan w:val="4"/>
          </w:tcPr>
          <w:p>
            <w:pPr>
              <w:ind w:left="20"/>
              <w:spacing w:after="0" w:line="133" w:lineRule="exact"/>
              <w:rPr>
                <w:sz w:val="20"/>
                <w:szCs w:val="20"/>
                <w:color w:val="auto"/>
              </w:rPr>
            </w:pPr>
            <w:r>
              <w:rPr>
                <w:rFonts w:ascii="Times New Roman" w:cs="Times New Roman" w:eastAsia="Times New Roman" w:hAnsi="Times New Roman"/>
                <w:sz w:val="12"/>
                <w:szCs w:val="12"/>
                <w:color w:val="0000FF"/>
              </w:rPr>
              <w:t>Press Release of Ardelyx, Inc.</w:t>
            </w: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99.2</w:t>
            </w:r>
          </w:p>
        </w:tc>
        <w:tc>
          <w:tcPr>
            <w:tcW w:w="2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2"/>
                <w:szCs w:val="12"/>
                <w:color w:val="0000FF"/>
                <w:w w:val="98"/>
              </w:rPr>
              <w:t>Earnings Presentation of Ardelyx, Inc.</w:t>
            </w:r>
          </w:p>
        </w:tc>
        <w:tc>
          <w:tcPr>
            <w:tcW w:w="82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98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220" w:type="dxa"/>
            <w:vAlign w:val="bottom"/>
          </w:tcPr>
          <w:p>
            <w:pPr>
              <w:spacing w:after="0"/>
              <w:rPr>
                <w:sz w:val="16"/>
                <w:szCs w:val="16"/>
                <w:color w:val="auto"/>
              </w:rPr>
            </w:pPr>
          </w:p>
        </w:tc>
        <w:tc>
          <w:tcPr>
            <w:tcW w:w="1010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801"/>
        </w:trPr>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65" w:right="299" w:bottom="1440" w:gutter="0" w:footer="0" w:header="0"/>
        </w:sectPr>
      </w:pPr>
    </w:p>
    <w:bookmarkStart w:id="2" w:name="page3"/>
    <w:bookmarkEnd w:id="2"/>
    <w:p>
      <w:pPr>
        <w:ind w:left="530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as amended, the registrant has duly caused this report to be signed on its behalf by the undersigned hereunto duly authorized.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540" w:type="dxa"/>
            <w:vAlign w:val="bottom"/>
          </w:tcPr>
          <w:p>
            <w:pPr>
              <w:spacing w:after="0"/>
              <w:rPr>
                <w:sz w:val="20"/>
                <w:szCs w:val="20"/>
                <w:color w:val="auto"/>
              </w:rPr>
            </w:pPr>
            <w:r>
              <w:rPr>
                <w:rFonts w:ascii="Times New Roman" w:cs="Times New Roman" w:eastAsia="Times New Roman" w:hAnsi="Times New Roman"/>
                <w:sz w:val="12"/>
                <w:szCs w:val="12"/>
                <w:color w:val="auto"/>
              </w:rPr>
              <w:t>Date: April 30, 2026</w:t>
            </w:r>
          </w:p>
        </w:tc>
        <w:tc>
          <w:tcPr>
            <w:tcW w:w="7760" w:type="dxa"/>
            <w:vAlign w:val="bottom"/>
            <w:gridSpan w:val="2"/>
          </w:tcPr>
          <w:p>
            <w:pPr>
              <w:ind w:left="2540"/>
              <w:spacing w:after="0"/>
              <w:rPr>
                <w:sz w:val="20"/>
                <w:szCs w:val="20"/>
                <w:color w:val="auto"/>
              </w:rPr>
            </w:pPr>
            <w:r>
              <w:rPr>
                <w:rFonts w:ascii="Times New Roman" w:cs="Times New Roman" w:eastAsia="Times New Roman" w:hAnsi="Times New Roman"/>
                <w:sz w:val="12"/>
                <w:szCs w:val="12"/>
                <w:b w:val="1"/>
                <w:bCs w:val="1"/>
                <w:color w:val="auto"/>
              </w:rPr>
              <w:t>ARDELYX, INC.</w:t>
            </w:r>
          </w:p>
        </w:tc>
      </w:tr>
      <w:tr>
        <w:trPr>
          <w:trHeight w:val="297"/>
        </w:trPr>
        <w:tc>
          <w:tcPr>
            <w:tcW w:w="3540" w:type="dxa"/>
            <w:vAlign w:val="bottom"/>
          </w:tcPr>
          <w:p>
            <w:pPr>
              <w:spacing w:after="0"/>
              <w:rPr>
                <w:sz w:val="24"/>
                <w:szCs w:val="24"/>
                <w:color w:val="auto"/>
              </w:rPr>
            </w:pPr>
          </w:p>
        </w:tc>
        <w:tc>
          <w:tcPr>
            <w:tcW w:w="3180" w:type="dxa"/>
            <w:vAlign w:val="bottom"/>
          </w:tcPr>
          <w:p>
            <w:pPr>
              <w:ind w:left="2540"/>
              <w:spacing w:after="0"/>
              <w:rPr>
                <w:sz w:val="20"/>
                <w:szCs w:val="20"/>
                <w:color w:val="auto"/>
              </w:rPr>
            </w:pPr>
            <w:r>
              <w:rPr>
                <w:rFonts w:ascii="Times New Roman" w:cs="Times New Roman" w:eastAsia="Times New Roman" w:hAnsi="Times New Roman"/>
                <w:sz w:val="12"/>
                <w:szCs w:val="12"/>
                <w:color w:val="auto"/>
              </w:rPr>
              <w:t>By:</w:t>
            </w:r>
          </w:p>
        </w:tc>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Susan Hohenleitner</w:t>
            </w:r>
          </w:p>
        </w:tc>
      </w:tr>
      <w:tr>
        <w:trPr>
          <w:trHeight w:val="140"/>
        </w:trPr>
        <w:tc>
          <w:tcPr>
            <w:tcW w:w="35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Susan Hohenleitner</w:t>
            </w:r>
          </w:p>
        </w:tc>
      </w:tr>
      <w:tr>
        <w:trPr>
          <w:trHeight w:val="155"/>
        </w:trPr>
        <w:tc>
          <w:tcPr>
            <w:tcW w:w="35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Financial Officer</w:t>
            </w:r>
          </w:p>
        </w:tc>
      </w:tr>
    </w:tbl>
    <w:p>
      <w:pPr>
        <w:sectPr>
          <w:pgSz w:w="11900" w:h="16838" w:orient="portrait"/>
          <w:cols w:equalWidth="0" w:num="1">
            <w:col w:w="11300"/>
          </w:cols>
          <w:pgMar w:left="300" w:top="809"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3202940</wp:posOffset>
            </wp:positionH>
            <wp:positionV relativeFrom="page">
              <wp:posOffset>88900</wp:posOffset>
            </wp:positionV>
            <wp:extent cx="1148715" cy="262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62890"/>
                    </a:xfrm>
                    <a:prstGeom prst="rect">
                      <a:avLst/>
                    </a:prstGeom>
                    <a:noFill/>
                  </pic:spPr>
                </pic:pic>
              </a:graphicData>
            </a:graphic>
          </wp:anchor>
        </w:drawing>
        <w:t>Exhibit 99.1</w:t>
      </w:r>
    </w:p>
    <w:p>
      <w:pPr>
        <w:spacing w:after="0" w:line="16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Ardelyx Reports First Quarter 2026 Financial Results and Provides Business Update</w:t>
      </w:r>
    </w:p>
    <w:p>
      <w:pPr>
        <w:spacing w:after="0" w:line="15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i w:val="1"/>
          <w:iCs w:val="1"/>
          <w:color w:val="auto"/>
        </w:rPr>
        <w:t>Q1 2026 total product revenue of $93.4 million, reflecting 38% growth year-over-year</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i w:val="1"/>
          <w:iCs w:val="1"/>
          <w:color w:val="auto"/>
        </w:rPr>
        <w:t>IBSRELA Q1 2026 revenue growth of 58% year-over-year to $70.1 million; Reiterating guidance of $410-$430 million</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i w:val="1"/>
          <w:iCs w:val="1"/>
          <w:color w:val="auto"/>
        </w:rPr>
        <w:t>Strong financial position with $238.1 million in cash, cash equivalents and investments as of March 31, 2026</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i w:val="1"/>
          <w:iCs w:val="1"/>
          <w:color w:val="auto"/>
        </w:rPr>
        <w:t>Conference call scheduled for 4:30 PM Eastern Time</w:t>
      </w:r>
    </w:p>
    <w:p>
      <w:pPr>
        <w:spacing w:after="0" w:line="148" w:lineRule="exact"/>
        <w:rPr>
          <w:sz w:val="20"/>
          <w:szCs w:val="20"/>
          <w:color w:val="auto"/>
        </w:rPr>
      </w:pPr>
    </w:p>
    <w:p>
      <w:pPr>
        <w:ind w:left="8" w:right="14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WALTHAM, Mass., April 30, 2026 </w:t>
      </w:r>
      <w:r>
        <w:rPr>
          <w:rFonts w:ascii="Times New Roman" w:cs="Times New Roman" w:eastAsia="Times New Roman" w:hAnsi="Times New Roman"/>
          <w:sz w:val="12"/>
          <w:szCs w:val="12"/>
          <w:color w:val="auto"/>
        </w:rPr>
        <w:t>– Ardelyx Inc. (Nasdaq: ARDX), (“Ardelyx” or the “Company”) a commercial-stage biopharmaceutical company focused on the development and commercialization of innovative medicines that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meet significant unmet medical needs, today reported financial results for the first quarter ended March 31, 2026, and provided a business update.</w:t>
      </w:r>
    </w:p>
    <w:p>
      <w:pPr>
        <w:spacing w:after="0" w:line="125" w:lineRule="exact"/>
        <w:rPr>
          <w:sz w:val="20"/>
          <w:szCs w:val="20"/>
          <w:color w:val="auto"/>
        </w:rPr>
      </w:pPr>
    </w:p>
    <w:p>
      <w:pPr>
        <w:ind w:left="8" w:right="80"/>
        <w:spacing w:after="0" w:line="260" w:lineRule="auto"/>
        <w:rPr>
          <w:sz w:val="20"/>
          <w:szCs w:val="20"/>
          <w:color w:val="auto"/>
        </w:rPr>
      </w:pPr>
      <w:r>
        <w:rPr>
          <w:rFonts w:ascii="Times New Roman" w:cs="Times New Roman" w:eastAsia="Times New Roman" w:hAnsi="Times New Roman"/>
          <w:sz w:val="12"/>
          <w:szCs w:val="12"/>
          <w:color w:val="auto"/>
        </w:rPr>
        <w:t>“In the first quarter of 2026, Ardelyx continued our strong commercial execution which coupled with our strengthening cash position allows us to conduct multiple IBSRELA clinical trials, advance development of our next-generation NHE3 inhibitor, RDX10531, and purposefully explore various avenues to build a significant and sustainable pipeline of important medicines,” said Mike Raab, President and Chief Executive Officer of Ardelyx. “IBSRELA is the cornerstone for the company we’re building and is on the path to becoming a blockbuster by achieving at least one billion dollars in revenue in 2029 with continued strong growth thereafter. We are in a position of financial strength, providing flexibility to allocate capital across the business, accelerate commercial momentum, and drive intrinsic long-term value for the Company, our patients, and our shareholders.”</w:t>
      </w:r>
    </w:p>
    <w:p>
      <w:pPr>
        <w:spacing w:after="0" w:line="13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Product Revenue</w:t>
      </w:r>
    </w:p>
    <w:p>
      <w:pPr>
        <w:spacing w:after="0" w:line="14" w:lineRule="exact"/>
        <w:rPr>
          <w:sz w:val="20"/>
          <w:szCs w:val="20"/>
          <w:color w:val="auto"/>
        </w:rPr>
      </w:pPr>
    </w:p>
    <w:p>
      <w:pPr>
        <w:ind w:left="8" w:right="60"/>
        <w:spacing w:after="0" w:line="227" w:lineRule="auto"/>
        <w:rPr>
          <w:sz w:val="20"/>
          <w:szCs w:val="20"/>
          <w:color w:val="auto"/>
        </w:rPr>
      </w:pPr>
      <w:r>
        <w:rPr>
          <w:rFonts w:ascii="Times New Roman" w:cs="Times New Roman" w:eastAsia="Times New Roman" w:hAnsi="Times New Roman"/>
          <w:sz w:val="12"/>
          <w:szCs w:val="12"/>
          <w:color w:val="auto"/>
        </w:rPr>
        <w:t>Revenue for IBSRELA</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(tenapanor) during the first quarter of 2026 was $70.1 million, reflecting year-over-year growth of approximately 58%. The growth was driven by increases across key demand indicators, including total writers and new and refill prescriptions and continued improvement to prescription pull-through.</w:t>
      </w:r>
    </w:p>
    <w:p>
      <w:pPr>
        <w:spacing w:after="0" w:line="1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Revenue for XPHOZAH</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(tenapanor) during the first quarter of 2026 was $23.3 million driven by a strong increase in paid prescriptions.</w:t>
      </w:r>
    </w:p>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2026 Revenue Guidance</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Ardelyx reiterates its full-year 2026 revenue guidance:</w:t>
      </w:r>
    </w:p>
    <w:p>
      <w:pPr>
        <w:spacing w:after="0" w:line="6" w:lineRule="exact"/>
        <w:rPr>
          <w:sz w:val="20"/>
          <w:szCs w:val="20"/>
          <w:color w:val="auto"/>
        </w:rPr>
      </w:pPr>
    </w:p>
    <w:p>
      <w:pPr>
        <w:ind w:left="208" w:hanging="208"/>
        <w:spacing w:after="0"/>
        <w:tabs>
          <w:tab w:leader="none" w:pos="20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IBSRELA revenue between $410.0 and $430.0 million</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XPHOZAH revenue between $110.0 and $120.0 million</w:t>
      </w:r>
    </w:p>
    <w:p>
      <w:pPr>
        <w:spacing w:after="0" w:line="15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Advancing a Pipeline of Important Medicines</w:t>
      </w:r>
    </w:p>
    <w:p>
      <w:pPr>
        <w:spacing w:after="0" w:line="21" w:lineRule="exact"/>
        <w:rPr>
          <w:sz w:val="20"/>
          <w:szCs w:val="20"/>
          <w:color w:val="auto"/>
        </w:rPr>
      </w:pPr>
    </w:p>
    <w:p>
      <w:pPr>
        <w:ind w:left="208" w:right="20" w:hanging="208"/>
        <w:spacing w:after="0" w:line="250" w:lineRule="auto"/>
        <w:tabs>
          <w:tab w:leader="none" w:pos="205"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IBSRELA is being evaluated for the treatment of chronic idiopathic constipation (CIC) in adults in a Phase 3 clinical trial, ACCEL. In January 2026, the Company dosed the first patient in ACCEL and has initiated all pre-identified sites. The Company expects to complete enrollment by the end of 2026 with topline data read out in the second half of 2027.</w:t>
      </w:r>
    </w:p>
    <w:p>
      <w:pPr>
        <w:ind w:left="208" w:hanging="208"/>
        <w:spacing w:after="0"/>
        <w:tabs>
          <w:tab w:leader="none" w:pos="20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IBSRELA is also being evaluated in multiple pediatric clinical trials which could potentially provide six months of additional patent life for tenapanor.</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RDX10531, the Company’s next-generation NHE3 inhibitor is currently being tested in IND-enabling studies. If successful, RDX10531 has potential for broad applications across multiple therapeutic areas.</w:t>
      </w:r>
    </w:p>
    <w:p>
      <w:pPr>
        <w:spacing w:after="0" w:line="15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Other Corporate Developments</w:t>
      </w:r>
    </w:p>
    <w:p>
      <w:pPr>
        <w:spacing w:after="0" w:line="21" w:lineRule="exact"/>
        <w:rPr>
          <w:sz w:val="20"/>
          <w:szCs w:val="20"/>
          <w:color w:val="auto"/>
        </w:rPr>
      </w:pPr>
    </w:p>
    <w:p>
      <w:pPr>
        <w:ind w:left="208" w:right="220" w:hanging="208"/>
        <w:spacing w:after="0" w:line="250" w:lineRule="auto"/>
        <w:tabs>
          <w:tab w:leader="none" w:pos="205"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February, Ardelyx announced a multi-year partnership with the LPGA to serve as an official corporate pharmaceutical marketing partner, focusing on digestive health education and patient empowerment throughout the 2026 season.</w:t>
      </w:r>
    </w:p>
    <w:p>
      <w:pPr>
        <w:ind w:left="208" w:hanging="208"/>
        <w:spacing w:after="0"/>
        <w:tabs>
          <w:tab w:leader="none" w:pos="20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April, the Company expanded its executive leadership team with the appointment of Rajani Dinavahi, M.D. as Chief Medical Officer and Felecia W. Ettenberg, Esq. as Chief Legal Officer.</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April, the Company and SLR Investment Corp refinanced their existing debt, resulting in better overall terms. Morgan Stanley &amp; Co. LLC acted as financial advisor to Ardelyx.</w:t>
      </w:r>
    </w:p>
    <w:p>
      <w:pPr>
        <w:sectPr>
          <w:pgSz w:w="11900" w:h="16838" w:orient="portrait"/>
          <w:cols w:equalWidth="0" w:num="1">
            <w:col w:w="11308"/>
          </w:cols>
          <w:pgMar w:left="292" w:top="881" w:right="299" w:bottom="1440" w:gutter="0" w:footer="0" w:header="0"/>
        </w:sectPr>
      </w:pPr>
    </w:p>
    <w:bookmarkStart w:id="4" w:name="page5"/>
    <w:bookmarkEnd w:id="4"/>
    <w:p>
      <w:pPr>
        <w:ind w:left="208" w:right="360" w:hanging="208"/>
        <w:spacing w:after="0" w:line="279" w:lineRule="auto"/>
        <w:tabs>
          <w:tab w:leader="none" w:pos="205"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3202940</wp:posOffset>
            </wp:positionH>
            <wp:positionV relativeFrom="page">
              <wp:posOffset>163195</wp:posOffset>
            </wp:positionV>
            <wp:extent cx="1148715" cy="262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62890"/>
                    </a:xfrm>
                    <a:prstGeom prst="rect">
                      <a:avLst/>
                    </a:prstGeom>
                    <a:noFill/>
                  </pic:spPr>
                </pic:pic>
              </a:graphicData>
            </a:graphic>
          </wp:anchor>
        </w:drawing>
        <w:t>The Company’s abstracts containing additional tenapanor data were accepted for poster presentations at the upcoming Digestive Disease Week conference (May 2-5, 2026) and National Kidney Foundation’s Spring Clinical Meeting (May 6-10, 2026).</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First Quarter 2026 Financial Results</w:t>
      </w:r>
    </w:p>
    <w:p>
      <w:pPr>
        <w:spacing w:after="0" w:line="21" w:lineRule="exact"/>
        <w:rPr>
          <w:sz w:val="20"/>
          <w:szCs w:val="20"/>
          <w:color w:val="auto"/>
        </w:rPr>
      </w:pPr>
    </w:p>
    <w:p>
      <w:pPr>
        <w:ind w:left="208" w:right="360" w:hanging="208"/>
        <w:spacing w:after="0" w:line="250" w:lineRule="auto"/>
        <w:tabs>
          <w:tab w:leader="none" w:pos="154"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Cash Position: </w:t>
      </w:r>
      <w:r>
        <w:rPr>
          <w:rFonts w:ascii="Times New Roman" w:cs="Times New Roman" w:eastAsia="Times New Roman" w:hAnsi="Times New Roman"/>
          <w:sz w:val="12"/>
          <w:szCs w:val="12"/>
          <w:color w:val="auto"/>
        </w:rPr>
        <w:t>As of March 31, 2026, the Company had total cash, cash equivalents and short-term investments of $238.1 million, compared to total cash, cash equivalents and short-term investments of $264.7 million as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December 31, 2025.</w:t>
      </w:r>
    </w:p>
    <w:p>
      <w:pPr>
        <w:ind w:left="168" w:hanging="168"/>
        <w:spacing w:after="0"/>
        <w:tabs>
          <w:tab w:leader="none" w:pos="16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Revenues: </w:t>
      </w:r>
      <w:r>
        <w:rPr>
          <w:rFonts w:ascii="Times New Roman" w:cs="Times New Roman" w:eastAsia="Times New Roman" w:hAnsi="Times New Roman"/>
          <w:sz w:val="12"/>
          <w:szCs w:val="12"/>
          <w:color w:val="auto"/>
        </w:rPr>
        <w:t>Total product revenue for the quarter ended March 31, 2026 was $93.4 million, compared to $67.8 million for the quarter ended March 31, 2025, reflecting 38% growth, driven by increased demand.</w:t>
      </w:r>
    </w:p>
    <w:p>
      <w:pPr>
        <w:spacing w:after="0" w:line="6" w:lineRule="exact"/>
        <w:rPr>
          <w:rFonts w:ascii="Times New Roman" w:cs="Times New Roman" w:eastAsia="Times New Roman" w:hAnsi="Times New Roman"/>
          <w:sz w:val="12"/>
          <w:szCs w:val="12"/>
          <w:color w:val="auto"/>
        </w:rPr>
      </w:pPr>
    </w:p>
    <w:p>
      <w:pPr>
        <w:ind w:left="208" w:hanging="208"/>
        <w:spacing w:after="0" w:line="250" w:lineRule="auto"/>
        <w:tabs>
          <w:tab w:leader="none" w:pos="154"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R&amp;D Expenses: </w:t>
      </w:r>
      <w:r>
        <w:rPr>
          <w:rFonts w:ascii="Times New Roman" w:cs="Times New Roman" w:eastAsia="Times New Roman" w:hAnsi="Times New Roman"/>
          <w:sz w:val="12"/>
          <w:szCs w:val="12"/>
          <w:color w:val="auto"/>
        </w:rPr>
        <w:t>Research and development expenses were $20.2 million for the quarter ended March 31, 2026, compared to $14.9 million for the quarter ended March 31, 2025. The increase was primarily related to investments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ACCEL Phase 3 trial for CIC.</w:t>
      </w:r>
    </w:p>
    <w:p>
      <w:pPr>
        <w:ind w:left="208" w:right="260" w:hanging="208"/>
        <w:spacing w:after="0" w:line="250" w:lineRule="auto"/>
        <w:tabs>
          <w:tab w:leader="none" w:pos="154"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SG&amp;A Expenses: </w:t>
      </w:r>
      <w:r>
        <w:rPr>
          <w:rFonts w:ascii="Times New Roman" w:cs="Times New Roman" w:eastAsia="Times New Roman" w:hAnsi="Times New Roman"/>
          <w:sz w:val="12"/>
          <w:szCs w:val="12"/>
          <w:color w:val="auto"/>
        </w:rPr>
        <w:t>Selling, general and administrative expenses were $102.3 million for the quarter ended March 31, 2026, compared to $83.2 million for the quarter ended March 31, 2025. The increase was related to ongoing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investments to drive adoption of IBSRELA.</w:t>
      </w:r>
    </w:p>
    <w:p>
      <w:pPr>
        <w:ind w:left="208" w:right="40" w:hanging="208"/>
        <w:spacing w:after="0" w:line="260" w:lineRule="auto"/>
        <w:tabs>
          <w:tab w:leader="none" w:pos="154"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Net Loss</w:t>
      </w:r>
      <w:r>
        <w:rPr>
          <w:rFonts w:ascii="Times New Roman" w:cs="Times New Roman" w:eastAsia="Times New Roman" w:hAnsi="Times New Roman"/>
          <w:sz w:val="12"/>
          <w:szCs w:val="12"/>
          <w:color w:val="auto"/>
        </w:rPr>
        <w:t>: Net loss for the quarter ended March 31, 2026 was $37.6 million, or $(0.15) per share, compared to net loss of $41.1 million, or $(0.17) per share, for the quarter ended March 31, 2025. The net loss for the first quarter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2026 included share-based compensation expense of $14.2 million.</w:t>
      </w:r>
    </w:p>
    <w:p>
      <w:pPr>
        <w:spacing w:after="0" w:line="13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Conference Call Details</w:t>
      </w:r>
    </w:p>
    <w:p>
      <w:pPr>
        <w:spacing w:after="0" w:line="21" w:lineRule="exact"/>
        <w:rPr>
          <w:sz w:val="20"/>
          <w:szCs w:val="20"/>
          <w:color w:val="auto"/>
        </w:rPr>
      </w:pPr>
    </w:p>
    <w:p>
      <w:pPr>
        <w:ind w:left="8" w:right="40"/>
        <w:spacing w:after="0" w:line="250" w:lineRule="auto"/>
        <w:rPr>
          <w:sz w:val="20"/>
          <w:szCs w:val="20"/>
          <w:color w:val="auto"/>
        </w:rPr>
      </w:pPr>
      <w:r>
        <w:rPr>
          <w:rFonts w:ascii="Times New Roman" w:cs="Times New Roman" w:eastAsia="Times New Roman" w:hAnsi="Times New Roman"/>
          <w:sz w:val="12"/>
          <w:szCs w:val="12"/>
          <w:color w:val="auto"/>
        </w:rPr>
        <w:t xml:space="preserve">The company will host a conference call today, April 30, 2026, at 4:30 PM ET to discuss today’s announcement. To participate in the conference call, please dial (877) 346-6112 (domestic) or +1 (848) 280-6350 (international) and ask to be joined into the Ardelyx call. A webcast of the call can also be accessed by visiting the Investor page of the company’s website, </w:t>
      </w:r>
      <w:r>
        <w:rPr>
          <w:rFonts w:ascii="Times New Roman" w:cs="Times New Roman" w:eastAsia="Times New Roman" w:hAnsi="Times New Roman"/>
          <w:sz w:val="12"/>
          <w:szCs w:val="12"/>
          <w:u w:val="single" w:color="auto"/>
          <w:color w:val="0000FF"/>
        </w:rPr>
        <w:t>https://ardelyx.com/</w:t>
      </w:r>
      <w:r>
        <w:rPr>
          <w:rFonts w:ascii="Times New Roman" w:cs="Times New Roman" w:eastAsia="Times New Roman" w:hAnsi="Times New Roman"/>
          <w:sz w:val="12"/>
          <w:szCs w:val="12"/>
          <w:color w:val="auto"/>
        </w:rPr>
        <w:t>, and will be available on the website following the call.</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IMPORTANT SAFETY INFORMATION (IBSRELA)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183755" cy="394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3755" cy="394335"/>
                    </a:xfrm>
                    <a:prstGeom prst="rect">
                      <a:avLst/>
                    </a:prstGeom>
                    <a:noFill/>
                  </pic:spPr>
                </pic:pic>
              </a:graphicData>
            </a:graphic>
          </wp:anchor>
        </w:drawing>
      </w:r>
    </w:p>
    <w:p>
      <w:pPr>
        <w:spacing w:after="0" w:line="151" w:lineRule="exact"/>
        <w:rPr>
          <w:sz w:val="20"/>
          <w:szCs w:val="20"/>
          <w:color w:val="auto"/>
        </w:rPr>
      </w:pPr>
    </w:p>
    <w:p>
      <w:pPr>
        <w:ind w:left="28"/>
        <w:spacing w:after="0"/>
        <w:rPr>
          <w:sz w:val="20"/>
          <w:szCs w:val="20"/>
          <w:color w:val="auto"/>
        </w:rPr>
      </w:pPr>
      <w:r>
        <w:rPr>
          <w:rFonts w:ascii="Times New Roman" w:cs="Times New Roman" w:eastAsia="Times New Roman" w:hAnsi="Times New Roman"/>
          <w:sz w:val="12"/>
          <w:szCs w:val="12"/>
          <w:b w:val="1"/>
          <w:bCs w:val="1"/>
          <w:color w:val="auto"/>
        </w:rPr>
        <w:t>WARNING: RISK OF SERIOUS DEHYDRATION IN PEDIATRIC PATIENTS</w:t>
      </w:r>
    </w:p>
    <w:p>
      <w:pPr>
        <w:spacing w:after="0" w:line="64" w:lineRule="exact"/>
        <w:rPr>
          <w:sz w:val="20"/>
          <w:szCs w:val="20"/>
          <w:color w:val="auto"/>
        </w:rPr>
      </w:pPr>
    </w:p>
    <w:p>
      <w:pPr>
        <w:ind w:left="28"/>
        <w:spacing w:after="0"/>
        <w:rPr>
          <w:sz w:val="20"/>
          <w:szCs w:val="20"/>
          <w:color w:val="auto"/>
        </w:rPr>
      </w:pPr>
      <w:r>
        <w:rPr>
          <w:rFonts w:ascii="Times New Roman" w:cs="Times New Roman" w:eastAsia="Times New Roman" w:hAnsi="Times New Roman"/>
          <w:sz w:val="12"/>
          <w:szCs w:val="12"/>
          <w:color w:val="auto"/>
        </w:rPr>
        <w:t>IBSRELA is contraindicated in patients less than 6 years of age; in nonclinical studies in young juvenile rats administration of tenapanor caused deaths presumed to be due to dehydration. Avoid use of IBSRELA in patients 6 years to</w:t>
      </w:r>
    </w:p>
    <w:p>
      <w:pPr>
        <w:spacing w:after="0" w:line="78" w:lineRule="exact"/>
        <w:rPr>
          <w:sz w:val="20"/>
          <w:szCs w:val="20"/>
          <w:color w:val="auto"/>
        </w:rPr>
      </w:pPr>
    </w:p>
    <w:p>
      <w:pPr>
        <w:ind w:left="28"/>
        <w:spacing w:after="0"/>
        <w:rPr>
          <w:sz w:val="20"/>
          <w:szCs w:val="20"/>
          <w:color w:val="auto"/>
        </w:rPr>
      </w:pPr>
      <w:r>
        <w:rPr>
          <w:rFonts w:ascii="Times New Roman" w:cs="Times New Roman" w:eastAsia="Times New Roman" w:hAnsi="Times New Roman"/>
          <w:sz w:val="12"/>
          <w:szCs w:val="12"/>
          <w:color w:val="auto"/>
        </w:rPr>
        <w:t>less than 12 years of age. The safety and effectiveness of IBSRELA have not been established in patients less than 18 years of age.</w:t>
      </w:r>
    </w:p>
    <w:p>
      <w:pPr>
        <w:spacing w:after="0" w:line="2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CONTRAINDICATIONS</w:t>
      </w:r>
    </w:p>
    <w:p>
      <w:pPr>
        <w:spacing w:after="0" w:line="21" w:lineRule="exact"/>
        <w:rPr>
          <w:sz w:val="20"/>
          <w:szCs w:val="20"/>
          <w:color w:val="auto"/>
        </w:rPr>
      </w:pPr>
    </w:p>
    <w:p>
      <w:pPr>
        <w:ind w:left="208" w:hanging="208"/>
        <w:spacing w:after="0"/>
        <w:tabs>
          <w:tab w:leader="none" w:pos="20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IBSRELA is contraindicated in patients less than 6 years of age due to the risk of serious dehydration.</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IBSRELA is contraindicated in patients with known or suspected mechanical gastrointestinal obstruction.</w:t>
      </w:r>
    </w:p>
    <w:p>
      <w:pPr>
        <w:spacing w:after="0" w:line="1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WARNINGS AND PRECAUTIONS</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Risk of Serious Dehydration in Pediatric Patients</w:t>
      </w:r>
    </w:p>
    <w:p>
      <w:pPr>
        <w:spacing w:after="0" w:line="6" w:lineRule="exact"/>
        <w:rPr>
          <w:sz w:val="20"/>
          <w:szCs w:val="20"/>
          <w:color w:val="auto"/>
        </w:rPr>
      </w:pPr>
    </w:p>
    <w:p>
      <w:pPr>
        <w:ind w:left="428" w:hanging="212"/>
        <w:spacing w:after="0" w:line="250" w:lineRule="auto"/>
        <w:tabs>
          <w:tab w:leader="none" w:pos="425"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IBSRELA is contraindicated in patients below 6 years of age. The safety and effectiveness of IBSRELA in patients less than 18 years of age have not been established. In young juvenile rats (less than 1 week old; approximate human age equivalent of less than 2 years of age), decreased body weight and deaths occurred, presumed to be due to dehydration, following oral administration of tenapanor. There are no data available in older juvenile rats (human age equivalent 2 years to less than 12 years).</w:t>
      </w:r>
    </w:p>
    <w:p>
      <w:pPr>
        <w:ind w:left="428" w:right="40" w:hanging="212"/>
        <w:spacing w:after="0" w:line="260" w:lineRule="auto"/>
        <w:tabs>
          <w:tab w:leader="none" w:pos="425"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Avoid the use of IBSRELA in patients 6 years to less than 12 years of age. Although there are no data in older juvenile rats, given the deaths in younger rats and the lack of clinical safety and efficacy data in pediatric patients, avoid the use of IBSRELA in patients 6 years to less than 12 years of age.</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Diarrhea</w:t>
      </w:r>
    </w:p>
    <w:p>
      <w:pPr>
        <w:spacing w:after="0" w:line="21" w:lineRule="exact"/>
        <w:rPr>
          <w:sz w:val="20"/>
          <w:szCs w:val="20"/>
          <w:color w:val="auto"/>
        </w:rPr>
      </w:pPr>
    </w:p>
    <w:p>
      <w:pPr>
        <w:ind w:left="8" w:right="80"/>
        <w:spacing w:after="0" w:line="260" w:lineRule="auto"/>
        <w:rPr>
          <w:sz w:val="20"/>
          <w:szCs w:val="20"/>
          <w:color w:val="auto"/>
        </w:rPr>
      </w:pPr>
      <w:r>
        <w:rPr>
          <w:rFonts w:ascii="Times New Roman" w:cs="Times New Roman" w:eastAsia="Times New Roman" w:hAnsi="Times New Roman"/>
          <w:sz w:val="12"/>
          <w:szCs w:val="12"/>
          <w:color w:val="auto"/>
        </w:rPr>
        <w:t>Diarrhea was the most common adverse reaction in two randomized, double-blind, placebo-controlled trials of IBS-C. Severe diarrhea was reported in 2.5% of IBSRELA-treated patients. If severe diarrhea occurs, suspend dosing and rehydrate patient.</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MOST COMMON ADVERSE REACTIONS</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most common adverse reactions in IBSRELA-treated patients (incidence ≥2% and greater than placebo) were: diarrhea (16% vs 4% placebo), abdominal distension (3% vs &lt;1%), flatulence (3% vs 1%) and dizziness (2% vs &lt;1%).</w:t>
      </w:r>
    </w:p>
    <w:p>
      <w:pPr>
        <w:sectPr>
          <w:pgSz w:w="11900" w:h="16838" w:orient="portrait"/>
          <w:cols w:equalWidth="0" w:num="1">
            <w:col w:w="11248"/>
          </w:cols>
          <w:pgMar w:left="292" w:top="1002"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3202940</wp:posOffset>
            </wp:positionH>
            <wp:positionV relativeFrom="page">
              <wp:posOffset>163195</wp:posOffset>
            </wp:positionV>
            <wp:extent cx="1148715" cy="262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62890"/>
                    </a:xfrm>
                    <a:prstGeom prst="rect">
                      <a:avLst/>
                    </a:prstGeom>
                    <a:noFill/>
                  </pic:spPr>
                </pic:pic>
              </a:graphicData>
            </a:graphic>
          </wp:anchor>
        </w:drawing>
        <w:t>INDICATION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IBSRELA (tenapanor) is indicated for the treatment of Irritable Bowel Syndrome with Constipation (IBS-C) in adults.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Please see full </w:t>
      </w:r>
      <w:r>
        <w:rPr>
          <w:rFonts w:ascii="Times New Roman" w:cs="Times New Roman" w:eastAsia="Times New Roman" w:hAnsi="Times New Roman"/>
          <w:sz w:val="12"/>
          <w:szCs w:val="12"/>
          <w:b w:val="1"/>
          <w:bCs w:val="1"/>
          <w:u w:val="single" w:color="auto"/>
          <w:color w:val="0000FF"/>
        </w:rPr>
        <w:t>Prescribing Information</w:t>
      </w:r>
      <w:r>
        <w:rPr>
          <w:rFonts w:ascii="Times New Roman" w:cs="Times New Roman" w:eastAsia="Times New Roman" w:hAnsi="Times New Roman"/>
          <w:sz w:val="12"/>
          <w:szCs w:val="12"/>
          <w:b w:val="1"/>
          <w:bCs w:val="1"/>
          <w:color w:val="auto"/>
          <w:highlight w:val="white"/>
        </w:rPr>
        <w:t>, including Boxed Warning, for additional risk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IMPORTANT SAFETY INFORMATION (XPHOZAH)</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CONTRAINDICATIONS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XPHOZAH is contraindicated in:</w:t>
      </w:r>
    </w:p>
    <w:p>
      <w:pPr>
        <w:spacing w:after="0" w:line="6" w:lineRule="exact"/>
        <w:rPr>
          <w:sz w:val="20"/>
          <w:szCs w:val="20"/>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Pediatric patients under 6 years of age</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Patients with known or suspected mechanical gastrointestinal obstruction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WARNINGS AND PRECAUTIONS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Diarrhea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Patients may experience severe diarrhea. Treatment with XPHOZAH should be discontinued in patients who develop severe diarrhea.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MOST COMMON ADVERSE REACTIONS</w:t>
      </w:r>
    </w:p>
    <w:p>
      <w:pPr>
        <w:spacing w:after="0" w:line="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Diarrhea, which occurred in 43-53% of patients, was the only adverse reaction reported in at least 5% of XPHOZAH-treated patients with CKD on dialysis across trials. The majority of diarrhea events in the XPHOZAH-treated patients were reported to be mild-to-moderate in severity and resolved over time, or with dose reduction. Diarrhea was typically reported soon after initiation but could occur at any time during treatment with XPHOZAH. Severe diarrhea was reported in 5% of XPHOZAH-treated patients in these trials.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INDICATION</w:t>
      </w:r>
    </w:p>
    <w:p>
      <w:pPr>
        <w:spacing w:after="0" w:line="2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2"/>
          <w:szCs w:val="12"/>
          <w:color w:val="auto"/>
        </w:rPr>
        <w:t>XPHOZAH (tenapanor), 30 mg BID, is indicated to reduce serum phosphorus in adults with chronic kidney disease (CKD) on dialysis as add-on therapy in patients who have an inadequate response to phosphate binders or who are intolerant of any dose of phosphate binder therapy.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For additional safety information, please see full </w:t>
      </w:r>
      <w:r>
        <w:rPr>
          <w:rFonts w:ascii="Times New Roman" w:cs="Times New Roman" w:eastAsia="Times New Roman" w:hAnsi="Times New Roman"/>
          <w:sz w:val="12"/>
          <w:szCs w:val="12"/>
          <w:u w:val="single" w:color="auto"/>
          <w:color w:val="0000FF"/>
        </w:rPr>
        <w:t>Prescribing Information</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Ardelyx</w:t>
      </w:r>
    </w:p>
    <w:p>
      <w:pPr>
        <w:spacing w:after="0" w:line="13"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2"/>
          <w:szCs w:val="12"/>
          <w:color w:val="auto"/>
        </w:rPr>
        <w:t xml:space="preserve">Ardelyx is a commercial-stage biopharmaceutical company focused on the development and commercialization of innovative medicines that meet significant unmet medical needs. Ardelyx has two commercial products approved in the United States, IBSRELA® (tenapanor) and XPHOZAH® (tenapanor). The company’s pipeline includes the Phase 3 development of IBSRELA for chronic idiopathic constipation (CIC) and RDX10531, a next-generation NHE3 inhibitor with potential application across multiple therapeutic areas. Ardelyx works with partners to develop and commercialize our products outside of the United States. For more information, please visit </w:t>
      </w:r>
      <w:r>
        <w:rPr>
          <w:rFonts w:ascii="Times New Roman" w:cs="Times New Roman" w:eastAsia="Times New Roman" w:hAnsi="Times New Roman"/>
          <w:sz w:val="12"/>
          <w:szCs w:val="12"/>
          <w:u w:val="single" w:color="auto"/>
          <w:color w:val="0000FF"/>
        </w:rPr>
        <w:t>https://ardelyx.com/</w:t>
      </w:r>
      <w:r>
        <w:rPr>
          <w:rFonts w:ascii="Times New Roman" w:cs="Times New Roman" w:eastAsia="Times New Roman" w:hAnsi="Times New Roman"/>
          <w:sz w:val="12"/>
          <w:szCs w:val="12"/>
          <w:color w:val="auto"/>
        </w:rPr>
        <w:t xml:space="preserve"> and connect with us on </w:t>
      </w:r>
      <w:r>
        <w:rPr>
          <w:rFonts w:ascii="Times New Roman" w:cs="Times New Roman" w:eastAsia="Times New Roman" w:hAnsi="Times New Roman"/>
          <w:sz w:val="12"/>
          <w:szCs w:val="12"/>
          <w:u w:val="single" w:color="auto"/>
          <w:color w:val="0000FF"/>
        </w:rPr>
        <w:t>X (formerly known as Twitter)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LinkedIn</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0000FF"/>
        </w:rPr>
        <w:t>Facebook</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 Looking Statements</w:t>
      </w:r>
    </w:p>
    <w:p>
      <w:pPr>
        <w:spacing w:after="0" w:line="13"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2"/>
          <w:szCs w:val="12"/>
          <w:color w:val="auto"/>
        </w:rPr>
        <w:t>To the extent that statements contained in this press release are not descriptions of historical facts regarding Ardelyx, they are forward-looking statements reflecting the current beliefs and expectations of management made pursuant to the safe harbor of the Private Securities Reform Act of 1995, including Ardelyx’s current expectations regarding: the long term potential for Ardelyx’s existing commercial products; opportunities for continued IBSRELA growth, including our expectations and timing for achieving one billion in revenue; our U.S. net product sales revenue guidance for IBSRELA and XPHOZAH for full year 2026; and our expectations and timing regarding pipeline development activities, including enrollment in and expected topline readout of the Phase 3 ACCEL trial, the potential for additional patent life for IBSRELA as a result of ongoing pediatric clinical trials and RDX10531’s potential across multiple therapeutic areas. Such forward-looking statements involve known and unknown risks, uncertainties and other factors that are in some cases beyond our control, that could cause actual outcomes or results to differ materially from those expressed or implied by the forward-looking statements. Such risks and uncertainties include, among others, uncertainties associated with the development of, regulatory process for, and commercialization of drugs in the U.S. and internationally. Ardelyx undertakes no obligation to update or revise any forward-looking statements. For a further description of the risks and uncertainties that could cause actual results to differ from those expressed in these forward-looking statements, as well as risks relating to Ardelyx’s business in general, please refer to Ardelyx’s Quarterly Report on Form 10-Q filed with the Securities and Exchange Commission on April 30, 2026, and its future current and periodic reports to be filed with the Securities and Exchange Commission.</w:t>
      </w:r>
    </w:p>
    <w:p>
      <w:pPr>
        <w:sectPr>
          <w:pgSz w:w="11900" w:h="16838" w:orient="portrait"/>
          <w:cols w:equalWidth="0" w:num="1">
            <w:col w:w="11280"/>
          </w:cols>
          <w:pgMar w:left="300" w:top="998"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3202940</wp:posOffset>
            </wp:positionH>
            <wp:positionV relativeFrom="page">
              <wp:posOffset>88900</wp:posOffset>
            </wp:positionV>
            <wp:extent cx="1148715" cy="262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62890"/>
                    </a:xfrm>
                    <a:prstGeom prst="rect">
                      <a:avLst/>
                    </a:prstGeom>
                    <a:noFill/>
                  </pic:spPr>
                </pic:pic>
              </a:graphicData>
            </a:graphic>
          </wp:anchor>
        </w:drawing>
        <w:t>Investor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Lisa Caperelli</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u w:val="single" w:color="auto"/>
          <w:color w:val="0000FF"/>
        </w:rPr>
        <w:t>lcaperelli@ardelyx.com</w:t>
      </w:r>
    </w:p>
    <w:p>
      <w:pPr>
        <w:sectPr>
          <w:pgSz w:w="11900" w:h="16838" w:orient="portrait"/>
          <w:cols w:equalWidth="0" w:num="1">
            <w:col w:w="10159"/>
          </w:cols>
          <w:pgMar w:left="300" w:top="881" w:right="1440"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Assets</w:t>
      </w:r>
    </w:p>
    <w:p>
      <w:pPr>
        <w:spacing w:after="0" w:line="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Short-term investments</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Accounts receivable</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Prepaid commercial manufacturing</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Inventory</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Property and equipment, net</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Right-of-use assets</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Prepaid and other assets</w:t>
      </w:r>
    </w:p>
    <w:p>
      <w:pPr>
        <w:spacing w:after="0" w:line="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color w:val="auto"/>
        </w:rPr>
        <w:t>Total assets</w:t>
      </w:r>
    </w:p>
    <w:p>
      <w:pPr>
        <w:spacing w:after="0" w:line="20" w:lineRule="exact"/>
        <w:rPr>
          <w:sz w:val="20"/>
          <w:szCs w:val="20"/>
          <w:color w:val="auto"/>
        </w:rPr>
      </w:pPr>
      <w:r>
        <w:rPr>
          <w:sz w:val="20"/>
          <w:szCs w:val="20"/>
          <w:color w:val="auto"/>
        </w:rPr>
        <w:br w:type="column"/>
      </w:r>
    </w:p>
    <w:p>
      <w:pPr>
        <w:jc w:val="center"/>
        <w:ind w:right="4960"/>
        <w:spacing w:after="0"/>
        <w:rPr>
          <w:sz w:val="20"/>
          <w:szCs w:val="20"/>
          <w:color w:val="auto"/>
        </w:rPr>
      </w:pPr>
      <w:r>
        <w:rPr>
          <w:rFonts w:ascii="Times New Roman" w:cs="Times New Roman" w:eastAsia="Times New Roman" w:hAnsi="Times New Roman"/>
          <w:sz w:val="12"/>
          <w:szCs w:val="12"/>
          <w:b w:val="1"/>
          <w:bCs w:val="1"/>
          <w:color w:val="auto"/>
        </w:rPr>
        <w:t>Ardelyx,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-557530</wp:posOffset>
            </wp:positionV>
            <wp:extent cx="1148715" cy="262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48715" cy="262890"/>
                    </a:xfrm>
                    <a:prstGeom prst="rect">
                      <a:avLst/>
                    </a:prstGeom>
                    <a:noFill/>
                  </pic:spPr>
                </pic:pic>
              </a:graphicData>
            </a:graphic>
          </wp:anchor>
        </w:drawing>
      </w:r>
    </w:p>
    <w:p>
      <w:pPr>
        <w:spacing w:after="0" w:line="1" w:lineRule="exact"/>
        <w:rPr>
          <w:sz w:val="20"/>
          <w:szCs w:val="20"/>
          <w:color w:val="auto"/>
        </w:rPr>
      </w:pPr>
    </w:p>
    <w:p>
      <w:pPr>
        <w:jc w:val="center"/>
        <w:ind w:right="4960"/>
        <w:spacing w:after="0"/>
        <w:rPr>
          <w:sz w:val="20"/>
          <w:szCs w:val="20"/>
          <w:color w:val="auto"/>
        </w:rPr>
      </w:pPr>
      <w:r>
        <w:rPr>
          <w:rFonts w:ascii="Times New Roman" w:cs="Times New Roman" w:eastAsia="Times New Roman" w:hAnsi="Times New Roman"/>
          <w:sz w:val="11"/>
          <w:szCs w:val="11"/>
          <w:b w:val="1"/>
          <w:bCs w:val="1"/>
          <w:color w:val="auto"/>
        </w:rPr>
        <w:t>Condensed Balance Sheets</w:t>
      </w:r>
    </w:p>
    <w:p>
      <w:pPr>
        <w:spacing w:after="0" w:line="18" w:lineRule="exact"/>
        <w:rPr>
          <w:sz w:val="20"/>
          <w:szCs w:val="20"/>
          <w:color w:val="auto"/>
        </w:rPr>
      </w:pPr>
    </w:p>
    <w:p>
      <w:pPr>
        <w:jc w:val="center"/>
        <w:ind w:right="4960"/>
        <w:spacing w:after="0"/>
        <w:rPr>
          <w:sz w:val="20"/>
          <w:szCs w:val="20"/>
          <w:color w:val="auto"/>
        </w:rPr>
      </w:pPr>
      <w:r>
        <w:rPr>
          <w:rFonts w:ascii="Times New Roman" w:cs="Times New Roman" w:eastAsia="Times New Roman" w:hAnsi="Times New Roman"/>
          <w:sz w:val="12"/>
          <w:szCs w:val="12"/>
          <w:color w:val="auto"/>
        </w:rPr>
        <w:t>(Unaudited)</w:t>
      </w:r>
    </w:p>
    <w:p>
      <w:pPr>
        <w:spacing w:after="0" w:line="6" w:lineRule="exact"/>
        <w:rPr>
          <w:sz w:val="20"/>
          <w:szCs w:val="20"/>
          <w:color w:val="auto"/>
        </w:rPr>
      </w:pPr>
    </w:p>
    <w:p>
      <w:pPr>
        <w:jc w:val="center"/>
        <w:ind w:right="4960"/>
        <w:spacing w:after="0"/>
        <w:rPr>
          <w:sz w:val="20"/>
          <w:szCs w:val="20"/>
          <w:color w:val="auto"/>
        </w:rPr>
      </w:pPr>
      <w:r>
        <w:rPr>
          <w:rFonts w:ascii="Times New Roman" w:cs="Times New Roman" w:eastAsia="Times New Roman" w:hAnsi="Times New Roman"/>
          <w:sz w:val="12"/>
          <w:szCs w:val="12"/>
          <w:color w:val="auto"/>
        </w:rPr>
        <w:t>(in thousands)</w:t>
      </w:r>
    </w:p>
    <w:p>
      <w:pPr>
        <w:spacing w:after="0" w:line="135" w:lineRule="exact"/>
        <w:rPr>
          <w:sz w:val="20"/>
          <w:szCs w:val="20"/>
          <w:color w:val="auto"/>
        </w:rPr>
      </w:pPr>
    </w:p>
    <w:tbl>
      <w:tblPr>
        <w:tblLayout w:type="fixed"/>
        <w:tblInd w:w="2320" w:type="dxa"/>
        <w:tblCellMar>
          <w:top w:w="0" w:type="dxa"/>
          <w:left w:w="0" w:type="dxa"/>
          <w:bottom w:w="0" w:type="dxa"/>
          <w:right w:w="0" w:type="dxa"/>
        </w:tblCellMar>
      </w:tblPr>
      <w:tr>
        <w:trPr>
          <w:trHeight w:val="159"/>
        </w:trPr>
        <w:tc>
          <w:tcPr>
            <w:tcW w:w="340" w:type="dxa"/>
            <w:vAlign w:val="bottom"/>
          </w:tcPr>
          <w:p>
            <w:pPr>
              <w:spacing w:after="0"/>
              <w:rPr>
                <w:sz w:val="13"/>
                <w:szCs w:val="13"/>
                <w:color w:val="auto"/>
              </w:rPr>
            </w:pPr>
          </w:p>
        </w:tc>
        <w:tc>
          <w:tcPr>
            <w:tcW w:w="170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March 31, 2026</w:t>
            </w:r>
          </w:p>
        </w:tc>
        <w:tc>
          <w:tcPr>
            <w:tcW w:w="280" w:type="dxa"/>
            <w:vAlign w:val="bottom"/>
          </w:tcPr>
          <w:p>
            <w:pPr>
              <w:spacing w:after="0"/>
              <w:rPr>
                <w:sz w:val="13"/>
                <w:szCs w:val="13"/>
                <w:color w:val="auto"/>
              </w:rPr>
            </w:pPr>
          </w:p>
        </w:tc>
        <w:tc>
          <w:tcPr>
            <w:tcW w:w="168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2025</w:t>
            </w:r>
          </w:p>
        </w:tc>
      </w:tr>
      <w:tr>
        <w:trPr>
          <w:trHeight w:val="284"/>
        </w:trPr>
        <w:tc>
          <w:tcPr>
            <w:tcW w:w="340" w:type="dxa"/>
            <w:vAlign w:val="bottom"/>
            <w:tcBorders>
              <w:top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31,209</w:t>
            </w:r>
          </w:p>
        </w:tc>
        <w:tc>
          <w:tcPr>
            <w:tcW w:w="80" w:type="dxa"/>
            <w:vAlign w:val="bottom"/>
          </w:tcPr>
          <w:p>
            <w:pPr>
              <w:spacing w:after="0"/>
              <w:rPr>
                <w:sz w:val="24"/>
                <w:szCs w:val="24"/>
                <w:color w:val="auto"/>
              </w:rPr>
            </w:pPr>
          </w:p>
        </w:tc>
        <w:tc>
          <w:tcPr>
            <w:tcW w:w="280" w:type="dxa"/>
            <w:vAlign w:val="bottom"/>
            <w:tcBorders>
              <w:top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67,999</w:t>
            </w:r>
          </w:p>
        </w:tc>
      </w:tr>
      <w:tr>
        <w:trPr>
          <w:trHeight w:val="153"/>
        </w:trPr>
        <w:tc>
          <w:tcPr>
            <w:tcW w:w="3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206,865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196,690</w:t>
            </w:r>
          </w:p>
        </w:tc>
      </w:tr>
      <w:tr>
        <w:trPr>
          <w:trHeight w:val="153"/>
        </w:trPr>
        <w:tc>
          <w:tcPr>
            <w:tcW w:w="3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82,840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71,848</w:t>
            </w:r>
          </w:p>
        </w:tc>
      </w:tr>
      <w:tr>
        <w:trPr>
          <w:trHeight w:val="153"/>
        </w:trPr>
        <w:tc>
          <w:tcPr>
            <w:tcW w:w="3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18,873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14,479</w:t>
            </w:r>
          </w:p>
        </w:tc>
      </w:tr>
      <w:tr>
        <w:trPr>
          <w:trHeight w:val="153"/>
        </w:trPr>
        <w:tc>
          <w:tcPr>
            <w:tcW w:w="3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128,025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123,107</w:t>
            </w:r>
          </w:p>
        </w:tc>
      </w:tr>
      <w:tr>
        <w:trPr>
          <w:trHeight w:val="153"/>
        </w:trPr>
        <w:tc>
          <w:tcPr>
            <w:tcW w:w="3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2,184</w:t>
            </w:r>
          </w:p>
        </w:tc>
      </w:tr>
      <w:tr>
        <w:trPr>
          <w:trHeight w:val="153"/>
        </w:trPr>
        <w:tc>
          <w:tcPr>
            <w:tcW w:w="3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4,433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4,795</w:t>
            </w:r>
          </w:p>
        </w:tc>
      </w:tr>
      <w:tr>
        <w:trPr>
          <w:trHeight w:val="155"/>
        </w:trPr>
        <w:tc>
          <w:tcPr>
            <w:tcW w:w="3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30,260</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20,502</w:t>
            </w:r>
          </w:p>
        </w:tc>
      </w:tr>
      <w:tr>
        <w:trPr>
          <w:trHeight w:val="142"/>
        </w:trPr>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504,507</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501,604</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-3148330</wp:posOffset>
            </wp:positionH>
            <wp:positionV relativeFrom="paragraph">
              <wp:posOffset>-999490</wp:posOffset>
            </wp:positionV>
            <wp:extent cx="7166610" cy="97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6610" cy="97155"/>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-805180</wp:posOffset>
            </wp:positionV>
            <wp:extent cx="7166610" cy="971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6610" cy="97155"/>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-610870</wp:posOffset>
            </wp:positionV>
            <wp:extent cx="7166610" cy="97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6610" cy="97155"/>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-416560</wp:posOffset>
            </wp:positionV>
            <wp:extent cx="7166610" cy="97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6610" cy="97155"/>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-222250</wp:posOffset>
            </wp:positionV>
            <wp:extent cx="7166610" cy="97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6610" cy="971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240" w:space="720"/>
            <w:col w:w="6320"/>
          </w:cols>
          <w:pgMar w:left="300" w:top="881" w:right="319" w:bottom="1440" w:gutter="0" w:footer="0" w:header="0"/>
        </w:sectPr>
      </w:pPr>
    </w:p>
    <w:tbl>
      <w:tblPr>
        <w:tblLayout w:type="fixed"/>
        <w:tblInd w:w="0" w:type="dxa"/>
        <w:tblCellMar>
          <w:top w:w="0" w:type="dxa"/>
          <w:left w:w="0" w:type="dxa"/>
          <w:bottom w:w="0" w:type="dxa"/>
          <w:right w:w="0" w:type="dxa"/>
        </w:tblCellMar>
      </w:tblPr>
      <w:tr>
        <w:trPr>
          <w:trHeight w:val="133"/>
        </w:trPr>
        <w:tc>
          <w:tcPr>
            <w:tcW w:w="7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53"/>
        </w:trPr>
        <w:tc>
          <w:tcPr>
            <w:tcW w:w="72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3"/>
        </w:trPr>
        <w:tc>
          <w:tcPr>
            <w:tcW w:w="7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Accounts payable</w:t>
            </w:r>
          </w:p>
        </w:tc>
        <w:tc>
          <w:tcPr>
            <w:tcW w:w="800" w:type="dxa"/>
            <w:vAlign w:val="bottom"/>
            <w:shd w:val="clear" w:color="auto" w:fill="CCEEFF"/>
          </w:tcPr>
          <w:p>
            <w:pPr>
              <w:jc w:val="right"/>
              <w:ind w:right="66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28,195</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19,235</w:t>
            </w:r>
          </w:p>
        </w:tc>
      </w:tr>
      <w:tr>
        <w:trPr>
          <w:trHeight w:val="153"/>
        </w:trPr>
        <w:tc>
          <w:tcPr>
            <w:tcW w:w="7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Accrued compensation and benefits</w:t>
            </w:r>
          </w:p>
        </w:tc>
        <w:tc>
          <w:tcPr>
            <w:tcW w:w="8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9,382</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19,108</w:t>
            </w:r>
          </w:p>
        </w:tc>
      </w:tr>
      <w:tr>
        <w:trPr>
          <w:trHeight w:val="153"/>
        </w:trPr>
        <w:tc>
          <w:tcPr>
            <w:tcW w:w="7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Current portion of operating lease liability</w:t>
            </w:r>
          </w:p>
        </w:tc>
        <w:tc>
          <w:tcPr>
            <w:tcW w:w="8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1,510</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1,479</w:t>
            </w:r>
          </w:p>
        </w:tc>
      </w:tr>
      <w:tr>
        <w:trPr>
          <w:trHeight w:val="153"/>
        </w:trPr>
        <w:tc>
          <w:tcPr>
            <w:tcW w:w="7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Deferred revenue</w:t>
            </w:r>
          </w:p>
        </w:tc>
        <w:tc>
          <w:tcPr>
            <w:tcW w:w="8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16,947</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14,905</w:t>
            </w:r>
          </w:p>
        </w:tc>
      </w:tr>
      <w:tr>
        <w:trPr>
          <w:trHeight w:val="153"/>
        </w:trPr>
        <w:tc>
          <w:tcPr>
            <w:tcW w:w="7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Accrued expenses and other liabilities</w:t>
            </w:r>
          </w:p>
        </w:tc>
        <w:tc>
          <w:tcPr>
            <w:tcW w:w="8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70,470</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51,218</w:t>
            </w:r>
          </w:p>
        </w:tc>
      </w:tr>
      <w:tr>
        <w:trPr>
          <w:trHeight w:val="153"/>
        </w:trPr>
        <w:tc>
          <w:tcPr>
            <w:tcW w:w="7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Long-term debt</w:t>
            </w:r>
          </w:p>
        </w:tc>
        <w:tc>
          <w:tcPr>
            <w:tcW w:w="8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203,517</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202,834</w:t>
            </w:r>
          </w:p>
        </w:tc>
      </w:tr>
      <w:tr>
        <w:trPr>
          <w:trHeight w:val="153"/>
        </w:trPr>
        <w:tc>
          <w:tcPr>
            <w:tcW w:w="7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Deferred royalty obligation related to the sale of future royalties</w:t>
            </w:r>
          </w:p>
        </w:tc>
        <w:tc>
          <w:tcPr>
            <w:tcW w:w="8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25,864</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25,876</w:t>
            </w:r>
          </w:p>
        </w:tc>
      </w:tr>
      <w:tr>
        <w:trPr>
          <w:trHeight w:val="153"/>
        </w:trPr>
        <w:tc>
          <w:tcPr>
            <w:tcW w:w="72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Total stockholders’ equity</w:t>
            </w:r>
          </w:p>
        </w:tc>
        <w:tc>
          <w:tcPr>
            <w:tcW w:w="8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148,622</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166,949</w:t>
            </w:r>
          </w:p>
        </w:tc>
      </w:tr>
      <w:tr>
        <w:trPr>
          <w:trHeight w:val="158"/>
        </w:trPr>
        <w:tc>
          <w:tcPr>
            <w:tcW w:w="7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Total liabilities and stockholders’ equity</w:t>
            </w:r>
          </w:p>
        </w:tc>
        <w:tc>
          <w:tcPr>
            <w:tcW w:w="800" w:type="dxa"/>
            <w:vAlign w:val="bottom"/>
            <w:tcBorders>
              <w:bottom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504,507</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501,604</w:t>
            </w:r>
          </w:p>
        </w:tc>
      </w:tr>
    </w:tbl>
    <w:p>
      <w:pPr>
        <w:sectPr>
          <w:pgSz w:w="11900" w:h="16838" w:orient="portrait"/>
          <w:cols w:equalWidth="0" w:num="1">
            <w:col w:w="11280"/>
          </w:cols>
          <w:pgMar w:left="300" w:top="881" w:right="319" w:bottom="1440" w:gutter="0" w:footer="0" w:header="0"/>
          <w:type w:val="continuous"/>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3202940</wp:posOffset>
            </wp:positionH>
            <wp:positionV relativeFrom="page">
              <wp:posOffset>88900</wp:posOffset>
            </wp:positionV>
            <wp:extent cx="1148715" cy="262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62890"/>
                    </a:xfrm>
                    <a:prstGeom prst="rect">
                      <a:avLst/>
                    </a:prstGeom>
                    <a:noFill/>
                  </pic:spPr>
                </pic:pic>
              </a:graphicData>
            </a:graphic>
          </wp:anchor>
        </w:drawing>
        <w:t>Ardelyx,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Statements of Operations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(Unaudited)</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(in thousands, except share and per share amounts)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920" w:type="dxa"/>
            <w:vAlign w:val="bottom"/>
          </w:tcPr>
          <w:p>
            <w:pPr>
              <w:spacing w:after="0"/>
              <w:rPr>
                <w:sz w:val="13"/>
                <w:szCs w:val="13"/>
                <w:color w:val="auto"/>
              </w:rPr>
            </w:pPr>
          </w:p>
        </w:tc>
        <w:tc>
          <w:tcPr>
            <w:tcW w:w="27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680" w:type="dxa"/>
            <w:vAlign w:val="bottom"/>
            <w:tcBorders>
              <w:bottom w:val="single" w:sz="8" w:color="auto"/>
            </w:tcBorders>
          </w:tcPr>
          <w:p>
            <w:pPr>
              <w:spacing w:after="0"/>
              <w:rPr>
                <w:sz w:val="13"/>
                <w:szCs w:val="13"/>
                <w:color w:val="auto"/>
              </w:rPr>
            </w:pPr>
          </w:p>
        </w:tc>
      </w:tr>
      <w:tr>
        <w:trPr>
          <w:trHeight w:val="142"/>
        </w:trPr>
        <w:tc>
          <w:tcPr>
            <w:tcW w:w="79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2026</w:t>
            </w: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680" w:type="dxa"/>
            <w:vAlign w:val="bottom"/>
            <w:tcBorders>
              <w:bottom w:val="single" w:sz="8" w:color="auto"/>
            </w:tcBorders>
          </w:tcPr>
          <w:p>
            <w:pPr>
              <w:spacing w:after="0"/>
              <w:rPr>
                <w:sz w:val="12"/>
                <w:szCs w:val="12"/>
                <w:color w:val="auto"/>
              </w:rPr>
            </w:pPr>
          </w:p>
        </w:tc>
      </w:tr>
      <w:tr>
        <w:trPr>
          <w:trHeight w:val="133"/>
        </w:trPr>
        <w:tc>
          <w:tcPr>
            <w:tcW w:w="79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Revenues</w:t>
            </w:r>
          </w:p>
        </w:tc>
        <w:tc>
          <w:tcPr>
            <w:tcW w:w="9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53"/>
        </w:trPr>
        <w:tc>
          <w:tcPr>
            <w:tcW w:w="79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Product sales, net</w:t>
            </w: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53"/>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IBSRELA</w:t>
            </w:r>
          </w:p>
        </w:tc>
        <w:tc>
          <w:tcPr>
            <w:tcW w:w="980" w:type="dxa"/>
            <w:vAlign w:val="bottom"/>
            <w:shd w:val="clear" w:color="auto" w:fill="CCEEFF"/>
          </w:tcPr>
          <w:p>
            <w:pPr>
              <w:jc w:val="right"/>
              <w:ind w:right="84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70,074</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4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44,403</w:t>
            </w:r>
          </w:p>
        </w:tc>
      </w:tr>
      <w:tr>
        <w:trPr>
          <w:trHeight w:val="153"/>
        </w:trPr>
        <w:tc>
          <w:tcPr>
            <w:tcW w:w="7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XPHOZAH</w:t>
            </w:r>
          </w:p>
        </w:tc>
        <w:tc>
          <w:tcPr>
            <w:tcW w:w="9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23,299</w:t>
            </w: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23,411</w:t>
            </w:r>
          </w:p>
        </w:tc>
      </w:tr>
      <w:tr>
        <w:trPr>
          <w:trHeight w:val="142"/>
        </w:trPr>
        <w:tc>
          <w:tcPr>
            <w:tcW w:w="7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Total product sales, net</w:t>
            </w:r>
          </w:p>
        </w:tc>
        <w:tc>
          <w:tcPr>
            <w:tcW w:w="9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93,373</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67,814</w:t>
            </w:r>
          </w:p>
        </w:tc>
      </w:tr>
      <w:tr>
        <w:trPr>
          <w:trHeight w:val="153"/>
        </w:trPr>
        <w:tc>
          <w:tcPr>
            <w:tcW w:w="79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Product supply revenue</w:t>
            </w:r>
          </w:p>
        </w:tc>
        <w:tc>
          <w:tcPr>
            <w:tcW w:w="9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w:t>
            </w:r>
          </w:p>
        </w:tc>
      </w:tr>
      <w:tr>
        <w:trPr>
          <w:trHeight w:val="153"/>
        </w:trPr>
        <w:tc>
          <w:tcPr>
            <w:tcW w:w="7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Licensing revenue</w:t>
            </w:r>
          </w:p>
        </w:tc>
        <w:tc>
          <w:tcPr>
            <w:tcW w:w="9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5,020</w:t>
            </w:r>
          </w:p>
        </w:tc>
      </w:tr>
      <w:tr>
        <w:trPr>
          <w:trHeight w:val="153"/>
        </w:trPr>
        <w:tc>
          <w:tcPr>
            <w:tcW w:w="79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Non-cash royalty revenue related to the sale of future royalties</w:t>
            </w:r>
          </w:p>
        </w:tc>
        <w:tc>
          <w:tcPr>
            <w:tcW w:w="9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695</w:t>
            </w: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1,026</w:t>
            </w:r>
          </w:p>
        </w:tc>
      </w:tr>
      <w:tr>
        <w:trPr>
          <w:trHeight w:val="142"/>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revenues</w:t>
            </w:r>
          </w:p>
        </w:tc>
        <w:tc>
          <w:tcPr>
            <w:tcW w:w="9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94,473</w:t>
            </w:r>
          </w:p>
        </w:tc>
        <w:tc>
          <w:tcPr>
            <w:tcW w:w="80" w:type="dxa"/>
            <w:vAlign w:val="bottom"/>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74,114</w:t>
            </w:r>
          </w:p>
        </w:tc>
      </w:tr>
      <w:tr>
        <w:trPr>
          <w:trHeight w:val="133"/>
        </w:trPr>
        <w:tc>
          <w:tcPr>
            <w:tcW w:w="792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Costs and operating expenses</w:t>
            </w: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53"/>
        </w:trPr>
        <w:tc>
          <w:tcPr>
            <w:tcW w:w="7920" w:type="dxa"/>
            <w:vAlign w:val="bottom"/>
            <w:shd w:val="clear" w:color="auto" w:fill="CCEEFF"/>
          </w:tcPr>
          <w:p>
            <w:pPr>
              <w:ind w:left="80"/>
              <w:spacing w:after="0" w:line="153" w:lineRule="exact"/>
              <w:rPr>
                <w:sz w:val="20"/>
                <w:szCs w:val="20"/>
                <w:color w:val="auto"/>
              </w:rPr>
            </w:pPr>
            <w:r>
              <w:rPr>
                <w:rFonts w:ascii="Times New Roman" w:cs="Times New Roman" w:eastAsia="Times New Roman" w:hAnsi="Times New Roman"/>
                <w:sz w:val="12"/>
                <w:szCs w:val="12"/>
                <w:color w:val="auto"/>
              </w:rPr>
              <w:t>Cost of sales</w:t>
            </w:r>
            <w:r>
              <w:rPr>
                <w:rFonts w:ascii="Times New Roman" w:cs="Times New Roman" w:eastAsia="Times New Roman" w:hAnsi="Times New Roman"/>
                <w:sz w:val="15"/>
                <w:szCs w:val="15"/>
                <w:color w:val="auto"/>
                <w:vertAlign w:val="superscript"/>
              </w:rPr>
              <w:t>(1)</w:t>
            </w:r>
          </w:p>
        </w:tc>
        <w:tc>
          <w:tcPr>
            <w:tcW w:w="9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4,811</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12,303</w:t>
            </w:r>
          </w:p>
        </w:tc>
      </w:tr>
      <w:tr>
        <w:trPr>
          <w:trHeight w:val="153"/>
        </w:trPr>
        <w:tc>
          <w:tcPr>
            <w:tcW w:w="79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Research and development</w:t>
            </w:r>
          </w:p>
        </w:tc>
        <w:tc>
          <w:tcPr>
            <w:tcW w:w="9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20,188</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14,938</w:t>
            </w:r>
          </w:p>
        </w:tc>
      </w:tr>
      <w:tr>
        <w:trPr>
          <w:trHeight w:val="153"/>
        </w:trPr>
        <w:tc>
          <w:tcPr>
            <w:tcW w:w="7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9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102,267</w:t>
            </w:r>
          </w:p>
        </w:tc>
        <w:tc>
          <w:tcPr>
            <w:tcW w:w="8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83,222</w:t>
            </w:r>
          </w:p>
        </w:tc>
      </w:tr>
      <w:tr>
        <w:trPr>
          <w:trHeight w:val="142"/>
        </w:trPr>
        <w:tc>
          <w:tcPr>
            <w:tcW w:w="7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Total costs and operating expenses</w:t>
            </w:r>
          </w:p>
        </w:tc>
        <w:tc>
          <w:tcPr>
            <w:tcW w:w="9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127,266</w:t>
            </w:r>
          </w:p>
        </w:tc>
        <w:tc>
          <w:tcPr>
            <w:tcW w:w="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110,463</w:t>
            </w:r>
          </w:p>
        </w:tc>
      </w:tr>
      <w:tr>
        <w:trPr>
          <w:trHeight w:val="142"/>
        </w:trPr>
        <w:tc>
          <w:tcPr>
            <w:tcW w:w="7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Loss from operations</w:t>
            </w:r>
          </w:p>
        </w:tc>
        <w:tc>
          <w:tcPr>
            <w:tcW w:w="9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(32,793)</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(36,349)</w:t>
            </w:r>
          </w:p>
        </w:tc>
      </w:tr>
      <w:tr>
        <w:trPr>
          <w:trHeight w:val="153"/>
        </w:trPr>
        <w:tc>
          <w:tcPr>
            <w:tcW w:w="79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expense</w:t>
            </w:r>
          </w:p>
        </w:tc>
        <w:tc>
          <w:tcPr>
            <w:tcW w:w="9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(5,599)</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(4,191)</w:t>
            </w:r>
          </w:p>
        </w:tc>
      </w:tr>
      <w:tr>
        <w:trPr>
          <w:trHeight w:val="153"/>
        </w:trPr>
        <w:tc>
          <w:tcPr>
            <w:tcW w:w="7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Non-cash interest expense related to the sale of future royalties</w:t>
            </w:r>
          </w:p>
        </w:tc>
        <w:tc>
          <w:tcPr>
            <w:tcW w:w="9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(1,317)</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(2,071)</w:t>
            </w:r>
          </w:p>
        </w:tc>
      </w:tr>
      <w:tr>
        <w:trPr>
          <w:trHeight w:val="153"/>
        </w:trPr>
        <w:tc>
          <w:tcPr>
            <w:tcW w:w="79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Other income, net</w:t>
            </w:r>
          </w:p>
        </w:tc>
        <w:tc>
          <w:tcPr>
            <w:tcW w:w="9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2,112</w:t>
            </w: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2,326</w:t>
            </w:r>
          </w:p>
        </w:tc>
      </w:tr>
      <w:tr>
        <w:trPr>
          <w:trHeight w:val="142"/>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Loss before provision for income taxes</w:t>
            </w:r>
          </w:p>
        </w:tc>
        <w:tc>
          <w:tcPr>
            <w:tcW w:w="9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(37,597)</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(40,285)</w:t>
            </w:r>
          </w:p>
        </w:tc>
      </w:tr>
      <w:tr>
        <w:trPr>
          <w:trHeight w:val="153"/>
        </w:trPr>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Provision for income taxes</w:t>
            </w:r>
          </w:p>
        </w:tc>
        <w:tc>
          <w:tcPr>
            <w:tcW w:w="9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859</w:t>
            </w:r>
          </w:p>
        </w:tc>
      </w:tr>
      <w:tr>
        <w:trPr>
          <w:trHeight w:val="158"/>
        </w:trPr>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980" w:type="dxa"/>
            <w:vAlign w:val="bottom"/>
            <w:tcBorders>
              <w:bottom w:val="single" w:sz="8" w:color="auto"/>
            </w:tcBorders>
            <w:shd w:val="clear" w:color="auto" w:fill="CCEEFF"/>
          </w:tcPr>
          <w:p>
            <w:pPr>
              <w:jc w:val="right"/>
              <w:ind w:right="84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(37,605)</w:t>
            </w:r>
          </w:p>
        </w:tc>
        <w:tc>
          <w:tcPr>
            <w:tcW w:w="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84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(41,144)</w:t>
            </w:r>
          </w:p>
        </w:tc>
      </w:tr>
      <w:tr>
        <w:trPr>
          <w:trHeight w:val="169"/>
        </w:trPr>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loss per share of common stock - basic and diluted</w:t>
            </w:r>
          </w:p>
        </w:tc>
        <w:tc>
          <w:tcPr>
            <w:tcW w:w="980" w:type="dxa"/>
            <w:vAlign w:val="bottom"/>
            <w:tcBorders>
              <w:bottom w:val="single" w:sz="8" w:color="auto"/>
            </w:tcBorders>
          </w:tcPr>
          <w:p>
            <w:pPr>
              <w:jc w:val="right"/>
              <w:ind w:right="84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(0.15)</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84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(0.17)</w:t>
            </w:r>
          </w:p>
        </w:tc>
      </w:tr>
      <w:tr>
        <w:trPr>
          <w:trHeight w:val="151"/>
        </w:trPr>
        <w:tc>
          <w:tcPr>
            <w:tcW w:w="7920" w:type="dxa"/>
            <w:vAlign w:val="bottom"/>
            <w:tcBorders>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Shares used in computing net loss per share - basic and diluted</w:t>
            </w:r>
          </w:p>
        </w:tc>
        <w:tc>
          <w:tcPr>
            <w:tcW w:w="9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w w:val="99"/>
              </w:rPr>
              <w:t>245,855,082</w:t>
            </w:r>
          </w:p>
        </w:tc>
        <w:tc>
          <w:tcPr>
            <w:tcW w:w="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w w:val="99"/>
              </w:rPr>
              <w:t>238,624,145</w:t>
            </w:r>
          </w:p>
        </w:tc>
      </w:tr>
    </w:tbl>
    <w:p>
      <w:pPr>
        <w:spacing w:after="0" w:line="79" w:lineRule="exact"/>
        <w:rPr>
          <w:sz w:val="20"/>
          <w:szCs w:val="20"/>
          <w:color w:val="auto"/>
        </w:rPr>
      </w:pPr>
    </w:p>
    <w:p>
      <w:pPr>
        <w:ind w:left="100" w:hanging="96"/>
        <w:spacing w:after="0"/>
        <w:tabs>
          <w:tab w:leader="none" w:pos="100" w:val="left"/>
        </w:tabs>
        <w:numPr>
          <w:ilvl w:val="0"/>
          <w:numId w:val="1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Prior year amounts have been reclassified to conform to the current year presentation.</w:t>
      </w:r>
    </w:p>
    <w:p>
      <w:pPr>
        <w:sectPr>
          <w:pgSz w:w="11900" w:h="16838" w:orient="portrait"/>
          <w:cols w:equalWidth="0" w:num="1">
            <w:col w:w="11300"/>
          </w:cols>
          <w:pgMar w:left="300" w:top="998" w:right="299" w:bottom="1440" w:gutter="0" w:footer="0" w:header="0"/>
        </w:sectPr>
      </w:pPr>
    </w:p>
    <w:bookmarkStart w:id="9" w:name="page10"/>
    <w:bookmarkEnd w:id="9"/>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2026-04-30T15:17:52Z</dcterms:created>
  <dcterms:modified xsi:type="dcterms:W3CDTF">2026-04-30T15:17:52Z</dcterms:modified>
</cp:coreProperties>
</file>