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500" w:space="720"/>
            <w:col w:w="2600" w:space="720"/>
            <w:col w:w="250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September 3, 2019, Ardelyx, Inc. (the “Company” or “Ardelyx”), a specialized biopharmaceutical company focused on developing first-in-class medicines to improve treatment for people with cardiorenal diseases, reported positive results from AMPLIFY, a pivotal Phase 3 study of tenapanor in combination with phosphate binders in patients with chronic kidney disease (“CKD”) on dialysis whose hyperphosphatemia was not previously controlled with binders alone. The AMPLIFY study met the primary endpoint and all key secondary endpoints, including demonstrating a statistically significant (p=0.0004) reduction in serum phosphorus levels for patients treated with tenapanor and phosphate binders compared to phosphate binders alone. Tenapanor is an investigational, first-in-class, small molecule, non-binder, phosphate absorption inhibitor being developed to treat hyperphosphatemia in patients with CKD on dialysis.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Study Results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primary endpoint, patients treated in the tenapanor arm (tenapanor in combination with phosphate binders, n=116) had a statistically significant (p=0.0004) mean reduction in serum phosphorus from baseline to the end of the four-week treatment period of 0.84 mg/dL, as compared to those treated in the binder arm (placebo in combination with phosphate binders, n=119) who had a mean reduction of 0.19 mg/dL. Patients in the tenapanor arm had statistically significant decreases in serum phosphorus during all four weeks ranging from 0.84 to 1.21 mg/dL (p-values</w:t>
      </w:r>
      <w:r>
        <w:rPr>
          <w:rFonts w:ascii="Arial" w:cs="Arial" w:eastAsia="Arial" w:hAnsi="Arial"/>
          <w:sz w:val="16"/>
          <w:szCs w:val="16"/>
          <w:u w:val="single" w:color="auto"/>
          <w:color w:val="auto"/>
        </w:rPr>
        <w:t>&lt;</w:t>
      </w:r>
      <w:r>
        <w:rPr>
          <w:rFonts w:ascii="Arial" w:cs="Arial" w:eastAsia="Arial" w:hAnsi="Arial"/>
          <w:sz w:val="16"/>
          <w:szCs w:val="16"/>
          <w:color w:val="auto"/>
        </w:rPr>
        <w:t>0.0004). During the treatment period, up to 49.1% of patients in the tenapanor arm achieved a serum phosphorus of &lt;5.5 mg/dL which was statistically significant compared with up to 23.5% in the binder arm (p-values£0.0097). There was a statistically significant 22% to 24% reduction (p-values£0.0027) in FGF23 levels in the tenapanor arm as compared to the binder arm. Elevated levels of FGF23 are associated with an increased risk of major cardiovascular events.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Tenapanor was well tolerated. Only 4.3% of patients in the tenapanor arm discontinued treatment compared to 2.5% in the binder arm. The single adverse event with a placebo-adjusted rate greater than 3% was loose stools/diarrhea at 36%, where most incidents were reported within the first five days of treatment, were transient in nature and the median time to resolution was four days after onset. Notably, only 2.6% of patients in the tenapanor arm discontinued treatment due to loose stools/diarrhea, as compared to 0.8% in the binder arm. There were no serious adverse events related to tenapanor.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AMPLIFY</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AMPLIFY, a double-blind, placebo-controlled, randomized study, enrolled a total of 236 patients with CKD on dialysis, who despite a stable phosphate binder regimen, had a serum phosphorus level greater than or equal to 5.5 mg/dL and less than or equal to 10.0 mg/dL at screening. After a run-in of two to four weeks, patients were randomized 1:1 to receive tenapanor or placebo twice daily while continuing their established phosphate binder regimen.</w:t>
      </w:r>
    </w:p>
    <w:p>
      <w:pPr>
        <w:ind w:right="360"/>
        <w:spacing w:after="0" w:line="261" w:lineRule="auto"/>
        <w:rPr>
          <w:sz w:val="20"/>
          <w:szCs w:val="20"/>
          <w:color w:val="auto"/>
        </w:rPr>
      </w:pPr>
      <w:r>
        <w:rPr>
          <w:rFonts w:ascii="Arial" w:cs="Arial" w:eastAsia="Arial" w:hAnsi="Arial"/>
          <w:sz w:val="18"/>
          <w:szCs w:val="18"/>
          <w:color w:val="auto"/>
        </w:rPr>
        <w:t>Baseline serum phosphorus at randomization was at a mean level of 6.8 mg/dL. Tenapanor was initiated at a starting dose of 30 mg twice daily with tenapanor dose adjustments allowed based on serum phosphorus level and gastrointestinal tolerability.</w:t>
      </w:r>
    </w:p>
    <w:p>
      <w:pPr>
        <w:spacing w:after="0" w:line="18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primary endpoint of the study was the comparison of the change from baseline in serum phosphorus levels at week four between the tenapanor and binder arms. The key secondary endpoints included a comparison of the proportion of patients achieving a serum phosphorus level below 5.5 mg/dL at week four and relative change from baseline in FGF23 levels between the tenapanor and binder arms at week four.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Tenapanor for Hyperphosphatemia</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Tenapanor, discovered and developed by Ardelyx, is a first-in-class, proprietary, oral, medicine in late-stage clinical development for the control of serum phosphorus in patients with CKD on dialysis. Tenapanor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In addition, if approved, tenapanor will be easier than phosphate binders for patients to take with a regimen of just one small pill, taken twice daily. The Company previously reported results from its first Phase 3 monotherapy study with tenapanor in CKD patients on dialysis, reporting that the primary endpoint was met (p=0.01) and that 50% of patients (n=164) experienced a mean serum phosphorus reduction of 2.56 mg/dL.</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Hyperphosphatemia</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Hyperphosphatemia is a serious condition resulting in an abnormally elevated level of phosphorus in the blood that is estimated to affect more than 745,000 dialysis patients in major developed countries. The kidney is the organ responsible for regulating phosphorus levels, but when kidney function is significantly impaired, phosphorus is not adequately eliminated from the body. As a result, hyperphosphatemia is a common condition among people with CKD and especially those on dialysis. Despite treatment with phosphate binders (the only approved therapy for hyperphosphatemia), approximately 70% of CKD patients on dialysis continue to experience elevated phosphorus levels over time (Spherix RealWorld Dynamix, Dialysis 2018). Phosphorus levels greater than 5.5 mg/dL have been shown to be an independent risk factor for cardiovascular morbidity and mortality in dialysis patients (Block 2004), and common treatment goals are to manage serum phosphorus levels to &lt;5.5mg/dL.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Fibroblast Growth Factor 23 (FGF23)</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FGF23 is a protein in humans that is responsible for phosphate and vitamin D metabolism. Prospective clinical studies have demonstrated a linear association between elevated levels of FGF23 and a greater risk of major cardiovascular events and mortality. FGF23 is independently associated with greater left ventricular mass and greater prevalence of left ventricular hypertrophy (Amaral 2012).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To the extent that statements contained in this Current Report on Form 8-K are not descriptions of historical facts regarding the Company, they are forward-looking statements reflecting the current beliefs and expectations of management made pursuant to the safe harbor of the Private Securities Reform Act of 1995, including the potential for the Company’s product candidates in treating the diseases and conditions for which they are being developed; the Company’s future development plans for tenapanor and other product candidates and the expected timing thereof. Such forward-looking statements involve substantial risks and uncertainties that could cause the development of the Company’s product candidates or the Company’s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The Company undertakes no obligation to update or revise any forward-looking statements. For a further description of the risks and uncertainties that could cause actual results to differ from those expressed in these forward-looking statements, as well as risks relating to the Company’s business in general, please refer to the Company’s Quarterly Report on Form 10-Q filed with the Securities and Exchange Commission (the “SEC”) on August 9, 2019, and its future current and periodic reports to be filed with the SEC.</w:t>
      </w:r>
    </w:p>
    <w:p>
      <w:pPr>
        <w:sectPr>
          <w:pgSz w:w="11900" w:h="16838" w:orient="portrait"/>
          <w:cols w:equalWidth="0" w:num="1">
            <w:col w:w="11020"/>
          </w:cols>
          <w:pgMar w:left="440" w:top="270" w:right="4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September 3,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2019-11-29T13:18:05Z</dcterms:created>
  <dcterms:modified xsi:type="dcterms:W3CDTF">2019-11-29T13:18:05Z</dcterms:modified>
</cp:coreProperties>
</file>