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8,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80"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3660" w:type="dxa"/>
            <w:vAlign w:val="bottom"/>
          </w:tcPr>
          <w:p>
            <w:pPr>
              <w:jc w:val="center"/>
              <w:ind w:right="1702"/>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center"/>
              <w:ind w:left="1702"/>
              <w:spacing w:after="0"/>
              <w:rPr>
                <w:sz w:val="20"/>
                <w:szCs w:val="20"/>
                <w:color w:val="auto"/>
              </w:rPr>
            </w:pPr>
            <w:r>
              <w:rPr>
                <w:rFonts w:ascii="Arial" w:cs="Arial" w:eastAsia="Arial" w:hAnsi="Arial"/>
                <w:sz w:val="18"/>
                <w:szCs w:val="18"/>
                <w:b w:val="1"/>
                <w:bCs w:val="1"/>
                <w:color w:val="auto"/>
                <w:w w:val="91"/>
              </w:rPr>
              <w:t>26-1303944</w:t>
            </w:r>
          </w:p>
        </w:tc>
      </w:tr>
      <w:tr>
        <w:trPr>
          <w:trHeight w:val="149"/>
        </w:trPr>
        <w:tc>
          <w:tcPr>
            <w:tcW w:w="3660" w:type="dxa"/>
            <w:vAlign w:val="bottom"/>
          </w:tcPr>
          <w:p>
            <w:pPr>
              <w:jc w:val="center"/>
              <w:ind w:right="17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00" w:type="dxa"/>
            <w:vAlign w:val="bottom"/>
          </w:tcPr>
          <w:p>
            <w:pPr>
              <w:jc w:val="center"/>
              <w:ind w:left="17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60" w:type="dxa"/>
            <w:vAlign w:val="bottom"/>
          </w:tcPr>
          <w:p>
            <w:pPr>
              <w:jc w:val="center"/>
              <w:ind w:right="1702"/>
              <w:spacing w:after="0"/>
              <w:rPr>
                <w:sz w:val="20"/>
                <w:szCs w:val="20"/>
                <w:color w:val="auto"/>
              </w:rPr>
            </w:pPr>
            <w:r>
              <w:rPr>
                <w:rFonts w:ascii="Arial" w:cs="Arial" w:eastAsia="Arial" w:hAnsi="Arial"/>
                <w:sz w:val="14"/>
                <w:szCs w:val="14"/>
                <w:b w:val="1"/>
                <w:bCs w:val="1"/>
                <w:color w:val="auto"/>
                <w:w w:val="94"/>
              </w:rPr>
              <w:t>incorporation or organization)</w:t>
            </w:r>
          </w:p>
        </w:tc>
        <w:tc>
          <w:tcPr>
            <w:tcW w:w="2900" w:type="dxa"/>
            <w:vAlign w:val="bottom"/>
          </w:tcPr>
          <w:p>
            <w:pPr>
              <w:jc w:val="center"/>
              <w:ind w:left="17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&amp;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70" w:lineRule="exact"/>
        <w:rPr>
          <w:sz w:val="24"/>
          <w:szCs w:val="24"/>
          <w:color w:val="auto"/>
        </w:rPr>
      </w:pPr>
    </w:p>
    <w:tbl>
      <w:tblPr>
        <w:tblLayout w:type="fixed"/>
        <w:tblInd w:w="158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518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Mark V. Roeder, Esq.</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Elizabeth Grammer, Esq.</w:t>
            </w:r>
          </w:p>
        </w:tc>
      </w:tr>
      <w:tr>
        <w:trPr>
          <w:trHeight w:val="216"/>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7"/>
              </w:rPr>
              <w:t>Latham &amp; Watkins LLP</w:t>
            </w:r>
          </w:p>
        </w:tc>
        <w:tc>
          <w:tcPr>
            <w:tcW w:w="518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Chief Legal and Administrative Officer</w:t>
            </w:r>
          </w:p>
        </w:tc>
      </w:tr>
      <w:tr>
        <w:trPr>
          <w:trHeight w:val="216"/>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140 Scott Drive</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Ardelyx, Inc.</w:t>
            </w:r>
          </w:p>
        </w:tc>
      </w:tr>
      <w:tr>
        <w:trPr>
          <w:trHeight w:val="216"/>
        </w:trPr>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Menlo Park, CA 94025</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34175 Ardenwood Blvd.</w:t>
            </w:r>
          </w:p>
        </w:tc>
      </w:tr>
      <w:tr>
        <w:trPr>
          <w:trHeight w:val="216"/>
        </w:trPr>
        <w:tc>
          <w:tcPr>
            <w:tcW w:w="248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Facsimile: (650) 463-2600</w:t>
            </w: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Fremont, CA 94555</w:t>
            </w:r>
          </w:p>
        </w:tc>
      </w:tr>
      <w:tr>
        <w:trPr>
          <w:trHeight w:val="234"/>
        </w:trPr>
        <w:tc>
          <w:tcPr>
            <w:tcW w:w="2480" w:type="dxa"/>
            <w:vAlign w:val="bottom"/>
          </w:tcPr>
          <w:p>
            <w:pPr>
              <w:spacing w:after="0"/>
              <w:rPr>
                <w:sz w:val="20"/>
                <w:szCs w:val="20"/>
                <w:color w:val="auto"/>
              </w:rPr>
            </w:pPr>
          </w:p>
        </w:tc>
        <w:tc>
          <w:tcPr>
            <w:tcW w:w="518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(510) 745-1700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67" w:lineRule="exact"/>
        <w:rPr>
          <w:sz w:val="24"/>
          <w:szCs w:val="24"/>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From time to time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4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0"/>
          <w:szCs w:val="20"/>
          <w:color w:val="auto"/>
        </w:rPr>
      </w:pPr>
    </w:p>
    <w:p>
      <w:pPr>
        <w:ind w:right="28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1" w:lineRule="exact"/>
        <w:rPr>
          <w:sz w:val="20"/>
          <w:szCs w:val="20"/>
          <w:color w:val="auto"/>
        </w:rPr>
      </w:pPr>
    </w:p>
    <w:p>
      <w:pPr>
        <w:ind w:right="460"/>
        <w:spacing w:after="0" w:line="23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60" w:lineRule="exact"/>
        <w:rPr>
          <w:sz w:val="20"/>
          <w:szCs w:val="20"/>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0"/>
          <w:szCs w:val="20"/>
          <w:color w:val="auto"/>
        </w:rPr>
      </w:pPr>
    </w:p>
    <w:p>
      <w:pPr>
        <w:ind w:right="42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540" w:type="dxa"/>
            <w:vAlign w:val="bottom"/>
            <w:tcBorders>
              <w:top w:val="single" w:sz="8" w:color="auto"/>
              <w:right w:val="single" w:sz="8" w:color="auto"/>
            </w:tcBorders>
          </w:tcPr>
          <w:p>
            <w:pPr>
              <w:spacing w:after="0"/>
              <w:rPr>
                <w:sz w:val="12"/>
                <w:szCs w:val="12"/>
                <w:color w:val="auto"/>
              </w:rPr>
            </w:pPr>
          </w:p>
        </w:tc>
        <w:tc>
          <w:tcPr>
            <w:tcW w:w="3780" w:type="dxa"/>
            <w:vAlign w:val="bottom"/>
            <w:tcBorders>
              <w:top w:val="single" w:sz="8" w:color="auto"/>
              <w:right w:val="single" w:sz="8" w:color="auto"/>
            </w:tcBorders>
          </w:tcPr>
          <w:p>
            <w:pPr>
              <w:jc w:val="center"/>
              <w:ind w:left="149"/>
              <w:spacing w:after="0" w:line="139" w:lineRule="exact"/>
              <w:rPr>
                <w:sz w:val="20"/>
                <w:szCs w:val="20"/>
                <w:color w:val="auto"/>
              </w:rPr>
            </w:pPr>
            <w:r>
              <w:rPr>
                <w:rFonts w:ascii="Arial" w:cs="Arial" w:eastAsia="Arial" w:hAnsi="Arial"/>
                <w:sz w:val="14"/>
                <w:szCs w:val="14"/>
                <w:b w:val="1"/>
                <w:bCs w:val="1"/>
                <w:color w:val="auto"/>
                <w:w w:val="93"/>
              </w:rPr>
              <w:t>Amount to be</w:t>
            </w:r>
          </w:p>
        </w:tc>
        <w:tc>
          <w:tcPr>
            <w:tcW w:w="2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0"/>
              </w:rPr>
              <w:t>registered/proposed</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4"/>
              </w:rPr>
              <w:t>maximum offering price</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per unit/proposed</w:t>
            </w:r>
          </w:p>
        </w:tc>
        <w:tc>
          <w:tcPr>
            <w:tcW w:w="2580" w:type="dxa"/>
            <w:vAlign w:val="bottom"/>
            <w:vMerge w:val="restart"/>
          </w:tcPr>
          <w:p>
            <w:pPr>
              <w:jc w:val="center"/>
              <w:ind w:left="8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3780" w:type="dxa"/>
            <w:vAlign w:val="bottom"/>
            <w:tcBorders>
              <w:right w:val="single" w:sz="8" w:color="auto"/>
            </w:tcBorders>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maximum aggregate</w:t>
            </w: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offering price</w:t>
            </w:r>
          </w:p>
        </w:tc>
        <w:tc>
          <w:tcPr>
            <w:tcW w:w="258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3"/>
                <w:szCs w:val="13"/>
                <w:color w:val="auto"/>
                <w:w w:val="94"/>
              </w:rPr>
              <w:t>(1)(2)</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w:t>
            </w:r>
          </w:p>
        </w:tc>
        <w:tc>
          <w:tcPr>
            <w:tcW w:w="3780" w:type="dxa"/>
            <w:vAlign w:val="bottom"/>
            <w:tcBorders>
              <w:bottom w:val="single" w:sz="8" w:color="auto"/>
              <w:right w:val="single" w:sz="8" w:color="auto"/>
            </w:tcBorders>
          </w:tcPr>
          <w:p>
            <w:pPr>
              <w:jc w:val="center"/>
              <w:ind w:left="129"/>
              <w:spacing w:after="0"/>
              <w:rPr>
                <w:sz w:val="20"/>
                <w:szCs w:val="20"/>
                <w:color w:val="auto"/>
              </w:rPr>
            </w:pPr>
            <w:r>
              <w:rPr>
                <w:rFonts w:ascii="Arial" w:cs="Arial" w:eastAsia="Arial" w:hAnsi="Arial"/>
                <w:sz w:val="13"/>
                <w:szCs w:val="13"/>
                <w:color w:val="auto"/>
                <w:w w:val="94"/>
              </w:rPr>
              <w:t>(1)(2)</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3780" w:type="dxa"/>
            <w:vAlign w:val="bottom"/>
            <w:tcBorders>
              <w:bottom w:val="single" w:sz="8" w:color="auto"/>
              <w:right w:val="single" w:sz="8" w:color="auto"/>
            </w:tcBorders>
          </w:tcPr>
          <w:p>
            <w:pPr>
              <w:jc w:val="center"/>
              <w:ind w:left="149"/>
              <w:spacing w:after="0"/>
              <w:rPr>
                <w:sz w:val="20"/>
                <w:szCs w:val="20"/>
                <w:color w:val="auto"/>
              </w:rPr>
            </w:pPr>
            <w:r>
              <w:rPr>
                <w:rFonts w:ascii="Arial" w:cs="Arial" w:eastAsia="Arial" w:hAnsi="Arial"/>
                <w:sz w:val="13"/>
                <w:szCs w:val="13"/>
                <w:color w:val="auto"/>
              </w:rPr>
              <w:t>(1)</w:t>
            </w: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right w:val="single" w:sz="8" w:color="auto"/>
            </w:tcBorders>
          </w:tcPr>
          <w:p>
            <w:pPr>
              <w:jc w:val="center"/>
              <w:ind w:left="129"/>
              <w:spacing w:after="0" w:line="210" w:lineRule="exact"/>
              <w:rPr>
                <w:sz w:val="20"/>
                <w:szCs w:val="20"/>
                <w:color w:val="auto"/>
              </w:rPr>
            </w:pPr>
            <w:r>
              <w:rPr>
                <w:rFonts w:ascii="Arial" w:cs="Arial" w:eastAsia="Arial" w:hAnsi="Arial"/>
                <w:sz w:val="17"/>
                <w:szCs w:val="17"/>
                <w:color w:val="auto"/>
                <w:w w:val="92"/>
              </w:rPr>
              <w:t>$250,000,000</w:t>
            </w:r>
            <w:r>
              <w:rPr>
                <w:rFonts w:ascii="Arial" w:cs="Arial" w:eastAsia="Arial" w:hAnsi="Arial"/>
                <w:sz w:val="24"/>
                <w:szCs w:val="24"/>
                <w:color w:val="auto"/>
                <w:w w:val="92"/>
                <w:vertAlign w:val="superscript"/>
              </w:rPr>
              <w:t>(3)</w:t>
            </w:r>
          </w:p>
        </w:tc>
        <w:tc>
          <w:tcPr>
            <w:tcW w:w="2580" w:type="dxa"/>
            <w:vAlign w:val="bottom"/>
            <w:tcBorders>
              <w:bottom w:val="single" w:sz="8" w:color="auto"/>
            </w:tcBorders>
          </w:tcPr>
          <w:p>
            <w:pPr>
              <w:jc w:val="center"/>
              <w:ind w:left="84"/>
              <w:spacing w:after="0" w:line="210" w:lineRule="exact"/>
              <w:rPr>
                <w:sz w:val="20"/>
                <w:szCs w:val="20"/>
                <w:color w:val="auto"/>
              </w:rPr>
            </w:pPr>
            <w:r>
              <w:rPr>
                <w:rFonts w:ascii="Arial" w:cs="Arial" w:eastAsia="Arial" w:hAnsi="Arial"/>
                <w:sz w:val="17"/>
                <w:szCs w:val="17"/>
                <w:color w:val="auto"/>
                <w:w w:val="91"/>
              </w:rPr>
              <w:t>$32,450</w:t>
            </w:r>
            <w:r>
              <w:rPr>
                <w:rFonts w:ascii="Arial" w:cs="Arial" w:eastAsia="Arial" w:hAnsi="Arial"/>
                <w:sz w:val="24"/>
                <w:szCs w:val="24"/>
                <w:color w:val="auto"/>
                <w:w w:val="91"/>
                <w:vertAlign w:val="superscript"/>
              </w:rPr>
              <w:t>(4)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0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6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acquire common stock or preferred stock of the Company under any shareholder rights plan then in effect, if applicable under the terms of any such plan.</w:t>
      </w:r>
    </w:p>
    <w:p>
      <w:pPr>
        <w:spacing w:after="0" w:line="35"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$250,000,000.</w:t>
      </w:r>
    </w:p>
    <w:p>
      <w:pPr>
        <w:spacing w:after="0" w:line="6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90" w:lineRule="exact"/>
        <w:rPr>
          <w:sz w:val="20"/>
          <w:szCs w:val="20"/>
          <w:color w:val="auto"/>
        </w:rPr>
      </w:pPr>
    </w:p>
    <w:p>
      <w:pPr>
        <w:ind w:right="340"/>
        <w:spacing w:after="0" w:line="32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53975</wp:posOffset>
            </wp:positionV>
            <wp:extent cx="629221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registration statement contains two prospectuses:</w:t>
      </w:r>
    </w:p>
    <w:p>
      <w:pPr>
        <w:spacing w:after="0" w:line="225" w:lineRule="exact"/>
        <w:rPr>
          <w:sz w:val="20"/>
          <w:szCs w:val="20"/>
          <w:color w:val="auto"/>
        </w:rPr>
      </w:pPr>
    </w:p>
    <w:p>
      <w:pPr>
        <w:ind w:left="700" w:right="19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the registrant of up to a maximum aggregate offering price of $250,000,000 of the registrant’s common stock, preferred stock, debt securities, warrants and/or units; and</w:t>
      </w:r>
    </w:p>
    <w:p>
      <w:pPr>
        <w:spacing w:after="0" w:line="183"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prospectus supplement covering the offering, issuance and sale by the registrant of up to a maximum aggregate offering price of $100,000,000 of the registrant’s common stock that may be issued and sold under a sales agreement with Jefferies LLC.</w:t>
      </w:r>
    </w:p>
    <w:p>
      <w:pPr>
        <w:spacing w:after="0" w:line="184"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prospectus supplement immediately follows the base prospectus. The common stock that may be offered, issued and sold by the registrant under the prospectus supplement is included in the $250,000,000 of securities that may be offered, issued and sold by the registrant under the base prospectus. Any portion of the $100,000,000 included in the prospectus supplement that is not previously sold or included in an active placement notice pursuant to the sales agreement will be available for sale in other offerings pursuant to the base prospectus, and if no shares are sold under the sales agreement, the full $250,000,000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751205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0" w:lineRule="exact"/>
        <w:rPr>
          <w:sz w:val="20"/>
          <w:szCs w:val="20"/>
          <w:color w:val="auto"/>
        </w:rPr>
      </w:pPr>
    </w:p>
    <w:p>
      <w:pPr>
        <w:jc w:val="right"/>
        <w:ind w:right="59"/>
        <w:spacing w:after="0"/>
        <w:rPr>
          <w:sz w:val="20"/>
          <w:szCs w:val="20"/>
          <w:color w:val="auto"/>
        </w:rPr>
      </w:pPr>
      <w:r>
        <w:rPr>
          <w:rFonts w:ascii="Arial" w:cs="Arial" w:eastAsia="Arial" w:hAnsi="Arial"/>
          <w:sz w:val="18"/>
          <w:szCs w:val="18"/>
          <w:b w:val="1"/>
          <w:bCs w:val="1"/>
          <w:color w:val="CC062A"/>
        </w:rPr>
        <w:t>Subject to Completion, dated July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154305</wp:posOffset>
            </wp:positionV>
            <wp:extent cx="154305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71"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114935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color w:val="auto"/>
        </w:rPr>
        <w:t>INVESTING IN OUR SECURITIES INVOLVES RISKS. SEE THE “RISK FACTORS” ON PAGE 5 OF THIS PROSPECTUS AND ANY SIMILAR SECTION CONTAINED IN THE APPLICABLE PROSPECTUS SUPPLEMENT CONCERNING FACTORS YOU SHOULD CONSIDER BEFORE INVESTING IN OUR SECURITIES.</w:t>
      </w:r>
    </w:p>
    <w:p>
      <w:pPr>
        <w:spacing w:after="0" w:line="184"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July 7, 2020, the last reported sale price of our common stock on the Nasdaq Global Market was $7.01 per share.</w:t>
      </w:r>
    </w:p>
    <w:p>
      <w:pPr>
        <w:spacing w:after="0" w:line="166" w:lineRule="exact"/>
        <w:rPr>
          <w:sz w:val="20"/>
          <w:szCs w:val="20"/>
          <w:color w:val="auto"/>
        </w:rPr>
      </w:pPr>
    </w:p>
    <w:p>
      <w:pPr>
        <w:jc w:val="both"/>
        <w:ind w:left="60" w:right="7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40" w:type="dxa"/>
            <w:vAlign w:val="bottom"/>
          </w:tcPr>
          <w:p>
            <w:pPr>
              <w:ind w:left="2660"/>
              <w:spacing w:after="0"/>
              <w:rPr>
                <w:sz w:val="20"/>
                <w:szCs w:val="20"/>
                <w:color w:val="auto"/>
              </w:rPr>
            </w:pPr>
            <w:r>
              <w:rPr>
                <w:rFonts w:ascii="Arial" w:cs="Arial" w:eastAsia="Arial" w:hAnsi="Arial"/>
                <w:sz w:val="18"/>
                <w:szCs w:val="18"/>
                <w:b w:val="1"/>
                <w:bCs w:val="1"/>
                <w:color w:val="auto"/>
              </w:rPr>
              <w:t>The date of this prospectus is</w:t>
            </w:r>
          </w:p>
        </w:tc>
        <w:tc>
          <w:tcPr>
            <w:tcW w:w="3580" w:type="dxa"/>
            <w:vAlign w:val="bottom"/>
          </w:tcPr>
          <w:p>
            <w:pPr>
              <w:jc w:val="right"/>
              <w:ind w:right="2550"/>
              <w:spacing w:after="0"/>
              <w:rPr>
                <w:sz w:val="20"/>
                <w:szCs w:val="20"/>
                <w:color w:val="auto"/>
              </w:rPr>
            </w:pPr>
            <w:r>
              <w:rPr>
                <w:rFonts w:ascii="Arial" w:cs="Arial" w:eastAsia="Arial" w:hAnsi="Arial"/>
                <w:sz w:val="18"/>
                <w:szCs w:val="18"/>
                <w:b w:val="1"/>
                <w:bCs w:val="1"/>
                <w:color w:val="auto"/>
              </w:rPr>
              <w:t>, 2020.</w:t>
            </w:r>
          </w:p>
        </w:tc>
      </w:tr>
      <w:tr>
        <w:trPr>
          <w:trHeight w:val="992"/>
        </w:trPr>
        <w:tc>
          <w:tcPr>
            <w:tcW w:w="5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r>
      <w:tr>
        <w:trPr>
          <w:trHeight w:val="418"/>
        </w:trPr>
        <w:tc>
          <w:tcPr>
            <w:tcW w:w="77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 INCORPORATION BY REFERENCE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ARDELYX</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CAPITAL STOCK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DEBT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UNITS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GLOBAL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7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740" w:type="dxa"/>
            <w:vAlign w:val="bottom"/>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006"/>
        </w:trPr>
        <w:tc>
          <w:tcPr>
            <w:tcW w:w="7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68" w:lineRule="exact"/>
        <w:rPr>
          <w:sz w:val="20"/>
          <w:szCs w:val="20"/>
          <w:color w:val="auto"/>
        </w:rPr>
      </w:pPr>
    </w:p>
    <w:p>
      <w:pPr>
        <w:ind w:left="60" w:right="159"/>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69"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When we refer to “Ardelyx,” “we,” “our,” “us” and the “Company” in this prospectus, we mean Ardelyx, Inc., unless otherwise specified. When we refer to “you,” we mean the potential holders of the applicable series of securities.</w:t>
      </w:r>
    </w:p>
    <w:p>
      <w:pPr>
        <w:spacing w:after="0" w:line="124"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Ardelyx</w:t>
      </w:r>
      <w:r>
        <w:rPr>
          <w:rFonts w:ascii="Arial" w:cs="Arial" w:eastAsia="Arial" w:hAnsi="Arial"/>
          <w:sz w:val="14"/>
          <w:szCs w:val="14"/>
          <w:color w:val="auto"/>
        </w:rPr>
        <w:t>®</w:t>
      </w:r>
      <w:r>
        <w:rPr>
          <w:rFonts w:ascii="Arial" w:cs="Arial" w:eastAsia="Arial" w:hAnsi="Arial"/>
          <w:sz w:val="17"/>
          <w:szCs w:val="17"/>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or accessible through, our website, however, is not, and should not be deemed to be, a part of this prospectus or any prospectus supplement. We have included our website address as an inactive textual reference only.</w:t>
      </w:r>
    </w:p>
    <w:p>
      <w:pPr>
        <w:spacing w:after="0" w:line="184"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9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9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70" w:lineRule="exact"/>
        <w:rPr>
          <w:sz w:val="20"/>
          <w:szCs w:val="20"/>
          <w:color w:val="auto"/>
        </w:rPr>
      </w:pPr>
    </w:p>
    <w:p>
      <w:pPr>
        <w:ind w:left="700" w:hanging="326"/>
        <w:spacing w:after="0"/>
        <w:tabs>
          <w:tab w:leader="none" w:pos="700" w:val="left"/>
        </w:tabs>
        <w:numPr>
          <w:ilvl w:val="0"/>
          <w:numId w:val="3"/>
        </w:numPr>
        <w:rPr>
          <w:rFonts w:ascii="Arial" w:cs="Arial" w:eastAsia="Arial" w:hAnsi="Arial"/>
          <w:sz w:val="16"/>
          <w:szCs w:val="16"/>
          <w:u w:val="single" w:color="auto"/>
          <w:color w:val="0000EE"/>
        </w:rPr>
      </w:pPr>
      <w:hyperlink r:id="rId28">
        <w:r>
          <w:rPr>
            <w:rFonts w:ascii="Arial" w:cs="Arial" w:eastAsia="Arial" w:hAnsi="Arial"/>
            <w:sz w:val="16"/>
            <w:szCs w:val="16"/>
            <w:u w:val="single" w:color="auto"/>
            <w:color w:val="0000EE"/>
          </w:rPr>
          <w:t>our Annual Report on Form 10-K for the year ended December 31, 2019, filed with the SEC on March 6, 2020;</w:t>
        </w:r>
      </w:hyperlink>
    </w:p>
    <w:p>
      <w:pPr>
        <w:spacing w:after="0" w:line="248" w:lineRule="exact"/>
        <w:rPr>
          <w:rFonts w:ascii="Arial" w:cs="Arial" w:eastAsia="Arial" w:hAnsi="Arial"/>
          <w:sz w:val="16"/>
          <w:szCs w:val="16"/>
          <w:u w:val="single" w:color="auto"/>
          <w:color w:val="0000EE"/>
        </w:rPr>
      </w:pPr>
    </w:p>
    <w:p>
      <w:pPr>
        <w:ind w:left="700" w:right="179" w:hanging="326"/>
        <w:spacing w:after="0" w:line="342" w:lineRule="auto"/>
        <w:tabs>
          <w:tab w:leader="none" w:pos="700" w:val="left"/>
        </w:tabs>
        <w:numPr>
          <w:ilvl w:val="0"/>
          <w:numId w:val="3"/>
        </w:numPr>
        <w:rPr>
          <w:rFonts w:ascii="Arial" w:cs="Arial" w:eastAsia="Arial" w:hAnsi="Arial"/>
          <w:sz w:val="16"/>
          <w:szCs w:val="16"/>
          <w:color w:val="0000EE"/>
        </w:rPr>
      </w:pPr>
      <w:hyperlink r:id="rId28">
        <w:r>
          <w:rPr>
            <w:rFonts w:ascii="Arial" w:cs="Arial" w:eastAsia="Arial" w:hAnsi="Arial"/>
            <w:sz w:val="16"/>
            <w:szCs w:val="16"/>
            <w:color w:val="auto"/>
          </w:rPr>
          <w:t xml:space="preserve">the information specifically incorporated by reference into our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8">
        <w:r>
          <w:rPr>
            <w:rFonts w:ascii="Arial" w:cs="Arial" w:eastAsia="Arial" w:hAnsi="Arial"/>
            <w:sz w:val="16"/>
            <w:szCs w:val="16"/>
            <w:u w:val="single" w:color="auto"/>
            <w:color w:val="0000EE"/>
          </w:rPr>
          <w:t>December 31, 2019</w:t>
        </w:r>
        <w:r>
          <w:rPr>
            <w:rFonts w:ascii="Arial" w:cs="Arial" w:eastAsia="Arial" w:hAnsi="Arial"/>
            <w:sz w:val="16"/>
            <w:szCs w:val="16"/>
            <w:color w:val="0000EE"/>
          </w:rPr>
          <w:t xml:space="preserve"> </w:t>
        </w:r>
        <w:r>
          <w:rPr>
            <w:rFonts w:ascii="Arial" w:cs="Arial" w:eastAsia="Arial" w:hAnsi="Arial"/>
            <w:sz w:val="16"/>
            <w:szCs w:val="16"/>
            <w:color w:val="000000"/>
          </w:rPr>
          <w:t>from our</w:t>
        </w:r>
        <w:r>
          <w:rPr>
            <w:rFonts w:ascii="Arial" w:cs="Arial" w:eastAsia="Arial" w:hAnsi="Arial"/>
            <w:sz w:val="16"/>
            <w:szCs w:val="16"/>
            <w:color w:val="0000EE"/>
          </w:rPr>
          <w:t xml:space="preserve"> </w:t>
        </w:r>
      </w:hyperlink>
      <w:hyperlink r:id="rId29">
        <w:r>
          <w:rPr>
            <w:rFonts w:ascii="Arial" w:cs="Arial" w:eastAsia="Arial" w:hAnsi="Arial"/>
            <w:sz w:val="16"/>
            <w:szCs w:val="16"/>
            <w:u w:val="single" w:color="auto"/>
            <w:color w:val="0000EE"/>
          </w:rPr>
          <w:t>Definitive Proxy Statement on Schedule 14A filed with the SEC on April 27, 2020;</w:t>
        </w:r>
      </w:hyperlink>
    </w:p>
    <w:p>
      <w:pPr>
        <w:spacing w:after="0" w:line="123" w:lineRule="exact"/>
        <w:rPr>
          <w:rFonts w:ascii="Arial" w:cs="Arial" w:eastAsia="Arial" w:hAnsi="Arial"/>
          <w:sz w:val="16"/>
          <w:szCs w:val="16"/>
          <w:color w:val="0000EE"/>
        </w:rPr>
      </w:pPr>
    </w:p>
    <w:p>
      <w:pPr>
        <w:ind w:left="700" w:hanging="326"/>
        <w:spacing w:after="0"/>
        <w:tabs>
          <w:tab w:leader="none" w:pos="700" w:val="left"/>
        </w:tabs>
        <w:numPr>
          <w:ilvl w:val="0"/>
          <w:numId w:val="3"/>
        </w:numPr>
        <w:rPr>
          <w:rFonts w:ascii="Arial" w:cs="Arial" w:eastAsia="Arial" w:hAnsi="Arial"/>
          <w:sz w:val="17"/>
          <w:szCs w:val="17"/>
          <w:u w:val="single" w:color="auto"/>
          <w:color w:val="0000EE"/>
        </w:rPr>
      </w:pPr>
      <w:hyperlink r:id="rId30">
        <w:r>
          <w:rPr>
            <w:rFonts w:ascii="Arial" w:cs="Arial" w:eastAsia="Arial" w:hAnsi="Arial"/>
            <w:sz w:val="17"/>
            <w:szCs w:val="17"/>
            <w:u w:val="single" w:color="auto"/>
            <w:color w:val="0000EE"/>
          </w:rPr>
          <w:t>our Quarterly Report on Form 10-Q for the quarter ended March 31, 2020 filed with the SEC on May 7, 2020;</w:t>
        </w:r>
      </w:hyperlink>
    </w:p>
    <w:p>
      <w:pPr>
        <w:spacing w:after="0" w:line="236" w:lineRule="exact"/>
        <w:rPr>
          <w:rFonts w:ascii="Arial" w:cs="Arial" w:eastAsia="Arial" w:hAnsi="Arial"/>
          <w:sz w:val="17"/>
          <w:szCs w:val="17"/>
          <w:u w:val="single" w:color="auto"/>
          <w:color w:val="0000EE"/>
        </w:rPr>
      </w:pPr>
    </w:p>
    <w:p>
      <w:pPr>
        <w:ind w:left="700" w:right="37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1">
        <w:r>
          <w:rPr>
            <w:rFonts w:ascii="Arial" w:cs="Arial" w:eastAsia="Arial" w:hAnsi="Arial"/>
            <w:sz w:val="18"/>
            <w:szCs w:val="18"/>
            <w:u w:val="single" w:color="auto"/>
            <w:color w:val="0000EE"/>
          </w:rPr>
          <w:t>January 13, 2020</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March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and</w:t>
      </w:r>
    </w:p>
    <w:p>
      <w:pPr>
        <w:spacing w:after="0" w:line="38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79" w:hanging="326"/>
        <w:spacing w:after="0" w:line="342" w:lineRule="auto"/>
        <w:tabs>
          <w:tab w:leader="none" w:pos="700" w:val="left"/>
        </w:tabs>
        <w:numPr>
          <w:ilvl w:val="0"/>
          <w:numId w:val="4"/>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the description of our common stock contained in our registration statement on Form 8-A filed with the SEC on</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June 9, 2014, including any amendments or reports filed for the purpose of updating such description.</w:t>
        </w:r>
      </w:hyperlink>
    </w:p>
    <w:p>
      <w:pPr>
        <w:spacing w:after="0" w:line="124" w:lineRule="exact"/>
        <w:rPr>
          <w:rFonts w:ascii="Arial" w:cs="Arial" w:eastAsia="Arial" w:hAnsi="Arial"/>
          <w:sz w:val="16"/>
          <w:szCs w:val="16"/>
          <w:color w:val="auto"/>
        </w:rPr>
      </w:pPr>
    </w:p>
    <w:p>
      <w:pPr>
        <w:ind w:left="60" w:right="159"/>
        <w:spacing w:after="0" w:line="275"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6" w:lineRule="exact"/>
        <w:rPr>
          <w:rFonts w:ascii="Arial" w:cs="Arial" w:eastAsia="Arial" w:hAnsi="Arial"/>
          <w:sz w:val="16"/>
          <w:szCs w:val="16"/>
          <w:color w:val="auto"/>
        </w:rPr>
      </w:pPr>
    </w:p>
    <w:p>
      <w:pPr>
        <w:jc w:val="both"/>
        <w:ind w:left="60" w:right="439"/>
        <w:spacing w:after="0" w:line="263"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4"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Ardelyx, Inc.</w:t>
      </w:r>
    </w:p>
    <w:p>
      <w:pPr>
        <w:spacing w:after="0" w:line="2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34175 Ardenwood Blvd.</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Fremont, CA 94555</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(510)745-1700</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Attention: Chief Legal and Administrative Officer</w:t>
      </w:r>
    </w:p>
    <w:p>
      <w:pPr>
        <w:spacing w:after="0" w:line="211" w:lineRule="exact"/>
        <w:rPr>
          <w:rFonts w:ascii="Arial" w:cs="Arial" w:eastAsia="Arial" w:hAnsi="Arial"/>
          <w:sz w:val="16"/>
          <w:szCs w:val="16"/>
          <w:color w:val="auto"/>
        </w:rPr>
      </w:pPr>
    </w:p>
    <w:p>
      <w:pPr>
        <w:ind w:left="60" w:right="259"/>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are a specialized biopharmaceutical company focused on developing first-in-class medicines to improve treatment for people with kidney and cardiovascular diseases. This includes patients with chronic kidney disease, or CKD, on dialysis suffering from elevated serum phosphorus, or hyperphosphatemia; and CKD patients and/or heart failure patients with elevated serum potassium, or hyperkalemia. Our lead program is tenapanor, a first-in-class medicine for which we submitted a New Drug Application, or NDA, in June 2020 for the control of serum phosphorus in adult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78"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 xml:space="preserve">We were founded in October 2007 as a Delaware corporation under the name Nteryx, Inc. Our principal executive offices are located at 34175 Ardenwood Blvd., Fremont, CA 94555, and our telephone number is (510) 745-1700. Our website address is </w:t>
      </w:r>
      <w:r>
        <w:rPr>
          <w:rFonts w:ascii="Arial" w:cs="Arial" w:eastAsia="Arial" w:hAnsi="Arial"/>
          <w:sz w:val="16"/>
          <w:szCs w:val="16"/>
          <w:i w:val="1"/>
          <w:iCs w:val="1"/>
          <w:color w:val="auto"/>
        </w:rPr>
        <w:t>www.ardelyx.com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“Ardelyx” refer to Ardelyx,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included in our most recent Annual Report on Form 10-K, our most recent Quarterly Report on Form 10-Q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60" w:right="439"/>
        <w:spacing w:after="0" w:line="31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74" w:lineRule="exact"/>
        <w:rPr>
          <w:sz w:val="20"/>
          <w:szCs w:val="20"/>
          <w:color w:val="auto"/>
        </w:rPr>
      </w:pPr>
    </w:p>
    <w:p>
      <w:pPr>
        <w:ind w:left="60" w:right="239"/>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92"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65" w:lineRule="exact"/>
        <w:rPr>
          <w:sz w:val="20"/>
          <w:szCs w:val="20"/>
          <w:color w:val="auto"/>
        </w:rPr>
      </w:pPr>
    </w:p>
    <w:p>
      <w:pPr>
        <w:ind w:left="700" w:right="659" w:hanging="326"/>
        <w:spacing w:after="0" w:line="308"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prior to this time, the board of directors of the corporation approved either the business combination or the transaction that resulted in the stockholder becoming an interested stockholder;</w:t>
      </w:r>
    </w:p>
    <w:p>
      <w:pPr>
        <w:spacing w:after="0" w:line="146" w:lineRule="exact"/>
        <w:rPr>
          <w:rFonts w:ascii="Arial" w:cs="Arial" w:eastAsia="Arial" w:hAnsi="Arial"/>
          <w:sz w:val="17"/>
          <w:szCs w:val="17"/>
          <w:color w:val="auto"/>
        </w:rPr>
      </w:pPr>
    </w:p>
    <w:p>
      <w:pPr>
        <w:ind w:left="700" w:right="139" w:hanging="326"/>
        <w:spacing w:after="0" w:line="275"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ind w:left="700" w:right="119" w:hanging="326"/>
        <w:spacing w:after="0" w:line="286"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700" w:hanging="32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79" w:hanging="326"/>
        <w:spacing w:after="0" w:line="308"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46" w:lineRule="exact"/>
        <w:rPr>
          <w:rFonts w:ascii="Arial" w:cs="Arial" w:eastAsia="Arial" w:hAnsi="Arial"/>
          <w:sz w:val="17"/>
          <w:szCs w:val="17"/>
          <w:color w:val="auto"/>
        </w:rPr>
      </w:pPr>
    </w:p>
    <w:p>
      <w:pPr>
        <w:ind w:left="700" w:right="659" w:hanging="32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left="60" w:right="579"/>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ind w:left="60" w:right="339"/>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84"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187" w:lineRule="exact"/>
        <w:rPr>
          <w:sz w:val="20"/>
          <w:szCs w:val="20"/>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6" w:lineRule="exact"/>
        <w:rPr>
          <w:rFonts w:ascii="Arial" w:cs="Arial" w:eastAsia="Arial" w:hAnsi="Arial"/>
          <w:sz w:val="17"/>
          <w:szCs w:val="17"/>
          <w:color w:val="auto"/>
        </w:rPr>
      </w:pPr>
    </w:p>
    <w:p>
      <w:pPr>
        <w:ind w:left="700" w:right="259" w:hanging="32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2"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Nasdaq Global Market Listing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7"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1"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1" w:lineRule="exact"/>
        <w:rPr>
          <w:sz w:val="20"/>
          <w:szCs w:val="20"/>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at which we will sell the debt securities;</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700" w:right="219" w:hanging="326"/>
        <w:spacing w:after="0" w:line="30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57" w:lineRule="exact"/>
        <w:rPr>
          <w:rFonts w:ascii="Arial" w:cs="Arial" w:eastAsia="Arial" w:hAnsi="Arial"/>
          <w:sz w:val="16"/>
          <w:szCs w:val="16"/>
          <w:color w:val="auto"/>
        </w:rPr>
      </w:pPr>
    </w:p>
    <w:p>
      <w:pPr>
        <w:jc w:val="both"/>
        <w:ind w:left="700" w:right="199" w:hanging="326"/>
        <w:spacing w:after="0" w:line="31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70" w:lineRule="exact"/>
        <w:rPr>
          <w:rFonts w:ascii="Arial" w:cs="Arial" w:eastAsia="Arial" w:hAnsi="Arial"/>
          <w:sz w:val="18"/>
          <w:szCs w:val="18"/>
          <w:color w:val="auto"/>
        </w:rPr>
      </w:pPr>
    </w:p>
    <w:p>
      <w:pPr>
        <w:ind w:left="700" w:right="119" w:hanging="32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700" w:right="219" w:hanging="326"/>
        <w:spacing w:after="0" w:line="30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dates on which and the price or prices at which we will repurchase debt securities at the option of the holders of debt securities and other detailed terms and provisions of these repurchase obligations;</w:t>
      </w:r>
    </w:p>
    <w:p>
      <w:pPr>
        <w:spacing w:after="0" w:line="146" w:lineRule="exact"/>
        <w:rPr>
          <w:rFonts w:ascii="Arial" w:cs="Arial" w:eastAsia="Arial" w:hAnsi="Arial"/>
          <w:sz w:val="17"/>
          <w:szCs w:val="17"/>
          <w:color w:val="auto"/>
        </w:rPr>
      </w:pPr>
    </w:p>
    <w:p>
      <w:pPr>
        <w:ind w:left="700" w:right="53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debt securities will be issued in the form of certificated debt securities or global debt securities;</w:t>
      </w:r>
    </w:p>
    <w:p>
      <w:pPr>
        <w:spacing w:after="0" w:line="236" w:lineRule="exact"/>
        <w:rPr>
          <w:rFonts w:ascii="Arial" w:cs="Arial" w:eastAsia="Arial" w:hAnsi="Arial"/>
          <w:sz w:val="17"/>
          <w:szCs w:val="17"/>
          <w:color w:val="auto"/>
        </w:rPr>
      </w:pPr>
    </w:p>
    <w:p>
      <w:pPr>
        <w:ind w:left="700" w:right="45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83" w:lineRule="exact"/>
        <w:rPr>
          <w:rFonts w:ascii="Arial" w:cs="Arial" w:eastAsia="Arial" w:hAnsi="Arial"/>
          <w:sz w:val="18"/>
          <w:szCs w:val="18"/>
          <w:color w:val="auto"/>
        </w:rPr>
      </w:pPr>
    </w:p>
    <w:p>
      <w:pPr>
        <w:ind w:left="700" w:right="55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3"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48" w:lineRule="exact"/>
        <w:rPr>
          <w:rFonts w:ascii="Arial" w:cs="Arial" w:eastAsia="Arial" w:hAnsi="Arial"/>
          <w:sz w:val="16"/>
          <w:szCs w:val="16"/>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700" w:right="99" w:hanging="326"/>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170"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170" w:lineRule="exact"/>
        <w:rPr>
          <w:rFonts w:ascii="Arial" w:cs="Arial" w:eastAsia="Arial" w:hAnsi="Arial"/>
          <w:sz w:val="18"/>
          <w:szCs w:val="18"/>
          <w:color w:val="auto"/>
        </w:rPr>
      </w:pPr>
    </w:p>
    <w:p>
      <w:pPr>
        <w:ind w:left="700" w:right="159" w:hanging="32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15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3" w:lineRule="exact"/>
        <w:rPr>
          <w:rFonts w:ascii="Arial" w:cs="Arial" w:eastAsia="Arial" w:hAnsi="Arial"/>
          <w:sz w:val="18"/>
          <w:szCs w:val="18"/>
          <w:color w:val="auto"/>
        </w:rPr>
      </w:pPr>
    </w:p>
    <w:p>
      <w:pPr>
        <w:ind w:left="700" w:right="39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7"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left="60" w:right="299"/>
        <w:spacing w:after="0" w:line="273"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78" w:lineRule="exact"/>
        <w:rPr>
          <w:sz w:val="20"/>
          <w:szCs w:val="20"/>
          <w:color w:val="auto"/>
        </w:rPr>
      </w:pPr>
    </w:p>
    <w:p>
      <w:pPr>
        <w:ind w:left="60" w:right="339"/>
        <w:spacing w:after="0" w:line="279"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71"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7"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deposited with, or on behalf of, the Depositary, and registered in the name of the Depositary or a nominee of the Depositary. Please see “Global Securities.”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jc w:val="both"/>
        <w:ind w:left="700" w:right="35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183" w:lineRule="exact"/>
        <w:rPr>
          <w:rFonts w:ascii="Arial" w:cs="Arial" w:eastAsia="Arial" w:hAnsi="Arial"/>
          <w:sz w:val="18"/>
          <w:szCs w:val="18"/>
          <w:color w:val="auto"/>
        </w:rPr>
      </w:pPr>
    </w:p>
    <w:p>
      <w:pPr>
        <w:ind w:left="700" w:right="49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700" w:right="179" w:hanging="326"/>
        <w:spacing w:after="0" w:line="28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38" w:lineRule="exact"/>
        <w:rPr>
          <w:rFonts w:ascii="Arial" w:cs="Arial" w:eastAsia="Arial" w:hAnsi="Arial"/>
          <w:sz w:val="17"/>
          <w:szCs w:val="17"/>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84" w:lineRule="exact"/>
        <w:rPr>
          <w:rFonts w:ascii="Arial" w:cs="Arial" w:eastAsia="Arial" w:hAnsi="Arial"/>
          <w:sz w:val="18"/>
          <w:szCs w:val="18"/>
          <w:color w:val="auto"/>
        </w:rPr>
      </w:pPr>
    </w:p>
    <w:p>
      <w:pPr>
        <w:ind w:left="700" w:right="379" w:hanging="326"/>
        <w:spacing w:after="0" w:line="29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120" w:lineRule="exact"/>
        <w:rPr>
          <w:rFonts w:ascii="Arial" w:cs="Arial" w:eastAsia="Arial" w:hAnsi="Arial"/>
          <w:sz w:val="16"/>
          <w:szCs w:val="16"/>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198" w:lineRule="exact"/>
        <w:rPr>
          <w:rFonts w:ascii="Arial" w:cs="Arial" w:eastAsia="Arial" w:hAnsi="Arial"/>
          <w:sz w:val="18"/>
          <w:szCs w:val="18"/>
          <w:color w:val="auto"/>
        </w:rPr>
      </w:pPr>
    </w:p>
    <w:p>
      <w:pPr>
        <w:ind w:left="700" w:right="11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30"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71"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6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4"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64" w:lineRule="exact"/>
        <w:rPr>
          <w:sz w:val="20"/>
          <w:szCs w:val="20"/>
          <w:color w:val="auto"/>
        </w:rPr>
      </w:pPr>
    </w:p>
    <w:p>
      <w:pPr>
        <w:jc w:val="both"/>
        <w:ind w:left="60" w:right="479"/>
        <w:spacing w:after="0" w:line="342" w:lineRule="auto"/>
        <w:rPr>
          <w:sz w:val="20"/>
          <w:szCs w:val="20"/>
          <w:color w:val="auto"/>
        </w:rPr>
      </w:pPr>
      <w:r>
        <w:rPr>
          <w:rFonts w:ascii="Arial" w:cs="Arial" w:eastAsia="Arial" w:hAnsi="Arial"/>
          <w:sz w:val="16"/>
          <w:szCs w:val="16"/>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24" w:lineRule="exact"/>
        <w:rPr>
          <w:sz w:val="20"/>
          <w:szCs w:val="20"/>
          <w:color w:val="auto"/>
        </w:rPr>
      </w:pPr>
    </w:p>
    <w:p>
      <w:pPr>
        <w:ind w:left="700" w:right="159" w:hanging="32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170" w:lineRule="exact"/>
        <w:rPr>
          <w:rFonts w:ascii="Arial" w:cs="Arial" w:eastAsia="Arial" w:hAnsi="Arial"/>
          <w:sz w:val="18"/>
          <w:szCs w:val="18"/>
          <w:color w:val="auto"/>
        </w:rPr>
      </w:pPr>
    </w:p>
    <w:p>
      <w:pPr>
        <w:ind w:left="700" w:right="199" w:hanging="326"/>
        <w:spacing w:after="0" w:line="25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8"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4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0" w:lineRule="exact"/>
        <w:rPr>
          <w:sz w:val="20"/>
          <w:szCs w:val="20"/>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5" w:lineRule="exact"/>
        <w:rPr>
          <w:rFonts w:ascii="Arial" w:cs="Arial" w:eastAsia="Arial" w:hAnsi="Arial"/>
          <w:sz w:val="18"/>
          <w:szCs w:val="18"/>
          <w:color w:val="auto"/>
        </w:rPr>
      </w:pPr>
    </w:p>
    <w:p>
      <w:pPr>
        <w:ind w:left="700" w:right="29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170"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83" w:lineRule="exact"/>
        <w:rPr>
          <w:rFonts w:ascii="Arial" w:cs="Arial" w:eastAsia="Arial" w:hAnsi="Arial"/>
          <w:sz w:val="18"/>
          <w:szCs w:val="18"/>
          <w:color w:val="auto"/>
        </w:rPr>
      </w:pPr>
    </w:p>
    <w:p>
      <w:pPr>
        <w:ind w:left="700" w:right="17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87" w:lineRule="exact"/>
        <w:rPr>
          <w:sz w:val="20"/>
          <w:szCs w:val="20"/>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amount of debt securities whose holders must consent to an amendment, supplement or waiver;</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rate of or extend the time for payment of interest (including default interest) on any debt security;</w:t>
      </w:r>
    </w:p>
    <w:p>
      <w:pPr>
        <w:spacing w:after="0" w:line="236" w:lineRule="exact"/>
        <w:rPr>
          <w:rFonts w:ascii="Arial" w:cs="Arial" w:eastAsia="Arial" w:hAnsi="Arial"/>
          <w:sz w:val="17"/>
          <w:szCs w:val="17"/>
          <w:color w:val="auto"/>
        </w:rPr>
      </w:pPr>
    </w:p>
    <w:p>
      <w:pPr>
        <w:jc w:val="both"/>
        <w:ind w:left="700" w:right="179" w:hanging="326"/>
        <w:spacing w:after="0" w:line="263"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700" w:right="119" w:hanging="326"/>
        <w:spacing w:after="0" w:line="25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6"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170" w:lineRule="exact"/>
        <w:rPr>
          <w:rFonts w:ascii="Arial" w:cs="Arial" w:eastAsia="Arial" w:hAnsi="Arial"/>
          <w:sz w:val="18"/>
          <w:szCs w:val="18"/>
          <w:color w:val="auto"/>
        </w:rPr>
      </w:pPr>
    </w:p>
    <w:p>
      <w:pPr>
        <w:jc w:val="both"/>
        <w:ind w:left="700" w:right="99" w:hanging="326"/>
        <w:spacing w:after="0" w:line="28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65"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 outstanding debt securities of any series may rescind an acceleration and its consequences, including any related payment default that resulted from the acceleration. (Section 6.13)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5"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6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debt securities, upon compliance with certain conditions:</w:t>
      </w:r>
    </w:p>
    <w:p>
      <w:pPr>
        <w:spacing w:after="0" w:line="170" w:lineRule="exact"/>
        <w:rPr>
          <w:sz w:val="20"/>
          <w:szCs w:val="20"/>
          <w:color w:val="auto"/>
        </w:rPr>
      </w:pPr>
    </w:p>
    <w:p>
      <w:pPr>
        <w:ind w:left="700" w:right="259" w:hanging="326"/>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700" w:right="119" w:hanging="326"/>
        <w:spacing w:after="0" w:line="291"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66" w:lineRule="exact"/>
        <w:rPr>
          <w:rFonts w:ascii="Arial" w:cs="Arial" w:eastAsia="Arial" w:hAnsi="Arial"/>
          <w:sz w:val="16"/>
          <w:szCs w:val="16"/>
          <w:color w:val="auto"/>
        </w:rPr>
      </w:pPr>
    </w:p>
    <w:p>
      <w:pPr>
        <w:ind w:left="700" w:right="79" w:hanging="326"/>
        <w:spacing w:after="0" w:line="271"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6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170" w:lineRule="exact"/>
        <w:rPr>
          <w:sz w:val="20"/>
          <w:szCs w:val="20"/>
          <w:color w:val="auto"/>
        </w:rPr>
      </w:pPr>
    </w:p>
    <w:p>
      <w:pPr>
        <w:ind w:left="700" w:right="259" w:hanging="32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purchasable upon the exercise of warrants to purchase such shares and the price at which such number of shares may be purchased upon such exercise;</w:t>
      </w:r>
    </w:p>
    <w:p>
      <w:pPr>
        <w:spacing w:after="0" w:line="123" w:lineRule="exact"/>
        <w:rPr>
          <w:rFonts w:ascii="Arial" w:cs="Arial" w:eastAsia="Arial" w:hAnsi="Arial"/>
          <w:sz w:val="16"/>
          <w:szCs w:val="16"/>
          <w:color w:val="auto"/>
        </w:rPr>
      </w:pPr>
    </w:p>
    <w:p>
      <w:pPr>
        <w:ind w:left="700" w:right="79" w:hanging="326"/>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23" w:lineRule="exact"/>
        <w:rPr>
          <w:rFonts w:ascii="Arial" w:cs="Arial" w:eastAsia="Arial" w:hAnsi="Arial"/>
          <w:sz w:val="16"/>
          <w:szCs w:val="16"/>
          <w:color w:val="auto"/>
        </w:rPr>
      </w:pPr>
    </w:p>
    <w:p>
      <w:pPr>
        <w:ind w:left="700" w:right="3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700" w:right="23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commence and the date on which the right will expire;</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25" w:lineRule="exact"/>
        <w:rPr>
          <w:rFonts w:ascii="Arial" w:cs="Arial" w:eastAsia="Arial" w:hAnsi="Arial"/>
          <w:sz w:val="18"/>
          <w:szCs w:val="18"/>
          <w:color w:val="auto"/>
        </w:rPr>
      </w:pPr>
    </w:p>
    <w:p>
      <w:pPr>
        <w:ind w:left="700" w:right="65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Holders of equity warrants will not be entitled to:</w:t>
      </w:r>
    </w:p>
    <w:p>
      <w:pPr>
        <w:spacing w:after="0" w:line="225" w:lineRule="exact"/>
        <w:rPr>
          <w:sz w:val="20"/>
          <w:szCs w:val="20"/>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25"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jc w:val="both"/>
        <w:ind w:left="60" w:right="139"/>
        <w:spacing w:after="0" w:line="296"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1"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A holder of warrant certificates may exchange them for new warrant certificates of different denominations, present them for registration of transfer and exercise them at the corporate trust office of the warrant agent or any other office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60" w:right="279"/>
        <w:spacing w:after="0" w:line="257"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8"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7"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70" w:lineRule="exact"/>
        <w:rPr>
          <w:sz w:val="20"/>
          <w:szCs w:val="20"/>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constituent securities comprising the units will be separately transferable;</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Unless we indicate differently in any applicable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8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8" w:lineRule="exact"/>
        <w:rPr>
          <w:sz w:val="20"/>
          <w:szCs w:val="20"/>
          <w:color w:val="auto"/>
        </w:rPr>
      </w:pPr>
    </w:p>
    <w:p>
      <w:pPr>
        <w:ind w:left="60" w:right="479"/>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4"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1"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8"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49"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24"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0" w:lineRule="exact"/>
        <w:rPr>
          <w:sz w:val="20"/>
          <w:szCs w:val="20"/>
          <w:color w:val="auto"/>
        </w:rPr>
      </w:pPr>
    </w:p>
    <w:p>
      <w:pPr>
        <w:ind w:left="700" w:right="179" w:hanging="326"/>
        <w:spacing w:after="0" w:line="301"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57" w:lineRule="exact"/>
        <w:rPr>
          <w:rFonts w:ascii="Arial" w:cs="Arial" w:eastAsia="Arial" w:hAnsi="Arial"/>
          <w:sz w:val="16"/>
          <w:szCs w:val="16"/>
          <w:color w:val="auto"/>
        </w:rPr>
      </w:pPr>
    </w:p>
    <w:p>
      <w:pPr>
        <w:ind w:left="700" w:hanging="32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determine, in our sole discretion, not to have such securities represented by one or more global securities; or</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8"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77" w:lineRule="exact"/>
        <w:rPr>
          <w:sz w:val="20"/>
          <w:szCs w:val="20"/>
          <w:color w:val="auto"/>
        </w:rPr>
      </w:pPr>
    </w:p>
    <w:p>
      <w:pPr>
        <w:jc w:val="both"/>
        <w:ind w:left="60" w:right="239"/>
        <w:spacing w:after="0" w:line="25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7"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87"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DTC, and making or receiving payment in accordance with normal procedures for same-day fund settlement. Participants in Euroclear or Clearstream may not deliver instructions directly to their respective U.S. depositaries.</w:t>
      </w:r>
    </w:p>
    <w:p>
      <w:pPr>
        <w:spacing w:after="0" w:line="14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49" w:lineRule="exact"/>
        <w:rPr>
          <w:sz w:val="20"/>
          <w:szCs w:val="20"/>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84"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92"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4"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These securities may not be sold until the registration statement filed with the Securities and Exchange Commission is effective. This preliminary prospectus supplement is not an offer to sell nor does it seek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July 8,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154305</wp:posOffset>
            </wp:positionV>
            <wp:extent cx="277749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777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We have entered into a sales agreement with Jefferies LLC, or Jefferies, relating to shares of our common stock offered by this prospectus supplement and the accompanying prospectus. In accordance with the terms of the sales agreement, under this prospectus supplement we may offer and sell shares of our common stock, $0.0001 par value per share, having an aggregate offering price of up to $100,000,000 from time to time through Jefferies, acting as agent.</w:t>
      </w:r>
    </w:p>
    <w:p>
      <w:pPr>
        <w:spacing w:after="0" w:line="157"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July 7, 2020, the last reported sale price of our common stock on the Nasdaq Global Market was $7.01 per share.</w:t>
      </w:r>
    </w:p>
    <w:p>
      <w:pPr>
        <w:spacing w:after="0" w:line="170"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including sales made directly on or through the Nasdaq Global Market or any other existing trading market for our common stock. Jefferies is not required to sell any specific amount of securities, but will act as our sales agent on a best efforts basis and use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166"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compensation to Jefferies for sales of common stock pursuant to the sales agreement will be an amount of up to 3.0% of the gross proceeds of any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w:t>
      </w:r>
    </w:p>
    <w:p>
      <w:pPr>
        <w:spacing w:after="0" w:line="167"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under the heading “Risk Factors” beginning on page S-6 of this prospectus supplement and in the documents incorporated by reference into this prospectus supplement.</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8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828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195"/>
        </w:trPr>
        <w:tc>
          <w:tcPr>
            <w:tcW w:w="8280" w:type="dxa"/>
            <w:vAlign w:val="bottom"/>
          </w:tcPr>
          <w:p>
            <w:pPr>
              <w:spacing w:after="0" w:line="195"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ABOUT THIS PROSPECTUS SUPPLEMENT</w:t>
              </w:r>
            </w:hyperlink>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6"/>
                <w:szCs w:val="16"/>
                <w:color w:val="auto"/>
              </w:rPr>
            </w:pP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MARKET, INDUSTRY AND OTHER DATA</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PROSPECTUS SUPPLEMENT SUMMARY</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THE OFFERING</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SPECIAL NOTE REGARDING FORWARD-LOOKING STATEMENTS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USE OF PROCEEDS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DILUTION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S-9</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S-11</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MATTERS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30"/>
        </w:trPr>
        <w:tc>
          <w:tcPr>
            <w:tcW w:w="82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INFORMATION INCORPORATED BY REFERENCE</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418"/>
        </w:trPr>
        <w:tc>
          <w:tcPr>
            <w:tcW w:w="828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 INCORPORATION BY REFERENCE</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ABOUT ARDELYX</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CAPITAL STOCK</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DEBT SECURITIES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UNITS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GLOBAL SECURITIES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2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82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60" w:right="419"/>
        <w:spacing w:after="0" w:line="301" w:lineRule="auto"/>
        <w:rPr>
          <w:sz w:val="20"/>
          <w:szCs w:val="20"/>
          <w:color w:val="auto"/>
        </w:rPr>
      </w:pPr>
      <w:r>
        <w:rPr>
          <w:rFonts w:ascii="Arial" w:cs="Arial" w:eastAsia="Arial" w:hAnsi="Arial"/>
          <w:sz w:val="16"/>
          <w:szCs w:val="16"/>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$100,000,000 from time to time under this prospectus supplement at prices and on terms to be determined by market conditions at the time of offering.</w:t>
      </w:r>
    </w:p>
    <w:p>
      <w:pPr>
        <w:spacing w:after="0" w:line="157"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81"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have not, and Jefferies has not, authorized anyone to provide any information other than that contained in or incorporated by reference in this prospectus supplement, the accompanying prospectus and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387"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color w:val="auto"/>
        </w:rPr>
        <w:t>When we refer to “Ardelyx” “we,” “our,” “us” and the “Company” in this prospectus, we mean Ardelyx, Inc., unless otherwise specified. When we refer to “you,” we mean the holders of common stock of the Company.</w:t>
      </w:r>
    </w:p>
    <w:p>
      <w:pPr>
        <w:spacing w:after="0" w:line="14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Ardelyx® and our logo are some of our trademarks used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may appear without the ® and ™ symbols, but those references are not intended to indicate, in any way, that we will not assert, to the fullest extent under applicable law, our rights, or the right of the applicable licensor to these trademarks and tradenames.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This prospectus supplement and accompanying prospectus,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8550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747385" cy="8550910"/>
                    </a:xfrm>
                    <a:prstGeom prst="rect">
                      <a:avLst/>
                    </a:prstGeom>
                    <a:noFill/>
                  </pic:spPr>
                </pic:pic>
              </a:graphicData>
            </a:graphic>
          </wp:anchor>
        </w:drawing>
      </w: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i w:val="1"/>
          <w:iCs w:val="1"/>
          <w:color w:val="auto"/>
        </w:rPr>
        <w:t>This summary provides a general overview of selected information and does not contain all of the information you should consider before buying our common stock. Therefore, you should read the entire prospectus supplement and accompanying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S-6 and the “Risk Factors” section, as well as our audited financial statements and related notes thereto, included in our Annual Report on Form 10-K for the year ended December 31, 2019 as well as our Quarterly Report on Form 10-Q for the quarterly period ended March 31, 2020 and any subsequent Quarterly Report on Form 10-Q incorporated by reference herein.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We are a specialized biopharmaceutical company focused on developing first-in-class medicines to improve treatment for people with kidney and cardiovascular diseases. This includes patients with chronic kidney disease, or CKD, on dialysis suffering from elevated serum phosphorus, or hyperphosphatemia; and CKD patients and/or heart failure patients with elevated serum potassium, or hyperkalemia. Our lead program is tenapanor, a first-in-class medicine for which we submitted a New Drug Application, or NDA, in June 2020 for the control of serum phosphorus in adult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 Tenapanor, if approved, would be the first therapy for phosphate management that is not a phosphate binder. As tenapanor is a novel, potent, small molecule there would be significantly less pill burden than with phosphate binders. Tenapanor is dosed as a single pill, twice-daily, which we believe could greatly improve patient adherence and compliance and free patients from having to take multiple pills before every meal.</w:t>
      </w:r>
    </w:p>
    <w:p>
      <w:pPr>
        <w:spacing w:after="0" w:line="17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have evaluated tenapanor in a Phase 3 program for the control of serum phosphorus in CKD patients on dialysis. In December 2019, we reported statistically significant efficacy results from our second monotherapy Phase 3 clinical trial, the PHREEDOM trial. The PHREEDOM trial is a one-year study with a 26-week open-label treatment period followed by a 12-week double-blind, placebo-controlled randomized withdrawal period and a 14-week open-label safety extension period. An active safety control group, for safety analysis only, received sevelamer, open-label, for the entire 52-week study period.</w:t>
      </w:r>
    </w:p>
    <w:p>
      <w:pPr>
        <w:spacing w:after="0" w:line="192"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Patients completing the PHREEDOM trial from both the tenapanor arm and the sevelamer active safety control arm had the option to participate in NORMALIZE, an ongoing open-label 18-month extension study. The goal of this study is to further our understanding of the potential for the dual mechanism of tenapanor and sevelamer to reduce patients’ serum phosphorus levels towards the normal range (2.5 – 4.5 mg/dL) while minimizing medication burden. In the NORMALIZE extension study patients completing PHREEDOM on tenapanor continued therapy with tenapanor, and those patients completing the safety control arm of PHREEDOM on sevelamer transitioned to tenapanor. In June 2020, we reported data from a planned second analysis demonstrating that the foundational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the analysis. Of the 171 patients in this interim analysis who completed up to 9 months of treatment in the NORMALIZE extension study, up to 47.4% achieved a normal serum phosphorus level, and of those, the majority were on tenapanor alone or tenapanor with low dose sevelamer of ≤3 sevelamer tablets per day. The only adverse event reported in &gt;5% of patients in NORMALIZE was diarrhea, with an incidence rate of 23.3%.</w:t>
      </w:r>
    </w:p>
    <w:p>
      <w:pPr>
        <w:spacing w:after="0" w:line="174" w:lineRule="exact"/>
        <w:rPr>
          <w:sz w:val="20"/>
          <w:szCs w:val="20"/>
          <w:color w:val="auto"/>
        </w:rPr>
      </w:pPr>
    </w:p>
    <w:p>
      <w:pPr>
        <w:ind w:left="60" w:right="459"/>
        <w:spacing w:after="0" w:line="259" w:lineRule="auto"/>
        <w:rPr>
          <w:sz w:val="20"/>
          <w:szCs w:val="20"/>
          <w:color w:val="auto"/>
        </w:rPr>
      </w:pPr>
      <w:r>
        <w:rPr>
          <w:rFonts w:ascii="Arial" w:cs="Arial" w:eastAsia="Arial" w:hAnsi="Arial"/>
          <w:sz w:val="18"/>
          <w:szCs w:val="18"/>
          <w:color w:val="auto"/>
        </w:rPr>
        <w:t>The PHREEDOM trial followed a successful monotherapy Phase 3 clinical trial completed in 2017, which achieved statistical significance for the primary endpoint . In addition, in September 2019, we reported positive results from the AMPLIFY trial, a Phase 3 study evaluating tenapanor in patients with CKD on dialysis who had uncontrolled hyperphosphatemia despite phosphate binder treatment.</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405130</wp:posOffset>
            </wp:positionV>
            <wp:extent cx="5743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5259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747385" cy="5259070"/>
                    </a:xfrm>
                    <a:prstGeom prst="rect">
                      <a:avLst/>
                    </a:prstGeom>
                    <a:noFill/>
                  </pic:spPr>
                </pic:pic>
              </a:graphicData>
            </a:graphic>
          </wp:anchor>
        </w:drawing>
      </w: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Similar to what we have done with tenapanor in developing a non-binder approach for the treatment of elevated serum phosphate levels, RDX013 is designed to offer a non-binder alternative to lowering elevated potassium with a much lower pill burden than potassium binders and we believe may provide significant advantages as a stand-alone agent or in combination with potassium binders.</w:t>
      </w:r>
    </w:p>
    <w:p>
      <w:pPr>
        <w:spacing w:after="0" w:line="19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addition to the development of tenapanor in our cardiorenal portfolio, we have developed tenapanor for the treatment of patients with IBS-C. On September 12, 2019, we received US FDA approval of IBSRELA® (tenapanor) for the treatment of irritable bowel syndrome with constipation (IBS-C) in adults. IBS-C is a burdensome gastrointestinal, or GI, disorder affecting a significant number of people. It is characterized by significant abdominal pain, constipation, straining during bowel movements, bloating and/or gas.</w:t>
      </w:r>
    </w:p>
    <w:p>
      <w:pPr>
        <w:spacing w:after="0" w:line="188"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By inhibiting NHE3 on the apical surface of the enterocytes, tenapanor reduces absorption of sodium from the small intestine and colon, resulting in an increase in water secretion into the intestinal lumen, which accelerates intestinal transit time and results in a softer stool consistency. Tenapanor has also been shown to reduce abdominal pain by decreasing visceral hypersensitivity and by decreasing intestinal permeability in animal models. In rat model of colonic hypersensitivity, tenapanor reduced visceral hyperalgesia and normalized colonic sensory neuronal excitability.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 xml:space="preserve">We were founded in October 2007 as a Delaware corporation under the name Nteryx, Inc. We changed our name to Ardelyx, Inc. in June 2008. Our principal executive offices are located at 34175 Ardenwood Blvd., Fremont, CA 94555, and our telephone number is (510) 745-1700. Our website address is </w:t>
      </w:r>
      <w:r>
        <w:rPr>
          <w:rFonts w:ascii="Arial" w:cs="Arial" w:eastAsia="Arial" w:hAnsi="Arial"/>
          <w:sz w:val="17"/>
          <w:szCs w:val="17"/>
          <w:i w:val="1"/>
          <w:iCs w:val="1"/>
          <w:color w:val="auto"/>
        </w:rPr>
        <w:t>www.ardelyx.com</w:t>
      </w:r>
      <w:r>
        <w:rPr>
          <w:rFonts w:ascii="Arial" w:cs="Arial" w:eastAsia="Arial" w:hAnsi="Arial"/>
          <w:sz w:val="17"/>
          <w:szCs w:val="17"/>
          <w:color w:val="auto"/>
        </w:rPr>
        <w:t>. The information on, or that can be accessed through, our website is not part of this prospectus supplement and is not incorporated by reference herein.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383540</wp:posOffset>
            </wp:positionV>
            <wp:extent cx="57435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900430</wp:posOffset>
            </wp:positionH>
            <wp:positionV relativeFrom="page">
              <wp:posOffset>318135</wp:posOffset>
            </wp:positionV>
            <wp:extent cx="5747385" cy="8422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747385" cy="8422005"/>
                    </a:xfrm>
                    <a:prstGeom prst="rect">
                      <a:avLst/>
                    </a:prstGeom>
                    <a:noFill/>
                  </pic:spPr>
                </pic:pic>
              </a:graphicData>
            </a:graphic>
          </wp:anchor>
        </w:drawing>
      </w: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43"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6"/>
          <w:szCs w:val="16"/>
          <w:color w:val="auto"/>
        </w:rPr>
        <w:t>Shares of our common stock having an aggregate offering</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price of up to $100,000,000.</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Common stock to be outstanding after this offering</w:t>
      </w:r>
      <w:r>
        <w:rPr>
          <w:sz w:val="20"/>
          <w:szCs w:val="20"/>
          <w:color w:val="auto"/>
        </w:rPr>
        <w:tab/>
      </w:r>
      <w:r>
        <w:rPr>
          <w:rFonts w:ascii="Arial" w:cs="Arial" w:eastAsia="Arial" w:hAnsi="Arial"/>
          <w:sz w:val="16"/>
          <w:szCs w:val="16"/>
          <w:color w:val="auto"/>
        </w:rPr>
        <w:t>Up to 103,300,431 shares (as more fully described in the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notes following this table), assuming sales of 14,265,335</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shares of our common stock in this offering at an offering</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price of $7.01 per share, which was the last reported sale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price of our common stock on the Nasdaq Global Market on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July 7, 2020. The actual number of shares issued will vary</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depending on the sales price under this offering.</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Manner of offering</w:t>
      </w:r>
      <w:r>
        <w:rPr>
          <w:sz w:val="20"/>
          <w:szCs w:val="20"/>
          <w:color w:val="auto"/>
        </w:rPr>
        <w:tab/>
      </w:r>
      <w:r>
        <w:rPr>
          <w:rFonts w:ascii="Arial" w:cs="Arial" w:eastAsia="Arial" w:hAnsi="Arial"/>
          <w:sz w:val="16"/>
          <w:szCs w:val="16"/>
          <w:color w:val="auto"/>
        </w:rPr>
        <w:t>“At the market offering” that may be made from time to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through our sales agent, Jefferies LLC. See “Plan of</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Distribution” on page S-11.</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if 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for general corporate purposes, which may include, among</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things, increasing our working capital and funding</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research and development, and capital expenditures. See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“Use of Proceeds” on page S-6.</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supplement and in the documents incorporated by reference</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in this prospectus supplement for a discussion of factors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consider before deciding to purchase shares of our common</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140"/>
        <w:spacing w:after="0"/>
        <w:tabs>
          <w:tab w:leader="none" w:pos="4440" w:val="left"/>
        </w:tabs>
        <w:rPr>
          <w:sz w:val="20"/>
          <w:szCs w:val="20"/>
          <w:color w:val="auto"/>
        </w:rPr>
      </w:pPr>
      <w:r>
        <w:rPr>
          <w:rFonts w:ascii="Arial" w:cs="Arial" w:eastAsia="Arial" w:hAnsi="Arial"/>
          <w:sz w:val="18"/>
          <w:szCs w:val="18"/>
          <w:color w:val="auto"/>
        </w:rPr>
        <w:t>Symbol on the Nasdaq Global Market</w:t>
      </w:r>
      <w:r>
        <w:rPr>
          <w:sz w:val="20"/>
          <w:szCs w:val="20"/>
          <w:color w:val="auto"/>
        </w:rPr>
        <w:tab/>
      </w:r>
      <w:r>
        <w:rPr>
          <w:rFonts w:ascii="Arial" w:cs="Arial" w:eastAsia="Arial" w:hAnsi="Arial"/>
          <w:sz w:val="18"/>
          <w:szCs w:val="18"/>
          <w:color w:val="auto"/>
        </w:rPr>
        <w:t>“ARDX”</w:t>
      </w:r>
    </w:p>
    <w:p>
      <w:pPr>
        <w:spacing w:after="0" w:line="211"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The number of shares of common stock to be outstanding after this offering is based on 89,035,096 shares of common stock outstanding as of March 31, 2020, and excludes, in each case as of March 31, 2020:</w:t>
      </w:r>
    </w:p>
    <w:p>
      <w:pPr>
        <w:spacing w:after="0" w:line="146" w:lineRule="exact"/>
        <w:rPr>
          <w:sz w:val="20"/>
          <w:szCs w:val="20"/>
          <w:color w:val="auto"/>
        </w:rPr>
      </w:pPr>
    </w:p>
    <w:p>
      <w:pPr>
        <w:ind w:left="720" w:right="35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8,803,605 shares of common stock issuable upon the exercise of outstanding stock options having a weighted-average exercise price of $6.85 per share;</w:t>
      </w:r>
    </w:p>
    <w:p>
      <w:pPr>
        <w:spacing w:after="0" w:line="170" w:lineRule="exact"/>
        <w:rPr>
          <w:rFonts w:ascii="Arial" w:cs="Arial" w:eastAsia="Arial" w:hAnsi="Arial"/>
          <w:sz w:val="18"/>
          <w:szCs w:val="18"/>
          <w:color w:val="auto"/>
        </w:rPr>
      </w:pPr>
    </w:p>
    <w:p>
      <w:pPr>
        <w:ind w:left="720" w:right="13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 which warrants expired in June 2020;</w:t>
      </w:r>
    </w:p>
    <w:p>
      <w:pPr>
        <w:spacing w:after="0" w:line="170" w:lineRule="exact"/>
        <w:rPr>
          <w:rFonts w:ascii="Arial" w:cs="Arial" w:eastAsia="Arial" w:hAnsi="Arial"/>
          <w:sz w:val="18"/>
          <w:szCs w:val="18"/>
          <w:color w:val="auto"/>
        </w:rPr>
      </w:pPr>
    </w:p>
    <w:p>
      <w:pPr>
        <w:ind w:left="720" w:hanging="333"/>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849,328 shares of common stock issuable upon the settlement of outstanding restricted stock units;</w:t>
      </w:r>
    </w:p>
    <w:p>
      <w:pPr>
        <w:spacing w:after="0" w:line="225" w:lineRule="exact"/>
        <w:rPr>
          <w:rFonts w:ascii="Arial" w:cs="Arial" w:eastAsia="Arial" w:hAnsi="Arial"/>
          <w:sz w:val="18"/>
          <w:szCs w:val="18"/>
          <w:color w:val="auto"/>
        </w:rPr>
      </w:pPr>
    </w:p>
    <w:p>
      <w:pPr>
        <w:ind w:left="720" w:right="239" w:hanging="333"/>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3,077,556 shares of common stock reserved for issuance pursuant to future awards under our 2014 Equity Incentive Award Plan, as well as any automatic increases in the number of shares of our common stock reserved for future issuance under this plan;</w:t>
      </w:r>
    </w:p>
    <w:p>
      <w:pPr>
        <w:spacing w:after="0" w:line="183" w:lineRule="exact"/>
        <w:rPr>
          <w:rFonts w:ascii="Arial" w:cs="Arial" w:eastAsia="Arial" w:hAnsi="Arial"/>
          <w:sz w:val="18"/>
          <w:szCs w:val="18"/>
          <w:color w:val="auto"/>
        </w:rPr>
      </w:pPr>
    </w:p>
    <w:p>
      <w:pPr>
        <w:jc w:val="both"/>
        <w:ind w:left="720" w:right="279" w:hanging="333"/>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443,774 shares of common stock reserved for future issuance under our Employee Stock Purchase Plan, as well as any automatic increases in the number of shares of our common stock reserved for future issuance under this plan; and</w:t>
      </w:r>
    </w:p>
    <w:p>
      <w:pPr>
        <w:spacing w:after="0" w:line="183" w:lineRule="exact"/>
        <w:rPr>
          <w:rFonts w:ascii="Arial" w:cs="Arial" w:eastAsia="Arial" w:hAnsi="Arial"/>
          <w:sz w:val="18"/>
          <w:szCs w:val="18"/>
          <w:color w:val="auto"/>
        </w:rPr>
      </w:pPr>
    </w:p>
    <w:p>
      <w:pPr>
        <w:ind w:left="720" w:right="239" w:hanging="33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7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$7.01 per share, which was the last reported sale price of our common stock on the Nasdaq Global Market on July 7, 2020.</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405130</wp:posOffset>
            </wp:positionV>
            <wp:extent cx="57435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You should consider carefully the risks described below and discussed under the section captioned “Risk Factors” contained in our quarterly report for the quarterly period ended March 31, 2020, as updated by our subsequent filings under the Securities Exchange Act of 1934, as amended, or the Exchange Act,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To the extent the COVID-19 pandemic adversely affects our business and financial results, it may also have the effect of heightening many of the risks in this “Risk Factors” section and those contained in the documents incorporated by reference herein.”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70"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Our management will have broad discretion over the use of proceeds from this offering. We intend to use the net proceeds, if any, from this offering for general corporate purposes, which may include, among other things, increasing our working capital and funding research and development,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7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You may experience immediate and substantial dilution in the net tangible book value per share of the common stock you purchase.</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common stock outstanding prior to this offering. Assuming that an aggregate of 14,265,335 shares are sold at a price of $7.01 per share, the last reported sale price of our common stock on the Nasdaq Global Market on July 7, 2020, for aggregate proceeds of $100,000,000 in this offering, and after deducting commissions and estimated aggregate offering expenses payable by us, you will suffer immediate and substantial dilution of $4.44 per share, representing the difference between the as adjusted net tangible book value per share of our common stock as of March 31, 2020 after giving effect to this offering and the assumed offering price. See the section entitled “Dilution” below for a more detailed discussion of the dilution you will incur if you purchase common stock in this offering.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March 31, 2020, 14,174,263 shares of common stock were either subject to outstanding options or restricted stock unit awards, or reserved for future issuance under our equity incentive plans are eligible for sale in the public market to the extent permitted by the provisions of various vesting schedules.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Unless the context requires otherwise, in this prospectus supplement the terms “Ardelyx”, “we,” “us,” “our” and “the Company” refer to Ardelyx, Inc.</w:t>
      </w:r>
    </w:p>
    <w:p>
      <w:pPr>
        <w:spacing w:after="0" w:line="103"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color w:val="auto"/>
        </w:rPr>
        <w:t>This prospectus supplement, the accompanying prospectus, including the documents incorporated by reference herein and therein, and any free writing prospectus that we have authorized for use in connection with this offering contain forward-looking statements that involve risks and uncertainties. Any statements contained or incorporated by reference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700" w:right="259" w:hanging="326"/>
        <w:spacing w:after="0" w:line="259"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control of serum phosphorus in chronic kidney disease, or CKD, patients on dialysis, including our expectations regarding our plans to build our own sales and marketing organization to market and sell tenapanor for such indication;</w:t>
      </w:r>
    </w:p>
    <w:p>
      <w:pPr>
        <w:spacing w:after="0" w:line="119" w:lineRule="exact"/>
        <w:rPr>
          <w:rFonts w:ascii="Arial" w:cs="Arial" w:eastAsia="Arial" w:hAnsi="Arial"/>
          <w:sz w:val="18"/>
          <w:szCs w:val="18"/>
          <w:color w:val="auto"/>
        </w:rPr>
      </w:pPr>
    </w:p>
    <w:p>
      <w:pPr>
        <w:ind w:left="700" w:right="6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02" w:lineRule="exact"/>
        <w:rPr>
          <w:rFonts w:ascii="Arial" w:cs="Arial" w:eastAsia="Arial" w:hAnsi="Arial"/>
          <w:sz w:val="18"/>
          <w:szCs w:val="18"/>
          <w:color w:val="auto"/>
        </w:rPr>
      </w:pPr>
    </w:p>
    <w:p>
      <w:pPr>
        <w:ind w:left="700" w:right="199" w:hanging="326"/>
        <w:spacing w:after="0" w:line="279"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identify and validate targets and novel drug candidates using our proprietary drug discovery and design platform including the Ardelyx Primary Enterocyte and Colonocyte Culture System, or APECCS, or any other proprietary drug discovery and design platform we develop for the identification, screening, testing, design and development of new product candidates for the treatment of renal diseases;</w:t>
      </w:r>
    </w:p>
    <w:p>
      <w:pPr>
        <w:spacing w:after="0" w:line="90" w:lineRule="exact"/>
        <w:rPr>
          <w:rFonts w:ascii="Arial" w:cs="Arial" w:eastAsia="Arial" w:hAnsi="Arial"/>
          <w:sz w:val="17"/>
          <w:szCs w:val="17"/>
          <w:color w:val="auto"/>
        </w:rPr>
      </w:pPr>
    </w:p>
    <w:p>
      <w:pPr>
        <w:ind w:left="700" w:hanging="32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business, product candidates and technology;</w:t>
      </w:r>
    </w:p>
    <w:p>
      <w:pPr>
        <w:spacing w:after="0" w:line="180" w:lineRule="exact"/>
        <w:rPr>
          <w:rFonts w:ascii="Arial" w:cs="Arial" w:eastAsia="Arial" w:hAnsi="Arial"/>
          <w:sz w:val="16"/>
          <w:szCs w:val="16"/>
          <w:color w:val="auto"/>
        </w:rPr>
      </w:pPr>
    </w:p>
    <w:p>
      <w:pPr>
        <w:ind w:left="700" w:right="15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02"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 negative impacts that COVID-19 may have on our business, financial condition, results of operations, and changes in overall volatility in the global economy;</w:t>
      </w:r>
    </w:p>
    <w:p>
      <w:pPr>
        <w:spacing w:after="0" w:line="89"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57" w:lineRule="exact"/>
        <w:rPr>
          <w:rFonts w:ascii="Arial" w:cs="Arial" w:eastAsia="Arial" w:hAnsi="Arial"/>
          <w:sz w:val="18"/>
          <w:szCs w:val="18"/>
          <w:color w:val="auto"/>
        </w:rPr>
      </w:pPr>
    </w:p>
    <w:p>
      <w:pPr>
        <w:ind w:left="700" w:hanging="32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58"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may turn out to be inaccurate. Factors that may cause actual results to differ materially from current expectations include, among other things, those listed under “Risk Factors” and elsewhere in this prospectus supplement, the accompanying prospectus, and the documents incorporated by reference herein and the discussion in our Annual Report on Form 10-K for the year ended December 31, 2019 and in our Quarterly Report on Form 10-Q for the quarterly period ended March 31, 2020, as amended, in each of “Risk Factors” and “Management’s Discussion and Analysis of Financial Condition and Results of Operations.” Potential investors are urged to consider these factors carefully in evaluating the forward-looking statements. These forward-looking statements speak only as of the date of this prospectus supplement, the accompanying prospectus and the documents incorporated by reference herein and therein, and any free writing prospectus, as applicable.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Jefferies as a source of financing. We intend to use the net proceeds, if any, from this offering for general corporate purposes, which may include, among other things, activities for the development and potential commercialization of tenanpanor for the control of serum phosphorus in chronic kidney disease, or CKD, patients on dialysis, as well as for clinical trials and nonclinical studies for other product candidates, and for general corporate purposes and working capital.</w:t>
      </w:r>
    </w:p>
    <w:p>
      <w:pPr>
        <w:spacing w:after="0" w:line="19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amounts and timing of our actual expenditures will depend on numerous factors, including our clinical, pre-commercial and commercial activities with respect to tenapanor for the control of serum phosphorus in chronic kidney disease, our regulatory activities for tenapanor in such indication, our ability to establish one or more new collaborations for the commercialization of IBSRELA, the timing of potential future milestone payments from our current and future collaboration partners, as well as the amount of cash used in our operations and the amount of payments under our loan and security agreement with Solar Capital Ltd. and Western Alliance Bank.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if any, from this offering in interest-bearing investment-grade securities, certificates of deposit or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Our historical net tangible book value as of March 31, 2020 was approximately $167.8 million, or $1.88 per share. Our net tangible book value represents total tangible assets less total liabilities and convertible preferred stock, all divided by the number of shares of common stock outstanding on March 31, 2020.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6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After giving effect to the sale of our common stock in the aggregate amount of $100.0 million in this offering at an assumed offering price of $7.01, the last reported sale price of our common stock on the Nasdaq Global Market on July 7, 2020, and after deducting commissions and estimated aggregate offering expenses payable by us, our as adjusted net tangible book value as of March 31, 2020 would have been approximately $265.5 million, or $2.57 per share. This represents an immediate increase in net tangible book value of $0.69 per share to existing stockholders and immediate dilution in net tangible book value of $4.44 per share to new investors purchasing our common stock in this offering. The following table illustrates this dilution on a per share basis: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March 31, 2020</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new investors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5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The shares sold in this offering, if any, will be sold from time to time at various prices. An increase of $1.00 per share in the price at which the shares are sold from the assumed offering price of $7.01 per share shown in the table above, assuming all of our common stock in the aggregate amount of $100.0 million is sold at that price, would cause our as adjusted net tangible book value per share after the offering to be $2.62 per share and would increase the dilution in net tangible book value per share to new investors to $5.39 per share, after deducting commissions and estimated aggregate offering expenses payable by us. A decrease of $1.00 per share in the price at which the shares are sold from the assumed offering price of $7.01 per share shown in the table above, assuming all of our common stock in the aggregate amount of $100.0 million is sold at that price, would cause our as adjusted net tangible book value per share after the offering to be $2.51 per share and would decrease the dilution in net tangible book value per share to new investors to $3.50 per share, after deducting commissions and estimated aggregate offering expenses payable by us. This information is supplied for illustrative purposes only.</w:t>
      </w:r>
    </w:p>
    <w:p>
      <w:pPr>
        <w:spacing w:after="0" w:line="18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above discussion and table are based on 89,035,096 shares of common stock outstanding as of March 31, 2020, and excludes, in each case as of March 31, 2020:</w:t>
      </w:r>
    </w:p>
    <w:p>
      <w:pPr>
        <w:spacing w:after="0" w:line="170" w:lineRule="exact"/>
        <w:rPr>
          <w:sz w:val="20"/>
          <w:szCs w:val="20"/>
          <w:color w:val="auto"/>
        </w:rPr>
      </w:pPr>
    </w:p>
    <w:p>
      <w:pPr>
        <w:ind w:left="700" w:right="37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8,803,605 shares of common stock issuable upon the exercise of outstanding stock options having a weighted-average exercise price of $6.85 per share;</w:t>
      </w:r>
    </w:p>
    <w:p>
      <w:pPr>
        <w:spacing w:after="0" w:line="170" w:lineRule="exact"/>
        <w:rPr>
          <w:rFonts w:ascii="Arial" w:cs="Arial" w:eastAsia="Arial" w:hAnsi="Arial"/>
          <w:sz w:val="18"/>
          <w:szCs w:val="18"/>
          <w:color w:val="auto"/>
        </w:rPr>
      </w:pPr>
    </w:p>
    <w:p>
      <w:pPr>
        <w:ind w:left="700" w:right="159" w:hanging="32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2,172,899 shares of common stock issuable upon the exercise of outstanding warrants having an exercise price of $13.91 per share, which warrants expired in June 2020;</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849,328 shares of common stock issuable upon the settlement of outstanding restricted stock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3,077,556 shares of common stock reserved for issuance pursuant to future awards under our 2014 Equity Incentive Award Plan, as well as any automatic increases in the number of shares of our common stock reserved for future issuance under this plan;</w:t>
      </w:r>
    </w:p>
    <w:p>
      <w:pPr>
        <w:spacing w:after="0" w:line="18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443,774 shares of common stock reserved for future issuance under our Employee Stock Purchase Plan, as well as any automatic increases in the number of shares of our common stock reserved for future issuance under this plan; and</w:t>
      </w:r>
    </w:p>
    <w:p>
      <w:pPr>
        <w:spacing w:after="0" w:line="183" w:lineRule="exact"/>
        <w:rPr>
          <w:rFonts w:ascii="Arial" w:cs="Arial" w:eastAsia="Arial" w:hAnsi="Arial"/>
          <w:sz w:val="18"/>
          <w:szCs w:val="18"/>
          <w:color w:val="auto"/>
        </w:rPr>
      </w:pPr>
    </w:p>
    <w:p>
      <w:pPr>
        <w:ind w:left="700" w:right="25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We have entered into a sales agreement with Jefferies, under which we may offer and sell up to $100,000,000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3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37"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3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$168,000. The remaining sale proceeds, after deducting any other transaction fees, will equal our net proceeds from the sale of such shares.</w:t>
      </w:r>
    </w:p>
    <w:p>
      <w:pPr>
        <w:spacing w:after="0" w:line="125"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61"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08"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43"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Jefferies and its affiliates have provided, and may in the future provide, various investment banking, commercial banking, financial advisory and other financial services for us and our affiliates, for which services they have received, and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61" w:lineRule="exact"/>
        <w:rPr>
          <w:sz w:val="20"/>
          <w:szCs w:val="20"/>
          <w:color w:val="auto"/>
        </w:rPr>
      </w:pPr>
    </w:p>
    <w:p>
      <w:pPr>
        <w:ind w:left="60" w:right="559"/>
        <w:spacing w:after="0" w:line="263"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Menlo Park, California. Jefferies LLC is being represented in connection with this offering by Davis Polk &amp; Wardwell LLP, Menlo Park, California.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supplement and the accompanying prospectus. The information incorporated by reference is considered to be part of this prospectus supplement and the accompanying prospectus, and later information that we file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 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incorporate by reference the documents set forth below that have previously been filed with the SEC:</w:t>
      </w:r>
    </w:p>
    <w:p>
      <w:pPr>
        <w:spacing w:after="0" w:line="225" w:lineRule="exact"/>
        <w:rPr>
          <w:sz w:val="20"/>
          <w:szCs w:val="20"/>
          <w:color w:val="auto"/>
        </w:rPr>
      </w:pPr>
    </w:p>
    <w:p>
      <w:pPr>
        <w:ind w:left="700" w:hanging="326"/>
        <w:spacing w:after="0"/>
        <w:tabs>
          <w:tab w:leader="none" w:pos="700" w:val="left"/>
        </w:tabs>
        <w:numPr>
          <w:ilvl w:val="0"/>
          <w:numId w:val="30"/>
        </w:numPr>
        <w:rPr>
          <w:rFonts w:ascii="Arial" w:cs="Arial" w:eastAsia="Arial" w:hAnsi="Arial"/>
          <w:sz w:val="16"/>
          <w:szCs w:val="16"/>
          <w:u w:val="single" w:color="auto"/>
          <w:color w:val="0000EE"/>
        </w:rPr>
      </w:pPr>
      <w:hyperlink r:id="rId28">
        <w:r>
          <w:rPr>
            <w:rFonts w:ascii="Arial" w:cs="Arial" w:eastAsia="Arial" w:hAnsi="Arial"/>
            <w:sz w:val="16"/>
            <w:szCs w:val="16"/>
            <w:u w:val="single" w:color="auto"/>
            <w:color w:val="0000EE"/>
          </w:rPr>
          <w:t>our Annual Report on Form 10-K for the year ended December 31, 2019, filed with the SEC on March 6, 2020;</w:t>
        </w:r>
      </w:hyperlink>
    </w:p>
    <w:p>
      <w:pPr>
        <w:spacing w:after="0" w:line="248" w:lineRule="exact"/>
        <w:rPr>
          <w:rFonts w:ascii="Arial" w:cs="Arial" w:eastAsia="Arial" w:hAnsi="Arial"/>
          <w:sz w:val="16"/>
          <w:szCs w:val="16"/>
          <w:u w:val="single" w:color="auto"/>
          <w:color w:val="0000EE"/>
        </w:rPr>
      </w:pPr>
    </w:p>
    <w:p>
      <w:pPr>
        <w:ind w:left="700" w:right="179" w:hanging="326"/>
        <w:spacing w:after="0" w:line="342" w:lineRule="auto"/>
        <w:tabs>
          <w:tab w:leader="none" w:pos="700" w:val="left"/>
        </w:tabs>
        <w:numPr>
          <w:ilvl w:val="0"/>
          <w:numId w:val="30"/>
        </w:numPr>
        <w:rPr>
          <w:rFonts w:ascii="Arial" w:cs="Arial" w:eastAsia="Arial" w:hAnsi="Arial"/>
          <w:sz w:val="16"/>
          <w:szCs w:val="16"/>
          <w:u w:val="single" w:color="auto"/>
          <w:color w:val="0000EE"/>
        </w:rPr>
      </w:pPr>
      <w:hyperlink r:id="rId29">
        <w:r>
          <w:rPr>
            <w:rFonts w:ascii="Arial" w:cs="Arial" w:eastAsia="Arial" w:hAnsi="Arial"/>
            <w:sz w:val="16"/>
            <w:szCs w:val="16"/>
            <w:u w:val="single" w:color="auto"/>
            <w:color w:val="0000EE"/>
          </w:rPr>
          <w:t>the information specifically incorporated by reference into our Annual Report on Form 10-K for the year ended</w:t>
        </w:r>
      </w:hyperlink>
      <w:r>
        <w:rPr>
          <w:rFonts w:ascii="Arial" w:cs="Arial" w:eastAsia="Arial" w:hAnsi="Arial"/>
          <w:sz w:val="16"/>
          <w:szCs w:val="16"/>
          <w:u w:val="single" w:color="auto"/>
          <w:color w:val="0000EE"/>
        </w:rPr>
        <w:t xml:space="preserve"> </w:t>
      </w:r>
      <w:hyperlink r:id="rId29">
        <w:r>
          <w:rPr>
            <w:rFonts w:ascii="Arial" w:cs="Arial" w:eastAsia="Arial" w:hAnsi="Arial"/>
            <w:sz w:val="16"/>
            <w:szCs w:val="16"/>
            <w:u w:val="single" w:color="auto"/>
            <w:color w:val="0000EE"/>
          </w:rPr>
          <w:t>December 31, 2019 from our Definitive Proxy Statement on Schedule 14A filed with the SEC on April 27, 2020;</w:t>
        </w:r>
      </w:hyperlink>
    </w:p>
    <w:p>
      <w:pPr>
        <w:spacing w:after="0" w:line="340"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31"/>
        </w:numPr>
        <w:rPr>
          <w:rFonts w:ascii="Arial" w:cs="Arial" w:eastAsia="Arial" w:hAnsi="Arial"/>
          <w:sz w:val="16"/>
          <w:szCs w:val="16"/>
          <w:u w:val="single" w:color="auto"/>
          <w:color w:val="0000EE"/>
        </w:rPr>
      </w:pPr>
      <w:hyperlink r:id="rId30">
        <w:r>
          <w:rPr>
            <w:rFonts w:ascii="Arial" w:cs="Arial" w:eastAsia="Arial" w:hAnsi="Arial"/>
            <w:sz w:val="16"/>
            <w:szCs w:val="16"/>
            <w:u w:val="single" w:color="auto"/>
            <w:color w:val="0000EE"/>
          </w:rPr>
          <w:t>our Quarterly Report on Form 10-Q for the quarter ended March 31, 2020 filed with the SEC on May 7, 2020;</w:t>
        </w:r>
      </w:hyperlink>
    </w:p>
    <w:p>
      <w:pPr>
        <w:spacing w:after="0" w:line="248" w:lineRule="exact"/>
        <w:rPr>
          <w:rFonts w:ascii="Arial" w:cs="Arial" w:eastAsia="Arial" w:hAnsi="Arial"/>
          <w:sz w:val="16"/>
          <w:szCs w:val="16"/>
          <w:u w:val="single" w:color="auto"/>
          <w:color w:val="0000EE"/>
        </w:rPr>
      </w:pPr>
    </w:p>
    <w:p>
      <w:pPr>
        <w:ind w:left="700" w:right="37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1">
        <w:r>
          <w:rPr>
            <w:rFonts w:ascii="Arial" w:cs="Arial" w:eastAsia="Arial" w:hAnsi="Arial"/>
            <w:sz w:val="18"/>
            <w:szCs w:val="18"/>
            <w:u w:val="single" w:color="auto"/>
            <w:color w:val="0000EE"/>
          </w:rPr>
          <w:t>January 13, 2020</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March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June 10, 2020</w:t>
        </w:r>
      </w:hyperlink>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00" w:right="279" w:hanging="326"/>
        <w:spacing w:after="0" w:line="342" w:lineRule="auto"/>
        <w:tabs>
          <w:tab w:leader="none" w:pos="700" w:val="left"/>
        </w:tabs>
        <w:numPr>
          <w:ilvl w:val="0"/>
          <w:numId w:val="31"/>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the description of our common stock contained in our registration statement on Form 8-A filed with the SEC on</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June 9, 2014, including any amendments or reports filed for the purpose of updating such description.</w:t>
        </w:r>
      </w:hyperlink>
    </w:p>
    <w:p>
      <w:pPr>
        <w:spacing w:after="0" w:line="124" w:lineRule="exact"/>
        <w:rPr>
          <w:rFonts w:ascii="Arial" w:cs="Arial" w:eastAsia="Arial" w:hAnsi="Arial"/>
          <w:sz w:val="16"/>
          <w:szCs w:val="16"/>
          <w:color w:val="auto"/>
        </w:rPr>
      </w:pPr>
    </w:p>
    <w:p>
      <w:pPr>
        <w:ind w:left="60" w:right="179"/>
        <w:spacing w:after="0" w:line="286" w:lineRule="auto"/>
        <w:rPr>
          <w:sz w:val="20"/>
          <w:szCs w:val="20"/>
          <w:color w:val="auto"/>
        </w:rPr>
      </w:pPr>
      <w:r>
        <w:rPr>
          <w:rFonts w:ascii="Arial" w:cs="Arial" w:eastAsia="Arial" w:hAnsi="Arial"/>
          <w:sz w:val="17"/>
          <w:szCs w:val="17"/>
          <w:color w:val="auto"/>
        </w:rPr>
        <w:t xml:space="preserve">These documents may also be accessed on our website at </w:t>
      </w:r>
      <w:r>
        <w:rPr>
          <w:rFonts w:ascii="Arial" w:cs="Arial" w:eastAsia="Arial" w:hAnsi="Arial"/>
          <w:sz w:val="17"/>
          <w:szCs w:val="17"/>
          <w:i w:val="1"/>
          <w:iCs w:val="1"/>
          <w:color w:val="auto"/>
        </w:rPr>
        <w:t>www.ardelyx.com</w:t>
      </w:r>
      <w:r>
        <w:rPr>
          <w:rFonts w:ascii="Arial" w:cs="Arial" w:eastAsia="Arial" w:hAnsi="Arial"/>
          <w:sz w:val="17"/>
          <w:szCs w:val="17"/>
          <w:color w:val="auto"/>
        </w:rPr>
        <w:t>. Except as otherwise specifically incorporated by reference in this prospectus supplement and the accompanying prospectus, information contained in, or accessible through, our website is not a part of this prospectus supplement and the accompanying prospectus.</w:t>
      </w:r>
    </w:p>
    <w:p>
      <w:pPr>
        <w:spacing w:after="0" w:line="165" w:lineRule="exact"/>
        <w:rPr>
          <w:rFonts w:ascii="Arial" w:cs="Arial" w:eastAsia="Arial" w:hAnsi="Arial"/>
          <w:sz w:val="16"/>
          <w:szCs w:val="16"/>
          <w:color w:val="auto"/>
        </w:rPr>
      </w:pPr>
    </w:p>
    <w:p>
      <w:pPr>
        <w:ind w:left="60" w:right="199"/>
        <w:spacing w:after="0" w:line="342" w:lineRule="auto"/>
        <w:rPr>
          <w:sz w:val="20"/>
          <w:szCs w:val="20"/>
          <w:color w:val="auto"/>
        </w:rPr>
      </w:pPr>
      <w:r>
        <w:rPr>
          <w:rFonts w:ascii="Arial" w:cs="Arial" w:eastAsia="Arial" w:hAnsi="Arial"/>
          <w:sz w:val="16"/>
          <w:szCs w:val="16"/>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2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Ardelyx, Inc.</w:t>
      </w:r>
    </w:p>
    <w:p>
      <w:pPr>
        <w:spacing w:after="0" w:line="2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34175 Ardenwood Blvd.</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Fremont, CA 94555</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(510) 745-1700</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Attention: Chief Legal and Administrative Officer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966470</wp:posOffset>
            </wp:positionV>
            <wp:extent cx="2777490" cy="471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777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1045845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 registration fee.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32,450.00</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The Nasdaq Global Market supplemental listing fee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and expenses of the trustee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Transfer agent fees and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7" w:lineRule="exact"/>
        <w:rPr>
          <w:sz w:val="20"/>
          <w:szCs w:val="20"/>
          <w:color w:val="auto"/>
        </w:rPr>
      </w:pPr>
    </w:p>
    <w:p>
      <w:pPr>
        <w:ind w:left="380" w:right="599" w:hanging="330"/>
        <w:spacing w:after="0" w:line="207" w:lineRule="auto"/>
        <w:tabs>
          <w:tab w:leader="none" w:pos="38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left="60" w:right="239"/>
        <w:spacing w:after="0" w:line="288" w:lineRule="auto"/>
        <w:rPr>
          <w:sz w:val="20"/>
          <w:szCs w:val="20"/>
          <w:color w:val="auto"/>
        </w:rPr>
      </w:pPr>
      <w:r>
        <w:rPr>
          <w:rFonts w:ascii="Arial" w:cs="Arial" w:eastAsia="Arial" w:hAnsi="Arial"/>
          <w:sz w:val="16"/>
          <w:szCs w:val="16"/>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68"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5" w:lineRule="exact"/>
        <w:rPr>
          <w:sz w:val="20"/>
          <w:szCs w:val="20"/>
          <w:color w:val="auto"/>
        </w:rPr>
      </w:pPr>
    </w:p>
    <w:p>
      <w:pPr>
        <w:ind w:left="60" w:right="299"/>
        <w:spacing w:after="0" w:line="287" w:lineRule="auto"/>
        <w:rPr>
          <w:sz w:val="20"/>
          <w:szCs w:val="20"/>
          <w:color w:val="auto"/>
        </w:rPr>
      </w:pPr>
      <w:r>
        <w:rPr>
          <w:rFonts w:ascii="Arial" w:cs="Arial" w:eastAsia="Arial" w:hAnsi="Arial"/>
          <w:sz w:val="16"/>
          <w:szCs w:val="16"/>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w:t>
      </w:r>
    </w:p>
    <w:p>
      <w:pPr>
        <w:spacing w:after="0" w:line="2" w:lineRule="exact"/>
        <w:rPr>
          <w:sz w:val="20"/>
          <w:szCs w:val="20"/>
          <w:color w:val="auto"/>
        </w:rPr>
      </w:pPr>
    </w:p>
    <w:p>
      <w:pPr>
        <w:ind w:left="60" w:right="159" w:hanging="10"/>
        <w:spacing w:after="0" w:line="281" w:lineRule="auto"/>
        <w:tabs>
          <w:tab w:leader="none" w:pos="2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under Section 174 of the DGCL, or</w:t>
      </w:r>
    </w:p>
    <w:p>
      <w:pPr>
        <w:spacing w:after="0" w:line="1" w:lineRule="exact"/>
        <w:rPr>
          <w:rFonts w:ascii="Arial" w:cs="Arial" w:eastAsia="Arial" w:hAnsi="Arial"/>
          <w:sz w:val="16"/>
          <w:szCs w:val="16"/>
          <w:color w:val="auto"/>
        </w:rPr>
      </w:pPr>
    </w:p>
    <w:p>
      <w:pPr>
        <w:ind w:left="360" w:hanging="31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 or the Securities Act.</w:t>
      </w:r>
    </w:p>
    <w:p>
      <w:pPr>
        <w:spacing w:after="0" w:line="171"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700" w:hanging="32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517" w:right="1440" w:bottom="1440" w:gutter="0" w:footer="0" w:header="0"/>
        </w:sect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Incorporated by Reference to Filings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94"/>
              </w:rPr>
              <w:t>Indicated</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5"/>
          </w:tcPr>
          <w:p>
            <w:pPr>
              <w:ind w:left="1980"/>
              <w:spacing w:after="0" w:line="155" w:lineRule="exact"/>
              <w:rPr>
                <w:sz w:val="20"/>
                <w:szCs w:val="20"/>
                <w:color w:val="auto"/>
              </w:rPr>
            </w:pPr>
            <w:r>
              <w:rPr>
                <w:rFonts w:ascii="Arial" w:cs="Arial" w:eastAsia="Arial" w:hAnsi="Arial"/>
                <w:sz w:val="14"/>
                <w:szCs w:val="14"/>
                <w:b w:val="1"/>
                <w:bCs w:val="1"/>
                <w:color w:val="auto"/>
              </w:rPr>
              <w:t>Exhibit Description</w:t>
            </w:r>
          </w:p>
        </w:tc>
        <w:tc>
          <w:tcPr>
            <w:tcW w:w="5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Form</w:t>
            </w:r>
          </w:p>
        </w:tc>
        <w:tc>
          <w:tcPr>
            <w:tcW w:w="8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Exhibit No.</w:t>
            </w: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Form of Underwriting Agreement.</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2"/>
                <w:szCs w:val="12"/>
                <w:color w:val="auto"/>
              </w:rPr>
            </w:pPr>
          </w:p>
        </w:tc>
        <w:tc>
          <w:tcPr>
            <w:tcW w:w="2240" w:type="dxa"/>
            <w:vAlign w:val="bottom"/>
            <w:gridSpan w:val="2"/>
            <w:vMerge w:val="restart"/>
          </w:tcPr>
          <w:p>
            <w:pPr>
              <w:spacing w:after="0" w:line="190"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Open Market Sales Agreement</w:t>
              </w:r>
            </w:hyperlink>
          </w:p>
        </w:tc>
        <w:tc>
          <w:tcPr>
            <w:tcW w:w="200" w:type="dxa"/>
            <w:vAlign w:val="bottom"/>
            <w:tcBorders>
              <w:bottom w:val="single" w:sz="8" w:color="0000EE"/>
            </w:tcBorders>
          </w:tcPr>
          <w:p>
            <w:pPr>
              <w:spacing w:after="0" w:line="129" w:lineRule="exact"/>
              <w:rPr>
                <w:rFonts w:ascii="Arial" w:cs="Arial" w:eastAsia="Arial" w:hAnsi="Arial"/>
                <w:sz w:val="13"/>
                <w:szCs w:val="13"/>
                <w:color w:val="0000EE"/>
                <w:w w:val="81"/>
              </w:rPr>
            </w:pPr>
            <w:hyperlink w:anchor="page57">
              <w:r>
                <w:rPr>
                  <w:rFonts w:ascii="Arial" w:cs="Arial" w:eastAsia="Arial" w:hAnsi="Arial"/>
                  <w:sz w:val="13"/>
                  <w:szCs w:val="13"/>
                  <w:color w:val="0000EE"/>
                  <w:w w:val="81"/>
                </w:rPr>
                <w:t>SM</w:t>
              </w:r>
            </w:hyperlink>
          </w:p>
        </w:tc>
        <w:tc>
          <w:tcPr>
            <w:tcW w:w="2880" w:type="dxa"/>
            <w:vAlign w:val="bottom"/>
            <w:gridSpan w:val="3"/>
            <w:vMerge w:val="restart"/>
          </w:tcPr>
          <w:p>
            <w:pPr>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 by and between Ardelyx, Inc. and</w:t>
              </w:r>
            </w:hyperlink>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Jefferies LLC, dated July 8, 2020.</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Borders>
              <w:right w:val="single" w:sz="8" w:color="0000EE"/>
            </w:tcBorders>
            <w:gridSpan w:val="3"/>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 w:type="dxa"/>
            <w:vAlign w:val="bottom"/>
            <w:gridSpan w:val="2"/>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5320" w:type="dxa"/>
            <w:vAlign w:val="bottom"/>
            <w:gridSpan w:val="6"/>
          </w:tcPr>
          <w:p>
            <w:pPr>
              <w:spacing w:after="0"/>
              <w:rPr>
                <w:rFonts w:ascii="Arial" w:cs="Arial" w:eastAsia="Arial" w:hAnsi="Arial"/>
                <w:sz w:val="18"/>
                <w:szCs w:val="18"/>
                <w:color w:val="0000EE"/>
              </w:rPr>
            </w:pPr>
            <w:hyperlink r:id="rId87">
              <w:r>
                <w:rPr>
                  <w:rFonts w:ascii="Arial" w:cs="Arial" w:eastAsia="Arial" w:hAnsi="Arial"/>
                  <w:sz w:val="18"/>
                  <w:szCs w:val="18"/>
                  <w:u w:val="single" w:color="auto"/>
                  <w:color w:val="0000EE"/>
                </w:rPr>
                <w:t>Amended and Restated Certificate of Incorporation of Ardelyx, Inc</w:t>
              </w:r>
              <w:r>
                <w:rPr>
                  <w:rFonts w:ascii="Arial" w:cs="Arial" w:eastAsia="Arial" w:hAnsi="Arial"/>
                  <w:sz w:val="18"/>
                  <w:szCs w:val="18"/>
                  <w:color w:val="0000EE"/>
                </w:rPr>
                <w:t>.</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06/24/2014</w:t>
            </w: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5320" w:type="dxa"/>
            <w:vAlign w:val="bottom"/>
            <w:gridSpan w:val="6"/>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Amended and Restated Bylaws of Ardelyx, Inc.</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06/24/2014</w:t>
            </w: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Reference is made to Exhibits 3.1 through 3.2.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5320" w:type="dxa"/>
            <w:vAlign w:val="bottom"/>
            <w:gridSpan w:val="6"/>
          </w:tcPr>
          <w:p>
            <w:pPr>
              <w:spacing w:after="0"/>
              <w:rPr>
                <w:rFonts w:ascii="Arial" w:cs="Arial" w:eastAsia="Arial" w:hAnsi="Arial"/>
                <w:sz w:val="18"/>
                <w:szCs w:val="18"/>
                <w:color w:val="0000EE"/>
              </w:rPr>
            </w:pPr>
            <w:hyperlink r:id="rId89">
              <w:r>
                <w:rPr>
                  <w:rFonts w:ascii="Arial" w:cs="Arial" w:eastAsia="Arial" w:hAnsi="Arial"/>
                  <w:sz w:val="18"/>
                  <w:szCs w:val="18"/>
                  <w:u w:val="single" w:color="auto"/>
                  <w:color w:val="0000EE"/>
                </w:rPr>
                <w:t>Form of Common Stock Certificate</w:t>
              </w:r>
              <w:r>
                <w:rPr>
                  <w:rFonts w:ascii="Arial" w:cs="Arial" w:eastAsia="Arial" w:hAnsi="Arial"/>
                  <w:sz w:val="18"/>
                  <w:szCs w:val="18"/>
                  <w:color w:val="0000EE"/>
                </w:rPr>
                <w:t>.</w:t>
              </w:r>
            </w:hyperlink>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06/18/2014</w:t>
            </w: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Form of Preferred Stock Certificate.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320" w:type="dxa"/>
            <w:vAlign w:val="bottom"/>
            <w:gridSpan w:val="6"/>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Form of Indenture.</w:t>
              </w:r>
            </w:hyperlink>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Form of Note.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Form of Warrant.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Form of Warrant Agreement.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Form of Unit Agreement.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5320" w:type="dxa"/>
            <w:vAlign w:val="bottom"/>
            <w:gridSpan w:val="6"/>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Opinion of Latham &amp; Watkins LLP.</w:t>
              </w:r>
            </w:hyperlink>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5320" w:type="dxa"/>
            <w:vAlign w:val="bottom"/>
            <w:gridSpan w:val="6"/>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Consent of Independent Registered Public Accounting Firm.</w:t>
              </w:r>
            </w:hyperlink>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Powers of Attorney (incorporated by reference to the signature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page hereto).</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2"/>
          </w:tcPr>
          <w:p>
            <w:pPr>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w w:val="98"/>
              </w:rPr>
              <w:t>Statement of Eligibility on Form T-1 under the Trust Indenture Act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w w:val="95"/>
              </w:rPr>
              <w:t>1939, as amended, of the trustee, as trustee under the indenture filed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6"/>
          </w:tcPr>
          <w:p>
            <w:pPr>
              <w:spacing w:after="0"/>
              <w:rPr>
                <w:sz w:val="20"/>
                <w:szCs w:val="20"/>
                <w:color w:val="auto"/>
              </w:rPr>
            </w:pPr>
            <w:r>
              <w:rPr>
                <w:rFonts w:ascii="Arial" w:cs="Arial" w:eastAsia="Arial" w:hAnsi="Arial"/>
                <w:sz w:val="18"/>
                <w:szCs w:val="18"/>
                <w:color w:val="auto"/>
              </w:rPr>
              <w:t>herewith.</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Provided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w:t>
      </w:r>
    </w:p>
    <w:p>
      <w:pPr>
        <w:spacing w:after="0" w:line="871" w:lineRule="exact"/>
        <w:rPr>
          <w:sz w:val="20"/>
          <w:szCs w:val="20"/>
          <w:color w:val="auto"/>
        </w:rPr>
      </w:pPr>
    </w:p>
    <w:p>
      <w:pPr>
        <w:sectPr>
          <w:pgSz w:w="11900" w:h="16838" w:orient="portrait"/>
          <w:cols w:equalWidth="0" w:num="2">
            <w:col w:w="8280" w:space="80"/>
            <w:col w:w="659"/>
          </w:cols>
          <w:pgMar w:left="1440" w:top="517" w:right="1440" w:bottom="1440" w:gutter="0" w:footer="0" w:header="0"/>
          <w:type w:val="continuous"/>
        </w:sectPr>
      </w:pPr>
    </w:p>
    <w:p>
      <w:pPr>
        <w:spacing w:after="0" w:line="2" w:lineRule="exact"/>
        <w:rPr>
          <w:sz w:val="20"/>
          <w:szCs w:val="20"/>
          <w:color w:val="auto"/>
        </w:rPr>
      </w:pPr>
    </w:p>
    <w:p>
      <w:pPr>
        <w:ind w:left="320" w:hanging="270"/>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be filed by amendment or incorporated by reference in connection with the offering of the securities.</w:t>
      </w:r>
    </w:p>
    <w:p>
      <w:pPr>
        <w:spacing w:after="0" w:line="4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  To be filed in accordance with the requirements of Item 601(b)(25) of Regulation S-K.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0" w:right="179" w:hanging="10"/>
        <w:spacing w:after="0" w:line="277" w:lineRule="auto"/>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60" w:right="159" w:hanging="10"/>
        <w:spacing w:after="0" w:line="271" w:lineRule="auto"/>
        <w:tabs>
          <w:tab w:leader="none" w:pos="7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60" w:right="679" w:hanging="10"/>
        <w:spacing w:after="0" w:line="308" w:lineRule="auto"/>
        <w:tabs>
          <w:tab w:leader="none" w:pos="7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ind w:left="60" w:right="159" w:hanging="10"/>
        <w:spacing w:after="0" w:line="286" w:lineRule="auto"/>
        <w:tabs>
          <w:tab w:leader="none" w:pos="7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65" w:lineRule="exact"/>
        <w:rPr>
          <w:rFonts w:ascii="Arial" w:cs="Arial" w:eastAsia="Arial" w:hAnsi="Arial"/>
          <w:sz w:val="17"/>
          <w:szCs w:val="17"/>
          <w:color w:val="auto"/>
        </w:rPr>
      </w:pPr>
    </w:p>
    <w:p>
      <w:pPr>
        <w:ind w:left="60" w:right="159" w:hanging="10"/>
        <w:spacing w:after="0" w:line="277" w:lineRule="auto"/>
        <w:tabs>
          <w:tab w:leader="none" w:pos="7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60" w:right="339" w:hanging="10"/>
        <w:spacing w:after="0" w:line="342" w:lineRule="auto"/>
        <w:tabs>
          <w:tab w:leader="none" w:pos="7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rFonts w:ascii="Arial" w:cs="Arial" w:eastAsia="Arial" w:hAnsi="Arial"/>
          <w:sz w:val="16"/>
          <w:szCs w:val="16"/>
          <w:color w:val="auto"/>
        </w:rPr>
      </w:pPr>
    </w:p>
    <w:p>
      <w:pPr>
        <w:ind w:left="60" w:right="99" w:hanging="10"/>
        <w:spacing w:after="0" w:line="286" w:lineRule="auto"/>
        <w:tabs>
          <w:tab w:leader="none" w:pos="7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hanging="10"/>
        <w:spacing w:after="0" w:line="255" w:lineRule="auto"/>
        <w:tabs>
          <w:tab w:leader="none" w:pos="7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2" w:lineRule="exact"/>
        <w:rPr>
          <w:sz w:val="20"/>
          <w:szCs w:val="20"/>
          <w:color w:val="auto"/>
        </w:rPr>
      </w:pPr>
    </w:p>
    <w:p>
      <w:pPr>
        <w:ind w:left="60" w:right="11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60" w:right="15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0" w:right="159" w:hanging="10"/>
        <w:spacing w:after="0" w:line="277" w:lineRule="auto"/>
        <w:tabs>
          <w:tab w:leader="none" w:pos="7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700" w:hanging="650"/>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37" w:lineRule="exact"/>
        <w:rPr>
          <w:sz w:val="20"/>
          <w:szCs w:val="20"/>
          <w:color w:val="auto"/>
        </w:rPr>
      </w:pPr>
    </w:p>
    <w:p>
      <w:pPr>
        <w:ind w:left="60" w:right="139" w:hanging="10"/>
        <w:spacing w:after="0" w:line="273" w:lineRule="auto"/>
        <w:tabs>
          <w:tab w:leader="none" w:pos="7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8" w:lineRule="exact"/>
        <w:rPr>
          <w:sz w:val="20"/>
          <w:szCs w:val="20"/>
          <w:color w:val="auto"/>
        </w:rPr>
      </w:pPr>
    </w:p>
    <w:p>
      <w:pPr>
        <w:ind w:left="60" w:right="119" w:hanging="10"/>
        <w:spacing w:after="0" w:line="269" w:lineRule="auto"/>
        <w:tabs>
          <w:tab w:leader="none" w:pos="7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60" w:right="259" w:hanging="10"/>
        <w:spacing w:after="0" w:line="263" w:lineRule="auto"/>
        <w:tabs>
          <w:tab w:leader="none" w:pos="7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Fremont, California, on July 8, 2020.</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Raab</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Raab</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Michael Raab and Elizabeth Grammer,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and to file the same, with all exhibits thereto and other documents in connection therewith, to this registration statement, with the Securities and Exchange Commission, granting unto said attorneys-in-fact and agents,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2"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77"/>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Raab</w:t>
            </w:r>
          </w:p>
        </w:tc>
        <w:tc>
          <w:tcPr>
            <w:tcW w:w="280" w:type="dxa"/>
            <w:vAlign w:val="bottom"/>
          </w:tcPr>
          <w:p>
            <w:pPr>
              <w:spacing w:after="0"/>
              <w:rPr>
                <w:sz w:val="24"/>
                <w:szCs w:val="24"/>
                <w:color w:val="auto"/>
              </w:rPr>
            </w:pPr>
          </w:p>
        </w:tc>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0"/>
              </w:rPr>
              <w:t>Michael Raab</w:t>
            </w:r>
          </w:p>
        </w:tc>
        <w:tc>
          <w:tcPr>
            <w:tcW w:w="280" w:type="dxa"/>
            <w:vAlign w:val="bottom"/>
          </w:tcPr>
          <w:p>
            <w:pPr>
              <w:spacing w:after="0"/>
              <w:rPr>
                <w:sz w:val="7"/>
                <w:szCs w:val="7"/>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3"/>
              </w:rPr>
              <w:t>(principal executive officer)</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52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Justin Renz</w:t>
            </w:r>
          </w:p>
        </w:tc>
        <w:tc>
          <w:tcPr>
            <w:tcW w:w="280" w:type="dxa"/>
            <w:vAlign w:val="bottom"/>
          </w:tcPr>
          <w:p>
            <w:pPr>
              <w:spacing w:after="0"/>
              <w:rPr>
                <w:sz w:val="23"/>
                <w:szCs w:val="23"/>
                <w:color w:val="auto"/>
              </w:rPr>
            </w:pPr>
          </w:p>
        </w:tc>
        <w:tc>
          <w:tcPr>
            <w:tcW w:w="45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Chief Financial Officer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89"/>
              </w:rPr>
              <w:t>Justin Renz</w:t>
            </w:r>
          </w:p>
        </w:tc>
        <w:tc>
          <w:tcPr>
            <w:tcW w:w="280" w:type="dxa"/>
            <w:vAlign w:val="bottom"/>
          </w:tcPr>
          <w:p>
            <w:pPr>
              <w:spacing w:after="0"/>
              <w:rPr>
                <w:sz w:val="7"/>
                <w:szCs w:val="7"/>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3"/>
              </w:rPr>
              <w:t>(principal financial and accounting officer)</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52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Mott</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Chairman of the Board of Directors</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7"/>
              </w:rPr>
              <w:t>David Mott</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Geoffrey A. Block</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5"/>
              </w:rPr>
              <w:t>Geoffrey A. Block, M.D.</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0"/>
              </w:rPr>
              <w:t>Robert Bazemore</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Bertrand, Jr.</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2"/>
              </w:rPr>
              <w:t>William Bertrand, Jr., J.D.</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Onaiza Cadoret-Manier</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1"/>
              </w:rPr>
              <w:t>Onaiza Cadoret-Manier</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M. Lundberg</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0"/>
              </w:rPr>
              <w:t>Jan M. Lundberg, Ph.D.</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Gordon Ringold</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2"/>
              </w:rPr>
              <w:t>Gordon Ringold, Ph.D.</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Rodgers</w:t>
            </w:r>
          </w:p>
        </w:tc>
        <w:tc>
          <w:tcPr>
            <w:tcW w:w="280" w:type="dxa"/>
            <w:vAlign w:val="bottom"/>
          </w:tcPr>
          <w:p>
            <w:pPr>
              <w:spacing w:after="0"/>
              <w:rPr>
                <w:sz w:val="23"/>
                <w:szCs w:val="23"/>
                <w:color w:val="auto"/>
              </w:rPr>
            </w:pPr>
          </w:p>
        </w:tc>
        <w:tc>
          <w:tcPr>
            <w:tcW w:w="45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July 8, 2020</w:t>
            </w:r>
          </w:p>
        </w:tc>
        <w:tc>
          <w:tcPr>
            <w:tcW w:w="0" w:type="dxa"/>
            <w:vAlign w:val="bottom"/>
          </w:tcPr>
          <w:p>
            <w:pPr>
              <w:spacing w:after="0"/>
              <w:rPr>
                <w:sz w:val="1"/>
                <w:szCs w:val="1"/>
                <w:color w:val="auto"/>
              </w:rPr>
            </w:pPr>
          </w:p>
        </w:tc>
      </w:tr>
      <w:tr>
        <w:trPr>
          <w:trHeight w:val="8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88"/>
              </w:rPr>
              <w:t>Richard Rodgers</w:t>
            </w:r>
          </w:p>
        </w:tc>
        <w:tc>
          <w:tcPr>
            <w:tcW w:w="280" w:type="dxa"/>
            <w:vAlign w:val="bottom"/>
          </w:tcPr>
          <w:p>
            <w:pPr>
              <w:spacing w:after="0"/>
              <w:rPr>
                <w:sz w:val="7"/>
                <w:szCs w:val="7"/>
                <w:color w:val="auto"/>
              </w:rPr>
            </w:pPr>
          </w:p>
        </w:tc>
        <w:tc>
          <w:tcPr>
            <w:tcW w:w="45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 AGREEMENT</w:t>
      </w:r>
      <w:r>
        <w:rPr>
          <w:rFonts w:ascii="Arial" w:cs="Arial" w:eastAsia="Arial" w:hAnsi="Arial"/>
          <w:sz w:val="16"/>
          <w:szCs w:val="16"/>
          <w:b w:val="1"/>
          <w:bCs w:val="1"/>
          <w:color w:val="auto"/>
        </w:rPr>
        <w:t>SM</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8,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Ardelyx,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subject to the terms and conditions stated herein, to issue and sell from time to time through Jefferies LLC, as sales agent and/or principal (the “</w:t>
      </w:r>
      <w:r>
        <w:rPr>
          <w:rFonts w:ascii="Arial" w:cs="Arial" w:eastAsia="Arial" w:hAnsi="Arial"/>
          <w:sz w:val="19"/>
          <w:szCs w:val="19"/>
          <w:b w:val="1"/>
          <w:bCs w:val="1"/>
          <w:color w:val="auto"/>
        </w:rPr>
        <w:t>Agent</w:t>
      </w:r>
      <w:r>
        <w:rPr>
          <w:rFonts w:ascii="Arial" w:cs="Arial" w:eastAsia="Arial" w:hAnsi="Arial"/>
          <w:sz w:val="19"/>
          <w:szCs w:val="19"/>
          <w:color w:val="auto"/>
        </w:rPr>
        <w:t>”), shares of the Company’s common stock, par value $0.0001 per share (the “</w:t>
      </w:r>
      <w:r>
        <w:rPr>
          <w:rFonts w:ascii="Arial" w:cs="Arial" w:eastAsia="Arial" w:hAnsi="Arial"/>
          <w:sz w:val="19"/>
          <w:szCs w:val="19"/>
          <w:b w:val="1"/>
          <w:bCs w:val="1"/>
          <w:color w:val="auto"/>
        </w:rPr>
        <w:t>Common Shares</w:t>
      </w:r>
      <w:r>
        <w:rPr>
          <w:rFonts w:ascii="Arial" w:cs="Arial" w:eastAsia="Arial" w:hAnsi="Arial"/>
          <w:sz w:val="19"/>
          <w:szCs w:val="19"/>
          <w:color w:val="auto"/>
        </w:rPr>
        <w:t>”), having an aggregate offering price of up to $100,000,000 on the terms set forth in this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12" w:lineRule="exact"/>
        <w:rPr>
          <w:sz w:val="20"/>
          <w:szCs w:val="20"/>
          <w:color w:val="auto"/>
        </w:rPr>
      </w:pPr>
    </w:p>
    <w:p>
      <w:pPr>
        <w:ind w:right="20" w:firstLine="656"/>
        <w:spacing w:after="0" w:line="250"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capitalized terms used herein and not otherwise defined shall have the following respective meanings: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Agency Period</w:t>
      </w:r>
      <w:r>
        <w:rPr>
          <w:rFonts w:ascii="Arial" w:cs="Arial" w:eastAsia="Arial" w:hAnsi="Arial"/>
          <w:sz w:val="21"/>
          <w:szCs w:val="21"/>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Floor Price</w:t>
      </w:r>
      <w:r>
        <w:rPr>
          <w:rFonts w:ascii="Arial" w:cs="Arial" w:eastAsia="Arial" w:hAnsi="Arial"/>
          <w:sz w:val="21"/>
          <w:szCs w:val="21"/>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15684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882015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7" w:name="page58"/>
    <w:bookmarkEnd w:id="57"/>
    <w:p>
      <w:pPr>
        <w:spacing w:after="0" w:line="1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Amount</w:t>
      </w:r>
      <w:r>
        <w:rPr>
          <w:rFonts w:ascii="Arial" w:cs="Arial" w:eastAsia="Arial" w:hAnsi="Arial"/>
          <w:sz w:val="22"/>
          <w:szCs w:val="22"/>
          <w:color w:val="auto"/>
        </w:rPr>
        <w:t>” means the aggregate Sales Price of the Shares to be sold by the Agent pursuant to any Issuance Notice.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w:t>
      </w:r>
      <w:r>
        <w:rPr>
          <w:rFonts w:ascii="Arial" w:cs="Arial" w:eastAsia="Arial" w:hAnsi="Arial"/>
          <w:sz w:val="22"/>
          <w:szCs w:val="22"/>
          <w:color w:val="auto"/>
        </w:rPr>
        <w:t xml:space="preserve">” means a written notice delivered to the Agent by the Company in accordance with this Agreement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executed by its Chief Executive Officer, President or Chief Financial Officer.</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Program Amount</w:t>
      </w:r>
      <w:r>
        <w:rPr>
          <w:rFonts w:ascii="Arial" w:cs="Arial" w:eastAsia="Arial" w:hAnsi="Arial"/>
          <w:sz w:val="22"/>
          <w:szCs w:val="22"/>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Sales Price</w:t>
      </w:r>
      <w:r>
        <w:rPr>
          <w:rFonts w:ascii="Arial" w:cs="Arial" w:eastAsia="Arial" w:hAnsi="Arial"/>
          <w:sz w:val="22"/>
          <w:szCs w:val="22"/>
          <w:color w:val="auto"/>
        </w:rPr>
        <w:t>” means the actual sale execution price of each Share placed by the Agent pursuant to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Selling Commission</w:t>
      </w:r>
      <w:r>
        <w:rPr>
          <w:rFonts w:ascii="Arial" w:cs="Arial" w:eastAsia="Arial" w:hAnsi="Arial"/>
          <w:sz w:val="22"/>
          <w:szCs w:val="22"/>
          <w:color w:val="auto"/>
        </w:rPr>
        <w:t>” means three percent (3.0%) of the gross proceeds of Shares sold pursuant to this Agreement, or as otherwise agreed between the Company and the Agent with respect to any Shares sold pursuant to this Agreement.</w:t>
      </w:r>
    </w:p>
    <w:p>
      <w:pPr>
        <w:spacing w:after="0" w:line="177" w:lineRule="exact"/>
        <w:rPr>
          <w:sz w:val="20"/>
          <w:szCs w:val="20"/>
          <w:color w:val="auto"/>
        </w:rPr>
      </w:pPr>
    </w:p>
    <w:p>
      <w:pPr>
        <w:jc w:val="both"/>
        <w:ind w:firstLine="702"/>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Date</w:t>
      </w:r>
      <w:r>
        <w:rPr>
          <w:rFonts w:ascii="Arial" w:cs="Arial" w:eastAsia="Arial" w:hAnsi="Arial"/>
          <w:sz w:val="22"/>
          <w:szCs w:val="22"/>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58" w:name="page59"/>
    <w:bookmarkEnd w:id="58"/>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shall mean the Company’s Common Shares issued or issuable pursuant to this Agreement.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REPRESENTATIONS AND WARRANTIES OF THE COMPANY</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Company represents and warrants to, and agrees with, the Agent that as of (1) the date of this Agreement, (2) each Issuance Notice Date, (3) each Settlement Date, (4) each Triggering Event Date and (5) as of each Time of Sale (each of the times referenced above is referred to herein as a “</w:t>
      </w:r>
      <w:r>
        <w:rPr>
          <w:rFonts w:ascii="Arial" w:cs="Arial" w:eastAsia="Arial" w:hAnsi="Arial"/>
          <w:sz w:val="22"/>
          <w:szCs w:val="22"/>
          <w:b w:val="1"/>
          <w:bCs w:val="1"/>
          <w:color w:val="auto"/>
        </w:rPr>
        <w:t>Representation Date</w:t>
      </w:r>
      <w:r>
        <w:rPr>
          <w:rFonts w:ascii="Arial" w:cs="Arial" w:eastAsia="Arial" w:hAnsi="Arial"/>
          <w:sz w:val="22"/>
          <w:szCs w:val="22"/>
          <w:color w:val="auto"/>
        </w:rPr>
        <w:t>”), except as may be disclosed in the Prospectus (including any documents incorporated by reference therein and any supplements thereto) on or before a Representation Date, and unless such representation, warranty or agreement specifies a different time:</w:t>
      </w:r>
    </w:p>
    <w:p>
      <w:pPr>
        <w:spacing w:after="0" w:line="188" w:lineRule="exact"/>
        <w:rPr>
          <w:sz w:val="20"/>
          <w:szCs w:val="20"/>
          <w:color w:val="auto"/>
        </w:rPr>
      </w:pPr>
    </w:p>
    <w:p>
      <w:pPr>
        <w:jc w:val="both"/>
        <w:ind w:firstLine="656"/>
        <w:spacing w:after="0" w:line="269" w:lineRule="auto"/>
        <w:tabs>
          <w:tab w:leader="none" w:pos="12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Company has prepared and has filed, or will file, with the Commission a shelf registration statement on Form S-3 that contains a base prospectus (the “</w:t>
      </w:r>
      <w:r>
        <w:rPr>
          <w:rFonts w:ascii="Arial" w:cs="Arial" w:eastAsia="Arial" w:hAnsi="Arial"/>
          <w:sz w:val="19"/>
          <w:szCs w:val="19"/>
          <w:b w:val="1"/>
          <w:bCs w:val="1"/>
          <w:color w:val="auto"/>
        </w:rPr>
        <w:t>Base Prospectus</w:t>
      </w:r>
      <w:r>
        <w:rPr>
          <w:rFonts w:ascii="Arial" w:cs="Arial" w:eastAsia="Arial" w:hAnsi="Arial"/>
          <w:sz w:val="19"/>
          <w:szCs w:val="19"/>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Base Prospectus constituting a part of such registration statement(s), together with any prospectus supplement filed with the Commission pursuant to Rule 424(b) under the Securities Act relating to the Shares to be issued from time to time by the Company,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first becomes effective is herein called the “</w:t>
      </w:r>
      <w:r>
        <w:rPr>
          <w:rFonts w:ascii="Arial" w:cs="Arial" w:eastAsia="Arial" w:hAnsi="Arial"/>
          <w:sz w:val="19"/>
          <w:szCs w:val="19"/>
          <w:b w:val="1"/>
          <w:bCs w:val="1"/>
          <w:color w:val="auto"/>
        </w:rPr>
        <w:t>Original Registration Statement</w:t>
      </w:r>
      <w:r>
        <w:rPr>
          <w:rFonts w:ascii="Arial" w:cs="Arial" w:eastAsia="Arial" w:hAnsi="Arial"/>
          <w:sz w:val="19"/>
          <w:szCs w:val="19"/>
          <w:color w:val="auto"/>
        </w:rPr>
        <w:t>.” As used in this Agreement, the terms “amend,” “amendment” or “supplement” when applied to the Registration Statement, the Prospectus or any Issuer Free Writing Prospectus shall be deemed to refer to and include the filing by the Company with the Commission of any document under the Exchange Act on or after the most-recent effective date of the Registration Statement, or the date of the Prospectus or such Issuer Free Writing Prospectus, as the case may be, that is or is deemed to be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9"/>
          <w:szCs w:val="19"/>
          <w:b w:val="1"/>
          <w:bCs w:val="1"/>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9" w:name="page60"/>
    <w:bookmarkEnd w:id="59"/>
    <w:p>
      <w:pPr>
        <w:jc w:val="both"/>
        <w:ind w:firstLine="648"/>
        <w:spacing w:after="0" w:line="245" w:lineRule="auto"/>
        <w:rPr>
          <w:sz w:val="20"/>
          <w:szCs w:val="20"/>
          <w:color w:val="auto"/>
        </w:rPr>
      </w:pPr>
      <w:r>
        <w:rPr>
          <w:rFonts w:ascii="Arial" w:cs="Arial" w:eastAsia="Arial" w:hAnsi="Arial"/>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During the Agency Period, each time the Company files an annual report on Form 10-K the Company will meet the then-applicable requirements for use of Form S-3 under the Securities Act.</w:t>
      </w:r>
    </w:p>
    <w:p>
      <w:pPr>
        <w:spacing w:after="0" w:line="175" w:lineRule="exact"/>
        <w:rPr>
          <w:sz w:val="20"/>
          <w:szCs w:val="20"/>
          <w:color w:val="auto"/>
        </w:rPr>
      </w:pPr>
    </w:p>
    <w:p>
      <w:pPr>
        <w:jc w:val="both"/>
        <w:ind w:firstLine="656"/>
        <w:spacing w:after="0" w:line="246" w:lineRule="auto"/>
        <w:tabs>
          <w:tab w:leader="none" w:pos="129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Original Registration Statement and any Rule 462(b) Registration Statement (as defined below) will be declared effective by the Commission under the Securities Act prior to the date of their first use.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Prospectus as of its date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at the time it became or becomes effective and at each Settlement Date,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0" w:name="page61"/>
    <w:bookmarkEnd w:id="60"/>
    <w:p>
      <w:pPr>
        <w:jc w:val="both"/>
        <w:spacing w:after="0" w:line="238" w:lineRule="auto"/>
        <w:rPr>
          <w:sz w:val="20"/>
          <w:szCs w:val="20"/>
          <w:color w:val="auto"/>
        </w:rPr>
      </w:pPr>
      <w:r>
        <w:rPr>
          <w:rFonts w:ascii="Arial" w:cs="Arial" w:eastAsia="Arial" w:hAnsi="Arial"/>
          <w:sz w:val="22"/>
          <w:szCs w:val="22"/>
          <w:color w:val="auto"/>
        </w:rPr>
        <w:t>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12" w:lineRule="exact"/>
        <w:rPr>
          <w:sz w:val="20"/>
          <w:szCs w:val="20"/>
          <w:color w:val="auto"/>
        </w:rPr>
      </w:pPr>
    </w:p>
    <w:p>
      <w:pPr>
        <w:jc w:val="both"/>
        <w:ind w:firstLine="656"/>
        <w:spacing w:after="0" w:line="279"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Incorporated Documents</w:t>
      </w:r>
      <w:r>
        <w:rPr>
          <w:rFonts w:ascii="Arial" w:cs="Arial" w:eastAsia="Arial" w:hAnsi="Arial"/>
          <w:sz w:val="19"/>
          <w:szCs w:val="19"/>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0" w:lineRule="exact"/>
        <w:rPr>
          <w:rFonts w:ascii="Arial" w:cs="Arial" w:eastAsia="Arial" w:hAnsi="Arial"/>
          <w:sz w:val="19"/>
          <w:szCs w:val="19"/>
          <w:color w:val="auto"/>
        </w:rPr>
      </w:pPr>
    </w:p>
    <w:p>
      <w:pPr>
        <w:jc w:val="both"/>
        <w:ind w:firstLine="656"/>
        <w:spacing w:after="0" w:line="279"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Stock Exchange Listing</w:t>
      </w:r>
      <w:r>
        <w:rPr>
          <w:rFonts w:ascii="Arial" w:cs="Arial" w:eastAsia="Arial" w:hAnsi="Arial"/>
          <w:sz w:val="19"/>
          <w:szCs w:val="19"/>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50"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Conformity with Securities Act and Exchange Act</w:t>
      </w:r>
      <w:r>
        <w:rPr>
          <w:rFonts w:ascii="Arial" w:cs="Arial" w:eastAsia="Arial" w:hAnsi="Arial"/>
          <w:sz w:val="19"/>
          <w:szCs w:val="19"/>
          <w:color w:val="auto"/>
        </w:rPr>
        <w:t>. The Registration Statement, the Prospectus, any Issuer Free Writing Prospectus or any amendment or supplement thereto, and any documents incorporated by reference therein,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47"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(subject, in the case of unaudited statements, to normal and recurring year-end audit adjustments) and have been prepared in compliance with the requirements of the Securities Act and Exchange Act, as applicable, and in conformity with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(except for such adjustments to accounting standards and practices as are noted therein) during the periods involved (except that any interim statements are in condensed form and do not contain all footnotes that would be required under GAAP and are subject to year-end audit adjustments); the other financial and statistical data with respect to the Company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(in the case of financial data only)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1" w:name="page62"/>
    <w:bookmarkEnd w:id="61"/>
    <w:p>
      <w:pPr>
        <w:jc w:val="both"/>
        <w:spacing w:after="0" w:line="274" w:lineRule="auto"/>
        <w:rPr>
          <w:sz w:val="20"/>
          <w:szCs w:val="20"/>
          <w:color w:val="auto"/>
        </w:rPr>
      </w:pPr>
      <w:r>
        <w:rPr>
          <w:rFonts w:ascii="Arial" w:cs="Arial" w:eastAsia="Arial" w:hAnsi="Arial"/>
          <w:sz w:val="19"/>
          <w:szCs w:val="19"/>
          <w:color w:val="auto"/>
        </w:rPr>
        <w:t>contingent (including any off-balance sheet obligations), that are required to be described in the Registration Statement and the Prospectus that are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58" w:lineRule="exact"/>
        <w:rPr>
          <w:sz w:val="20"/>
          <w:szCs w:val="20"/>
          <w:color w:val="auto"/>
        </w:rPr>
      </w:pPr>
    </w:p>
    <w:p>
      <w:pPr>
        <w:jc w:val="both"/>
        <w:ind w:firstLine="656"/>
        <w:spacing w:after="0" w:line="238"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Conformity with EDGAR Filing</w:t>
      </w:r>
      <w:r>
        <w:rPr>
          <w:rFonts w:ascii="Arial" w:cs="Arial" w:eastAsia="Arial" w:hAnsi="Arial"/>
          <w:sz w:val="22"/>
          <w:szCs w:val="22"/>
          <w:color w:val="auto"/>
        </w:rPr>
        <w:t>. The Prospectus delivered to Agent for use in connection with the sale of the Shares pursuant to this Agreement will be identical to the versions of the Prospectus created to be transmitted to the Commission for filing via EDGAR, except to the extent permitted by Regulation S-T under the Securities Act.</w:t>
      </w:r>
    </w:p>
    <w:p>
      <w:pPr>
        <w:spacing w:after="0" w:line="184"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Organization</w:t>
      </w:r>
      <w:r>
        <w:rPr>
          <w:rFonts w:ascii="Arial" w:cs="Arial" w:eastAsia="Arial" w:hAnsi="Arial"/>
          <w:sz w:val="21"/>
          <w:szCs w:val="21"/>
          <w:color w:val="auto"/>
        </w:rPr>
        <w:t>. The Company is duly incorporated, validly existing as a corporation and in good standing under the laws of its jurisdiction of incorporation. The Company is duly licensed or qualified as a foreign corporation for the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or prevent or materially interfere with consummation of the transactions contemplated hereby (a “</w:t>
      </w:r>
      <w:r>
        <w:rPr>
          <w:rFonts w:ascii="Arial" w:cs="Arial" w:eastAsia="Arial" w:hAnsi="Arial"/>
          <w:sz w:val="21"/>
          <w:szCs w:val="21"/>
          <w:b w:val="1"/>
          <w:bCs w:val="1"/>
          <w:color w:val="auto"/>
        </w:rPr>
        <w:t>Material Adverse</w:t>
      </w:r>
      <w:r>
        <w:rPr>
          <w:rFonts w:ascii="Arial" w:cs="Arial" w:eastAsia="Arial" w:hAnsi="Arial"/>
          <w:sz w:val="21"/>
          <w:szCs w:val="21"/>
          <w:color w:val="auto"/>
        </w:rPr>
        <w:t xml:space="preserve"> </w:t>
      </w:r>
      <w:r>
        <w:rPr>
          <w:rFonts w:ascii="Arial" w:cs="Arial" w:eastAsia="Arial" w:hAnsi="Arial"/>
          <w:sz w:val="21"/>
          <w:szCs w:val="21"/>
          <w:b w:val="1"/>
          <w:bCs w:val="1"/>
          <w:color w:val="auto"/>
        </w:rPr>
        <w:t>Effect</w:t>
      </w:r>
      <w:r>
        <w:rPr>
          <w:rFonts w:ascii="Arial" w:cs="Arial" w:eastAsia="Arial" w:hAnsi="Arial"/>
          <w:sz w:val="21"/>
          <w:szCs w:val="21"/>
          <w:color w:val="auto"/>
        </w:rPr>
        <w:t>”).</w:t>
      </w:r>
    </w:p>
    <w:p>
      <w:pPr>
        <w:spacing w:after="0" w:line="188" w:lineRule="exact"/>
        <w:rPr>
          <w:rFonts w:ascii="Arial" w:cs="Arial" w:eastAsia="Arial" w:hAnsi="Arial"/>
          <w:sz w:val="21"/>
          <w:szCs w:val="21"/>
          <w:color w:val="auto"/>
        </w:rPr>
      </w:pPr>
    </w:p>
    <w:p>
      <w:pPr>
        <w:ind w:left="1300" w:hanging="644"/>
        <w:spacing w:after="0"/>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The Company has no subsidiaries (as defined in Rule 405 under the Securities Act).</w:t>
      </w:r>
    </w:p>
    <w:p>
      <w:pPr>
        <w:spacing w:after="0" w:line="240"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No Violation or Default</w:t>
      </w:r>
      <w:r>
        <w:rPr>
          <w:rFonts w:ascii="Arial" w:cs="Arial" w:eastAsia="Arial" w:hAnsi="Arial"/>
          <w:sz w:val="21"/>
          <w:szCs w:val="21"/>
          <w:color w:val="auto"/>
        </w:rPr>
        <w:t>. The Company is not (i) in violation of its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are subject (an “</w:t>
      </w:r>
      <w:r>
        <w:rPr>
          <w:rFonts w:ascii="Arial" w:cs="Arial" w:eastAsia="Arial" w:hAnsi="Arial"/>
          <w:sz w:val="21"/>
          <w:szCs w:val="21"/>
          <w:b w:val="1"/>
          <w:bCs w:val="1"/>
          <w:color w:val="auto"/>
        </w:rPr>
        <w:t>Existing</w:t>
      </w:r>
      <w:r>
        <w:rPr>
          <w:rFonts w:ascii="Arial" w:cs="Arial" w:eastAsia="Arial" w:hAnsi="Arial"/>
          <w:sz w:val="21"/>
          <w:szCs w:val="21"/>
          <w:color w:val="auto"/>
        </w:rPr>
        <w:t xml:space="preserve"> </w:t>
      </w:r>
      <w:r>
        <w:rPr>
          <w:rFonts w:ascii="Arial" w:cs="Arial" w:eastAsia="Arial" w:hAnsi="Arial"/>
          <w:sz w:val="21"/>
          <w:szCs w:val="21"/>
          <w:b w:val="1"/>
          <w:bCs w:val="1"/>
          <w:color w:val="auto"/>
        </w:rPr>
        <w:t>Instrument</w:t>
      </w:r>
      <w:r>
        <w:rPr>
          <w:rFonts w:ascii="Arial" w:cs="Arial" w:eastAsia="Arial" w:hAnsi="Arial"/>
          <w:sz w:val="21"/>
          <w:szCs w:val="21"/>
          <w:color w:val="auto"/>
        </w:rPr>
        <w:t>”); or (iii) in violation of any law or statute or any judgment, order, rule or regulation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except, in the case of each of clauses (ii) and (iii) above, for any such violation or default that would not, individually or in the aggregate, reasonably be expected to have a Material Adverse Effect.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2" w:name="page63"/>
    <w:bookmarkEnd w:id="62"/>
    <w:p>
      <w:pPr>
        <w:spacing w:after="0"/>
        <w:rPr>
          <w:sz w:val="20"/>
          <w:szCs w:val="20"/>
          <w:color w:val="auto"/>
        </w:rPr>
      </w:pPr>
      <w:r>
        <w:rPr>
          <w:rFonts w:ascii="Arial" w:cs="Arial" w:eastAsia="Arial" w:hAnsi="Arial"/>
          <w:sz w:val="21"/>
          <w:szCs w:val="21"/>
          <w:color w:val="auto"/>
        </w:rPr>
        <w:t>will not result in any violation of the provisions of the certificate of incorporation or bylaws of the Company</w:t>
      </w:r>
    </w:p>
    <w:p>
      <w:pPr>
        <w:spacing w:after="0" w:line="20" w:lineRule="exact"/>
        <w:rPr>
          <w:sz w:val="20"/>
          <w:szCs w:val="20"/>
          <w:color w:val="auto"/>
        </w:rPr>
      </w:pPr>
    </w:p>
    <w:p>
      <w:pPr>
        <w:jc w:val="both"/>
        <w:ind w:firstLine="8"/>
        <w:spacing w:after="0" w:line="243" w:lineRule="auto"/>
        <w:tabs>
          <w:tab w:leader="none" w:pos="331" w:val="left"/>
        </w:tabs>
        <w:numPr>
          <w:ilvl w:val="0"/>
          <w:numId w:val="53"/>
        </w:numPr>
        <w:rPr>
          <w:rFonts w:ascii="Arial" w:cs="Arial" w:eastAsia="Arial" w:hAnsi="Arial"/>
          <w:sz w:val="21"/>
          <w:szCs w:val="21"/>
          <w:color w:val="auto"/>
        </w:rPr>
      </w:pPr>
      <w:r>
        <w:rPr>
          <w:rFonts w:ascii="Arial" w:cs="Arial" w:eastAsia="Arial" w:hAnsi="Arial"/>
          <w:sz w:val="21"/>
          <w:szCs w:val="21"/>
          <w:color w:val="auto"/>
        </w:rPr>
        <w:t>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Arial" w:cs="Arial" w:eastAsia="Arial" w:hAnsi="Arial"/>
          <w:sz w:val="21"/>
          <w:szCs w:val="21"/>
          <w:b w:val="1"/>
          <w:bCs w:val="1"/>
          <w:color w:val="auto"/>
        </w:rPr>
        <w:t>Debt Repayment Triggering Event</w:t>
      </w:r>
      <w:r>
        <w:rPr>
          <w:rFonts w:ascii="Arial" w:cs="Arial" w:eastAsia="Arial" w:hAnsi="Arial"/>
          <w:sz w:val="21"/>
          <w:szCs w:val="21"/>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82" w:lineRule="exact"/>
        <w:rPr>
          <w:rFonts w:ascii="Arial" w:cs="Arial" w:eastAsia="Arial" w:hAnsi="Arial"/>
          <w:sz w:val="21"/>
          <w:szCs w:val="21"/>
          <w:color w:val="auto"/>
        </w:rPr>
      </w:pPr>
    </w:p>
    <w:p>
      <w:pPr>
        <w:jc w:val="both"/>
        <w:ind w:firstLine="656"/>
        <w:spacing w:after="0" w:line="272" w:lineRule="auto"/>
        <w:tabs>
          <w:tab w:leader="none" w:pos="129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Subsequent to the respective dates as of which information is given in the Registration Statement, the Prospectus and the Issuer Free Writing Prospectuses, if any (including any documents incorporated by reference therein), there has not been (i) any Material Adverse Effect or the occurrence of any development that the Company reasonably expects will result in a Material Adverse Effect, (ii) any transaction which is material to the Company, (iii) any material obligation or liability, direct or contingent (including any off-balance sheet obligations), incurred by the Company, (iv) any material change in the capital stock or any material increase in the outstanding long-term indebtedness of the Company (other than (a) as a result of the sale of Shares, or (b) changes in the number of shares of outstanding Common Stock of the Company due to the issuance of shares upon the exercise or conversion of securities exercisable for, or convertible into, shares of Common Stock outstanding on the date hereof, or the vesting of restricted stock units outstanding on the date hereof)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spacing w:after="0" w:line="155" w:lineRule="exact"/>
        <w:rPr>
          <w:rFonts w:ascii="Arial" w:cs="Arial" w:eastAsia="Arial" w:hAnsi="Arial"/>
          <w:sz w:val="19"/>
          <w:szCs w:val="19"/>
          <w:color w:val="auto"/>
        </w:rPr>
      </w:pPr>
    </w:p>
    <w:p>
      <w:pPr>
        <w:jc w:val="both"/>
        <w:ind w:firstLine="656"/>
        <w:spacing w:after="0" w:line="271" w:lineRule="auto"/>
        <w:tabs>
          <w:tab w:leader="none" w:pos="1296"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or other securities under the Company’s existing employee benefits plans, or changes in the number of outstanding shares of Common Stock of the Company due to the issuance of shares upon the exercise or conversion of securities exercisable for, or convertible into, Common Stock outstanding on the date hereof, or due to the issuance of shares in connection with Company’s Employee Stock Purchase Plan)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3" w:name="page64"/>
    <w:bookmarkEnd w:id="63"/>
    <w:p>
      <w:pPr>
        <w:spacing w:after="0" w:line="250" w:lineRule="auto"/>
        <w:rPr>
          <w:sz w:val="20"/>
          <w:szCs w:val="20"/>
          <w:color w:val="auto"/>
        </w:rPr>
      </w:pPr>
      <w:r>
        <w:rPr>
          <w:rFonts w:ascii="Arial" w:cs="Arial" w:eastAsia="Arial" w:hAnsi="Arial"/>
          <w:sz w:val="22"/>
          <w:szCs w:val="22"/>
          <w:color w:val="auto"/>
        </w:rPr>
        <w:t>into, or exchangeable for, or any contracts or commitments to issue or sell, any shares of capital stock or other securities.</w:t>
      </w:r>
    </w:p>
    <w:p>
      <w:pPr>
        <w:spacing w:after="0" w:line="175" w:lineRule="exact"/>
        <w:rPr>
          <w:sz w:val="20"/>
          <w:szCs w:val="20"/>
          <w:color w:val="auto"/>
        </w:rPr>
      </w:pPr>
    </w:p>
    <w:p>
      <w:pPr>
        <w:jc w:val="both"/>
        <w:ind w:firstLine="656"/>
        <w:spacing w:after="0" w:line="246" w:lineRule="auto"/>
        <w:tabs>
          <w:tab w:leader="none" w:pos="1296"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and that the enforceability of the indemnification and contribution provisions may be limited by federal and state securities laws and principles of public policy.</w:t>
      </w:r>
    </w:p>
    <w:p>
      <w:pPr>
        <w:spacing w:after="0" w:line="184" w:lineRule="exact"/>
        <w:rPr>
          <w:rFonts w:ascii="Arial" w:cs="Arial" w:eastAsia="Arial" w:hAnsi="Arial"/>
          <w:sz w:val="21"/>
          <w:szCs w:val="21"/>
          <w:color w:val="auto"/>
        </w:rPr>
      </w:pPr>
    </w:p>
    <w:p>
      <w:pPr>
        <w:jc w:val="both"/>
        <w:ind w:firstLine="656"/>
        <w:spacing w:after="0" w:line="245" w:lineRule="auto"/>
        <w:tabs>
          <w:tab w:leader="none" w:pos="1296"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Authorization of Shares</w:t>
      </w:r>
      <w:r>
        <w:rPr>
          <w:rFonts w:ascii="Arial" w:cs="Arial" w:eastAsia="Arial" w:hAnsi="Arial"/>
          <w:sz w:val="21"/>
          <w:szCs w:val="21"/>
          <w:color w:val="auto"/>
        </w:rPr>
        <w:t>. The Shares, when issued and delivered pursuant to the terms approved by the board of directors of the Company or a duly authorized committee thereof, or a duly authorized Executive Committee, against payment therefor as provided herein, will be duly authorized, validly issued,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to subscribe for or purchase the Shares, and will be registered pursuant to Section 12 of the Exchange Act. The Shares, when issued, will conform in all material respects to the description thereof set forth in or incorporated into the Prospectus.</w:t>
      </w:r>
    </w:p>
    <w:p>
      <w:pPr>
        <w:spacing w:after="0" w:line="184" w:lineRule="exact"/>
        <w:rPr>
          <w:rFonts w:ascii="Arial" w:cs="Arial" w:eastAsia="Arial" w:hAnsi="Arial"/>
          <w:sz w:val="21"/>
          <w:szCs w:val="21"/>
          <w:color w:val="auto"/>
        </w:rPr>
      </w:pPr>
    </w:p>
    <w:p>
      <w:pPr>
        <w:jc w:val="both"/>
        <w:ind w:firstLine="656"/>
        <w:spacing w:after="0" w:line="279"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 Consents Required</w:t>
      </w:r>
      <w:r>
        <w:rPr>
          <w:rFonts w:ascii="Arial" w:cs="Arial" w:eastAsia="Arial" w:hAnsi="Arial"/>
          <w:sz w:val="19"/>
          <w:szCs w:val="19"/>
          <w:color w:val="auto"/>
        </w:rPr>
        <w:t>. No consent, approval, authorization, order, registration or qualification of or with any Governmental Authority is required for the execution, delivery and performance by the Company of this Agreement, the issuance and sale by the Company of the Shares, except for the registration of the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9"/>
          <w:szCs w:val="19"/>
          <w:b w:val="1"/>
          <w:bCs w:val="1"/>
          <w:color w:val="auto"/>
        </w:rPr>
        <w:t>FINRA</w:t>
      </w:r>
      <w:r>
        <w:rPr>
          <w:rFonts w:ascii="Arial" w:cs="Arial" w:eastAsia="Arial" w:hAnsi="Arial"/>
          <w:sz w:val="19"/>
          <w:szCs w:val="19"/>
          <w:color w:val="auto"/>
        </w:rPr>
        <w:t>”) or the Exchange in connection with the sale of the Shares by the Agent.</w:t>
      </w:r>
    </w:p>
    <w:p>
      <w:pPr>
        <w:spacing w:after="0" w:line="150"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 Preferential Rights</w:t>
      </w:r>
      <w:r>
        <w:rPr>
          <w:rFonts w:ascii="Arial" w:cs="Arial" w:eastAsia="Arial" w:hAnsi="Arial"/>
          <w:sz w:val="21"/>
          <w:szCs w:val="21"/>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21"/>
          <w:szCs w:val="21"/>
          <w:b w:val="1"/>
          <w:bCs w:val="1"/>
          <w:color w:val="auto"/>
        </w:rPr>
        <w:t>Person</w:t>
      </w:r>
      <w:r>
        <w:rPr>
          <w:rFonts w:ascii="Arial" w:cs="Arial" w:eastAsia="Arial" w:hAnsi="Arial"/>
          <w:sz w:val="21"/>
          <w:szCs w:val="21"/>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securities that may be granted from time to time under the Company’s equity incentive plans and which are disclosed in the Registration Statement and Prospectus),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4" w:name="page65"/>
    <w:bookmarkEnd w:id="64"/>
    <w:p>
      <w:pPr>
        <w:ind w:right="20"/>
        <w:spacing w:after="0" w:line="250" w:lineRule="auto"/>
        <w:rPr>
          <w:sz w:val="20"/>
          <w:szCs w:val="20"/>
          <w:color w:val="auto"/>
        </w:rPr>
      </w:pPr>
      <w:r>
        <w:rPr>
          <w:rFonts w:ascii="Arial" w:cs="Arial" w:eastAsia="Arial" w:hAnsi="Arial"/>
          <w:sz w:val="22"/>
          <w:szCs w:val="22"/>
          <w:color w:val="auto"/>
        </w:rPr>
        <w:t>Shares as contemplated thereby or otherwise, except for such rights as have been waived in writing on or prior to the date hereof.</w:t>
      </w:r>
    </w:p>
    <w:p>
      <w:pPr>
        <w:spacing w:after="0" w:line="175" w:lineRule="exact"/>
        <w:rPr>
          <w:sz w:val="20"/>
          <w:szCs w:val="20"/>
          <w:color w:val="auto"/>
        </w:rPr>
      </w:pPr>
    </w:p>
    <w:p>
      <w:pPr>
        <w:jc w:val="both"/>
        <w:ind w:firstLine="656"/>
        <w:spacing w:after="0" w:line="246"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Independent Public Accounting Firm</w:t>
      </w:r>
      <w:r>
        <w:rPr>
          <w:rFonts w:ascii="Arial" w:cs="Arial" w:eastAsia="Arial" w:hAnsi="Arial"/>
          <w:sz w:val="21"/>
          <w:szCs w:val="21"/>
          <w:color w:val="auto"/>
        </w:rPr>
        <w:t>. Ernst &amp; Young LLP, whose report on the financial statements of the Company is filed with the Commission as part of the Company’s most recent Annual Report on Form 10-K filed with the Commission and incorporated by reference into the Registration Statement and the Prospectus, is, and during the periods covered by Ernst &amp; Young LLP’s report was, an independent registered public accounting firm within the meaning of the Securities Act and the Public Company Accounting Oversight Board (United States) (the “</w:t>
      </w:r>
      <w:r>
        <w:rPr>
          <w:rFonts w:ascii="Arial" w:cs="Arial" w:eastAsia="Arial" w:hAnsi="Arial"/>
          <w:sz w:val="21"/>
          <w:szCs w:val="21"/>
          <w:b w:val="1"/>
          <w:bCs w:val="1"/>
          <w:color w:val="auto"/>
        </w:rPr>
        <w:t>PCAOB</w:t>
      </w:r>
      <w:r>
        <w:rPr>
          <w:rFonts w:ascii="Arial" w:cs="Arial" w:eastAsia="Arial" w:hAnsi="Arial"/>
          <w:sz w:val="21"/>
          <w:szCs w:val="21"/>
          <w:color w:val="auto"/>
        </w:rPr>
        <w:t>”). To the Company’s knowledge, Ernst &amp; Young LLP is not in violation of the auditor independence requirements of the Sarbanes-Oxley Act of 2002 (the “</w:t>
      </w:r>
      <w:r>
        <w:rPr>
          <w:rFonts w:ascii="Arial" w:cs="Arial" w:eastAsia="Arial" w:hAnsi="Arial"/>
          <w:sz w:val="21"/>
          <w:szCs w:val="21"/>
          <w:b w:val="1"/>
          <w:bCs w:val="1"/>
          <w:color w:val="auto"/>
        </w:rPr>
        <w:t>Sarbanes-Oxley Act</w:t>
      </w:r>
      <w:r>
        <w:rPr>
          <w:rFonts w:ascii="Arial" w:cs="Arial" w:eastAsia="Arial" w:hAnsi="Arial"/>
          <w:sz w:val="21"/>
          <w:szCs w:val="21"/>
          <w:color w:val="auto"/>
        </w:rPr>
        <w:t>”) with respect to the Company.</w:t>
      </w:r>
    </w:p>
    <w:p>
      <w:pPr>
        <w:spacing w:after="0" w:line="179" w:lineRule="exact"/>
        <w:rPr>
          <w:rFonts w:ascii="Arial" w:cs="Arial" w:eastAsia="Arial" w:hAnsi="Arial"/>
          <w:sz w:val="21"/>
          <w:szCs w:val="21"/>
          <w:color w:val="auto"/>
        </w:rPr>
      </w:pPr>
    </w:p>
    <w:p>
      <w:pPr>
        <w:jc w:val="both"/>
        <w:ind w:firstLine="656"/>
        <w:spacing w:after="0" w:line="273"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Except as set forth in the Registration Statement or the Prospectus, there are no legal, governmental or regulatory actions, suits, or proceedings pending, nor, to the Company’s knowledge, any legal, governmental or regulatory audits or investigations, to which the Company is a party or of which any property of the Company is the subject that, if determined adversely to the Company, would reasonably be expected to have a Material Adverse Effect, and, to the Company’s knowledge, no such actions, suits or proceedings are threatened by any Governmental Authority or threatened by others that, individually or in the aggregate, if determined adversely to the Company, would reasonably be expected to have a Material Adverse Effect; and (i) there are no pending legal, governmental or regulatory audits, actions, suits or proceedings, or, to the Company’s knowledge, investigations,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55" w:lineRule="exact"/>
        <w:rPr>
          <w:rFonts w:ascii="Arial" w:cs="Arial" w:eastAsia="Arial" w:hAnsi="Arial"/>
          <w:sz w:val="19"/>
          <w:szCs w:val="19"/>
          <w:color w:val="auto"/>
        </w:rPr>
      </w:pPr>
    </w:p>
    <w:p>
      <w:pPr>
        <w:jc w:val="both"/>
        <w:ind w:firstLine="656"/>
        <w:spacing w:after="0" w:line="279"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The Company possesses all licenses, certificates, permits and other authorizations issued by all applicable 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Registration Statement and the Prospectus (exclusive of any supplement thereto).</w:t>
      </w:r>
    </w:p>
    <w:p>
      <w:pPr>
        <w:spacing w:after="0" w:line="150"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Regulatory Filings</w:t>
      </w:r>
      <w:r>
        <w:rPr>
          <w:rFonts w:ascii="Arial" w:cs="Arial" w:eastAsia="Arial" w:hAnsi="Arial"/>
          <w:sz w:val="21"/>
          <w:szCs w:val="21"/>
          <w:color w:val="auto"/>
        </w:rPr>
        <w:t>. Except as described in the Registration Statement and Prospectus, and as would 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 behalf of the Company (a “</w:t>
      </w:r>
      <w:r>
        <w:rPr>
          <w:rFonts w:ascii="Arial" w:cs="Arial" w:eastAsia="Arial" w:hAnsi="Arial"/>
          <w:sz w:val="21"/>
          <w:szCs w:val="21"/>
          <w:b w:val="1"/>
          <w:bCs w:val="1"/>
          <w:color w:val="auto"/>
        </w:rPr>
        <w:t>Company Product</w:t>
      </w:r>
      <w:r>
        <w:rPr>
          <w:rFonts w:ascii="Arial" w:cs="Arial" w:eastAsia="Arial" w:hAnsi="Arial"/>
          <w:sz w:val="21"/>
          <w:szCs w:val="21"/>
          <w:color w:val="auto"/>
        </w:rPr>
        <w:t>”), including without limitation, the Federal Food, Drug, and Cosmetic Act, 21 U.S.C. §301, et seq., the Public Health Service Act, 42 U.S.C. §262, similar laws of other governmental entities and the regulations promulgated pursuant to such laws (collectively, “</w:t>
      </w:r>
      <w:r>
        <w:rPr>
          <w:rFonts w:ascii="Arial" w:cs="Arial" w:eastAsia="Arial" w:hAnsi="Arial"/>
          <w:sz w:val="21"/>
          <w:szCs w:val="21"/>
          <w:b w:val="1"/>
          <w:bCs w:val="1"/>
          <w:color w:val="auto"/>
        </w:rPr>
        <w:t>Applicable Laws</w:t>
      </w:r>
      <w:r>
        <w:rPr>
          <w:rFonts w:ascii="Arial" w:cs="Arial" w:eastAsia="Arial" w:hAnsi="Arial"/>
          <w:sz w:val="21"/>
          <w:szCs w:val="21"/>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and the Prospectus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Authorizations</w:t>
      </w:r>
      <w:r>
        <w:rPr>
          <w:rFonts w:ascii="Arial" w:cs="Arial" w:eastAsia="Arial" w:hAnsi="Arial"/>
          <w:sz w:val="19"/>
          <w:szCs w:val="19"/>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Arial" w:cs="Arial" w:eastAsia="Arial" w:hAnsi="Arial"/>
          <w:sz w:val="19"/>
          <w:szCs w:val="19"/>
          <w:b w:val="1"/>
          <w:bCs w:val="1"/>
          <w:color w:val="auto"/>
        </w:rPr>
        <w:t>FDA</w:t>
      </w:r>
      <w:r>
        <w:rPr>
          <w:rFonts w:ascii="Arial" w:cs="Arial" w:eastAsia="Arial" w:hAnsi="Arial"/>
          <w:sz w:val="19"/>
          <w:szCs w:val="19"/>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200" w:lineRule="exact"/>
        <w:rPr>
          <w:sz w:val="20"/>
          <w:szCs w:val="20"/>
          <w:color w:val="auto"/>
        </w:rPr>
      </w:pPr>
    </w:p>
    <w:p>
      <w:pPr>
        <w:spacing w:after="0" w:line="203" w:lineRule="exact"/>
        <w:rPr>
          <w:sz w:val="20"/>
          <w:szCs w:val="20"/>
          <w:color w:val="auto"/>
        </w:rPr>
      </w:pPr>
    </w:p>
    <w:p>
      <w:pPr>
        <w:jc w:val="both"/>
        <w:ind w:firstLine="656"/>
        <w:spacing w:after="0" w:line="270" w:lineRule="auto"/>
        <w:tabs>
          <w:tab w:leader="none" w:pos="129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described in the Registration Statement and Prospectus, the Company owns, possesses, licenses or has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Arial" w:cs="Arial" w:eastAsia="Arial" w:hAnsi="Arial"/>
          <w:sz w:val="19"/>
          <w:szCs w:val="19"/>
          <w:b w:val="1"/>
          <w:bCs w:val="1"/>
          <w:color w:val="auto"/>
        </w:rPr>
        <w:t>Intellectual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necessary for the conduct of its business as now conducted except to the extent that the failure to</w:t>
      </w:r>
      <w:r>
        <w:rPr>
          <w:rFonts w:ascii="Arial" w:cs="Arial" w:eastAsia="Arial" w:hAnsi="Arial"/>
          <w:sz w:val="19"/>
          <w:szCs w:val="19"/>
          <w:b w:val="1"/>
          <w:bCs w:val="1"/>
          <w:color w:val="auto"/>
        </w:rPr>
        <w:t xml:space="preserve"> </w:t>
      </w:r>
      <w:r>
        <w:rPr>
          <w:rFonts w:ascii="Arial" w:cs="Arial" w:eastAsia="Arial" w:hAnsi="Arial"/>
          <w:sz w:val="19"/>
          <w:szCs w:val="19"/>
          <w:color w:val="auto"/>
        </w:rPr>
        <w:t>own, possess, license or otherwise hold adequate rights to use such Intellectual Property would not, individually or in the aggregate, reasonably be expected to have a Material Adverse Effect. Except as described in the Registration Statement and Prospectus, and except in each of (i) through (vii) below, as would not, individually or in the aggregate, reasonably be expected to result in a Material Adverse Effect: (i) to the Company’s knowledge, there are no rights of third parties to any such Intellectual Property owned by the Company, except for rights granted to independent contractors of the Company or to academic or other research institutions under research agreements; (ii) to the Company’s knowledge, there is no infringement by third parties of any such Intellectual Property; (iii) there is no pending or, to the Company’s knowledge, threatened action, suit, proceeding or claim by others challenging the Company’s rights in or to any such Intellectual Property; (iv) there is no pending or, to the Company’s knowledge, threatened action, suit, proceeding or claim by others challenging the validity or scope of any issued patent included in such Intellectual Property; (v) there is no pending or, to the Company’s knowledge, threatened action, suit,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21"/>
          <w:szCs w:val="21"/>
          <w:color w:val="auto"/>
        </w:rPr>
        <w:t>claim by others that the Company infringes or otherwise violates any patent, trademark, copyright, trade secret or other proprietary rights of others; (vi) to the Company’s knowledge, there is no U.S. patent or published U.S. patent application owned by a third-party which contains claims for which an Interference Proceeding (as defined in 35 U.S.C. §135) has been commenced against any patent or patent application described in the Prospectus as being owned by or licensed to the Company; and (vii) the Company has not failed to comply with the terms of each agreement pursuant to which Intellectual Property has been licensed to the Company, and all such agreements are in full force and effect.</w:t>
      </w:r>
    </w:p>
    <w:p>
      <w:pPr>
        <w:spacing w:after="0" w:line="184" w:lineRule="exact"/>
        <w:rPr>
          <w:sz w:val="20"/>
          <w:szCs w:val="20"/>
          <w:color w:val="auto"/>
        </w:rPr>
      </w:pPr>
    </w:p>
    <w:p>
      <w:pPr>
        <w:jc w:val="both"/>
        <w:ind w:firstLine="656"/>
        <w:spacing w:after="0" w:line="270" w:lineRule="auto"/>
        <w:tabs>
          <w:tab w:leader="none" w:pos="129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Cybersecurity</w:t>
      </w:r>
      <w:r>
        <w:rPr>
          <w:rFonts w:ascii="Arial" w:cs="Arial" w:eastAsia="Arial" w:hAnsi="Arial"/>
          <w:sz w:val="19"/>
          <w:szCs w:val="19"/>
          <w:color w:val="auto"/>
        </w:rPr>
        <w:t>. The Company’s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are adequate for, and operate and perform in all material respects as required in connection with, the operation of the business of the Company as currently conducted, except as would not reasonably be expected to have a Material Adverse Effect. The Company and its former subsidiaries have implemented and maintained commercially reasonable information technology, information security, cyber security and data protection controls, policies and procedures, including to protect and prevent security breaches of, unauthorized access to and other compromises of IT Systems and Data. The Company has no knowledge of, and is not currently investigating, any cyber attack, security breach, unauthorized access or other compromise to its IT Systems and Data, which attack, breach, unauthorized access or compromise could reasonably be expected to have a Material Adverse Effect. The Company is presently, and at all prior times the Company and its former subsidiaries were, in compliance with all applicable laws or statutes and, to the knowledge of the Company, all judgments, orders, rules and regulations of any court or arbitrator or governmental or regulatory authority, internal policies and contractual obligations to which the Company is and its former subsidiaries were subject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on the Company.</w:t>
      </w:r>
    </w:p>
    <w:p>
      <w:pPr>
        <w:spacing w:after="0" w:line="165"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Compliance with Data Privacy Laws</w:t>
      </w:r>
      <w:r>
        <w:rPr>
          <w:rFonts w:ascii="Arial" w:cs="Arial" w:eastAsia="Arial" w:hAnsi="Arial"/>
          <w:sz w:val="19"/>
          <w:szCs w:val="19"/>
          <w:color w:val="auto"/>
        </w:rPr>
        <w:t>. Except as would not, individually or in the aggregate, reasonably be expected to have a Material Adverse Effect, (A) the Company is, and at all prior times the Company and its former subsidiaries were, in compliance with all applicable state and federal data privacy and security laws and regulations, including without limitation HIPAA, and (B) the Company has taken commercially reasonable actions to prepare to comply with, and since May 25, 2018, has been and currently is in compliance with, to the extent applicable, the European Union General Data Protection Regulation (“</w:t>
      </w:r>
      <w:r>
        <w:rPr>
          <w:rFonts w:ascii="Arial" w:cs="Arial" w:eastAsia="Arial" w:hAnsi="Arial"/>
          <w:sz w:val="19"/>
          <w:szCs w:val="19"/>
          <w:b w:val="1"/>
          <w:bCs w:val="1"/>
          <w:color w:val="auto"/>
        </w:rPr>
        <w:t>GDPR</w:t>
      </w:r>
      <w:r>
        <w:rPr>
          <w:rFonts w:ascii="Arial" w:cs="Arial" w:eastAsia="Arial" w:hAnsi="Arial"/>
          <w:sz w:val="19"/>
          <w:szCs w:val="19"/>
          <w:color w:val="auto"/>
        </w:rPr>
        <w:t>”) (EU 2016/679) (collectively, the “</w:t>
      </w:r>
      <w:r>
        <w:rPr>
          <w:rFonts w:ascii="Arial" w:cs="Arial" w:eastAsia="Arial" w:hAnsi="Arial"/>
          <w:sz w:val="19"/>
          <w:szCs w:val="19"/>
          <w:b w:val="1"/>
          <w:bCs w:val="1"/>
          <w:color w:val="auto"/>
        </w:rPr>
        <w:t>Privacy Laws</w:t>
      </w:r>
      <w:r>
        <w:rPr>
          <w:rFonts w:ascii="Arial" w:cs="Arial" w:eastAsia="Arial" w:hAnsi="Arial"/>
          <w:sz w:val="19"/>
          <w:szCs w:val="19"/>
          <w:color w:val="auto"/>
        </w:rPr>
        <w:t>”). Except as would not, individually or in the aggregate, reasonably be expected to have a Material Adverse Effect, the Company has in place, complies with, and takes appropriate steps reasonably designed to ensure compliance with its policies and procedures relating to data privacy and security and the collection, storage, use, disclosure, handling, and analysis of Personal Data (each, a “</w:t>
      </w:r>
      <w:r>
        <w:rPr>
          <w:rFonts w:ascii="Arial" w:cs="Arial" w:eastAsia="Arial" w:hAnsi="Arial"/>
          <w:sz w:val="19"/>
          <w:szCs w:val="19"/>
          <w:b w:val="1"/>
          <w:bCs w:val="1"/>
          <w:color w:val="auto"/>
        </w:rPr>
        <w:t>Policy</w:t>
      </w:r>
      <w:r>
        <w:rPr>
          <w:rFonts w:ascii="Arial" w:cs="Arial" w:eastAsia="Arial" w:hAnsi="Arial"/>
          <w:sz w:val="19"/>
          <w:szCs w:val="19"/>
          <w:color w:val="auto"/>
        </w:rPr>
        <w:t>”). Except as would not, individually or in the aggregate, reasonably be expected to have a Material Adverse Effect, the Company and its former subsidiaries have at all times made all disclosures to users or customers required by applicable laws and regulatory rules or requirements, and none of such disclosures made or contained in any Policy have, to the knowledge of the Company, been inaccurate or in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9"/>
          <w:szCs w:val="19"/>
          <w:color w:val="auto"/>
        </w:rPr>
        <w:t>of any applicable laws and regulatory rules or requirements. The Company further certifies that neither it nor any former subsidiary: (i) has received notice of any actual or potential liability under or relating to, or actual or potential violation of, any of the Privacy Laws, and has no knowledge of any event or condition that would reasonably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50" w:lineRule="exact"/>
        <w:rPr>
          <w:sz w:val="20"/>
          <w:szCs w:val="20"/>
          <w:color w:val="auto"/>
        </w:rPr>
      </w:pPr>
    </w:p>
    <w:p>
      <w:pPr>
        <w:jc w:val="both"/>
        <w:ind w:firstLine="656"/>
        <w:spacing w:after="0" w:line="273"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Clinical Studies</w:t>
      </w:r>
      <w:r>
        <w:rPr>
          <w:rFonts w:ascii="Arial" w:cs="Arial" w:eastAsia="Arial" w:hAnsi="Arial"/>
          <w:sz w:val="19"/>
          <w:szCs w:val="19"/>
          <w:color w:val="auto"/>
        </w:rPr>
        <w:t>. The clinical studies and tests conducted by the Company, or to the knowledge of the Company or on behalf of the Company, have been and, if still pending, are being conducted in all material respects pursuant to all Applicable Laws and Authorizations; the descriptions of the results of such clinical studies and tests contained in the Registration Statement and the Prospectus are accurate and complete in all material respects and fairly present the data derived from such clinical studies and tests; except to the extent disclosed in the Registration Statement and the Prospectus, the Company is not aware of any clinical studies or tests, the results of which the Company believes reasonably call into question the research, nonclinical or clinical study or test results described or referred to in the Registration Statement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155"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Market Capitalization</w:t>
      </w:r>
      <w:r>
        <w:rPr>
          <w:rFonts w:ascii="Arial" w:cs="Arial" w:eastAsia="Arial" w:hAnsi="Arial"/>
          <w:sz w:val="19"/>
          <w:szCs w:val="19"/>
          <w:color w:val="auto"/>
        </w:rPr>
        <w:t>. At the time the Original Registration Statement is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satisfies the pre-1992 eligibility requirements for the use of a registration statement on Form S-3 in connection with this offering.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58"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No Material Defaults</w:t>
      </w:r>
      <w:r>
        <w:rPr>
          <w:rFonts w:ascii="Arial" w:cs="Arial" w:eastAsia="Arial" w:hAnsi="Arial"/>
          <w:sz w:val="21"/>
          <w:szCs w:val="21"/>
          <w:color w:val="auto"/>
        </w:rPr>
        <w:t>. The Company has not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4" w:lineRule="exact"/>
        <w:rPr>
          <w:sz w:val="20"/>
          <w:szCs w:val="20"/>
          <w:color w:val="auto"/>
        </w:rPr>
      </w:pPr>
    </w:p>
    <w:p>
      <w:pPr>
        <w:jc w:val="both"/>
        <w:ind w:firstLine="656"/>
        <w:spacing w:after="0"/>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Certain Market Activities</w:t>
      </w:r>
      <w:r>
        <w:rPr>
          <w:rFonts w:ascii="Arial" w:cs="Arial" w:eastAsia="Arial" w:hAnsi="Arial"/>
          <w:sz w:val="22"/>
          <w:szCs w:val="22"/>
          <w:color w:val="auto"/>
        </w:rPr>
        <w:t>. Neither the Company, nor, to the Company’s knowledge, any of its respective directors, officers or controlling persons has taken, directly or indirectly, any action designed, or that has constituted or might reasonably be expected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8" w:name="page69"/>
    <w:bookmarkEnd w:id="68"/>
    <w:p>
      <w:pPr>
        <w:spacing w:after="0" w:line="250" w:lineRule="auto"/>
        <w:rPr>
          <w:sz w:val="20"/>
          <w:szCs w:val="20"/>
          <w:color w:val="auto"/>
        </w:rPr>
      </w:pPr>
      <w:r>
        <w:rPr>
          <w:rFonts w:ascii="Arial" w:cs="Arial" w:eastAsia="Arial" w:hAnsi="Arial"/>
          <w:sz w:val="22"/>
          <w:szCs w:val="22"/>
          <w:color w:val="auto"/>
        </w:rPr>
        <w:t>or result in, under the Exchange Act or otherwise, the stabilization or manipulation of the price of any security of the Company to facilitate the sale or resale of the Shares.</w:t>
      </w:r>
    </w:p>
    <w:p>
      <w:pPr>
        <w:spacing w:after="0" w:line="175" w:lineRule="exact"/>
        <w:rPr>
          <w:sz w:val="20"/>
          <w:szCs w:val="20"/>
          <w:color w:val="auto"/>
        </w:rPr>
      </w:pPr>
    </w:p>
    <w:p>
      <w:pPr>
        <w:jc w:val="both"/>
        <w:ind w:firstLine="656"/>
        <w:spacing w:after="0" w:line="238" w:lineRule="auto"/>
        <w:tabs>
          <w:tab w:leader="none" w:pos="129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Broker/Dealer Relationships</w:t>
      </w:r>
      <w:r>
        <w:rPr>
          <w:rFonts w:ascii="Arial" w:cs="Arial" w:eastAsia="Arial" w:hAnsi="Arial"/>
          <w:sz w:val="22"/>
          <w:szCs w:val="22"/>
          <w:color w:val="auto"/>
        </w:rPr>
        <w:t>. The Company (i) is not required to register as a “broker” or “dealer” in accordance with the provisions of the Exchange Act and (ii) is not, and does not directly or indirectly through one or more intermediaries, control, a “person associated with a member” or “associated person of a member” (within the meaning set forth in the FINRA Manual).</w:t>
      </w:r>
    </w:p>
    <w:p>
      <w:pPr>
        <w:spacing w:after="0" w:line="184" w:lineRule="exact"/>
        <w:rPr>
          <w:rFonts w:ascii="Arial" w:cs="Arial" w:eastAsia="Arial" w:hAnsi="Arial"/>
          <w:sz w:val="22"/>
          <w:szCs w:val="22"/>
          <w:color w:val="auto"/>
        </w:rPr>
      </w:pPr>
    </w:p>
    <w:p>
      <w:pPr>
        <w:ind w:firstLine="656"/>
        <w:spacing w:after="0" w:line="250" w:lineRule="auto"/>
        <w:tabs>
          <w:tab w:leader="none" w:pos="129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the Agent or legal counsel for the Agent for any legal, tax or accounting advice in connection with the offering and sale of the Shares.</w:t>
      </w:r>
    </w:p>
    <w:p>
      <w:pPr>
        <w:spacing w:after="0" w:line="174"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The Company has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84"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Except as set forth in the Registration Statement or the Prospectus, the Company has good and valid title to all personal property described in the Registration Statement or Prospectus as being owned by it that are material to the businesses of the Company, in each case free and clear of all liens, encumbrances and claims, except those matters that (i) do not materially interfere with the use made and proposed to be made of such property by the Company or (ii) would not reasonably be expected, individually or in the aggregate, to have a Material Adverse Effect. The Company does not own any real property. Any real or personal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individually or in the aggregate, to have a Material Adverse Effect. To the Company’s knowledge, each of the properties of the Company complies in all material respects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or otherwise have a Material Adverse Effect.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Environmental Laws</w:t>
      </w:r>
      <w:r>
        <w:rPr>
          <w:rFonts w:ascii="Arial" w:cs="Arial" w:eastAsia="Arial" w:hAnsi="Arial"/>
          <w:sz w:val="22"/>
          <w:szCs w:val="22"/>
          <w:color w:val="auto"/>
        </w:rPr>
        <w:t>. Except as set forth in the Registration Statement or the Prospectus, the Company (i) is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22"/>
          <w:szCs w:val="22"/>
          <w:b w:val="1"/>
          <w:bCs w:val="1"/>
          <w:color w:val="auto"/>
        </w:rPr>
        <w:t>Environmental Laws</w:t>
      </w:r>
      <w:r>
        <w:rPr>
          <w:rFonts w:ascii="Arial" w:cs="Arial" w:eastAsia="Arial" w:hAnsi="Arial"/>
          <w:sz w:val="22"/>
          <w:szCs w:val="22"/>
          <w:color w:val="auto"/>
        </w:rPr>
        <w:t>”); (ii) has received and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69" w:name="page70"/>
    <w:bookmarkEnd w:id="69"/>
    <w:p>
      <w:pPr>
        <w:spacing w:after="0" w:line="276" w:lineRule="auto"/>
        <w:rPr>
          <w:sz w:val="20"/>
          <w:szCs w:val="20"/>
          <w:color w:val="auto"/>
        </w:rPr>
      </w:pPr>
      <w:r>
        <w:rPr>
          <w:rFonts w:ascii="Arial" w:cs="Arial" w:eastAsia="Arial" w:hAnsi="Arial"/>
          <w:sz w:val="19"/>
          <w:szCs w:val="19"/>
          <w:color w:val="auto"/>
        </w:rPr>
        <w:t>compliance in all material respects with all permits, licenses or other approvals required of it under applicable Environmental Laws to conduct its business as described in the Registration Statement and the Prospectus; and</w:t>
      </w:r>
    </w:p>
    <w:p>
      <w:pPr>
        <w:spacing w:after="0" w:line="1" w:lineRule="exact"/>
        <w:rPr>
          <w:sz w:val="20"/>
          <w:szCs w:val="20"/>
          <w:color w:val="auto"/>
        </w:rPr>
      </w:pPr>
    </w:p>
    <w:p>
      <w:pPr>
        <w:jc w:val="both"/>
        <w:ind w:firstLine="8"/>
        <w:spacing w:after="0" w:line="243" w:lineRule="auto"/>
        <w:tabs>
          <w:tab w:leader="none" w:pos="385" w:val="left"/>
        </w:tabs>
        <w:numPr>
          <w:ilvl w:val="0"/>
          <w:numId w:val="61"/>
        </w:numPr>
        <w:rPr>
          <w:rFonts w:ascii="Arial" w:cs="Arial" w:eastAsia="Arial" w:hAnsi="Arial"/>
          <w:sz w:val="21"/>
          <w:szCs w:val="21"/>
          <w:color w:val="auto"/>
        </w:rPr>
      </w:pPr>
      <w:r>
        <w:rPr>
          <w:rFonts w:ascii="Arial" w:cs="Arial" w:eastAsia="Arial" w:hAnsi="Arial"/>
          <w:sz w:val="21"/>
          <w:szCs w:val="21"/>
          <w:color w:val="auto"/>
        </w:rPr>
        <w:t>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Except as set forth in the Registration Statement and the Prospectus, the Company has not been named as a “potentially responsible party” under the Comprehensive Environmental Response, Compensation, and Liability Act of 1980, as amended.</w:t>
      </w:r>
    </w:p>
    <w:p>
      <w:pPr>
        <w:spacing w:after="0" w:line="187" w:lineRule="exact"/>
        <w:rPr>
          <w:rFonts w:ascii="Arial" w:cs="Arial" w:eastAsia="Arial" w:hAnsi="Arial"/>
          <w:sz w:val="21"/>
          <w:szCs w:val="21"/>
          <w:color w:val="auto"/>
        </w:rPr>
      </w:pPr>
    </w:p>
    <w:p>
      <w:pPr>
        <w:jc w:val="both"/>
        <w:ind w:firstLine="656"/>
        <w:spacing w:after="0" w:line="246" w:lineRule="auto"/>
        <w:tabs>
          <w:tab w:leader="none" w:pos="1296"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Periodic Review of Costs of Environmental Compliance</w:t>
      </w:r>
      <w:r>
        <w:rPr>
          <w:rFonts w:ascii="Arial" w:cs="Arial" w:eastAsia="Arial" w:hAnsi="Arial"/>
          <w:sz w:val="21"/>
          <w:szCs w:val="21"/>
          <w:color w:val="auto"/>
        </w:rPr>
        <w:t>. The Company has reasonably concluded that costs and liabilities associated with the effect of Environmental Laws on the business, operations and properties of the Company (including, without limitation, any capital or operating expenditures required for clean-up, closure of properties or compliance with Environmental Laws, or any permit, license or approval, any related constraints on operating activities and any potential liabilities to third parties)would not, individually or in the aggregate, have a Material Adverse Effect, whether or not arising from transactions in the ordinary course of business, except as set forth in or contemplated in the Registration Statement and the Prospectus (exclusive of any supplement thereto).</w:t>
      </w:r>
    </w:p>
    <w:p>
      <w:pPr>
        <w:spacing w:after="0" w:line="179" w:lineRule="exact"/>
        <w:rPr>
          <w:rFonts w:ascii="Arial" w:cs="Arial" w:eastAsia="Arial" w:hAnsi="Arial"/>
          <w:sz w:val="21"/>
          <w:szCs w:val="21"/>
          <w:color w:val="auto"/>
        </w:rPr>
      </w:pPr>
    </w:p>
    <w:p>
      <w:pPr>
        <w:jc w:val="both"/>
        <w:ind w:firstLine="656"/>
        <w:spacing w:after="0" w:line="269" w:lineRule="auto"/>
        <w:tabs>
          <w:tab w:leader="none" w:pos="1296"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Disclosure Controls</w:t>
      </w:r>
      <w:r>
        <w:rPr>
          <w:rFonts w:ascii="Arial" w:cs="Arial" w:eastAsia="Arial" w:hAnsi="Arial"/>
          <w:sz w:val="19"/>
          <w:szCs w:val="19"/>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the Company was not aware of any material weaknesses in its internal control over financial reporting (other than as set forth in the Prospectus). Except as set forth in the Registration Statement or Prospectus, since the date of the latest audited financial statements of the Company included in the Prospectus, there have been no material weaknesses in the Company’s internal control over financial reporting (whether or not remediated) and, to the Company’s knowledge, there has been no change in the Company’s internal control over financial reporting that has materially and adversely affected, or is reasonably likely to materially and adversely affect, the Company’s internal control over financial reporting.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the Company, particularly during the period in which the Company’s Annual Report on Form 10-K or Quarterly Report on Form 10-Q, as the case may be, is being prepared. To the extent required by law, the Company’s certifying officers have evaluated the effectiveness of the Company’s disclosure controls and procedures as of a date within 90 days prior to the filing date of the Annual Report on Form 10-K for the fiscal year most recently ended (such date, the “</w:t>
      </w:r>
      <w:r>
        <w:rPr>
          <w:rFonts w:ascii="Arial" w:cs="Arial" w:eastAsia="Arial" w:hAnsi="Arial"/>
          <w:sz w:val="19"/>
          <w:szCs w:val="19"/>
          <w:b w:val="1"/>
          <w:bCs w:val="1"/>
          <w:color w:val="auto"/>
        </w:rPr>
        <w:t>Evaluation Date</w:t>
      </w:r>
      <w:r>
        <w:rPr>
          <w:rFonts w:ascii="Arial" w:cs="Arial" w:eastAsia="Arial" w:hAnsi="Arial"/>
          <w:sz w:val="19"/>
          <w:szCs w:val="19"/>
          <w:color w:val="auto"/>
        </w:rPr>
        <w:t>”). The Company presented in its Annual Report on Form 10-K for the fiscal year most recently ended the conclusions of the certifying officers about the effectiveness of the disclosure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21"/>
          <w:szCs w:val="21"/>
          <w:color w:val="auto"/>
        </w:rPr>
        <w:t>procedures based on their evaluations as of the Evaluation Date and the disclosure controls and procedures are effective in all material respects for which they were established. Since the Evaluation Date, there have been no significant adverse changes in the Company’s internal controls (as such term is defined in Item 307(b) of Regulation S-K under the Securities Act) or, to the Company’s knowledge, in other factors that would significantly and adversely affect the Company’s internal controls.</w:t>
      </w:r>
    </w:p>
    <w:p>
      <w:pPr>
        <w:spacing w:after="0" w:line="178" w:lineRule="exact"/>
        <w:rPr>
          <w:sz w:val="20"/>
          <w:szCs w:val="20"/>
          <w:color w:val="auto"/>
        </w:rPr>
      </w:pPr>
    </w:p>
    <w:p>
      <w:pPr>
        <w:jc w:val="both"/>
        <w:ind w:firstLine="656"/>
        <w:spacing w:after="0" w:line="274"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Sarbanes-Oxley</w:t>
      </w:r>
      <w:r>
        <w:rPr>
          <w:rFonts w:ascii="Arial" w:cs="Arial" w:eastAsia="Arial" w:hAnsi="Arial"/>
          <w:sz w:val="19"/>
          <w:szCs w:val="19"/>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the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58" w:lineRule="exact"/>
        <w:rPr>
          <w:rFonts w:ascii="Arial" w:cs="Arial" w:eastAsia="Arial" w:hAnsi="Arial"/>
          <w:sz w:val="19"/>
          <w:szCs w:val="19"/>
          <w:color w:val="auto"/>
        </w:rPr>
      </w:pPr>
    </w:p>
    <w:p>
      <w:pPr>
        <w:jc w:val="both"/>
        <w:ind w:firstLine="656"/>
        <w:spacing w:after="0"/>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Finder’s Fees</w:t>
      </w:r>
      <w:r>
        <w:rPr>
          <w:rFonts w:ascii="Arial" w:cs="Arial" w:eastAsia="Arial" w:hAnsi="Arial"/>
          <w:sz w:val="22"/>
          <w:szCs w:val="22"/>
          <w:color w:val="auto"/>
        </w:rPr>
        <w:t>. The Company has not incurred any liability for any finder’s fees, brokerage commissions or similar payments in connection with the transactions herein contemplated, except as may otherwise exist with respect to Agent pursuant to this Agreement.</w:t>
      </w:r>
    </w:p>
    <w:p>
      <w:pPr>
        <w:spacing w:after="0" w:line="186" w:lineRule="exact"/>
        <w:rPr>
          <w:rFonts w:ascii="Arial" w:cs="Arial" w:eastAsia="Arial" w:hAnsi="Arial"/>
          <w:sz w:val="22"/>
          <w:szCs w:val="22"/>
          <w:color w:val="auto"/>
        </w:rPr>
      </w:pPr>
    </w:p>
    <w:p>
      <w:pPr>
        <w:ind w:firstLine="656"/>
        <w:spacing w:after="0" w:line="328"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Labor Disputes</w:t>
      </w:r>
      <w:r>
        <w:rPr>
          <w:rFonts w:ascii="Arial" w:cs="Arial" w:eastAsia="Arial" w:hAnsi="Arial"/>
          <w:sz w:val="19"/>
          <w:szCs w:val="19"/>
          <w:color w:val="auto"/>
        </w:rPr>
        <w:t>. No labor dispute with employees of the Company exists or, to the knowledge of the Company, is threatened which would reasonably be expected to result in a Material Adverse Effect.</w:t>
      </w:r>
    </w:p>
    <w:p>
      <w:pPr>
        <w:spacing w:after="0" w:line="104"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The Company is not and, after giving effect to the offering and sale of the Shares will not be, an “investment company” or an entity “controlled” by an “investment company,” as such terms are defined in the Investment Company Act of 1940, as amended (the “</w:t>
      </w:r>
      <w:r>
        <w:rPr>
          <w:rFonts w:ascii="Arial" w:cs="Arial" w:eastAsia="Arial" w:hAnsi="Arial"/>
          <w:sz w:val="19"/>
          <w:szCs w:val="19"/>
          <w:b w:val="1"/>
          <w:bCs w:val="1"/>
          <w:color w:val="auto"/>
        </w:rPr>
        <w:t>Investment Company Act</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656"/>
        <w:spacing w:after="0" w:line="275"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Operations</w:t>
      </w:r>
      <w:r>
        <w:rPr>
          <w:rFonts w:ascii="Arial" w:cs="Arial" w:eastAsia="Arial" w:hAnsi="Arial"/>
          <w:sz w:val="19"/>
          <w:szCs w:val="19"/>
          <w:color w:val="auto"/>
        </w:rPr>
        <w:t>. The operations of the Company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Authority (collectively, the “</w:t>
      </w:r>
      <w:r>
        <w:rPr>
          <w:rFonts w:ascii="Arial" w:cs="Arial" w:eastAsia="Arial" w:hAnsi="Arial"/>
          <w:sz w:val="19"/>
          <w:szCs w:val="19"/>
          <w:b w:val="1"/>
          <w:bCs w:val="1"/>
          <w:color w:val="auto"/>
        </w:rPr>
        <w:t>Money</w:t>
      </w:r>
      <w:r>
        <w:rPr>
          <w:rFonts w:ascii="Arial" w:cs="Arial" w:eastAsia="Arial" w:hAnsi="Arial"/>
          <w:sz w:val="19"/>
          <w:szCs w:val="19"/>
          <w:color w:val="auto"/>
        </w:rPr>
        <w:t xml:space="preserve"> </w:t>
      </w:r>
      <w:r>
        <w:rPr>
          <w:rFonts w:ascii="Arial" w:cs="Arial" w:eastAsia="Arial" w:hAnsi="Arial"/>
          <w:sz w:val="19"/>
          <w:szCs w:val="19"/>
          <w:b w:val="1"/>
          <w:bCs w:val="1"/>
          <w:color w:val="auto"/>
        </w:rPr>
        <w:t>Laundering Laws</w:t>
      </w:r>
      <w:r>
        <w:rPr>
          <w:rFonts w:ascii="Arial" w:cs="Arial" w:eastAsia="Arial" w:hAnsi="Arial"/>
          <w:sz w:val="19"/>
          <w:szCs w:val="19"/>
          <w:color w:val="auto"/>
        </w:rPr>
        <w:t>”), except as would not reasonably be expected to result in a Material Adverse Effect; and no</w:t>
      </w:r>
      <w:r>
        <w:rPr>
          <w:rFonts w:ascii="Arial" w:cs="Arial" w:eastAsia="Arial" w:hAnsi="Arial"/>
          <w:sz w:val="19"/>
          <w:szCs w:val="19"/>
          <w:b w:val="1"/>
          <w:bCs w:val="1"/>
          <w:color w:val="auto"/>
        </w:rPr>
        <w:t xml:space="preserve"> </w:t>
      </w:r>
      <w:r>
        <w:rPr>
          <w:rFonts w:ascii="Arial" w:cs="Arial" w:eastAsia="Arial" w:hAnsi="Arial"/>
          <w:sz w:val="19"/>
          <w:szCs w:val="19"/>
          <w:color w:val="auto"/>
        </w:rPr>
        <w:t>action, suit or proceeding by or before any Governmental Authority involving the Company with respect to the Money Laundering Laws is pending or, to the knowledge of the Company, threatened.</w:t>
      </w:r>
    </w:p>
    <w:p>
      <w:pPr>
        <w:spacing w:after="0" w:line="157"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Off-Balance Sheet Arrangements</w:t>
      </w:r>
      <w:r>
        <w:rPr>
          <w:rFonts w:ascii="Arial" w:cs="Arial" w:eastAsia="Arial" w:hAnsi="Arial"/>
          <w:sz w:val="22"/>
          <w:szCs w:val="22"/>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22"/>
          <w:szCs w:val="22"/>
          <w:b w:val="1"/>
          <w:bCs w:val="1"/>
          <w:color w:val="auto"/>
        </w:rPr>
        <w:t>Off-Balance Sheet Transaction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1" w:name="page72"/>
    <w:bookmarkEnd w:id="71"/>
    <w:p>
      <w:pPr>
        <w:jc w:val="both"/>
        <w:spacing w:after="0" w:line="236" w:lineRule="auto"/>
        <w:rPr>
          <w:sz w:val="20"/>
          <w:szCs w:val="20"/>
          <w:color w:val="auto"/>
        </w:rPr>
      </w:pPr>
      <w:r>
        <w:rPr>
          <w:rFonts w:ascii="Arial" w:cs="Arial" w:eastAsia="Arial" w:hAnsi="Arial"/>
          <w:sz w:val="22"/>
          <w:szCs w:val="22"/>
          <w:color w:val="auto"/>
        </w:rPr>
        <w:t>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7" w:lineRule="exact"/>
        <w:rPr>
          <w:sz w:val="20"/>
          <w:szCs w:val="20"/>
          <w:color w:val="auto"/>
        </w:rPr>
      </w:pPr>
    </w:p>
    <w:p>
      <w:pPr>
        <w:ind w:right="20" w:firstLine="656"/>
        <w:spacing w:after="0" w:line="250"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Underwriter Agreements</w:t>
      </w:r>
      <w:r>
        <w:rPr>
          <w:rFonts w:ascii="Arial" w:cs="Arial" w:eastAsia="Arial" w:hAnsi="Arial"/>
          <w:sz w:val="22"/>
          <w:szCs w:val="22"/>
          <w:color w:val="auto"/>
        </w:rPr>
        <w:t>. The Company is not a party to any agreement with an agent or underwriter for any other “at-the-market” or continuous equity transaction.</w:t>
      </w:r>
    </w:p>
    <w:p>
      <w:pPr>
        <w:spacing w:after="0" w:line="174"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To the knowledge of the Company, each material employee benefit plan, within the meaning of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that is maintained, administered or contributed to by the Company or any of its affiliates for employees or former employees of the Company has been maintained in material compliance with the terms and requirements of any applicable statutes, orders, rules and regulations under ERISA and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431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60"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Forward-Looking Statements</w:t>
      </w:r>
      <w:r>
        <w:rPr>
          <w:rFonts w:ascii="Arial" w:cs="Arial" w:eastAsia="Arial" w:hAnsi="Arial"/>
          <w:sz w:val="21"/>
          <w:szCs w:val="21"/>
          <w:color w:val="auto"/>
        </w:rPr>
        <w:t>. No forward-looking statement (within the meaning of Section 27A of the Securities Act and Section 21E of the Exchange Act) (a “</w:t>
      </w:r>
      <w:r>
        <w:rPr>
          <w:rFonts w:ascii="Arial" w:cs="Arial" w:eastAsia="Arial" w:hAnsi="Arial"/>
          <w:sz w:val="21"/>
          <w:szCs w:val="21"/>
          <w:b w:val="1"/>
          <w:bCs w:val="1"/>
          <w:color w:val="auto"/>
        </w:rPr>
        <w:t>Forward-Looking Statement</w:t>
      </w:r>
      <w:r>
        <w:rPr>
          <w:rFonts w:ascii="Arial" w:cs="Arial" w:eastAsia="Arial" w:hAnsi="Arial"/>
          <w:sz w:val="21"/>
          <w:szCs w:val="21"/>
          <w:color w:val="auto"/>
        </w:rPr>
        <w:t>”) contained in the Registration Statement and the Prospectus (other than by incorporation by reference) has been made or reaffirmed without a reasonable basis or has been disclosed other than in good faith.</w:t>
      </w:r>
    </w:p>
    <w:p>
      <w:pPr>
        <w:spacing w:after="0" w:line="173" w:lineRule="exact"/>
        <w:rPr>
          <w:rFonts w:ascii="Arial" w:cs="Arial" w:eastAsia="Arial" w:hAnsi="Arial"/>
          <w:sz w:val="21"/>
          <w:szCs w:val="21"/>
          <w:color w:val="auto"/>
        </w:rPr>
      </w:pPr>
    </w:p>
    <w:p>
      <w:pPr>
        <w:jc w:val="both"/>
        <w:ind w:firstLine="656"/>
        <w:spacing w:after="0" w:line="246" w:lineRule="auto"/>
        <w:tabs>
          <w:tab w:leader="none" w:pos="1296"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Agent Purchases</w:t>
      </w:r>
      <w:r>
        <w:rPr>
          <w:rFonts w:ascii="Arial" w:cs="Arial" w:eastAsia="Arial" w:hAnsi="Arial"/>
          <w:sz w:val="21"/>
          <w:szCs w:val="21"/>
          <w:color w:val="auto"/>
        </w:rPr>
        <w:t xml:space="preserve">. The Company acknowledges and agrees that the Agent has informed the Company that the Agent may, to the extent permitted under the Securities Act, the Exchange Act and the rules of the Exchange, purchase and sell Common Stock for its own account while this Agreement is in effect, </w:t>
      </w:r>
      <w:r>
        <w:rPr>
          <w:rFonts w:ascii="Arial" w:cs="Arial" w:eastAsia="Arial" w:hAnsi="Arial"/>
          <w:sz w:val="21"/>
          <w:szCs w:val="21"/>
          <w:i w:val="1"/>
          <w:iCs w:val="1"/>
          <w:color w:val="auto"/>
        </w:rPr>
        <w:t>provided</w:t>
      </w:r>
      <w:r>
        <w:rPr>
          <w:rFonts w:ascii="Arial" w:cs="Arial" w:eastAsia="Arial" w:hAnsi="Arial"/>
          <w:sz w:val="21"/>
          <w:szCs w:val="21"/>
          <w:color w:val="auto"/>
        </w:rPr>
        <w:t>, that (i) no such purchase or sales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w:t>
      </w:r>
    </w:p>
    <w:p>
      <w:pPr>
        <w:spacing w:after="0" w:line="184"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Margin Rules</w:t>
      </w:r>
      <w:r>
        <w:rPr>
          <w:rFonts w:ascii="Arial" w:cs="Arial" w:eastAsia="Arial" w:hAnsi="Arial"/>
          <w:sz w:val="22"/>
          <w:szCs w:val="22"/>
          <w:color w:val="auto"/>
        </w:rPr>
        <w:t>.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4" w:lineRule="exact"/>
        <w:rPr>
          <w:rFonts w:ascii="Arial" w:cs="Arial" w:eastAsia="Arial" w:hAnsi="Arial"/>
          <w:sz w:val="22"/>
          <w:szCs w:val="22"/>
          <w:color w:val="auto"/>
        </w:rPr>
      </w:pPr>
    </w:p>
    <w:p>
      <w:pPr>
        <w:jc w:val="both"/>
        <w:ind w:firstLine="656"/>
        <w:spacing w:after="0"/>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is insured by insurers of recognized financial responsibility against such losses and risks and in such amounts as are reasonable and customary in the business in which it is engaged; the Company is in compliance with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2" w:name="page73"/>
    <w:bookmarkEnd w:id="72"/>
    <w:p>
      <w:pPr>
        <w:jc w:val="both"/>
        <w:spacing w:after="0" w:line="245" w:lineRule="auto"/>
        <w:rPr>
          <w:sz w:val="20"/>
          <w:szCs w:val="20"/>
          <w:color w:val="auto"/>
        </w:rPr>
      </w:pPr>
      <w:r>
        <w:rPr>
          <w:rFonts w:ascii="Arial" w:cs="Arial" w:eastAsia="Arial" w:hAnsi="Arial"/>
          <w:sz w:val="21"/>
          <w:szCs w:val="21"/>
          <w:color w:val="auto"/>
        </w:rPr>
        <w:t>insurance policies and instruments insuring the Company or its businesses, assets, employees, officers and directors in all material respects, and such policies and instruments are in full force and effect; there are no claims by the Company under any such policy or instrument as to which any insurance company is denying liability or defending under a reservation of rights clause; except as would not reasonably be expected to have a Material Adverse Effect, the Company has not, within the past five years, been refused any insurance coverage sought or applied for; and the Company has no reasonable basis to believe that it will not be able to renew its existing insurance coverage as and when such coverage expires or to obtain similar coverage from similar insurers as may be necessary to continue its business at a cost that would have a Material Adverse Effect, whether or not arising from transactions in the ordinary course of business, except as set forth in or contemplated in the Prospectus (exclusive of any supplement thereto).</w:t>
      </w:r>
    </w:p>
    <w:p>
      <w:pPr>
        <w:spacing w:after="0" w:line="181" w:lineRule="exact"/>
        <w:rPr>
          <w:sz w:val="20"/>
          <w:szCs w:val="20"/>
          <w:color w:val="auto"/>
        </w:rPr>
      </w:pPr>
    </w:p>
    <w:p>
      <w:pPr>
        <w:jc w:val="both"/>
        <w:ind w:firstLine="656"/>
        <w:spacing w:after="0" w:line="269"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 Improper Practices</w:t>
      </w:r>
      <w:r>
        <w:rPr>
          <w:rFonts w:ascii="Arial" w:cs="Arial" w:eastAsia="Arial" w:hAnsi="Arial"/>
          <w:sz w:val="19"/>
          <w:szCs w:val="19"/>
          <w:color w:val="auto"/>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of its affiliates, on the one hand, and the directors, officers and stockholders of the Company, on the other hand,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or stockholders of the Company,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to or for the benefit of any of its officers or directors or any of the members of the families of any of them; (v) the Company has not offered, or directed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(the “</w:t>
      </w:r>
      <w:r>
        <w:rPr>
          <w:rFonts w:ascii="Arial" w:cs="Arial" w:eastAsia="Arial" w:hAnsi="Arial"/>
          <w:sz w:val="19"/>
          <w:szCs w:val="19"/>
          <w:b w:val="1"/>
          <w:bCs w:val="1"/>
          <w:color w:val="auto"/>
        </w:rPr>
        <w:t>FCPA</w:t>
      </w:r>
      <w:r>
        <w:rPr>
          <w:rFonts w:ascii="Arial" w:cs="Arial" w:eastAsia="Arial" w:hAnsi="Arial"/>
          <w:sz w:val="19"/>
          <w:szCs w:val="19"/>
          <w:color w:val="auto"/>
        </w:rPr>
        <w:t>”)), which payment, receipt or retention of funds is of a character required to be disclosed in the Registration Statement or the Prospectus. The Company has conducted its business in compliance with the FCPA and has instituted and maintain policies and procedures designed to ensure, and which are reasonably expected to continue to ensure, continued compliance therewith.</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Status Under the Securities Act</w:t>
      </w:r>
      <w:r>
        <w:rPr>
          <w:rFonts w:ascii="Arial" w:cs="Arial" w:eastAsia="Arial" w:hAnsi="Arial"/>
          <w:sz w:val="22"/>
          <w:szCs w:val="22"/>
          <w:color w:val="auto"/>
        </w:rPr>
        <w:t>. The Company was not and is not an ineligible issuer as defined in Rule 405 under the Securities Act at the times specified in Rules 164 and 433 under the Securities Act in connection with the offering of the Shares.</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 Misstatement or Omission in an Issuer Free Writing Prospectus</w:t>
      </w:r>
      <w:r>
        <w:rPr>
          <w:rFonts w:ascii="Arial" w:cs="Arial" w:eastAsia="Arial" w:hAnsi="Arial"/>
          <w:sz w:val="22"/>
          <w:szCs w:val="22"/>
          <w:color w:val="auto"/>
        </w:rPr>
        <w:t>. Each Issuer Free Writing Prospectus, as of its issue date and as of each Representation Date, did not,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21"/>
          <w:szCs w:val="21"/>
          <w:color w:val="auto"/>
        </w:rPr>
        <w:t>and will not, through the completion of the Placement for which such Issuer Free Writing Prospectus is used, include any information that conflicted, conflicts or will conflict with the information contained in the Registration Statement or the Prospectus, including any documents incorporated by reference therein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77" w:lineRule="exact"/>
        <w:rPr>
          <w:sz w:val="20"/>
          <w:szCs w:val="20"/>
          <w:color w:val="auto"/>
        </w:rPr>
      </w:pPr>
    </w:p>
    <w:p>
      <w:pPr>
        <w:jc w:val="both"/>
        <w:ind w:firstLine="656"/>
        <w:spacing w:after="0" w:line="272"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Neither the execution of this Agreement by the Company, nor the issuance, offering or sale of the Shares by the Company, nor the consummation of any of the transactions contemplated herein and therein by the Company,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certificate of incorporation or bylaws of the Company, or (y) in any violation of the provisions of any statute or any order, rule or regulation applicable to the Company or of any Governmental Authority having jurisdiction over the Company, except, with respect to this clause (y) only, for any violation that would not reasonably be expected to have a Material Adverse Effect.</w:t>
      </w:r>
    </w:p>
    <w:p>
      <w:pPr>
        <w:spacing w:after="0" w:line="155"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Sanctions</w:t>
      </w:r>
      <w:r>
        <w:rPr>
          <w:rFonts w:ascii="Arial" w:cs="Arial" w:eastAsia="Arial" w:hAnsi="Arial"/>
          <w:sz w:val="19"/>
          <w:szCs w:val="19"/>
          <w:color w:val="auto"/>
        </w:rPr>
        <w:t>. (i) The Company represents that, neither the Company nor, to the knowledge of the Company, any director, officer, employee, agent, affiliate or representative of the Company, is a government, individual, or entity (in this paragraph (tt), “</w:t>
      </w:r>
      <w:r>
        <w:rPr>
          <w:rFonts w:ascii="Arial" w:cs="Arial" w:eastAsia="Arial" w:hAnsi="Arial"/>
          <w:sz w:val="19"/>
          <w:szCs w:val="19"/>
          <w:b w:val="1"/>
          <w:bCs w:val="1"/>
          <w:color w:val="auto"/>
        </w:rPr>
        <w:t>Person</w:t>
      </w:r>
      <w:r>
        <w:rPr>
          <w:rFonts w:ascii="Arial" w:cs="Arial" w:eastAsia="Arial" w:hAnsi="Arial"/>
          <w:sz w:val="19"/>
          <w:szCs w:val="19"/>
          <w:color w:val="auto"/>
        </w:rPr>
        <w:t>”) that is, or is owned or controlled by, a Person that is:</w:t>
      </w:r>
    </w:p>
    <w:p>
      <w:pPr>
        <w:spacing w:after="0" w:line="133" w:lineRule="exact"/>
        <w:rPr>
          <w:rFonts w:ascii="Arial" w:cs="Arial" w:eastAsia="Arial" w:hAnsi="Arial"/>
          <w:sz w:val="19"/>
          <w:szCs w:val="19"/>
          <w:color w:val="auto"/>
        </w:rPr>
      </w:pPr>
    </w:p>
    <w:p>
      <w:pPr>
        <w:jc w:val="both"/>
        <w:ind w:left="660" w:firstLine="644"/>
        <w:spacing w:after="0" w:line="297" w:lineRule="auto"/>
        <w:tabs>
          <w:tab w:leader="none" w:pos="1956"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subject of any sanctions administered or enforced by the U.S. Department of Treasury’s Office of Foreign Assets Control, the United Nations Security Council, the European Union, Her Majesty’s Treasury, or other relevant sanctions authority (as amended, collectively, “</w:t>
      </w:r>
      <w:r>
        <w:rPr>
          <w:rFonts w:ascii="Arial" w:cs="Arial" w:eastAsia="Arial" w:hAnsi="Arial"/>
          <w:sz w:val="19"/>
          <w:szCs w:val="19"/>
          <w:b w:val="1"/>
          <w:bCs w:val="1"/>
          <w:color w:val="auto"/>
        </w:rPr>
        <w:t>Sanctions</w:t>
      </w:r>
      <w:r>
        <w:rPr>
          <w:rFonts w:ascii="Arial" w:cs="Arial" w:eastAsia="Arial" w:hAnsi="Arial"/>
          <w:sz w:val="19"/>
          <w:szCs w:val="19"/>
          <w:color w:val="auto"/>
        </w:rPr>
        <w:t>”), nor</w:t>
      </w:r>
    </w:p>
    <w:p>
      <w:pPr>
        <w:spacing w:after="0" w:line="133" w:lineRule="exact"/>
        <w:rPr>
          <w:rFonts w:ascii="Arial" w:cs="Arial" w:eastAsia="Arial" w:hAnsi="Arial"/>
          <w:sz w:val="19"/>
          <w:szCs w:val="19"/>
          <w:color w:val="auto"/>
        </w:rPr>
      </w:pPr>
    </w:p>
    <w:p>
      <w:pPr>
        <w:ind w:left="660" w:right="20" w:firstLine="644"/>
        <w:spacing w:after="0" w:line="274" w:lineRule="auto"/>
        <w:tabs>
          <w:tab w:leader="none" w:pos="1956" w:val="left"/>
        </w:tabs>
        <w:numPr>
          <w:ilvl w:val="1"/>
          <w:numId w:val="65"/>
        </w:numPr>
        <w:rPr>
          <w:rFonts w:ascii="Arial" w:cs="Arial" w:eastAsia="Arial" w:hAnsi="Arial"/>
          <w:sz w:val="21"/>
          <w:szCs w:val="21"/>
          <w:color w:val="auto"/>
        </w:rPr>
      </w:pPr>
      <w:r>
        <w:rPr>
          <w:rFonts w:ascii="Arial" w:cs="Arial" w:eastAsia="Arial" w:hAnsi="Arial"/>
          <w:sz w:val="21"/>
          <w:szCs w:val="21"/>
          <w:color w:val="auto"/>
        </w:rPr>
        <w:t>located, organized or resident in a country or territory that is the subject of Sanctions (including, without limitation, Burma/Myanmar, Cuba, Iran, North Korea, Sudan and Syria).</w:t>
      </w:r>
    </w:p>
    <w:p>
      <w:pPr>
        <w:spacing w:after="0" w:line="151" w:lineRule="exact"/>
        <w:rPr>
          <w:sz w:val="20"/>
          <w:szCs w:val="20"/>
          <w:color w:val="auto"/>
        </w:rPr>
      </w:pPr>
    </w:p>
    <w:p>
      <w:pPr>
        <w:jc w:val="both"/>
        <w:ind w:firstLine="656"/>
        <w:spacing w:after="0"/>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186" w:lineRule="exact"/>
        <w:rPr>
          <w:rFonts w:ascii="Arial" w:cs="Arial" w:eastAsia="Arial" w:hAnsi="Arial"/>
          <w:sz w:val="22"/>
          <w:szCs w:val="22"/>
          <w:color w:val="auto"/>
        </w:rPr>
      </w:pPr>
    </w:p>
    <w:p>
      <w:pPr>
        <w:ind w:left="660" w:right="20" w:firstLine="644"/>
        <w:spacing w:after="0" w:line="250" w:lineRule="auto"/>
        <w:tabs>
          <w:tab w:leader="none" w:pos="1956" w:val="left"/>
        </w:tabs>
        <w:numPr>
          <w:ilvl w:val="1"/>
          <w:numId w:val="66"/>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4" w:name="page75"/>
    <w:bookmarkEnd w:id="74"/>
    <w:p>
      <w:pPr>
        <w:ind w:left="660" w:right="340" w:hanging="4"/>
        <w:spacing w:after="0" w:line="274" w:lineRule="auto"/>
        <w:tabs>
          <w:tab w:leader="none" w:pos="1002"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any other manner that will result in a violation of Sanctions by any Person (including any Person participating in the offering, whether as underwriter, advisor, investor or otherwise).</w:t>
      </w:r>
    </w:p>
    <w:p>
      <w:pPr>
        <w:spacing w:after="0" w:line="151" w:lineRule="exact"/>
        <w:rPr>
          <w:sz w:val="20"/>
          <w:szCs w:val="20"/>
          <w:color w:val="auto"/>
        </w:rPr>
      </w:pPr>
    </w:p>
    <w:p>
      <w:pPr>
        <w:jc w:val="both"/>
        <w:ind w:firstLine="656"/>
        <w:spacing w:after="0" w:line="252" w:lineRule="auto"/>
        <w:tabs>
          <w:tab w:leader="none" w:pos="1296"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represents and covenants that, except as detailed in the Registration Statement and the Prospectus, for the past five (5) years,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74" w:lineRule="exact"/>
        <w:rPr>
          <w:sz w:val="20"/>
          <w:szCs w:val="20"/>
          <w:color w:val="auto"/>
        </w:rPr>
      </w:pPr>
    </w:p>
    <w:p>
      <w:pPr>
        <w:jc w:val="both"/>
        <w:ind w:firstLine="656"/>
        <w:spacing w:after="0"/>
        <w:tabs>
          <w:tab w:leader="none" w:pos="129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 Rated Security</w:t>
      </w:r>
      <w:r>
        <w:rPr>
          <w:rFonts w:ascii="Arial" w:cs="Arial" w:eastAsia="Arial" w:hAnsi="Arial"/>
          <w:sz w:val="22"/>
          <w:szCs w:val="22"/>
          <w:color w:val="auto"/>
        </w:rPr>
        <w:t>. There are no debt securities or preferred stock of, or guaranteed by, the Company that are rated by a “nationally recognized statistical rating organization,” as such term is defined by the Commission for the purposes of Section 3(a)(62) of the Exchange Act.</w:t>
      </w:r>
    </w:p>
    <w:p>
      <w:pPr>
        <w:spacing w:after="0" w:line="186" w:lineRule="exact"/>
        <w:rPr>
          <w:sz w:val="20"/>
          <w:szCs w:val="20"/>
          <w:color w:val="auto"/>
        </w:rPr>
      </w:pPr>
    </w:p>
    <w:p>
      <w:pPr>
        <w:jc w:val="both"/>
        <w:ind w:firstLine="656"/>
        <w:spacing w:after="0" w:line="252" w:lineRule="auto"/>
        <w:tabs>
          <w:tab w:leader="none" w:pos="129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Stock Transfer Taxes</w:t>
      </w:r>
      <w:r>
        <w:rPr>
          <w:rFonts w:ascii="Arial" w:cs="Arial" w:eastAsia="Arial" w:hAnsi="Arial"/>
          <w:sz w:val="21"/>
          <w:szCs w:val="21"/>
          <w:color w:val="auto"/>
        </w:rPr>
        <w:t>. On each Settlement Date, all stock transfer or other taxes (other than income taxes) which are required to be paid by the Company in connection with the sale and transfer of the Shares to be sold hereunder will be, or will have been, fully paid or provided for by the Company and all laws imposing such taxes will be or will have been complied with in all material respects.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certificate signed by any officer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Company acknowledges that the Agent and, for purposes of the opinions to be delivered pursuant to Section 4(p) and </w:t>
      </w:r>
      <w:r>
        <w:rPr>
          <w:rFonts w:ascii="Arial" w:cs="Arial" w:eastAsia="Arial" w:hAnsi="Arial"/>
          <w:sz w:val="19"/>
          <w:szCs w:val="19"/>
          <w:u w:val="single" w:color="auto"/>
          <w:color w:val="auto"/>
        </w:rPr>
        <w:t>Section 5(a)</w:t>
      </w:r>
      <w:r>
        <w:rPr>
          <w:rFonts w:ascii="Arial" w:cs="Arial" w:eastAsia="Arial" w:hAnsi="Arial"/>
          <w:sz w:val="19"/>
          <w:szCs w:val="19"/>
          <w:color w:val="auto"/>
        </w:rPr>
        <w:t>(v) hereof, counsel to the Company and counsel to the Agent, will rely upon the accuracy and truthfulness of the foregoing representations and hereby consents to such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682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ISSUANCE AND SALE OF COMMON SHARES</w:t>
      </w:r>
    </w:p>
    <w:p>
      <w:pPr>
        <w:spacing w:after="0" w:line="212" w:lineRule="exact"/>
        <w:rPr>
          <w:sz w:val="20"/>
          <w:szCs w:val="20"/>
          <w:color w:val="auto"/>
        </w:rPr>
      </w:pPr>
    </w:p>
    <w:p>
      <w:pPr>
        <w:jc w:val="both"/>
        <w:ind w:firstLine="656"/>
        <w:spacing w:after="0" w:line="282"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Sale of Securities</w:t>
      </w:r>
      <w:r>
        <w:rPr>
          <w:rFonts w:ascii="Arial" w:cs="Arial" w:eastAsia="Arial" w:hAnsi="Arial"/>
          <w:sz w:val="19"/>
          <w:szCs w:val="19"/>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34" w:lineRule="auto"/>
        <w:tabs>
          <w:tab w:leader="none" w:pos="933"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Issuance Notice</w:t>
      </w:r>
      <w:r>
        <w:rPr>
          <w:rFonts w:ascii="Arial" w:cs="Arial" w:eastAsia="Arial" w:hAnsi="Arial"/>
          <w:sz w:val="22"/>
          <w:szCs w:val="22"/>
          <w:color w:val="auto"/>
        </w:rPr>
        <w:t xml:space="preserve">. Upon the terms and subject to the conditions set forth herein, on any Trading Day during the Agency Period on which the conditions set forth in Section 5(a) and Section 5(b) shall have been satisfied, the Company may exercise its right to request an issuance of Shares by delivering to the Agent an Issuance Notice; </w:t>
      </w:r>
      <w:r>
        <w:rPr>
          <w:rFonts w:ascii="Arial" w:cs="Arial" w:eastAsia="Arial" w:hAnsi="Arial"/>
          <w:sz w:val="22"/>
          <w:szCs w:val="22"/>
          <w:i w:val="1"/>
          <w:iCs w:val="1"/>
          <w:color w:val="auto"/>
        </w:rPr>
        <w:t>provided, however</w:t>
      </w:r>
      <w:r>
        <w:rPr>
          <w:rFonts w:ascii="Arial" w:cs="Arial" w:eastAsia="Arial" w:hAnsi="Arial"/>
          <w:sz w:val="22"/>
          <w:szCs w:val="22"/>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-799465</wp:posOffset>
            </wp:positionV>
            <wp:extent cx="1684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5" w:name="page76"/>
    <w:bookmarkEnd w:id="75"/>
    <w:p>
      <w:pPr>
        <w:jc w:val="both"/>
        <w:spacing w:after="0" w:line="282" w:lineRule="auto"/>
        <w:rPr>
          <w:sz w:val="20"/>
          <w:szCs w:val="20"/>
          <w:color w:val="auto"/>
        </w:rPr>
      </w:pPr>
      <w:r>
        <w:rPr>
          <w:rFonts w:ascii="Arial" w:cs="Arial" w:eastAsia="Arial" w:hAnsi="Arial"/>
          <w:sz w:val="19"/>
          <w:szCs w:val="19"/>
          <w:color w:val="auto"/>
        </w:rPr>
        <w:t>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47" w:lineRule="exact"/>
        <w:rPr>
          <w:sz w:val="20"/>
          <w:szCs w:val="20"/>
          <w:color w:val="auto"/>
        </w:rPr>
      </w:pPr>
    </w:p>
    <w:p>
      <w:pPr>
        <w:jc w:val="both"/>
        <w:ind w:firstLine="656"/>
        <w:spacing w:after="0" w:line="246"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Agent Efforts</w:t>
      </w:r>
      <w:r>
        <w:rPr>
          <w:rFonts w:ascii="Arial" w:cs="Arial" w:eastAsia="Arial" w:hAnsi="Arial"/>
          <w:sz w:val="21"/>
          <w:szCs w:val="21"/>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4" w:lineRule="exact"/>
        <w:rPr>
          <w:rFonts w:ascii="Arial" w:cs="Arial" w:eastAsia="Arial" w:hAnsi="Arial"/>
          <w:sz w:val="21"/>
          <w:szCs w:val="21"/>
          <w:color w:val="auto"/>
        </w:rPr>
      </w:pPr>
    </w:p>
    <w:p>
      <w:pPr>
        <w:jc w:val="both"/>
        <w:ind w:firstLine="656"/>
        <w:spacing w:after="0" w:line="277"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51"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Confirmation to the Company</w:t>
      </w:r>
      <w:r>
        <w:rPr>
          <w:rFonts w:ascii="Arial" w:cs="Arial" w:eastAsia="Arial" w:hAnsi="Arial"/>
          <w:sz w:val="19"/>
          <w:szCs w:val="19"/>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42"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Each issuance of Shares will be settled on the applicable Settlement Date for such issuance of Shares and, subject to the provisions of </w:t>
      </w:r>
      <w:r>
        <w:rPr>
          <w:rFonts w:ascii="Arial" w:cs="Arial" w:eastAsia="Arial" w:hAnsi="Arial"/>
          <w:sz w:val="19"/>
          <w:szCs w:val="19"/>
          <w:u w:val="single" w:color="auto"/>
          <w:color w:val="auto"/>
        </w:rPr>
        <w:t>Section 5</w:t>
      </w:r>
      <w:r>
        <w:rPr>
          <w:rFonts w:ascii="Arial" w:cs="Arial" w:eastAsia="Arial" w:hAnsi="Arial"/>
          <w:sz w:val="19"/>
          <w:szCs w:val="19"/>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9"/>
          <w:szCs w:val="19"/>
          <w:b w:val="1"/>
          <w:bCs w:val="1"/>
          <w:color w:val="auto"/>
        </w:rPr>
        <w:t>Time of Sale</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Suspension or Termination of Sales</w:t>
      </w:r>
      <w:r>
        <w:rPr>
          <w:rFonts w:ascii="Arial" w:cs="Arial" w:eastAsia="Arial" w:hAnsi="Arial"/>
          <w:sz w:val="22"/>
          <w:szCs w:val="22"/>
          <w:color w:val="auto"/>
        </w:rPr>
        <w:t>. Consistent with standard market settlement practices, the Company or the Agent may, upon notice to the other party hereto in writing (including by email correspondence to each of the individuals of the other party whose names are set forth on Schedule A) or by telephone (confirmed immediately by verifiable email), suspend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6" w:name="page77"/>
    <w:bookmarkEnd w:id="76"/>
    <w:p>
      <w:pPr>
        <w:jc w:val="both"/>
        <w:spacing w:after="0" w:line="272" w:lineRule="auto"/>
        <w:rPr>
          <w:sz w:val="20"/>
          <w:szCs w:val="20"/>
          <w:color w:val="auto"/>
        </w:rPr>
      </w:pPr>
      <w:r>
        <w:rPr>
          <w:rFonts w:ascii="Arial" w:cs="Arial" w:eastAsia="Arial" w:hAnsi="Arial"/>
          <w:sz w:val="19"/>
          <w:szCs w:val="19"/>
          <w:color w:val="auto"/>
        </w:rPr>
        <w:t xml:space="preserve">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3(b)(i)</w:t>
      </w:r>
      <w:r>
        <w:rPr>
          <w:rFonts w:ascii="Arial" w:cs="Arial" w:eastAsia="Arial" w:hAnsi="Arial"/>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36"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Guarantee of Placement, Etc.</w:t>
      </w:r>
      <w:r>
        <w:rPr>
          <w:rFonts w:ascii="Arial" w:cs="Arial" w:eastAsia="Arial" w:hAnsi="Arial"/>
          <w:sz w:val="22"/>
          <w:szCs w:val="22"/>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Material Non-Public Information.</w:t>
      </w:r>
      <w:r>
        <w:rPr>
          <w:rFonts w:ascii="Arial" w:cs="Arial" w:eastAsia="Arial" w:hAnsi="Arial"/>
          <w:sz w:val="22"/>
          <w:szCs w:val="22"/>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5" w:lineRule="exact"/>
        <w:rPr>
          <w:sz w:val="20"/>
          <w:szCs w:val="20"/>
          <w:color w:val="auto"/>
        </w:rPr>
      </w:pPr>
    </w:p>
    <w:p>
      <w:pPr>
        <w:jc w:val="both"/>
        <w:ind w:firstLine="656"/>
        <w:spacing w:after="0" w:line="238"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22"/>
          <w:szCs w:val="22"/>
          <w:u w:val="single" w:color="auto"/>
          <w:color w:val="auto"/>
        </w:rPr>
        <w:t>Section 3(b)(vi))</w:t>
      </w:r>
      <w:r>
        <w:rPr>
          <w:rFonts w:ascii="Arial" w:cs="Arial" w:eastAsia="Arial" w:hAnsi="Arial"/>
          <w:sz w:val="22"/>
          <w:szCs w:val="22"/>
          <w:color w:val="auto"/>
        </w:rPr>
        <w:t xml:space="preserve"> by the Agent deducting the Selling Commission from the applicable Issuance Amount.</w:t>
      </w:r>
    </w:p>
    <w:p>
      <w:pPr>
        <w:spacing w:after="0" w:line="184"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7" w:name="page78"/>
    <w:bookmarkEnd w:id="77"/>
    <w:p>
      <w:pPr>
        <w:jc w:val="both"/>
        <w:spacing w:after="0" w:line="275" w:lineRule="auto"/>
        <w:rPr>
          <w:sz w:val="20"/>
          <w:szCs w:val="20"/>
          <w:color w:val="auto"/>
        </w:rPr>
      </w:pPr>
      <w:r>
        <w:rPr>
          <w:rFonts w:ascii="Arial" w:cs="Arial" w:eastAsia="Arial" w:hAnsi="Arial"/>
          <w:sz w:val="19"/>
          <w:szCs w:val="19"/>
          <w:color w:val="auto"/>
        </w:rPr>
        <w:t>requested by the Agent, preparing and printing a “</w:t>
      </w:r>
      <w:r>
        <w:rPr>
          <w:rFonts w:ascii="Arial" w:cs="Arial" w:eastAsia="Arial" w:hAnsi="Arial"/>
          <w:sz w:val="19"/>
          <w:szCs w:val="19"/>
          <w:b w:val="1"/>
          <w:bCs w:val="1"/>
          <w:color w:val="auto"/>
        </w:rPr>
        <w:t>Blue Sky Survey</w:t>
      </w:r>
      <w:r>
        <w:rPr>
          <w:rFonts w:ascii="Arial" w:cs="Arial" w:eastAsia="Arial" w:hAnsi="Arial"/>
          <w:sz w:val="19"/>
          <w:szCs w:val="19"/>
          <w:color w:val="auto"/>
        </w:rPr>
        <w:t xml:space="preserve">” or memorandum and a “Canadian wrapper,” and any supplements thereto, and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$50,000 in connection with the execution of this Agreement and (B) $15,000 in connection with each Triggering Event Date (as defined below) on which the Company is required to provide a certificate pursuant to </w:t>
      </w:r>
      <w:r>
        <w:rPr>
          <w:rFonts w:ascii="Arial" w:cs="Arial" w:eastAsia="Arial" w:hAnsi="Arial"/>
          <w:sz w:val="19"/>
          <w:szCs w:val="19"/>
          <w:u w:val="single" w:color="auto"/>
          <w:color w:val="auto"/>
        </w:rPr>
        <w:t>Section 4(o</w:t>
      </w:r>
      <w:r>
        <w:rPr>
          <w:rFonts w:ascii="Arial" w:cs="Arial" w:eastAsia="Arial" w:hAnsi="Arial"/>
          <w:sz w:val="19"/>
          <w:szCs w:val="19"/>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ADDITIONAL COVENANTS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175" w:lineRule="exact"/>
        <w:rPr>
          <w:sz w:val="20"/>
          <w:szCs w:val="20"/>
          <w:color w:val="auto"/>
        </w:rPr>
      </w:pPr>
    </w:p>
    <w:p>
      <w:pPr>
        <w:jc w:val="both"/>
        <w:ind w:firstLine="656"/>
        <w:spacing w:after="0" w:line="273"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 Prospectus Supplement</w:t>
      </w:r>
      <w:r>
        <w:rPr>
          <w:rFonts w:ascii="Arial" w:cs="Arial" w:eastAsia="Arial" w:hAnsi="Arial"/>
          <w:sz w:val="19"/>
          <w:szCs w:val="19"/>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60"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Securities Act Compliance</w:t>
      </w:r>
      <w:r>
        <w:rPr>
          <w:rFonts w:ascii="Arial" w:cs="Arial" w:eastAsia="Arial" w:hAnsi="Arial"/>
          <w:sz w:val="19"/>
          <w:szCs w:val="19"/>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78" w:name="page79"/>
    <w:bookmarkEnd w:id="78"/>
    <w:p>
      <w:pPr>
        <w:spacing w:after="0" w:line="250" w:lineRule="auto"/>
        <w:rPr>
          <w:sz w:val="20"/>
          <w:szCs w:val="20"/>
          <w:color w:val="auto"/>
        </w:rPr>
      </w:pPr>
      <w:r>
        <w:rPr>
          <w:rFonts w:ascii="Arial" w:cs="Arial" w:eastAsia="Arial" w:hAnsi="Arial"/>
          <w:sz w:val="22"/>
          <w:szCs w:val="22"/>
          <w:color w:val="auto"/>
        </w:rPr>
        <w:t>filings made by the Company under such Rule 424(b) or Rule 433 were received in a timely manner by the Commission.</w:t>
      </w:r>
    </w:p>
    <w:p>
      <w:pPr>
        <w:spacing w:after="0" w:line="175" w:lineRule="exact"/>
        <w:rPr>
          <w:sz w:val="20"/>
          <w:szCs w:val="20"/>
          <w:color w:val="auto"/>
        </w:rPr>
      </w:pPr>
    </w:p>
    <w:p>
      <w:pPr>
        <w:jc w:val="both"/>
        <w:ind w:firstLine="656"/>
        <w:spacing w:after="0" w:line="270"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provided, however that the only remedy the Agent shall have with respect to the failure by the Company to make such filing (other than the Agent’s rights under Section 3(d) or Section 6 hereof) shall be to cease making sales under this Agreement until such amendment or supplement is filed;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filing any amendment or supplement to the Registration Statement (including any registration statement filed under Rule 462(b) under the Securities Act (a “</w:t>
      </w:r>
      <w:r>
        <w:rPr>
          <w:rFonts w:ascii="Arial" w:cs="Arial" w:eastAsia="Arial" w:hAnsi="Arial"/>
          <w:sz w:val="19"/>
          <w:szCs w:val="19"/>
          <w:b w:val="1"/>
          <w:bCs w:val="1"/>
          <w:color w:val="auto"/>
        </w:rPr>
        <w:t>Rule 462(b) Registration Statement</w:t>
      </w:r>
      <w:r>
        <w:rPr>
          <w:rFonts w:ascii="Arial" w:cs="Arial" w:eastAsia="Arial" w:hAnsi="Arial"/>
          <w:sz w:val="19"/>
          <w:szCs w:val="19"/>
          <w:color w:val="auto"/>
        </w:rPr>
        <w:t>”) or the Prospectus (excluding any amendment or supplement through incorporation of any report filed under the Exchange Act), insofar as such proposed amendment or supplement relates to the Shares ,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158"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Use of Free Writing Prospectus</w:t>
      </w:r>
      <w:r>
        <w:rPr>
          <w:rFonts w:ascii="Arial" w:cs="Arial" w:eastAsia="Arial" w:hAnsi="Arial"/>
          <w:sz w:val="21"/>
          <w:szCs w:val="21"/>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21"/>
          <w:szCs w:val="21"/>
          <w:b w:val="1"/>
          <w:bCs w:val="1"/>
          <w:color w:val="auto"/>
        </w:rPr>
        <w:t>Free Writing Prospectus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79" w:name="page80"/>
    <w:bookmarkEnd w:id="79"/>
    <w:p>
      <w:pPr>
        <w:jc w:val="both"/>
        <w:ind w:firstLine="656"/>
        <w:spacing w:after="0" w:line="255"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xml:space="preserve">. </w:t>
      </w:r>
      <w:r>
        <w:rPr>
          <w:rFonts w:ascii="Arial" w:cs="Arial" w:eastAsia="Arial" w:hAnsi="Arial"/>
          <w:sz w:val="20"/>
          <w:szCs w:val="20"/>
          <w:color w:val="auto"/>
        </w:rPr>
        <w:t>The Company shall furnish to the Agent for review, a reasonable amount</w:t>
      </w:r>
      <w:r>
        <w:rPr>
          <w:rFonts w:ascii="Arial" w:cs="Arial" w:eastAsia="Arial" w:hAnsi="Arial"/>
          <w:sz w:val="19"/>
          <w:szCs w:val="19"/>
          <w:color w:val="auto"/>
        </w:rPr>
        <w:t xml:space="preserve"> </w:t>
      </w:r>
      <w:r>
        <w:rPr>
          <w:rFonts w:ascii="Arial" w:cs="Arial" w:eastAsia="Arial" w:hAnsi="Arial"/>
          <w:sz w:val="20"/>
          <w:szCs w:val="20"/>
          <w:color w:val="auto"/>
        </w:rPr>
        <w:t xml:space="preserve">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relating to the Shares or any amendment or supplement thereto without the Agent’s consent. The Company shall furnish to the Agent, without charge, as many copies of any free writing prospectus relating to the Shares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20"/>
          <w:szCs w:val="20"/>
          <w:i w:val="1"/>
          <w:iCs w:val="1"/>
          <w:color w:val="auto"/>
        </w:rPr>
        <w:t>provided, however</w:t>
      </w:r>
      <w:r>
        <w:rPr>
          <w:rFonts w:ascii="Arial" w:cs="Arial" w:eastAsia="Arial" w:hAnsi="Arial"/>
          <w:sz w:val="20"/>
          <w:szCs w:val="20"/>
          <w:color w:val="auto"/>
        </w:rPr>
        <w:t>, that prior to amending or supplementing any such free writing prospectus relating to the Shares,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84"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Filing of Agent Free Writing Prospectuses</w:t>
      </w:r>
      <w:r>
        <w:rPr>
          <w:rFonts w:ascii="Arial" w:cs="Arial" w:eastAsia="Arial" w:hAnsi="Arial"/>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4"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Copies of Registration Statement and Prospectus</w:t>
      </w:r>
      <w:r>
        <w:rPr>
          <w:rFonts w:ascii="Arial" w:cs="Arial" w:eastAsia="Arial" w:hAnsi="Arial"/>
          <w:sz w:val="19"/>
          <w:szCs w:val="19"/>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4" w:right="999" w:bottom="1440" w:gutter="0" w:footer="0" w:header="0"/>
        </w:sectPr>
      </w:pPr>
    </w:p>
    <w:bookmarkStart w:id="80" w:name="page81"/>
    <w:bookmarkEnd w:id="80"/>
    <w:p>
      <w:pPr>
        <w:jc w:val="both"/>
        <w:spacing w:after="0" w:line="244" w:lineRule="auto"/>
        <w:rPr>
          <w:sz w:val="20"/>
          <w:szCs w:val="20"/>
          <w:color w:val="auto"/>
        </w:rPr>
      </w:pPr>
      <w:r>
        <w:rPr>
          <w:rFonts w:ascii="Arial" w:cs="Arial" w:eastAsia="Arial" w:hAnsi="Arial"/>
          <w:sz w:val="21"/>
          <w:szCs w:val="21"/>
          <w:color w:val="auto"/>
        </w:rPr>
        <w:t>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88" w:lineRule="exact"/>
        <w:rPr>
          <w:sz w:val="20"/>
          <w:szCs w:val="20"/>
          <w:color w:val="auto"/>
        </w:rPr>
      </w:pPr>
    </w:p>
    <w:p>
      <w:pPr>
        <w:jc w:val="both"/>
        <w:ind w:firstLine="656"/>
        <w:spacing w:after="0" w:line="273" w:lineRule="auto"/>
        <w:tabs>
          <w:tab w:leader="none" w:pos="1296"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spacing w:after="0" w:line="155" w:lineRule="exact"/>
        <w:rPr>
          <w:rFonts w:ascii="Arial" w:cs="Arial" w:eastAsia="Arial" w:hAnsi="Arial"/>
          <w:sz w:val="19"/>
          <w:szCs w:val="19"/>
          <w:color w:val="auto"/>
        </w:rPr>
      </w:pPr>
    </w:p>
    <w:p>
      <w:pPr>
        <w:jc w:val="both"/>
        <w:ind w:firstLine="656"/>
        <w:spacing w:after="0" w:line="235" w:lineRule="auto"/>
        <w:tabs>
          <w:tab w:leader="none" w:pos="1296"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As soon as practicable, but in any event not later than 15 months after the end of the Company’s current fiscal quarter as of the date of this Agreement,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87" w:lineRule="exact"/>
        <w:rPr>
          <w:rFonts w:ascii="Arial" w:cs="Arial" w:eastAsia="Arial" w:hAnsi="Arial"/>
          <w:sz w:val="22"/>
          <w:szCs w:val="22"/>
          <w:color w:val="auto"/>
        </w:rPr>
      </w:pPr>
    </w:p>
    <w:p>
      <w:pPr>
        <w:jc w:val="both"/>
        <w:ind w:firstLine="656"/>
        <w:spacing w:after="0" w:line="257" w:lineRule="auto"/>
        <w:tabs>
          <w:tab w:leader="none" w:pos="1296"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Listing; Reservation of Shares</w:t>
      </w:r>
      <w:r>
        <w:rPr>
          <w:rFonts w:ascii="Arial" w:cs="Arial" w:eastAsia="Arial" w:hAnsi="Arial"/>
          <w:sz w:val="21"/>
          <w:szCs w:val="21"/>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r>
        <w:rPr>
          <w:rFonts w:ascii="Arial" w:cs="Arial" w:eastAsia="Arial" w:hAnsi="Arial"/>
          <w:sz w:val="15"/>
          <w:szCs w:val="15"/>
          <w:color w:val="auto"/>
        </w:rPr>
        <w:t>1</w:t>
      </w:r>
    </w:p>
    <w:p>
      <w:pPr>
        <w:spacing w:after="0" w:line="169" w:lineRule="exact"/>
        <w:rPr>
          <w:rFonts w:ascii="Arial" w:cs="Arial" w:eastAsia="Arial" w:hAnsi="Arial"/>
          <w:sz w:val="21"/>
          <w:szCs w:val="21"/>
          <w:color w:val="auto"/>
        </w:rPr>
      </w:pPr>
    </w:p>
    <w:p>
      <w:pPr>
        <w:ind w:firstLine="656"/>
        <w:spacing w:after="0" w:line="250" w:lineRule="auto"/>
        <w:tabs>
          <w:tab w:leader="none" w:pos="1296"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Transfer Agent</w:t>
      </w:r>
      <w:r>
        <w:rPr>
          <w:rFonts w:ascii="Arial" w:cs="Arial" w:eastAsia="Arial" w:hAnsi="Arial"/>
          <w:sz w:val="22"/>
          <w:szCs w:val="22"/>
          <w:color w:val="auto"/>
        </w:rPr>
        <w:t>. The Company shall engage and maintain, at its expense, a registrar and transfer agent for the Shares.</w:t>
      </w:r>
    </w:p>
    <w:p>
      <w:pPr>
        <w:spacing w:after="0" w:line="174" w:lineRule="exact"/>
        <w:rPr>
          <w:rFonts w:ascii="Arial" w:cs="Arial" w:eastAsia="Arial" w:hAnsi="Arial"/>
          <w:sz w:val="22"/>
          <w:szCs w:val="22"/>
          <w:color w:val="auto"/>
        </w:rPr>
      </w:pPr>
    </w:p>
    <w:p>
      <w:pPr>
        <w:jc w:val="both"/>
        <w:ind w:firstLine="8"/>
        <w:spacing w:after="0" w:line="236"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Due Diligence</w:t>
      </w:r>
      <w:r>
        <w:rPr>
          <w:rFonts w:ascii="Arial" w:cs="Arial" w:eastAsia="Arial" w:hAnsi="Arial"/>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568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5"/>
          <w:szCs w:val="15"/>
          <w:b w:val="1"/>
          <w:bCs w:val="1"/>
          <w:color w:val="auto"/>
        </w:rPr>
      </w:pPr>
      <w:r>
        <w:rPr>
          <w:rFonts w:ascii="Arial" w:cs="Arial" w:eastAsia="Arial" w:hAnsi="Arial"/>
          <w:sz w:val="19"/>
          <w:szCs w:val="19"/>
          <w:b w:val="1"/>
          <w:bCs w:val="1"/>
          <w:color w:val="auto"/>
        </w:rPr>
        <w:t>Note to Latham</w:t>
      </w:r>
      <w:r>
        <w:rPr>
          <w:rFonts w:ascii="Arial" w:cs="Arial" w:eastAsia="Arial" w:hAnsi="Arial"/>
          <w:sz w:val="19"/>
          <w:szCs w:val="19"/>
          <w:color w:val="auto"/>
        </w:rPr>
        <w:t>: Please send a copy of any filings required by Nasdaq in connection with the transaction.</w:t>
      </w:r>
    </w:p>
    <w:p>
      <w:pPr>
        <w:spacing w:after="0" w:line="200" w:lineRule="exact"/>
        <w:rPr>
          <w:rFonts w:ascii="Arial" w:cs="Arial" w:eastAsia="Arial" w:hAnsi="Arial"/>
          <w:sz w:val="15"/>
          <w:szCs w:val="15"/>
          <w:b w:val="1"/>
          <w:bCs w:val="1"/>
          <w:color w:val="auto"/>
        </w:rPr>
      </w:pPr>
    </w:p>
    <w:p>
      <w:pPr>
        <w:spacing w:after="0" w:line="200" w:lineRule="exact"/>
        <w:rPr>
          <w:rFonts w:ascii="Arial" w:cs="Arial" w:eastAsia="Arial" w:hAnsi="Arial"/>
          <w:sz w:val="15"/>
          <w:szCs w:val="15"/>
          <w:b w:val="1"/>
          <w:bCs w:val="1"/>
          <w:color w:val="auto"/>
        </w:rPr>
      </w:pPr>
    </w:p>
    <w:p>
      <w:pPr>
        <w:spacing w:after="0" w:line="305" w:lineRule="exact"/>
        <w:rPr>
          <w:rFonts w:ascii="Arial" w:cs="Arial" w:eastAsia="Arial" w:hAnsi="Arial"/>
          <w:sz w:val="15"/>
          <w:szCs w:val="15"/>
          <w:b w:val="1"/>
          <w:bCs w:val="1"/>
          <w:color w:val="auto"/>
        </w:rPr>
      </w:pPr>
    </w:p>
    <w:p>
      <w:pPr>
        <w:ind w:left="4860"/>
        <w:spacing w:after="0"/>
        <w:rPr>
          <w:rFonts w:ascii="Arial" w:cs="Arial" w:eastAsia="Arial" w:hAnsi="Arial"/>
          <w:sz w:val="15"/>
          <w:szCs w:val="15"/>
          <w:b w:val="1"/>
          <w:bCs w:val="1"/>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1" w:name="page82"/>
    <w:bookmarkEnd w:id="81"/>
    <w:p>
      <w:pPr>
        <w:jc w:val="both"/>
        <w:ind w:firstLine="656"/>
        <w:spacing w:after="0" w:line="273" w:lineRule="auto"/>
        <w:tabs>
          <w:tab w:leader="none" w:pos="12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0" w:lineRule="exact"/>
        <w:rPr>
          <w:rFonts w:ascii="Arial" w:cs="Arial" w:eastAsia="Arial" w:hAnsi="Arial"/>
          <w:sz w:val="19"/>
          <w:szCs w:val="19"/>
          <w:color w:val="auto"/>
        </w:rPr>
      </w:pPr>
    </w:p>
    <w:p>
      <w:pPr>
        <w:jc w:val="both"/>
        <w:ind w:firstLine="656"/>
        <w:spacing w:after="0"/>
        <w:tabs>
          <w:tab w:leader="none" w:pos="129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Deliverables at Triggering Event Dates; Certificates.</w:t>
      </w:r>
      <w:r>
        <w:rPr>
          <w:rFonts w:ascii="Arial" w:cs="Arial" w:eastAsia="Arial" w:hAnsi="Arial"/>
          <w:sz w:val="22"/>
          <w:szCs w:val="22"/>
          <w:color w:val="auto"/>
        </w:rPr>
        <w:t xml:space="preserve"> The Company agrees that on or prior to the date of the first Issuance Notice and, during the term of this Agreement after the date of the first Issuance Notice, upon:</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4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14" w:lineRule="exact"/>
        <w:rPr>
          <w:rFonts w:ascii="Arial" w:cs="Arial" w:eastAsia="Arial" w:hAnsi="Arial"/>
          <w:sz w:val="22"/>
          <w:szCs w:val="22"/>
          <w:color w:val="auto"/>
        </w:rPr>
      </w:pPr>
    </w:p>
    <w:p>
      <w:pPr>
        <w:jc w:val="both"/>
        <w:ind w:firstLine="1304"/>
        <w:spacing w:after="0" w:line="238" w:lineRule="auto"/>
        <w:tabs>
          <w:tab w:leader="none" w:pos="1944"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11" w:lineRule="exact"/>
        <w:rPr>
          <w:rFonts w:ascii="Arial" w:cs="Arial" w:eastAsia="Arial" w:hAnsi="Arial"/>
          <w:sz w:val="22"/>
          <w:szCs w:val="22"/>
          <w:color w:val="auto"/>
        </w:rPr>
      </w:pPr>
    </w:p>
    <w:p>
      <w:pPr>
        <w:jc w:val="both"/>
        <w:ind w:firstLine="1304"/>
        <w:spacing w:after="0" w:line="249" w:lineRule="auto"/>
        <w:tabs>
          <w:tab w:leader="none" w:pos="1944"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(any such event described in clauses (A) through (C) above, a “</w:t>
      </w:r>
      <w:r>
        <w:rPr>
          <w:rFonts w:ascii="Arial" w:cs="Arial" w:eastAsia="Arial" w:hAnsi="Arial"/>
          <w:sz w:val="19"/>
          <w:szCs w:val="19"/>
          <w:b w:val="1"/>
          <w:bCs w:val="1"/>
          <w:color w:val="auto"/>
        </w:rPr>
        <w:t>Triggering Event Date</w:t>
      </w:r>
      <w:r>
        <w:rPr>
          <w:rFonts w:ascii="Arial" w:cs="Arial" w:eastAsia="Arial" w:hAnsi="Arial"/>
          <w:sz w:val="19"/>
          <w:szCs w:val="19"/>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substantially in the form attached hereto as Exhibit B, executed by the Company’s principal executive officer or principal financial officer. The requirement to provide a certificate under this </w:t>
      </w:r>
      <w:r>
        <w:rPr>
          <w:rFonts w:ascii="Arial" w:cs="Arial" w:eastAsia="Arial" w:hAnsi="Arial"/>
          <w:sz w:val="19"/>
          <w:szCs w:val="19"/>
          <w:u w:val="single" w:color="auto"/>
          <w:color w:val="auto"/>
        </w:rPr>
        <w:t>Section 4(o)</w:t>
      </w:r>
      <w:r>
        <w:rPr>
          <w:rFonts w:ascii="Arial" w:cs="Arial" w:eastAsia="Arial" w:hAnsi="Arial"/>
          <w:sz w:val="19"/>
          <w:szCs w:val="19"/>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21"/>
          <w:szCs w:val="21"/>
          <w:color w:val="auto"/>
        </w:rPr>
        <w:t>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77" w:lineRule="exact"/>
        <w:rPr>
          <w:sz w:val="20"/>
          <w:szCs w:val="20"/>
          <w:color w:val="auto"/>
        </w:rPr>
      </w:pPr>
    </w:p>
    <w:p>
      <w:pPr>
        <w:jc w:val="both"/>
        <w:ind w:firstLine="656"/>
        <w:spacing w:after="0" w:line="270" w:lineRule="auto"/>
        <w:tabs>
          <w:tab w:leader="none" w:pos="129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Latham &amp; Watkins, LLP, counsel to the Company (“</w:t>
      </w:r>
      <w:r>
        <w:rPr>
          <w:rFonts w:ascii="Arial" w:cs="Arial" w:eastAsia="Arial" w:hAnsi="Arial"/>
          <w:sz w:val="19"/>
          <w:szCs w:val="19"/>
          <w:b w:val="1"/>
          <w:bCs w:val="1"/>
          <w:color w:val="auto"/>
        </w:rPr>
        <w:t>Company Counsel</w:t>
      </w:r>
      <w:r>
        <w:rPr>
          <w:rFonts w:ascii="Arial" w:cs="Arial" w:eastAsia="Arial" w:hAnsi="Arial"/>
          <w:sz w:val="19"/>
          <w:szCs w:val="19"/>
          <w:color w:val="auto"/>
        </w:rPr>
        <w:t>”), and (2) the written legal opinion of Viksnins Harris Padys Malen LLP, intellectual property counsel to the Company, or other intellectual property counsel to the Company reasonably satisfactory to the Agent (collectively, “</w:t>
      </w:r>
      <w:r>
        <w:rPr>
          <w:rFonts w:ascii="Arial" w:cs="Arial" w:eastAsia="Arial" w:hAnsi="Arial"/>
          <w:sz w:val="19"/>
          <w:szCs w:val="19"/>
          <w:b w:val="1"/>
          <w:bCs w:val="1"/>
          <w:color w:val="auto"/>
        </w:rPr>
        <w:t>IP Counsel</w:t>
      </w:r>
      <w:r>
        <w:rPr>
          <w:rFonts w:ascii="Arial" w:cs="Arial" w:eastAsia="Arial" w:hAnsi="Arial"/>
          <w:sz w:val="19"/>
          <w:szCs w:val="19"/>
          <w:color w:val="auto"/>
        </w:rPr>
        <w: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provided, however, that the Company shall be required to furnish no more than one written legal opinion and negative assurance letter of Company Counsel per filing of an annual report on Form 10-K or quarterly report on Form 10-Q; and provided further that the Company shall be required to furnish no more than one written legal opinion of IP Counsel hereunder in any twelve-month period. In lieu of such opinions for subsequent periodic filings, in the discretion of the Agent, the Company may furnish a reliance letter from such counsel to the Agent, permitting the Agent to rely on a previously delivered opinion letter and negative assurances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3" w:name="page84"/>
    <w:bookmarkEnd w:id="83"/>
    <w:p>
      <w:pPr>
        <w:jc w:val="both"/>
        <w:ind w:firstLine="656"/>
        <w:spacing w:after="0" w:line="246" w:lineRule="auto"/>
        <w:tabs>
          <w:tab w:leader="none" w:pos="102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Secretary’s Certificate</w:t>
      </w:r>
      <w:r>
        <w:rPr>
          <w:rFonts w:ascii="Arial" w:cs="Arial" w:eastAsia="Arial" w:hAnsi="Arial"/>
          <w:sz w:val="21"/>
          <w:szCs w:val="21"/>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or Assistant Secretary of the Company, signing in such capacity, dated the date of delivery substantially in the form attached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along with such certificates of good standing or other certificates of public officials as may be reasonably requested by Company Counsel or Agent Counsel (as defined below) in connection with the rendering of their opinions and negative assurance letters as contemplated by Section 4(p) and Section 5(a)(v).</w:t>
      </w:r>
    </w:p>
    <w:p>
      <w:pPr>
        <w:spacing w:after="0" w:line="179" w:lineRule="exact"/>
        <w:rPr>
          <w:rFonts w:ascii="Arial" w:cs="Arial" w:eastAsia="Arial" w:hAnsi="Arial"/>
          <w:sz w:val="21"/>
          <w:szCs w:val="21"/>
          <w:color w:val="auto"/>
        </w:rPr>
      </w:pPr>
    </w:p>
    <w:p>
      <w:pPr>
        <w:jc w:val="both"/>
        <w:ind w:firstLine="656"/>
        <w:spacing w:after="0"/>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86"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Market Activities</w:t>
      </w:r>
      <w:r>
        <w:rPr>
          <w:rFonts w:ascii="Arial" w:cs="Arial" w:eastAsia="Arial" w:hAnsi="Arial"/>
          <w:sz w:val="21"/>
          <w:szCs w:val="21"/>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21"/>
          <w:szCs w:val="21"/>
          <w:b w:val="1"/>
          <w:bCs w:val="1"/>
          <w:color w:val="auto"/>
        </w:rPr>
        <w:t>Rule 102</w:t>
      </w:r>
      <w:r>
        <w:rPr>
          <w:rFonts w:ascii="Arial" w:cs="Arial" w:eastAsia="Arial" w:hAnsi="Arial"/>
          <w:sz w:val="21"/>
          <w:szCs w:val="21"/>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98" w:lineRule="exact"/>
        <w:rPr>
          <w:rFonts w:ascii="Arial" w:cs="Arial" w:eastAsia="Arial" w:hAnsi="Arial"/>
          <w:sz w:val="21"/>
          <w:szCs w:val="21"/>
          <w:color w:val="auto"/>
        </w:rPr>
      </w:pPr>
    </w:p>
    <w:p>
      <w:pPr>
        <w:jc w:val="both"/>
        <w:ind w:firstLine="656"/>
        <w:spacing w:after="0" w:line="268"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8"/>
          <w:szCs w:val="18"/>
          <w:u w:val="single" w:color="auto"/>
          <w:color w:val="auto"/>
        </w:rPr>
        <w:t>Notice of Other Sale</w:t>
      </w:r>
      <w:r>
        <w:rPr>
          <w:rFonts w:ascii="Arial" w:cs="Arial" w:eastAsia="Arial" w:hAnsi="Arial"/>
          <w:sz w:val="18"/>
          <w:szCs w:val="18"/>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and will not directly or indirectly enter into any other “at the market” or continuous equity transaction offer pursuant to which the Company (including through another person as agent or principal) offers to sell, sells, contracts to sell, grants any option to sell or otherwise disposes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consultant or director share option, incentive or benefit plan, share purchase or ownership plan, long-term incentive plan, dividend reinvestment plan, inducement award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8"/>
          <w:szCs w:val="18"/>
          <w:color w:val="auto"/>
        </w:rPr>
        <w:t xml:space="preserve">Nasdaq rules or other compensation plan of the Company or its subsidiaries, whether now in effect on the date of this Agreement or hereafter implemented, (ii) 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or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Issuance Notice is pending, the Company will not issue Common Shares pursuant to clause</w:t>
      </w:r>
    </w:p>
    <w:p>
      <w:pPr>
        <w:spacing w:after="0" w:line="3" w:lineRule="exact"/>
        <w:rPr>
          <w:sz w:val="20"/>
          <w:szCs w:val="20"/>
          <w:color w:val="auto"/>
        </w:rPr>
      </w:pPr>
    </w:p>
    <w:p>
      <w:pPr>
        <w:jc w:val="both"/>
        <w:ind w:firstLine="8"/>
        <w:spacing w:after="0" w:line="241" w:lineRule="auto"/>
        <w:tabs>
          <w:tab w:leader="none" w:pos="3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of this Section 4(v) while such Issuance Notice is pending if, following such issuance, the number of Common Shares issued or issuable in connection with all such issuances pursuant to clause (iv) would exceed 5% of the aggregate number of the Common Shares outstanding as of the date of this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CONDITIONS TO DELIVERY OF ISSUANCE NOTICES AND TO SETTLEMENT</w:t>
      </w:r>
    </w:p>
    <w:p>
      <w:pPr>
        <w:spacing w:after="0" w:line="212" w:lineRule="exact"/>
        <w:rPr>
          <w:sz w:val="20"/>
          <w:szCs w:val="20"/>
          <w:color w:val="auto"/>
        </w:rPr>
      </w:pPr>
    </w:p>
    <w:p>
      <w:pPr>
        <w:jc w:val="both"/>
        <w:ind w:firstLine="656"/>
        <w:spacing w:after="0" w:line="235" w:lineRule="auto"/>
        <w:tabs>
          <w:tab w:leader="none" w:pos="129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Conditions Precedent to the Right of the Company to Deliver an Issuance Notice and the Obligation of the Agent to Sell Shares</w:t>
      </w:r>
      <w:r>
        <w:rPr>
          <w:rFonts w:ascii="Arial" w:cs="Arial" w:eastAsia="Arial" w:hAnsi="Arial"/>
          <w:sz w:val="22"/>
          <w:szCs w:val="22"/>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88" w:lineRule="exact"/>
        <w:rPr>
          <w:sz w:val="20"/>
          <w:szCs w:val="20"/>
          <w:color w:val="auto"/>
        </w:rPr>
      </w:pPr>
    </w:p>
    <w:p>
      <w:pPr>
        <w:jc w:val="both"/>
        <w:ind w:left="1300" w:hanging="644"/>
        <w:spacing w:after="0" w:line="246"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Accuracy of the Company’s Representations and Warranties; Performance by the Company</w:t>
      </w:r>
      <w:r>
        <w:rPr>
          <w:rFonts w:ascii="Arial" w:cs="Arial" w:eastAsia="Arial" w:hAnsi="Arial"/>
          <w:sz w:val="21"/>
          <w:szCs w:val="21"/>
          <w:color w:val="auto"/>
        </w:rPr>
        <w:t xml:space="preserve">. The Company shall have delivered the certificate required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Section 4(p), </w:t>
      </w:r>
      <w:r>
        <w:rPr>
          <w:rFonts w:ascii="Arial" w:cs="Arial" w:eastAsia="Arial" w:hAnsi="Arial"/>
          <w:sz w:val="21"/>
          <w:szCs w:val="21"/>
          <w:u w:val="single" w:color="auto"/>
          <w:color w:val="auto"/>
        </w:rPr>
        <w:t>Section 4(q)</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4(r)</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left="1300" w:hanging="644"/>
        <w:spacing w:after="0" w:line="246"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No Injunction</w:t>
      </w:r>
      <w:r>
        <w:rPr>
          <w:rFonts w:ascii="Arial" w:cs="Arial" w:eastAsia="Arial" w:hAnsi="Arial"/>
          <w:sz w:val="21"/>
          <w:szCs w:val="21"/>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Material Adverse Effects</w:t>
      </w:r>
      <w:r>
        <w:rPr>
          <w:rFonts w:ascii="Arial" w:cs="Arial" w:eastAsia="Arial" w:hAnsi="Arial"/>
          <w:sz w:val="19"/>
          <w:szCs w:val="19"/>
          <w:color w:val="auto"/>
        </w:rPr>
        <w:t>. Except as disclosed in the Prospectus and the Time of Sale Information,</w:t>
      </w:r>
    </w:p>
    <w:p>
      <w:pPr>
        <w:spacing w:after="0" w:line="42" w:lineRule="exact"/>
        <w:rPr>
          <w:rFonts w:ascii="Arial" w:cs="Arial" w:eastAsia="Arial" w:hAnsi="Arial"/>
          <w:sz w:val="19"/>
          <w:szCs w:val="19"/>
          <w:color w:val="auto"/>
        </w:rPr>
      </w:pPr>
    </w:p>
    <w:p>
      <w:pPr>
        <w:jc w:val="both"/>
        <w:ind w:left="1300"/>
        <w:spacing w:after="0" w:line="287" w:lineRule="auto"/>
        <w:rPr>
          <w:rFonts w:ascii="Arial" w:cs="Arial" w:eastAsia="Arial" w:hAnsi="Arial"/>
          <w:sz w:val="19"/>
          <w:szCs w:val="19"/>
          <w:color w:val="auto"/>
        </w:rPr>
      </w:pPr>
      <w:r>
        <w:rPr>
          <w:rFonts w:ascii="Arial" w:cs="Arial" w:eastAsia="Arial" w:hAnsi="Arial"/>
          <w:sz w:val="19"/>
          <w:szCs w:val="19"/>
          <w:color w:val="auto"/>
        </w:rPr>
        <w:t>(a)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5565775</wp:posOffset>
            </wp:positionH>
            <wp:positionV relativeFrom="paragraph">
              <wp:posOffset>-2183765</wp:posOffset>
            </wp:positionV>
            <wp:extent cx="691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5" w:name="page86"/>
    <w:bookmarkEnd w:id="85"/>
    <w:p>
      <w:pPr>
        <w:jc w:val="both"/>
        <w:ind w:left="840" w:right="20"/>
        <w:spacing w:after="0"/>
        <w:rPr>
          <w:sz w:val="20"/>
          <w:szCs w:val="20"/>
          <w:color w:val="auto"/>
        </w:rPr>
      </w:pPr>
      <w:r>
        <w:rPr>
          <w:rFonts w:ascii="Arial" w:cs="Arial" w:eastAsia="Arial" w:hAnsi="Arial"/>
          <w:sz w:val="22"/>
          <w:szCs w:val="22"/>
          <w:color w:val="auto"/>
        </w:rPr>
        <w:t>direction of the possible change, in the rating accorded any securities of the Company by any “nationally recognized statistical rating organization” as such term is defined for purposes of Section 3(a)(62) of the Exchange Act.</w:t>
      </w:r>
    </w:p>
    <w:p>
      <w:pPr>
        <w:spacing w:after="0" w:line="186" w:lineRule="exact"/>
        <w:rPr>
          <w:sz w:val="20"/>
          <w:szCs w:val="20"/>
          <w:color w:val="auto"/>
        </w:rPr>
      </w:pPr>
    </w:p>
    <w:p>
      <w:pPr>
        <w:jc w:val="both"/>
        <w:ind w:left="840" w:hanging="644"/>
        <w:spacing w:after="0" w:line="270" w:lineRule="auto"/>
        <w:tabs>
          <w:tab w:leader="none" w:pos="8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Common Shares; Other Events</w:t>
      </w:r>
      <w:r>
        <w:rPr>
          <w:rFonts w:ascii="Arial" w:cs="Arial" w:eastAsia="Arial" w:hAnsi="Arial"/>
          <w:sz w:val="19"/>
          <w:szCs w:val="19"/>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840" w:hanging="644"/>
        <w:spacing w:after="0" w:line="272" w:lineRule="auto"/>
        <w:tabs>
          <w:tab w:leader="none" w:pos="8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Agent Counsel Opinion and Negative Assurances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w:t>
      </w:r>
      <w:r>
        <w:rPr>
          <w:rFonts w:ascii="Arial" w:cs="Arial" w:eastAsia="Arial" w:hAnsi="Arial"/>
          <w:sz w:val="19"/>
          <w:szCs w:val="19"/>
          <w:b w:val="1"/>
          <w:bCs w:val="1"/>
          <w:color w:val="auto"/>
        </w:rPr>
        <w:t>Agent</w:t>
      </w:r>
      <w:r>
        <w:rPr>
          <w:rFonts w:ascii="Arial" w:cs="Arial" w:eastAsia="Arial" w:hAnsi="Arial"/>
          <w:sz w:val="19"/>
          <w:szCs w:val="19"/>
          <w:color w:val="auto"/>
        </w:rPr>
        <w:t xml:space="preserve"> </w:t>
      </w:r>
      <w:r>
        <w:rPr>
          <w:rFonts w:ascii="Arial" w:cs="Arial" w:eastAsia="Arial" w:hAnsi="Arial"/>
          <w:sz w:val="19"/>
          <w:szCs w:val="19"/>
          <w:b w:val="1"/>
          <w:bCs w:val="1"/>
          <w:color w:val="auto"/>
        </w:rPr>
        <w:t>Counsel</w:t>
      </w:r>
      <w:r>
        <w:rPr>
          <w:rFonts w:ascii="Arial" w:cs="Arial" w:eastAsia="Arial" w:hAnsi="Arial"/>
          <w:sz w:val="19"/>
          <w:szCs w:val="19"/>
          <w:color w:val="auto"/>
        </w:rPr>
        <w:t>”), shall have furnished to the Agent a negative assurances letter and the written legal</w:t>
      </w:r>
      <w:r>
        <w:rPr>
          <w:rFonts w:ascii="Arial" w:cs="Arial" w:eastAsia="Arial" w:hAnsi="Arial"/>
          <w:sz w:val="19"/>
          <w:szCs w:val="19"/>
          <w:b w:val="1"/>
          <w:bCs w:val="1"/>
          <w:color w:val="auto"/>
        </w:rPr>
        <w:t xml:space="preserve"> </w:t>
      </w:r>
      <w:r>
        <w:rPr>
          <w:rFonts w:ascii="Arial" w:cs="Arial" w:eastAsia="Arial" w:hAnsi="Arial"/>
          <w:sz w:val="19"/>
          <w:szCs w:val="19"/>
          <w:color w:val="auto"/>
        </w:rPr>
        <w:t>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60" w:lineRule="exact"/>
        <w:rPr>
          <w:rFonts w:ascii="Arial" w:cs="Arial" w:eastAsia="Arial" w:hAnsi="Arial"/>
          <w:sz w:val="19"/>
          <w:szCs w:val="19"/>
          <w:color w:val="auto"/>
        </w:rPr>
      </w:pPr>
    </w:p>
    <w:p>
      <w:pPr>
        <w:jc w:val="both"/>
        <w:ind w:left="840" w:hanging="644"/>
        <w:spacing w:after="0" w:line="282" w:lineRule="auto"/>
        <w:tabs>
          <w:tab w:leader="none" w:pos="8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Agent shall not have advised the Company that the Registration Statement, the Prospectus or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86" w:name="page87"/>
    <w:bookmarkEnd w:id="86"/>
    <w:p>
      <w:pPr>
        <w:jc w:val="both"/>
        <w:ind w:firstLine="656"/>
        <w:spacing w:after="0" w:line="246" w:lineRule="auto"/>
        <w:tabs>
          <w:tab w:leader="none" w:pos="129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Documents Required to be Delivered on each Issuance Notice Date</w:t>
      </w:r>
      <w:r>
        <w:rPr>
          <w:rFonts w:ascii="Arial" w:cs="Arial" w:eastAsia="Arial" w:hAnsi="Arial"/>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Section 4(o) (which certificate shall not be required if the foregoing representations shall be set forth in the Issuance Notice).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INDEMNIFICATION AND CONTRIBUTION</w:t>
      </w:r>
    </w:p>
    <w:p>
      <w:pPr>
        <w:spacing w:after="0" w:line="212" w:lineRule="exact"/>
        <w:rPr>
          <w:sz w:val="20"/>
          <w:szCs w:val="20"/>
          <w:color w:val="auto"/>
        </w:rPr>
      </w:pPr>
    </w:p>
    <w:p>
      <w:pPr>
        <w:jc w:val="both"/>
        <w:ind w:firstLine="656"/>
        <w:spacing w:after="0" w:line="268"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Indemnification of the Agent</w:t>
      </w:r>
      <w:r>
        <w:rPr>
          <w:rFonts w:ascii="Arial" w:cs="Arial" w:eastAsia="Arial" w:hAnsi="Arial"/>
          <w:sz w:val="19"/>
          <w:szCs w:val="19"/>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7" w:name="page88"/>
    <w:bookmarkEnd w:id="87"/>
    <w:p>
      <w:pPr>
        <w:jc w:val="both"/>
        <w:spacing w:after="0" w:line="236" w:lineRule="auto"/>
        <w:rPr>
          <w:sz w:val="20"/>
          <w:szCs w:val="20"/>
          <w:color w:val="auto"/>
        </w:rPr>
      </w:pPr>
      <w:r>
        <w:rPr>
          <w:rFonts w:ascii="Arial" w:cs="Arial" w:eastAsia="Arial" w:hAnsi="Arial"/>
          <w:sz w:val="22"/>
          <w:szCs w:val="22"/>
          <w:color w:val="auto"/>
        </w:rPr>
        <w:t>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 . . .” (the “</w:t>
      </w:r>
      <w:r>
        <w:rPr>
          <w:rFonts w:ascii="Arial" w:cs="Arial" w:eastAsia="Arial" w:hAnsi="Arial"/>
          <w:sz w:val="22"/>
          <w:szCs w:val="22"/>
          <w:b w:val="1"/>
          <w:bCs w:val="1"/>
          <w:color w:val="auto"/>
        </w:rPr>
        <w:t>Agent Information</w:t>
      </w:r>
      <w:r>
        <w:rPr>
          <w:rFonts w:ascii="Arial" w:cs="Arial" w:eastAsia="Arial" w:hAnsi="Arial"/>
          <w:sz w:val="22"/>
          <w:szCs w:val="22"/>
          <w:color w:val="auto"/>
        </w:rPr>
        <w:t>”). The indemnity agreement set forth in this Section 6(a)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-184150</wp:posOffset>
            </wp:positionV>
            <wp:extent cx="692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167" w:lineRule="exact"/>
        <w:rPr>
          <w:sz w:val="20"/>
          <w:szCs w:val="20"/>
          <w:color w:val="auto"/>
        </w:rPr>
      </w:pPr>
    </w:p>
    <w:p>
      <w:pPr>
        <w:jc w:val="both"/>
        <w:ind w:firstLine="656"/>
        <w:spacing w:after="0" w:line="269" w:lineRule="auto"/>
        <w:tabs>
          <w:tab w:leader="none" w:pos="1296"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Indemnification of the Company, its Directors and Officers.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or the Company may otherwise have.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656"/>
        <w:spacing w:after="0" w:line="245" w:lineRule="auto"/>
        <w:tabs>
          <w:tab w:leader="none" w:pos="1296"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Notifications and Other Indemnification Procedures</w:t>
      </w:r>
      <w:r>
        <w:rPr>
          <w:rFonts w:ascii="Arial" w:cs="Arial" w:eastAsia="Arial" w:hAnsi="Arial"/>
          <w:sz w:val="21"/>
          <w:szCs w:val="21"/>
          <w:color w:val="auto"/>
        </w:rPr>
        <w:t xml:space="preserve">. Promptly after receipt by an indemnified party under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notice of the commencement of any action, such indemnified party will, if a claim in respect thereof is to be made against an indemnifying party under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8" w:name="page89"/>
    <w:bookmarkEnd w:id="88"/>
    <w:p>
      <w:pPr>
        <w:jc w:val="both"/>
        <w:spacing w:after="0" w:line="269" w:lineRule="auto"/>
        <w:rPr>
          <w:sz w:val="20"/>
          <w:szCs w:val="20"/>
          <w:color w:val="auto"/>
        </w:rPr>
      </w:pPr>
      <w:r>
        <w:rPr>
          <w:rFonts w:ascii="Arial" w:cs="Arial" w:eastAsia="Arial" w:hAnsi="Arial"/>
          <w:sz w:val="19"/>
          <w:szCs w:val="19"/>
          <w:color w:val="auto"/>
        </w:rPr>
        <w:t xml:space="preserve">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or the Company (in the case of counsel for the indemnified parties referred to in Section 6(b)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-1581150</wp:posOffset>
            </wp:positionV>
            <wp:extent cx="5397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656"/>
        <w:spacing w:after="0" w:line="271" w:lineRule="auto"/>
        <w:tabs>
          <w:tab w:leader="none" w:pos="129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Settlements</w:t>
      </w:r>
      <w:r>
        <w:rPr>
          <w:rFonts w:ascii="Arial" w:cs="Arial" w:eastAsia="Arial" w:hAnsi="Arial"/>
          <w:sz w:val="19"/>
          <w:szCs w:val="19"/>
          <w:color w:val="auto"/>
        </w:rPr>
        <w:t xml:space="preserve">. The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89" w:name="page90"/>
    <w:bookmarkEnd w:id="89"/>
    <w:p>
      <w:pPr>
        <w:jc w:val="both"/>
        <w:ind w:firstLine="656"/>
        <w:spacing w:after="0" w:line="270"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net proceeds from the offering of the Shares (net of commissions to the Agent but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-2822575</wp:posOffset>
            </wp:positionV>
            <wp:extent cx="531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with respect to notice of commencement of any action shall apply if a claim for contribution is to be made under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additional notice shall be required with respect to any action for which notice has been given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6(c)</w:t>
      </w:r>
      <w:r>
        <w:rPr>
          <w:rFonts w:ascii="Arial" w:cs="Arial" w:eastAsia="Arial" w:hAnsi="Arial"/>
          <w:sz w:val="21"/>
          <w:szCs w:val="21"/>
          <w:color w:val="auto"/>
        </w:rPr>
        <w:t xml:space="preserve"> for purposes of indemnification.</w:t>
      </w:r>
    </w:p>
    <w:p>
      <w:pPr>
        <w:spacing w:after="0" w:line="184" w:lineRule="exact"/>
        <w:rPr>
          <w:sz w:val="20"/>
          <w:szCs w:val="20"/>
          <w:color w:val="auto"/>
        </w:rPr>
      </w:pPr>
    </w:p>
    <w:p>
      <w:pPr>
        <w:ind w:right="260" w:firstLine="648"/>
        <w:spacing w:after="0" w:line="257" w:lineRule="auto"/>
        <w:rPr>
          <w:sz w:val="20"/>
          <w:szCs w:val="20"/>
          <w:color w:val="auto"/>
        </w:rPr>
      </w:pPr>
      <w:r>
        <w:rPr>
          <w:rFonts w:ascii="Arial" w:cs="Arial" w:eastAsia="Arial" w:hAnsi="Arial"/>
          <w:sz w:val="21"/>
          <w:szCs w:val="21"/>
          <w:color w:val="auto"/>
        </w:rPr>
        <w:t xml:space="preserve">The Company and the Agent agree that it would not be just and equitable if contribution pursuant to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were determined by pro rata allocation or by any other method of allocation which does not take account of the equitable considerations referred to in this </w:t>
      </w:r>
      <w:r>
        <w:rPr>
          <w:rFonts w:ascii="Arial" w:cs="Arial" w:eastAsia="Arial" w:hAnsi="Arial"/>
          <w:sz w:val="21"/>
          <w:szCs w:val="21"/>
          <w:u w:val="single" w:color="auto"/>
          <w:color w:val="auto"/>
        </w:rPr>
        <w:t>Section 6(e)</w:t>
      </w:r>
      <w:r>
        <w:rPr>
          <w:rFonts w:ascii="Arial" w:cs="Arial" w:eastAsia="Arial" w:hAnsi="Arial"/>
          <w:sz w:val="21"/>
          <w:szCs w:val="21"/>
          <w:color w:val="auto"/>
        </w:rPr>
        <w:t>.</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Notwithstanding the provisions of this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9"/>
          <w:szCs w:val="19"/>
          <w:u w:val="single" w:color="auto"/>
          <w:color w:val="auto"/>
        </w:rPr>
        <w:t>Section 6(e)</w:t>
      </w:r>
      <w:r>
        <w:rPr>
          <w:rFonts w:ascii="Arial" w:cs="Arial" w:eastAsia="Arial" w:hAnsi="Arial"/>
          <w:sz w:val="19"/>
          <w:szCs w:val="19"/>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Section 7. TERMINATION &amp; SURVIVAL</w:t>
      </w:r>
    </w:p>
    <w:p>
      <w:pPr>
        <w:spacing w:after="0" w:line="212" w:lineRule="exact"/>
        <w:rPr>
          <w:sz w:val="20"/>
          <w:szCs w:val="20"/>
          <w:color w:val="auto"/>
        </w:rPr>
      </w:pPr>
    </w:p>
    <w:p>
      <w:pPr>
        <w:jc w:val="both"/>
        <w:ind w:firstLine="656"/>
        <w:spacing w:after="0"/>
        <w:tabs>
          <w:tab w:leader="none" w:pos="129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Termination; Survival Following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hanging="320"/>
        <w:spacing w:after="0" w:line="277" w:lineRule="auto"/>
        <w:tabs>
          <w:tab w:leader="none" w:pos="13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Either party may terminate this Agreement prior to the end of the Agency Period, by giving written notice as required by this Agreement, upon five (5)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(B)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51" w:lineRule="exact"/>
        <w:rPr>
          <w:rFonts w:ascii="Arial" w:cs="Arial" w:eastAsia="Arial" w:hAnsi="Arial"/>
          <w:sz w:val="19"/>
          <w:szCs w:val="19"/>
          <w:color w:val="auto"/>
        </w:rPr>
      </w:pPr>
    </w:p>
    <w:p>
      <w:pPr>
        <w:jc w:val="both"/>
        <w:ind w:left="1300" w:hanging="320"/>
        <w:spacing w:after="0" w:line="246" w:lineRule="auto"/>
        <w:tabs>
          <w:tab w:leader="none" w:pos="1328" w:val="left"/>
        </w:tabs>
        <w:numPr>
          <w:ilvl w:val="1"/>
          <w:numId w:val="94"/>
        </w:numPr>
        <w:rPr>
          <w:rFonts w:ascii="Arial" w:cs="Arial" w:eastAsia="Arial" w:hAnsi="Arial"/>
          <w:sz w:val="21"/>
          <w:szCs w:val="21"/>
          <w:color w:val="auto"/>
        </w:rPr>
      </w:pPr>
      <w:r>
        <w:rPr>
          <w:rFonts w:ascii="Arial" w:cs="Arial" w:eastAsia="Arial" w:hAnsi="Arial"/>
          <w:sz w:val="21"/>
          <w:szCs w:val="21"/>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-957580</wp:posOffset>
            </wp:positionV>
            <wp:extent cx="8210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w:t>
      </w:r>
    </w:p>
    <w:p>
      <w:pPr>
        <w:spacing w:after="0" w:line="212" w:lineRule="exact"/>
        <w:rPr>
          <w:sz w:val="20"/>
          <w:szCs w:val="20"/>
          <w:color w:val="auto"/>
        </w:rPr>
      </w:pPr>
    </w:p>
    <w:p>
      <w:pPr>
        <w:jc w:val="both"/>
        <w:ind w:firstLine="656"/>
        <w:spacing w:after="0" w:line="271" w:lineRule="auto"/>
        <w:tabs>
          <w:tab w:leader="none" w:pos="129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Press Releases and Disclosure</w:t>
      </w:r>
      <w:r>
        <w:rPr>
          <w:rFonts w:ascii="Arial" w:cs="Arial" w:eastAsia="Arial" w:hAnsi="Arial"/>
          <w:sz w:val="19"/>
          <w:szCs w:val="19"/>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disclosure regarding sales of Common Shares pursuant hereto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91" w:name="page92"/>
    <w:bookmarkEnd w:id="91"/>
    <w:p>
      <w:pPr>
        <w:jc w:val="both"/>
        <w:ind w:firstLine="656"/>
        <w:spacing w:after="0" w:line="272" w:lineRule="auto"/>
        <w:tabs>
          <w:tab w:leader="none" w:pos="129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45" w:lineRule="auto"/>
        <w:tabs>
          <w:tab w:leader="none" w:pos="1296"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4" w:lineRule="exact"/>
        <w:rPr>
          <w:rFonts w:ascii="Arial" w:cs="Arial" w:eastAsia="Arial" w:hAnsi="Arial"/>
          <w:sz w:val="21"/>
          <w:szCs w:val="21"/>
          <w:color w:val="auto"/>
        </w:rPr>
      </w:pPr>
    </w:p>
    <w:p>
      <w:pPr>
        <w:ind w:firstLine="656"/>
        <w:spacing w:after="0" w:line="250" w:lineRule="auto"/>
        <w:tabs>
          <w:tab w:leader="none" w:pos="129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Agent:</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Jefferies LLC</w:t>
      </w:r>
    </w:p>
    <w:p>
      <w:pPr>
        <w:ind w:left="980"/>
        <w:spacing w:after="0" w:line="238" w:lineRule="auto"/>
        <w:rPr>
          <w:sz w:val="20"/>
          <w:szCs w:val="20"/>
          <w:color w:val="auto"/>
        </w:rPr>
      </w:pPr>
      <w:r>
        <w:rPr>
          <w:rFonts w:ascii="Arial" w:cs="Arial" w:eastAsia="Arial" w:hAnsi="Arial"/>
          <w:sz w:val="22"/>
          <w:szCs w:val="22"/>
          <w:color w:val="auto"/>
        </w:rPr>
        <w:t>520 Madison Avenue</w:t>
      </w:r>
    </w:p>
    <w:p>
      <w:pPr>
        <w:ind w:left="98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Davis Polk &amp; Wardwell LLP</w:t>
      </w:r>
    </w:p>
    <w:p>
      <w:pPr>
        <w:ind w:left="980"/>
        <w:spacing w:after="0" w:line="238" w:lineRule="auto"/>
        <w:rPr>
          <w:sz w:val="20"/>
          <w:szCs w:val="20"/>
          <w:color w:val="auto"/>
        </w:rPr>
      </w:pPr>
      <w:r>
        <w:rPr>
          <w:rFonts w:ascii="Arial" w:cs="Arial" w:eastAsia="Arial" w:hAnsi="Arial"/>
          <w:sz w:val="22"/>
          <w:szCs w:val="22"/>
          <w:color w:val="auto"/>
        </w:rPr>
        <w:t>1600 El Camino Real #100</w:t>
      </w:r>
    </w:p>
    <w:p>
      <w:pPr>
        <w:ind w:left="980"/>
        <w:spacing w:after="0" w:line="230" w:lineRule="auto"/>
        <w:rPr>
          <w:sz w:val="20"/>
          <w:szCs w:val="20"/>
          <w:color w:val="auto"/>
        </w:rPr>
      </w:pPr>
      <w:r>
        <w:rPr>
          <w:rFonts w:ascii="Arial" w:cs="Arial" w:eastAsia="Arial" w:hAnsi="Arial"/>
          <w:sz w:val="22"/>
          <w:szCs w:val="22"/>
          <w:color w:val="auto"/>
        </w:rPr>
        <w:t>Menlo Park, CA 94025</w:t>
      </w:r>
    </w:p>
    <w:p>
      <w:pPr>
        <w:ind w:left="980"/>
        <w:spacing w:after="0" w:line="231" w:lineRule="auto"/>
        <w:rPr>
          <w:sz w:val="20"/>
          <w:szCs w:val="20"/>
          <w:color w:val="auto"/>
        </w:rPr>
      </w:pPr>
      <w:r>
        <w:rPr>
          <w:rFonts w:ascii="Arial" w:cs="Arial" w:eastAsia="Arial" w:hAnsi="Arial"/>
          <w:sz w:val="22"/>
          <w:szCs w:val="22"/>
          <w:color w:val="auto"/>
        </w:rPr>
        <w:t>Facsimile: (650) 752-2115</w:t>
      </w:r>
    </w:p>
    <w:p>
      <w:pPr>
        <w:ind w:left="980"/>
        <w:spacing w:after="0" w:line="230" w:lineRule="auto"/>
        <w:rPr>
          <w:sz w:val="20"/>
          <w:szCs w:val="20"/>
          <w:color w:val="auto"/>
        </w:rPr>
      </w:pPr>
      <w:r>
        <w:rPr>
          <w:rFonts w:ascii="Arial" w:cs="Arial" w:eastAsia="Arial" w:hAnsi="Arial"/>
          <w:sz w:val="22"/>
          <w:szCs w:val="22"/>
          <w:color w:val="auto"/>
        </w:rPr>
        <w:t>Attention: Stephen Salmon</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 stephen.salmon@davispolk.com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92" w:name="page93"/>
    <w:bookmarkEnd w:id="92"/>
    <w:p>
      <w:pPr>
        <w:ind w:left="340"/>
        <w:spacing w:after="0"/>
        <w:rPr>
          <w:sz w:val="20"/>
          <w:szCs w:val="20"/>
          <w:color w:val="auto"/>
        </w:rPr>
      </w:pPr>
      <w:r>
        <w:rPr>
          <w:rFonts w:ascii="Arial" w:cs="Arial" w:eastAsia="Arial" w:hAnsi="Arial"/>
          <w:sz w:val="22"/>
          <w:szCs w:val="22"/>
          <w:color w:val="auto"/>
        </w:rPr>
        <w:t>If to the Company:</w:t>
      </w:r>
    </w:p>
    <w:p>
      <w:pPr>
        <w:ind w:left="980"/>
        <w:spacing w:after="0" w:line="238" w:lineRule="auto"/>
        <w:rPr>
          <w:sz w:val="20"/>
          <w:szCs w:val="20"/>
          <w:color w:val="auto"/>
        </w:rPr>
      </w:pPr>
      <w:r>
        <w:rPr>
          <w:rFonts w:ascii="Arial" w:cs="Arial" w:eastAsia="Arial" w:hAnsi="Arial"/>
          <w:sz w:val="22"/>
          <w:szCs w:val="22"/>
          <w:color w:val="auto"/>
        </w:rPr>
        <w:t>Ardelyx, Inc.</w:t>
      </w:r>
    </w:p>
    <w:p>
      <w:pPr>
        <w:ind w:left="980"/>
        <w:spacing w:after="0" w:line="230" w:lineRule="auto"/>
        <w:rPr>
          <w:sz w:val="20"/>
          <w:szCs w:val="20"/>
          <w:color w:val="auto"/>
        </w:rPr>
      </w:pPr>
      <w:r>
        <w:rPr>
          <w:rFonts w:ascii="Arial" w:cs="Arial" w:eastAsia="Arial" w:hAnsi="Arial"/>
          <w:sz w:val="22"/>
          <w:szCs w:val="22"/>
          <w:color w:val="auto"/>
        </w:rPr>
        <w:t>34175 Ardenwood Blvd.</w:t>
      </w:r>
    </w:p>
    <w:p>
      <w:pPr>
        <w:ind w:left="980"/>
        <w:spacing w:after="0" w:line="231" w:lineRule="auto"/>
        <w:rPr>
          <w:sz w:val="20"/>
          <w:szCs w:val="20"/>
          <w:color w:val="auto"/>
        </w:rPr>
      </w:pPr>
      <w:r>
        <w:rPr>
          <w:rFonts w:ascii="Arial" w:cs="Arial" w:eastAsia="Arial" w:hAnsi="Arial"/>
          <w:sz w:val="22"/>
          <w:szCs w:val="22"/>
          <w:color w:val="auto"/>
        </w:rPr>
        <w:t>Fremont, CA 94555</w:t>
      </w:r>
    </w:p>
    <w:p>
      <w:pPr>
        <w:ind w:left="980"/>
        <w:spacing w:after="0"/>
        <w:rPr>
          <w:sz w:val="20"/>
          <w:szCs w:val="20"/>
          <w:color w:val="auto"/>
        </w:rPr>
      </w:pPr>
      <w:r>
        <w:rPr>
          <w:rFonts w:ascii="Arial" w:cs="Arial" w:eastAsia="Arial" w:hAnsi="Arial"/>
          <w:sz w:val="21"/>
          <w:szCs w:val="21"/>
          <w:color w:val="auto"/>
        </w:rPr>
        <w:t>Attention: Chief Executive Officer; Chief Financial Officer; Chief Legal and Administrative Officer</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Email: mraab@ardelyx.com; jrenz@ardelyx.com; egrammer@ardelyx.com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Latham &amp; Watkins LLP</w:t>
      </w:r>
    </w:p>
    <w:p>
      <w:pPr>
        <w:ind w:left="980"/>
        <w:spacing w:after="0" w:line="238" w:lineRule="auto"/>
        <w:rPr>
          <w:sz w:val="20"/>
          <w:szCs w:val="20"/>
          <w:color w:val="auto"/>
        </w:rPr>
      </w:pPr>
      <w:r>
        <w:rPr>
          <w:rFonts w:ascii="Arial" w:cs="Arial" w:eastAsia="Arial" w:hAnsi="Arial"/>
          <w:sz w:val="22"/>
          <w:szCs w:val="22"/>
          <w:color w:val="auto"/>
        </w:rPr>
        <w:t>140 Scott Drive</w:t>
      </w:r>
    </w:p>
    <w:p>
      <w:pPr>
        <w:ind w:left="980"/>
        <w:spacing w:after="0" w:line="230" w:lineRule="auto"/>
        <w:rPr>
          <w:sz w:val="20"/>
          <w:szCs w:val="20"/>
          <w:color w:val="auto"/>
        </w:rPr>
      </w:pPr>
      <w:r>
        <w:rPr>
          <w:rFonts w:ascii="Arial" w:cs="Arial" w:eastAsia="Arial" w:hAnsi="Arial"/>
          <w:sz w:val="22"/>
          <w:szCs w:val="22"/>
          <w:color w:val="auto"/>
        </w:rPr>
        <w:t>Menlo Park, CA 94025</w:t>
      </w:r>
    </w:p>
    <w:p>
      <w:pPr>
        <w:ind w:left="980"/>
        <w:spacing w:after="0" w:line="231" w:lineRule="auto"/>
        <w:rPr>
          <w:sz w:val="20"/>
          <w:szCs w:val="20"/>
          <w:color w:val="auto"/>
        </w:rPr>
      </w:pPr>
      <w:r>
        <w:rPr>
          <w:rFonts w:ascii="Arial" w:cs="Arial" w:eastAsia="Arial" w:hAnsi="Arial"/>
          <w:sz w:val="22"/>
          <w:szCs w:val="22"/>
          <w:color w:val="auto"/>
        </w:rPr>
        <w:t>Email: mark.roeder@lw.com</w:t>
      </w:r>
    </w:p>
    <w:p>
      <w:pPr>
        <w:ind w:left="980"/>
        <w:spacing w:after="0"/>
        <w:rPr>
          <w:sz w:val="20"/>
          <w:szCs w:val="20"/>
          <w:color w:val="auto"/>
        </w:rPr>
      </w:pPr>
      <w:r>
        <w:rPr>
          <w:rFonts w:ascii="Arial" w:cs="Arial" w:eastAsia="Arial" w:hAnsi="Arial"/>
          <w:sz w:val="22"/>
          <w:szCs w:val="22"/>
          <w:color w:val="auto"/>
        </w:rPr>
        <w:t>Attention: Mark Roeder</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36" w:lineRule="auto"/>
        <w:tabs>
          <w:tab w:leader="none" w:pos="129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2"/>
          <w:szCs w:val="22"/>
          <w:u w:val="single" w:color="auto"/>
          <w:color w:val="auto"/>
        </w:rPr>
        <w:t>Section 6</w:t>
      </w:r>
      <w:r>
        <w:rPr>
          <w:rFonts w:ascii="Arial" w:cs="Arial" w:eastAsia="Arial" w:hAnsi="Arial"/>
          <w:sz w:val="22"/>
          <w:szCs w:val="22"/>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87"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Partial Unenforceability</w:t>
      </w:r>
      <w:r>
        <w:rPr>
          <w:rFonts w:ascii="Arial" w:cs="Arial" w:eastAsia="Arial" w:hAnsi="Arial"/>
          <w:sz w:val="21"/>
          <w:szCs w:val="21"/>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8" w:lineRule="exact"/>
        <w:rPr>
          <w:rFonts w:ascii="Arial" w:cs="Arial" w:eastAsia="Arial" w:hAnsi="Arial"/>
          <w:sz w:val="21"/>
          <w:szCs w:val="21"/>
          <w:color w:val="auto"/>
        </w:rPr>
      </w:pPr>
    </w:p>
    <w:p>
      <w:pPr>
        <w:jc w:val="both"/>
        <w:ind w:firstLine="656"/>
        <w:spacing w:after="0" w:line="272" w:lineRule="auto"/>
        <w:tabs>
          <w:tab w:leader="none" w:pos="129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93" w:name="page94"/>
    <w:bookmarkEnd w:id="93"/>
    <w:p>
      <w:pPr>
        <w:ind w:right="20"/>
        <w:spacing w:after="0" w:line="250" w:lineRule="auto"/>
        <w:rPr>
          <w:sz w:val="20"/>
          <w:szCs w:val="20"/>
          <w:color w:val="auto"/>
        </w:rPr>
      </w:pPr>
      <w:r>
        <w:rPr>
          <w:rFonts w:ascii="Arial" w:cs="Arial" w:eastAsia="Arial" w:hAnsi="Arial"/>
          <w:sz w:val="22"/>
          <w:szCs w:val="22"/>
          <w:color w:val="auto"/>
        </w:rPr>
        <w:t>unconditionally waive and agree not to plead or claim in any such court that any such suit, action or other proceeding brought in any such court has been brought in an inconvenient forum.</w:t>
      </w:r>
    </w:p>
    <w:p>
      <w:pPr>
        <w:spacing w:after="0" w:line="175" w:lineRule="exact"/>
        <w:rPr>
          <w:sz w:val="20"/>
          <w:szCs w:val="20"/>
          <w:color w:val="auto"/>
        </w:rPr>
      </w:pPr>
    </w:p>
    <w:p>
      <w:pPr>
        <w:jc w:val="both"/>
        <w:ind w:firstLine="656"/>
        <w:spacing w:after="0" w:line="274"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58" w:lineRule="exact"/>
        <w:rPr>
          <w:rFonts w:ascii="Arial" w:cs="Arial" w:eastAsia="Arial" w:hAnsi="Arial"/>
          <w:sz w:val="19"/>
          <w:szCs w:val="19"/>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644"/>
        <w:spacing w:after="0" w:line="282" w:lineRule="auto"/>
        <w:tabs>
          <w:tab w:leader="none" w:pos="1956" w:val="left"/>
        </w:tabs>
        <w:numPr>
          <w:ilvl w:val="1"/>
          <w:numId w:val="98"/>
        </w:numPr>
        <w:rPr>
          <w:rFonts w:ascii="Arial" w:cs="Arial" w:eastAsia="Arial" w:hAnsi="Arial"/>
          <w:sz w:val="19"/>
          <w:szCs w:val="19"/>
          <w:color w:val="auto"/>
        </w:rPr>
      </w:pPr>
      <w:r>
        <w:rPr>
          <w:rFonts w:ascii="Arial" w:cs="Arial" w:eastAsia="Arial" w:hAnsi="Arial"/>
          <w:sz w:val="19"/>
          <w:szCs w:val="19"/>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7" w:lineRule="exact"/>
        <w:rPr>
          <w:rFonts w:ascii="Arial" w:cs="Arial" w:eastAsia="Arial" w:hAnsi="Arial"/>
          <w:sz w:val="19"/>
          <w:szCs w:val="19"/>
          <w:color w:val="auto"/>
        </w:rPr>
      </w:pPr>
    </w:p>
    <w:p>
      <w:pPr>
        <w:jc w:val="both"/>
        <w:ind w:left="660" w:firstLine="644"/>
        <w:spacing w:after="0" w:line="249" w:lineRule="auto"/>
        <w:tabs>
          <w:tab w:leader="none" w:pos="1956" w:val="left"/>
        </w:tabs>
        <w:numPr>
          <w:ilvl w:val="1"/>
          <w:numId w:val="98"/>
        </w:numPr>
        <w:rPr>
          <w:rFonts w:ascii="Arial" w:cs="Arial" w:eastAsia="Arial" w:hAnsi="Arial"/>
          <w:sz w:val="21"/>
          <w:szCs w:val="21"/>
          <w:color w:val="auto"/>
        </w:rPr>
      </w:pPr>
      <w:r>
        <w:rPr>
          <w:rFonts w:ascii="Arial" w:cs="Arial" w:eastAsia="Arial" w:hAnsi="Arial"/>
          <w:sz w:val="21"/>
          <w:szCs w:val="21"/>
          <w:color w:val="auto"/>
        </w:rPr>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rFonts w:ascii="Arial" w:cs="Arial" w:eastAsia="Arial" w:hAnsi="Arial"/>
          <w:sz w:val="21"/>
          <w:szCs w:val="21"/>
          <w:color w:val="auto"/>
        </w:rPr>
      </w:pPr>
    </w:p>
    <w:p>
      <w:pPr>
        <w:ind w:left="1960" w:hanging="656"/>
        <w:spacing w:after="0"/>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As used in this Section 8(i):</w:t>
      </w:r>
    </w:p>
    <w:p>
      <w:pPr>
        <w:spacing w:after="0" w:line="206"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“Covered Entity” means any of the following:</w:t>
      </w:r>
    </w:p>
    <w:p>
      <w:pPr>
        <w:spacing w:after="0" w:line="206" w:lineRule="exact"/>
        <w:rPr>
          <w:sz w:val="20"/>
          <w:szCs w:val="20"/>
          <w:color w:val="auto"/>
        </w:rPr>
      </w:pPr>
    </w:p>
    <w:p>
      <w:pPr>
        <w:ind w:left="1300" w:right="20" w:firstLine="4"/>
        <w:spacing w:after="0" w:line="250" w:lineRule="auto"/>
        <w:tabs>
          <w:tab w:leader="none" w:pos="1582"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174" w:lineRule="exact"/>
        <w:rPr>
          <w:rFonts w:ascii="Arial" w:cs="Arial" w:eastAsia="Arial" w:hAnsi="Arial"/>
          <w:sz w:val="22"/>
          <w:szCs w:val="22"/>
          <w:color w:val="auto"/>
        </w:rPr>
      </w:pPr>
    </w:p>
    <w:p>
      <w:pPr>
        <w:ind w:left="1300" w:firstLine="4"/>
        <w:spacing w:after="0" w:line="250" w:lineRule="auto"/>
        <w:tabs>
          <w:tab w:leader="none" w:pos="1643" w:val="left"/>
        </w:tabs>
        <w:numPr>
          <w:ilvl w:val="0"/>
          <w:numId w:val="99"/>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94" w:name="page95"/>
    <w:bookmarkEnd w:id="94"/>
    <w:p>
      <w:pPr>
        <w:jc w:val="both"/>
        <w:ind w:left="840"/>
        <w:spacing w:after="0" w:line="250"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w:t>
      </w:r>
    </w:p>
    <w:p>
      <w:pPr>
        <w:spacing w:after="0" w:line="175" w:lineRule="exact"/>
        <w:rPr>
          <w:sz w:val="20"/>
          <w:szCs w:val="20"/>
          <w:color w:val="auto"/>
        </w:rPr>
      </w:pPr>
    </w:p>
    <w:p>
      <w:pPr>
        <w:jc w:val="both"/>
        <w:ind w:left="840"/>
        <w:spacing w:after="0" w:line="257" w:lineRule="auto"/>
        <w:rPr>
          <w:sz w:val="20"/>
          <w:szCs w:val="20"/>
          <w:color w:val="auto"/>
        </w:rPr>
      </w:pPr>
      <w:r>
        <w:rPr>
          <w:rFonts w:ascii="Arial" w:cs="Arial" w:eastAsia="Arial" w:hAnsi="Arial"/>
          <w:sz w:val="21"/>
          <w:szCs w:val="21"/>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20"/>
        <w:spacing w:after="0"/>
        <w:rPr>
          <w:sz w:val="20"/>
          <w:szCs w:val="20"/>
          <w:color w:val="auto"/>
        </w:rPr>
      </w:pPr>
      <w:r>
        <w:rPr>
          <w:rFonts w:ascii="Arial" w:cs="Arial" w:eastAsia="Arial" w:hAnsi="Arial"/>
          <w:sz w:val="22"/>
          <w:szCs w:val="22"/>
          <w:i w:val="1"/>
          <w:iCs w:val="1"/>
          <w:color w:val="auto"/>
        </w:rPr>
        <w:t>[Signature Page Immediately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7" w:right="999" w:bottom="1440" w:gutter="0" w:footer="0" w:header="0"/>
        </w:sectPr>
      </w:pPr>
    </w:p>
    <w:bookmarkStart w:id="95" w:name="page96"/>
    <w:bookmarkEnd w:id="95"/>
    <w:p>
      <w:pPr>
        <w:jc w:val="both"/>
        <w:ind w:firstLine="648"/>
        <w:spacing w:after="0"/>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ARDELYX, INC.</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Justin Renz</w:t>
      </w:r>
    </w:p>
    <w:p>
      <w:pPr>
        <w:ind w:left="4940"/>
        <w:spacing w:after="0" w:line="238" w:lineRule="auto"/>
        <w:rPr>
          <w:sz w:val="20"/>
          <w:szCs w:val="20"/>
          <w:color w:val="auto"/>
        </w:rPr>
      </w:pPr>
      <w:r>
        <w:rPr>
          <w:rFonts w:ascii="Arial" w:cs="Arial" w:eastAsia="Arial" w:hAnsi="Arial"/>
          <w:sz w:val="22"/>
          <w:szCs w:val="22"/>
          <w:color w:val="auto"/>
        </w:rPr>
        <w:t>Name: Justin Renz</w:t>
      </w:r>
    </w:p>
    <w:p>
      <w:pPr>
        <w:ind w:left="4940"/>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Magarro</w:t>
      </w:r>
    </w:p>
    <w:p>
      <w:pPr>
        <w:ind w:left="500"/>
        <w:spacing w:after="0" w:line="238" w:lineRule="auto"/>
        <w:rPr>
          <w:sz w:val="20"/>
          <w:szCs w:val="20"/>
          <w:color w:val="auto"/>
        </w:rPr>
      </w:pPr>
      <w:r>
        <w:rPr>
          <w:rFonts w:ascii="Arial" w:cs="Arial" w:eastAsia="Arial" w:hAnsi="Arial"/>
          <w:sz w:val="22"/>
          <w:szCs w:val="22"/>
          <w:color w:val="auto"/>
        </w:rPr>
        <w:t>Name: Michael Magarro</w:t>
      </w:r>
    </w:p>
    <w:p>
      <w:pPr>
        <w:ind w:left="5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Reference is made to the Open Market Sale Agreement between Ardelyx, Inc.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(the “</w:t>
      </w:r>
      <w:r>
        <w:rPr>
          <w:rFonts w:ascii="Arial" w:cs="Arial" w:eastAsia="Arial" w:hAnsi="Arial"/>
          <w:sz w:val="22"/>
          <w:szCs w:val="22"/>
          <w:b w:val="1"/>
          <w:bCs w:val="1"/>
          <w:color w:val="auto"/>
        </w:rPr>
        <w:t>Agent</w:t>
      </w:r>
      <w:r>
        <w:rPr>
          <w:rFonts w:ascii="Arial" w:cs="Arial" w:eastAsia="Arial" w:hAnsi="Arial"/>
          <w:sz w:val="22"/>
          <w:szCs w:val="22"/>
          <w:color w:val="auto"/>
        </w:rPr>
        <w:t>”) dated as of July 8, 2020. The Company confirms that all conditions to the delivery of this Issuance Notice are satisfied as of the date hereof.</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of Delivery of Issuance Notice (determined pursuant to </w:t>
      </w:r>
      <w:r>
        <w:rPr>
          <w:rFonts w:ascii="Arial" w:cs="Arial" w:eastAsia="Arial" w:hAnsi="Arial"/>
          <w:sz w:val="21"/>
          <w:szCs w:val="21"/>
          <w:u w:val="single" w:color="auto"/>
          <w:color w:val="auto"/>
        </w:rPr>
        <w:t>Section 3(b)(i)</w:t>
      </w:r>
      <w:r>
        <w:rPr>
          <w:rFonts w:ascii="Arial" w:cs="Arial" w:eastAsia="Arial" w:hAnsi="Arial"/>
          <w:sz w:val="21"/>
          <w:szCs w:val="21"/>
          <w:color w:val="auto"/>
        </w:rPr>
        <w:t>): 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Number of days in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date of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Last date of selling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 settlement: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Comments:</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4940"/>
        <w:spacing w:after="0" w:line="238" w:lineRule="auto"/>
        <w:rPr>
          <w:sz w:val="20"/>
          <w:szCs w:val="20"/>
          <w:color w:val="auto"/>
        </w:rPr>
      </w:pPr>
      <w:r>
        <w:rPr>
          <w:rFonts w:ascii="Arial" w:cs="Arial" w:eastAsia="Arial" w:hAnsi="Arial"/>
          <w:sz w:val="22"/>
          <w:szCs w:val="22"/>
          <w:color w:val="auto"/>
        </w:rPr>
        <w:t>Name:</w:t>
      </w:r>
    </w:p>
    <w:p>
      <w:pPr>
        <w:jc w:val="center"/>
        <w:ind w:right="-43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54" w:right="99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 CERTIFICATE</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___________</w:t>
      </w:r>
      <w:r>
        <w:rPr>
          <w:rFonts w:ascii="Arial" w:cs="Arial" w:eastAsia="Arial" w:hAnsi="Arial"/>
          <w:sz w:val="22"/>
          <w:szCs w:val="22"/>
          <w:b w:val="1"/>
          <w:bCs w:val="1"/>
          <w:color w:val="auto"/>
        </w:rPr>
        <w:t>, 20[_]</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Reference is made to that certain Open Market Sale Agreement, dated as of July 8, 2020 (the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by and between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Jefferies LLC.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without definition herein shall have the meanings assigned thereto in the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being the _________ of the Company, hereby certifies on behalf of the Company and not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 a personal capacity (and with no personal liability therefor) as follows:</w:t>
      </w:r>
    </w:p>
    <w:p>
      <w:pPr>
        <w:spacing w:after="0" w:line="188" w:lineRule="exact"/>
        <w:rPr>
          <w:sz w:val="20"/>
          <w:szCs w:val="20"/>
          <w:color w:val="auto"/>
        </w:rPr>
      </w:pPr>
    </w:p>
    <w:p>
      <w:pPr>
        <w:ind w:left="660" w:right="20" w:hanging="328"/>
        <w:spacing w:after="0" w:line="328" w:lineRule="auto"/>
        <w:tabs>
          <w:tab w:leader="none" w:pos="55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 stop order suspending the effectiveness of the Registration Statement is in effect, and no proceedings for such purpose are pending before or, to the best of my knowledge, threatened by the Commission.</w:t>
      </w:r>
    </w:p>
    <w:p>
      <w:pPr>
        <w:spacing w:after="0" w:line="104" w:lineRule="exact"/>
        <w:rPr>
          <w:rFonts w:ascii="Arial" w:cs="Arial" w:eastAsia="Arial" w:hAnsi="Arial"/>
          <w:sz w:val="19"/>
          <w:szCs w:val="19"/>
          <w:color w:val="auto"/>
        </w:rPr>
      </w:pPr>
    </w:p>
    <w:p>
      <w:pPr>
        <w:jc w:val="both"/>
        <w:ind w:left="660" w:right="140" w:hanging="328"/>
        <w:spacing w:after="0" w:line="238" w:lineRule="auto"/>
        <w:tabs>
          <w:tab w:leader="none" w:pos="5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in Section 2 of the Agreement are true and correct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184" w:lineRule="exact"/>
        <w:rPr>
          <w:rFonts w:ascii="Arial" w:cs="Arial" w:eastAsia="Arial" w:hAnsi="Arial"/>
          <w:sz w:val="22"/>
          <w:szCs w:val="22"/>
          <w:color w:val="auto"/>
        </w:rPr>
      </w:pPr>
    </w:p>
    <w:p>
      <w:pPr>
        <w:ind w:left="660" w:right="240" w:hanging="328"/>
        <w:spacing w:after="0" w:line="250" w:lineRule="auto"/>
        <w:tabs>
          <w:tab w:leader="none" w:pos="5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Company has performed all of its obligations under the Agreement to be performed on or prior to the date hereof.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54" w:right="999" w:bottom="1440" w:gutter="0" w:footer="0" w:header="0"/>
        </w:sectPr>
      </w:pPr>
    </w:p>
    <w:bookmarkStart w:id="98" w:name="page99"/>
    <w:bookmarkEnd w:id="98"/>
    <w:p>
      <w:pPr>
        <w:ind w:firstLine="648"/>
        <w:spacing w:after="0" w:line="250" w:lineRule="auto"/>
        <w:rPr>
          <w:sz w:val="20"/>
          <w:szCs w:val="20"/>
          <w:color w:val="auto"/>
        </w:rPr>
      </w:pPr>
      <w:r>
        <w:rPr>
          <w:rFonts w:ascii="Arial" w:cs="Arial" w:eastAsia="Arial" w:hAnsi="Arial"/>
          <w:sz w:val="22"/>
          <w:szCs w:val="22"/>
          <w:color w:val="auto"/>
        </w:rPr>
        <w:t>IN WITNESS WHEREOF, the undersigned has caused this certificate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2194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980" w:top="1360" w:right="131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SECRETARY’S CERTIFICATE</w:t>
      </w:r>
    </w:p>
    <w:p>
      <w:pPr>
        <w:spacing w:after="0" w:line="21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_____________, 20__</w:t>
      </w:r>
    </w:p>
    <w:p>
      <w:pPr>
        <w:spacing w:after="0" w:line="22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Reference is made to that certain Open Market Sale Agreement, dated as of July 8 (the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Ardelyx,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Jefferies LLC. Capitalized terms used without definition herein shall have the meanings assigned thereto in the Agreement.</w:t>
      </w:r>
    </w:p>
    <w:p>
      <w:pPr>
        <w:spacing w:after="0" w:line="13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The undersigned, being the [Secretary][Assistant Secretary] of the Company, hereby certifies on behalf of the Company, and not in a personal capacity (and with no personal liability therefor) as follows:</w:t>
      </w:r>
    </w:p>
    <w:p>
      <w:pPr>
        <w:spacing w:after="0" w:line="151" w:lineRule="exact"/>
        <w:rPr>
          <w:sz w:val="20"/>
          <w:szCs w:val="20"/>
          <w:color w:val="auto"/>
        </w:rPr>
      </w:pPr>
    </w:p>
    <w:p>
      <w:pPr>
        <w:jc w:val="both"/>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 proceeding for the dissolution, merger, consolidation or liquidation of the Company or for the sale of all or substantially all of its assets is pending or, to the best of my knowledge, threatened, and no such proceeding is contemplated by the Company.</w:t>
      </w:r>
    </w:p>
    <w:p>
      <w:pPr>
        <w:spacing w:after="0" w:line="186" w:lineRule="exact"/>
        <w:rPr>
          <w:rFonts w:ascii="Arial" w:cs="Arial" w:eastAsia="Arial" w:hAnsi="Arial"/>
          <w:sz w:val="22"/>
          <w:szCs w:val="22"/>
          <w:color w:val="auto"/>
        </w:rPr>
      </w:pPr>
    </w:p>
    <w:p>
      <w:pPr>
        <w:jc w:val="both"/>
        <w:ind w:left="660" w:hanging="328"/>
        <w:spacing w:after="0" w:line="282" w:lineRule="auto"/>
        <w:tabs>
          <w:tab w:leader="none" w:pos="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is a true, correct and complete copy of the Amended and Restated Certificate of Incorporation of the Company, as amended to date (the “</w:t>
      </w:r>
      <w:r>
        <w:rPr>
          <w:rFonts w:ascii="Arial" w:cs="Arial" w:eastAsia="Arial" w:hAnsi="Arial"/>
          <w:sz w:val="19"/>
          <w:szCs w:val="19"/>
          <w:b w:val="1"/>
          <w:bCs w:val="1"/>
          <w:color w:val="auto"/>
        </w:rPr>
        <w:t>Certificate of Incorporation</w:t>
      </w:r>
      <w:r>
        <w:rPr>
          <w:rFonts w:ascii="Arial" w:cs="Arial" w:eastAsia="Arial" w:hAnsi="Arial"/>
          <w:sz w:val="19"/>
          <w:szCs w:val="19"/>
          <w:color w:val="auto"/>
        </w:rPr>
        <w:t>”), as certified by an appropriate public official of the State of Delaware and as in full force and effect as of _________, 20__. No action has been taken by the Company or its stockholders, directors or officers to effect or authorize any amendment or other modification to the Certificate of Incorporation since such date.</w:t>
      </w:r>
    </w:p>
    <w:p>
      <w:pPr>
        <w:spacing w:after="0" w:line="174" w:lineRule="exact"/>
        <w:rPr>
          <w:rFonts w:ascii="Arial" w:cs="Arial" w:eastAsia="Arial" w:hAnsi="Arial"/>
          <w:sz w:val="19"/>
          <w:szCs w:val="19"/>
          <w:color w:val="auto"/>
        </w:rPr>
      </w:pPr>
    </w:p>
    <w:p>
      <w:pPr>
        <w:jc w:val="both"/>
        <w:ind w:left="660" w:hanging="328"/>
        <w:spacing w:after="0" w:line="238" w:lineRule="auto"/>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is a true, correct and complete copy of the Amended and Restated Bylaws of the Company (the “</w:t>
      </w:r>
      <w:r>
        <w:rPr>
          <w:rFonts w:ascii="Arial" w:cs="Arial" w:eastAsia="Arial" w:hAnsi="Arial"/>
          <w:sz w:val="22"/>
          <w:szCs w:val="22"/>
          <w:b w:val="1"/>
          <w:bCs w:val="1"/>
          <w:color w:val="auto"/>
        </w:rPr>
        <w:t>Bylaws</w:t>
      </w:r>
      <w:r>
        <w:rPr>
          <w:rFonts w:ascii="Arial" w:cs="Arial" w:eastAsia="Arial" w:hAnsi="Arial"/>
          <w:sz w:val="22"/>
          <w:szCs w:val="22"/>
          <w:color w:val="auto"/>
        </w:rPr>
        <w:t>”) as in effect at the date hereof and at all times since _________, 20__. No action has been taken by the Company or its stockholders, directors or officers to effect or authorize any amendment or other modification to the Bylaws.</w:t>
      </w:r>
    </w:p>
    <w:p>
      <w:pPr>
        <w:spacing w:after="0" w:line="184" w:lineRule="exact"/>
        <w:rPr>
          <w:rFonts w:ascii="Arial" w:cs="Arial" w:eastAsia="Arial" w:hAnsi="Arial"/>
          <w:sz w:val="22"/>
          <w:szCs w:val="22"/>
          <w:color w:val="auto"/>
        </w:rPr>
      </w:pPr>
    </w:p>
    <w:p>
      <w:pPr>
        <w:jc w:val="both"/>
        <w:ind w:left="660" w:hanging="328"/>
        <w:spacing w:after="0" w:line="234" w:lineRule="auto"/>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is a true, correct and complete copy of resolutions duly adopted by the Board of Directors of the Company on __________, 20__ authorizing the filing of the Registration Statement and the Prospectus, the execution and delivery of the Agreement and the consummation of the transactions contemplated thereby (including, without limitation, the issuance of the Shares pursuant to the Agreement). Such resolutions have not been amended or modified, are in full force and effect in the form adopted and are the only resolutions adopted by the Board of Directors or by any committee or officers of or designated by the Board of Directors relating to the Registration Statement, the offering of the Shares and the Agreement.</w:t>
      </w:r>
    </w:p>
    <w:p>
      <w:pPr>
        <w:spacing w:after="0" w:line="186"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Agreement as executed and delivered by the Company is in substantially the form approved by the Company’s Board of Directors in the resolutions referred to in paragraph 4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54" w:right="999" w:bottom="1440" w:gutter="0" w:footer="0" w:header="0"/>
        </w:sectPr>
      </w:pPr>
    </w:p>
    <w:bookmarkStart w:id="100" w:name="page101"/>
    <w:bookmarkEnd w:id="100"/>
    <w:p>
      <w:pPr>
        <w:jc w:val="both"/>
        <w:ind w:left="328" w:hanging="328"/>
        <w:spacing w:after="0" w:line="236" w:lineRule="auto"/>
        <w:tabs>
          <w:tab w:leader="none" w:pos="3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Each person who, as an officer or director of the Company, signed the Registration Statement and any amendment thereto was duly elected or appointed, qualified and acting as such officer or director at the respective times of the signing thereof and was duly authorized to sign such document on behalf of the Company, and the signature of each such person appearing on each such document is the genuine signature of such officer or director.</w:t>
      </w:r>
    </w:p>
    <w:p>
      <w:pPr>
        <w:spacing w:after="0" w:line="187" w:lineRule="exact"/>
        <w:rPr>
          <w:rFonts w:ascii="Arial" w:cs="Arial" w:eastAsia="Arial" w:hAnsi="Arial"/>
          <w:sz w:val="22"/>
          <w:szCs w:val="22"/>
          <w:color w:val="auto"/>
        </w:rPr>
      </w:pPr>
    </w:p>
    <w:p>
      <w:pPr>
        <w:jc w:val="both"/>
        <w:ind w:left="328" w:hanging="328"/>
        <w:spacing w:after="0" w:line="282" w:lineRule="auto"/>
        <w:tabs>
          <w:tab w:leader="none" w:pos="32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person who, as an officer of the Company, signed (a) the Agreement or (b) any other document delivered in connection with the sale and public offering of the Shares and the settlement related thereto was duly elected or appointed, qualified and acting as such officer at the respective times of the signing and delivery thereof and was duly authorized to sign such document on behalf of the Company, and the signature of each such person appearing on each such document is the genuine signature of such officer.</w:t>
      </w:r>
    </w:p>
    <w:p>
      <w:pPr>
        <w:spacing w:after="0" w:line="147" w:lineRule="exact"/>
        <w:rPr>
          <w:rFonts w:ascii="Arial" w:cs="Arial" w:eastAsia="Arial" w:hAnsi="Arial"/>
          <w:sz w:val="19"/>
          <w:szCs w:val="19"/>
          <w:color w:val="auto"/>
        </w:rPr>
      </w:pPr>
    </w:p>
    <w:p>
      <w:pPr>
        <w:jc w:val="both"/>
        <w:ind w:left="328" w:hanging="328"/>
        <w:spacing w:after="0" w:line="274" w:lineRule="auto"/>
        <w:tabs>
          <w:tab w:leader="none" w:pos="32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minute books and records of the Company relating to all proceedings of the stockholders and the Board of Directors (and any committee of the Board of Directors) of the Company made available to Latham &amp; Watkins LLP and Davis Polk &amp; Wardwell LLP are the original minute books and records of the Company, or are true, correct and complete copies thereof, with respect to all proceedings of said stockholders, Board of Directors and committees since _________, 20__. The minute books, records and other documents of the Company made available to Latham &amp; Watkins LLP and Davis Polk &amp; Wardwell LLP were true, correct and complete in all respects, except for _________. There have been no material changes, additions or alterations in said minute books, records and other documents that have not been disclosed to Latham &amp; Watkins LLP Davis Polk &amp; Wardwell LLP in writing.</w:t>
      </w:r>
    </w:p>
    <w:p>
      <w:pPr>
        <w:spacing w:after="0" w:line="158"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17" w:right="999" w:bottom="1440" w:gutter="0" w:footer="0" w:header="0"/>
        </w:sectPr>
      </w:pPr>
    </w:p>
    <w:bookmarkStart w:id="101" w:name="page102"/>
    <w:bookmarkEnd w:id="101"/>
    <w:p>
      <w:pPr>
        <w:ind w:firstLine="648"/>
        <w:spacing w:after="0" w:line="250" w:lineRule="auto"/>
        <w:rPr>
          <w:sz w:val="20"/>
          <w:szCs w:val="20"/>
          <w:color w:val="auto"/>
        </w:rPr>
      </w:pPr>
      <w:r>
        <w:rPr>
          <w:rFonts w:ascii="Arial" w:cs="Arial" w:eastAsia="Arial" w:hAnsi="Arial"/>
          <w:sz w:val="22"/>
          <w:szCs w:val="22"/>
          <w:color w:val="auto"/>
        </w:rPr>
        <w:t>IN WITNESS WHEREOF, the undersigned has caused this certificate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2194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02" w:name="page103"/>
    <w:bookmarkEnd w:id="102"/>
    <w:p>
      <w:pPr>
        <w:jc w:val="center"/>
        <w:ind w:right="-440"/>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jc w:val="right"/>
        <w:ind w:right="3879"/>
        <w:spacing w:after="0"/>
        <w:rPr>
          <w:sz w:val="20"/>
          <w:szCs w:val="20"/>
          <w:color w:val="auto"/>
        </w:rPr>
      </w:pPr>
      <w:r>
        <w:rPr>
          <w:rFonts w:ascii="Arial" w:cs="Arial" w:eastAsia="Arial" w:hAnsi="Arial"/>
          <w:sz w:val="22"/>
          <w:szCs w:val="22"/>
          <w:b w:val="1"/>
          <w:bCs w:val="1"/>
          <w:color w:val="auto"/>
        </w:rPr>
        <w:t>Notice Parties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Raab</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Justin Renz</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Elizabeth Grammer</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Magarro</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Dustin Tyner</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354"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182245</wp:posOffset>
            </wp:positionV>
            <wp:extent cx="62922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285115</wp:posOffset>
            </wp:positionV>
            <wp:extent cx="15773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INDENTURE</w:t>
      </w:r>
    </w:p>
    <w:p>
      <w:pPr>
        <w:spacing w:after="0" w:line="32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Dated as of [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281305</wp:posOffset>
            </wp:positionV>
            <wp:extent cx="15773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-80645</wp:posOffset>
            </wp:positionV>
            <wp:extent cx="46355" cy="46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46355" cy="46355"/>
                    </a:xfrm>
                    <a:prstGeom prst="rect">
                      <a:avLst/>
                    </a:prstGeom>
                    <a:noFill/>
                  </pic:spPr>
                </pic:pic>
              </a:graphicData>
            </a:graphic>
          </wp:anchor>
        </w:drawing>
      </w: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2578735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1001395</wp:posOffset>
            </wp:positionV>
            <wp:extent cx="62922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0"/>
        </w:trPr>
        <w:tc>
          <w:tcPr>
            <w:tcW w:w="1420" w:type="dxa"/>
            <w:vAlign w:val="bottom"/>
          </w:tcPr>
          <w:p>
            <w:pPr>
              <w:spacing w:after="0"/>
              <w:rPr>
                <w:sz w:val="24"/>
                <w:szCs w:val="24"/>
                <w:color w:val="auto"/>
              </w:rPr>
            </w:pPr>
          </w:p>
        </w:tc>
        <w:tc>
          <w:tcPr>
            <w:tcW w:w="6460" w:type="dxa"/>
            <w:vAlign w:val="bottom"/>
          </w:tcPr>
          <w:p>
            <w:pPr>
              <w:ind w:left="2280"/>
              <w:spacing w:after="0"/>
              <w:rPr>
                <w:sz w:val="20"/>
                <w:szCs w:val="20"/>
                <w:color w:val="auto"/>
              </w:rPr>
            </w:pPr>
            <w:r>
              <w:rPr>
                <w:rFonts w:ascii="Arial" w:cs="Arial" w:eastAsia="Arial" w:hAnsi="Arial"/>
                <w:sz w:val="22"/>
                <w:szCs w:val="22"/>
                <w:b w:val="1"/>
                <w:bCs w:val="1"/>
                <w:color w:val="auto"/>
              </w:rPr>
              <w:t>TABLE OF CONTENTS</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7880" w:type="dxa"/>
            <w:vAlign w:val="bottom"/>
            <w:gridSpan w:val="2"/>
            <w:vMerge w:val="restart"/>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14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42"/>
        </w:trPr>
        <w:tc>
          <w:tcPr>
            <w:tcW w:w="7880" w:type="dxa"/>
            <w:vAlign w:val="bottom"/>
            <w:gridSpan w:val="2"/>
            <w:vMerge w:val="continue"/>
          </w:tcPr>
          <w:p>
            <w:pPr>
              <w:spacing w:after="0"/>
              <w:rPr>
                <w:sz w:val="21"/>
                <w:szCs w:val="21"/>
                <w:color w:val="auto"/>
              </w:rPr>
            </w:pPr>
          </w:p>
        </w:tc>
        <w:tc>
          <w:tcPr>
            <w:tcW w:w="1840" w:type="dxa"/>
            <w:vAlign w:val="bottom"/>
            <w:gridSpan w:val="2"/>
          </w:tcPr>
          <w:p>
            <w:pPr>
              <w:jc w:val="right"/>
              <w:spacing w:after="0" w:line="242"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1.1.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Definitions.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1.2.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Other Definitions.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1.3.</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Incorporation by Reference of Trust Indenture Act.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1.4.</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Rules of Construction.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7880" w:type="dxa"/>
            <w:vAlign w:val="bottom"/>
            <w:gridSpan w:val="2"/>
          </w:tcPr>
          <w:p>
            <w:pPr>
              <w:spacing w:after="0" w:line="243" w:lineRule="exact"/>
              <w:rPr>
                <w:sz w:val="20"/>
                <w:szCs w:val="20"/>
                <w:color w:val="auto"/>
              </w:rPr>
            </w:pPr>
            <w:r>
              <w:rPr>
                <w:rFonts w:ascii="Arial" w:cs="Arial" w:eastAsia="Arial" w:hAnsi="Arial"/>
                <w:sz w:val="22"/>
                <w:szCs w:val="22"/>
                <w:color w:val="auto"/>
              </w:rPr>
              <w:t>ARTICLE II. THE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Issuable in Series.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Establishment of Terms of Series of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2.3.</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Execution and Authentication.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2.4.</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Registrar and Paying Agent.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2.5.</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Paying Agent to Hold Money in Trust.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2.6.</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Securityholder Lists.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2.7.</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Transfer and Exchange.</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2.8.</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Mutilated, Destroyed, Lost and Stolen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2.9.</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Outstanding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2.10.</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Treasury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Temporary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Cancellation.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2.13.</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Defaulted Interest.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2.14.</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Global Securities.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2.15.</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CUSIP Numbers.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7880" w:type="dxa"/>
            <w:vAlign w:val="bottom"/>
            <w:gridSpan w:val="2"/>
          </w:tcPr>
          <w:p>
            <w:pPr>
              <w:spacing w:after="0" w:line="243" w:lineRule="exact"/>
              <w:rPr>
                <w:sz w:val="20"/>
                <w:szCs w:val="20"/>
                <w:color w:val="auto"/>
              </w:rPr>
            </w:pPr>
            <w:r>
              <w:rPr>
                <w:rFonts w:ascii="Arial" w:cs="Arial" w:eastAsia="Arial" w:hAnsi="Arial"/>
                <w:sz w:val="22"/>
                <w:szCs w:val="22"/>
                <w:color w:val="auto"/>
              </w:rPr>
              <w:t>ARTICLE III. REDEMPTION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Notice to Trustee.</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Selection of Securities to be Redeemed.</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3.3.</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Notice of Redemption.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3.4.</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Effect of Notice of Redemption.</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3.5.</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Deposit of Redemption Price.</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3.6.</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Securities Redeemed in Part.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7880" w:type="dxa"/>
            <w:vAlign w:val="bottom"/>
            <w:gridSpan w:val="2"/>
          </w:tcPr>
          <w:p>
            <w:pPr>
              <w:spacing w:after="0" w:line="243" w:lineRule="exact"/>
              <w:rPr>
                <w:sz w:val="20"/>
                <w:szCs w:val="20"/>
                <w:color w:val="auto"/>
              </w:rPr>
            </w:pPr>
            <w:r>
              <w:rPr>
                <w:rFonts w:ascii="Arial" w:cs="Arial" w:eastAsia="Arial" w:hAnsi="Arial"/>
                <w:sz w:val="22"/>
                <w:szCs w:val="22"/>
                <w:color w:val="auto"/>
              </w:rPr>
              <w:t>ARTICLE IV. COVENANTS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4.1.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Payment of Principal and Interest.</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4.2.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SEC Reports.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4.3.</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Compliance Certificate.</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4.4.</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Stay, Extension and Usury Laws.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7880" w:type="dxa"/>
            <w:vAlign w:val="bottom"/>
            <w:gridSpan w:val="2"/>
          </w:tcPr>
          <w:p>
            <w:pPr>
              <w:spacing w:after="0" w:line="243" w:lineRule="exact"/>
              <w:rPr>
                <w:sz w:val="20"/>
                <w:szCs w:val="20"/>
                <w:color w:val="auto"/>
              </w:rPr>
            </w:pPr>
            <w:r>
              <w:rPr>
                <w:rFonts w:ascii="Arial" w:cs="Arial" w:eastAsia="Arial" w:hAnsi="Arial"/>
                <w:sz w:val="22"/>
                <w:szCs w:val="22"/>
                <w:color w:val="auto"/>
              </w:rPr>
              <w:t>ARTICLE V. SUCCESSORS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5.1.</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When Company May Merge, Etc.</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5.2.</w:t>
            </w:r>
          </w:p>
        </w:tc>
        <w:tc>
          <w:tcPr>
            <w:tcW w:w="6460" w:type="dxa"/>
            <w:vAlign w:val="bottom"/>
          </w:tcPr>
          <w:p>
            <w:pPr>
              <w:ind w:left="280"/>
              <w:spacing w:after="0" w:line="243" w:lineRule="exact"/>
              <w:rPr>
                <w:sz w:val="20"/>
                <w:szCs w:val="20"/>
                <w:color w:val="auto"/>
              </w:rPr>
            </w:pPr>
            <w:r>
              <w:rPr>
                <w:rFonts w:ascii="Arial" w:cs="Arial" w:eastAsia="Arial" w:hAnsi="Arial"/>
                <w:sz w:val="22"/>
                <w:szCs w:val="22"/>
                <w:color w:val="auto"/>
              </w:rPr>
              <w:t>Successor Corporation Substituted.</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7880" w:type="dxa"/>
            <w:vAlign w:val="bottom"/>
            <w:gridSpan w:val="2"/>
          </w:tcPr>
          <w:p>
            <w:pPr>
              <w:spacing w:after="0" w:line="243" w:lineRule="exact"/>
              <w:rPr>
                <w:sz w:val="20"/>
                <w:szCs w:val="20"/>
                <w:color w:val="auto"/>
              </w:rPr>
            </w:pPr>
            <w:r>
              <w:rPr>
                <w:rFonts w:ascii="Arial" w:cs="Arial" w:eastAsia="Arial" w:hAnsi="Arial"/>
                <w:sz w:val="22"/>
                <w:szCs w:val="22"/>
                <w:color w:val="auto"/>
              </w:rPr>
              <w:t>ARTICLE VI. DEFAULTS AND REMEDIES</w:t>
            </w:r>
          </w:p>
        </w:tc>
        <w:tc>
          <w:tcPr>
            <w:tcW w:w="18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6.1.</w:t>
            </w:r>
          </w:p>
        </w:tc>
        <w:tc>
          <w:tcPr>
            <w:tcW w:w="6460" w:type="dxa"/>
            <w:vAlign w:val="bottom"/>
          </w:tcPr>
          <w:p>
            <w:pPr>
              <w:ind w:left="280"/>
              <w:spacing w:after="0"/>
              <w:rPr>
                <w:sz w:val="20"/>
                <w:szCs w:val="20"/>
                <w:color w:val="auto"/>
              </w:rPr>
            </w:pPr>
            <w:r>
              <w:rPr>
                <w:rFonts w:ascii="Arial" w:cs="Arial" w:eastAsia="Arial" w:hAnsi="Arial"/>
                <w:sz w:val="22"/>
                <w:szCs w:val="22"/>
                <w:color w:val="auto"/>
              </w:rPr>
              <w:t>Events of Default.</w:t>
            </w:r>
          </w:p>
        </w:tc>
        <w:tc>
          <w:tcPr>
            <w:tcW w:w="1840" w:type="dxa"/>
            <w:vAlign w:val="bottom"/>
            <w:gridSpan w:val="2"/>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349885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8" w:right="10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Arial" w:cs="Arial" w:eastAsia="Arial" w:hAnsi="Arial"/>
                <w:sz w:val="22"/>
                <w:szCs w:val="22"/>
                <w:color w:val="auto"/>
              </w:rPr>
              <w:t>Section 6.2.</w:t>
            </w:r>
          </w:p>
        </w:tc>
        <w:tc>
          <w:tcPr>
            <w:tcW w:w="7020" w:type="dxa"/>
            <w:vAlign w:val="bottom"/>
          </w:tcPr>
          <w:p>
            <w:pPr>
              <w:ind w:left="340"/>
              <w:spacing w:after="0"/>
              <w:rPr>
                <w:sz w:val="20"/>
                <w:szCs w:val="20"/>
                <w:color w:val="auto"/>
              </w:rPr>
            </w:pPr>
            <w:r>
              <w:rPr>
                <w:rFonts w:ascii="Arial" w:cs="Arial" w:eastAsia="Arial" w:hAnsi="Arial"/>
                <w:sz w:val="22"/>
                <w:szCs w:val="22"/>
                <w:color w:val="auto"/>
              </w:rPr>
              <w:t>Acceleration of Maturity; Rescission and Annulment.</w:t>
            </w:r>
          </w:p>
        </w:tc>
        <w:tc>
          <w:tcPr>
            <w:tcW w:w="12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6.3.</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Collection of Indebtedness and Suits for Enforcement by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6.4.</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Trustee May File Proofs of Claim.</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6.5.</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Trustee May Enforce Claims Without Possession of Securities.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6.6.</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Application of Money Collected.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6.7.</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Limitation on Suits.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6.8.</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Unconditional Right of Holders to Receive Principal and Interest.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6.9.</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Restoration of Rights and Remedies.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6.10.</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Rights and Remedies Cumulative.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6.11.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Delay or Omission Not Waiver.</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6.12.</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Control by Holders.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6.13.</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Waiver of Past Defaults.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6.14.</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Undertaking for Costs.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500" w:type="dxa"/>
            <w:vAlign w:val="bottom"/>
            <w:gridSpan w:val="2"/>
          </w:tcPr>
          <w:p>
            <w:pPr>
              <w:spacing w:after="0" w:line="243" w:lineRule="exact"/>
              <w:rPr>
                <w:sz w:val="20"/>
                <w:szCs w:val="20"/>
                <w:color w:val="auto"/>
              </w:rPr>
            </w:pPr>
            <w:r>
              <w:rPr>
                <w:rFonts w:ascii="Arial" w:cs="Arial" w:eastAsia="Arial" w:hAnsi="Arial"/>
                <w:sz w:val="22"/>
                <w:szCs w:val="22"/>
                <w:color w:val="auto"/>
              </w:rPr>
              <w:t>ARTICLE VII.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Duties of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7.2.</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Rights of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7.3.</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Individual Rights of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7.4.</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Trustee’s Disclaimer.</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7.5.</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Notice of Defaults.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7.6.</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Reports by Trustee to Holders.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7.7.</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Compensation and Indemnity.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7.8.</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Replacement of Trustee.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7.9.</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Successor Trustee by Merger, Etc.</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7.10.</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Eligibility; Disqualification.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7.11.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Preferential Collection of Claims Against Company.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8500" w:type="dxa"/>
            <w:vAlign w:val="bottom"/>
            <w:gridSpan w:val="2"/>
          </w:tcPr>
          <w:p>
            <w:pPr>
              <w:spacing w:after="0" w:line="243" w:lineRule="exact"/>
              <w:rPr>
                <w:sz w:val="20"/>
                <w:szCs w:val="20"/>
                <w:color w:val="auto"/>
              </w:rPr>
            </w:pPr>
            <w:r>
              <w:rPr>
                <w:rFonts w:ascii="Arial" w:cs="Arial" w:eastAsia="Arial" w:hAnsi="Arial"/>
                <w:sz w:val="22"/>
                <w:szCs w:val="22"/>
                <w:color w:val="auto"/>
              </w:rPr>
              <w:t>ARTICLE VIII. SATISFACTION AND DISCHARGE; DEFEASANCE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Satisfaction and Discharge of Indenture.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8.2.</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Application of Trust Funds; Indemnification.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8.3.</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Legal Defeasance of Securities of any Series.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8.4.</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Covenant Defeasance.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8.5.</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Repayment to Company.</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8.6.</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Reinstatement.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8500" w:type="dxa"/>
            <w:vAlign w:val="bottom"/>
            <w:gridSpan w:val="2"/>
          </w:tcPr>
          <w:p>
            <w:pPr>
              <w:spacing w:after="0" w:line="243" w:lineRule="exact"/>
              <w:rPr>
                <w:sz w:val="20"/>
                <w:szCs w:val="20"/>
                <w:color w:val="auto"/>
              </w:rPr>
            </w:pPr>
            <w:r>
              <w:rPr>
                <w:rFonts w:ascii="Arial" w:cs="Arial" w:eastAsia="Arial" w:hAnsi="Arial"/>
                <w:sz w:val="22"/>
                <w:szCs w:val="22"/>
                <w:color w:val="auto"/>
              </w:rPr>
              <w:t>ARTICLE IX. AMENDMENTS AND WAIVERS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Without Consent of Holders.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9.2.</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With Consent of Holders.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9.3.</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Limitations.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9.4.</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Compliance with Trust Indenture Act.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9.5.</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Revocation and Effect of Consents.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9.6.</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Notation on or Exchange of Securities.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9.7.</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Trustee Protected.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8500" w:type="dxa"/>
            <w:vAlign w:val="bottom"/>
            <w:gridSpan w:val="2"/>
          </w:tcPr>
          <w:p>
            <w:pPr>
              <w:spacing w:after="0" w:line="243" w:lineRule="exact"/>
              <w:rPr>
                <w:sz w:val="20"/>
                <w:szCs w:val="20"/>
                <w:color w:val="auto"/>
              </w:rPr>
            </w:pPr>
            <w:r>
              <w:rPr>
                <w:rFonts w:ascii="Arial" w:cs="Arial" w:eastAsia="Arial" w:hAnsi="Arial"/>
                <w:sz w:val="22"/>
                <w:szCs w:val="22"/>
                <w:color w:val="auto"/>
              </w:rPr>
              <w:t>ARTICLE X. MISCELLANEOUS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w:t>
            </w:r>
          </w:p>
        </w:tc>
        <w:tc>
          <w:tcPr>
            <w:tcW w:w="7020" w:type="dxa"/>
            <w:vAlign w:val="bottom"/>
          </w:tcPr>
          <w:p>
            <w:pPr>
              <w:ind w:left="340"/>
              <w:spacing w:after="0" w:line="243" w:lineRule="exact"/>
              <w:rPr>
                <w:sz w:val="20"/>
                <w:szCs w:val="20"/>
                <w:color w:val="auto"/>
              </w:rPr>
            </w:pPr>
            <w:r>
              <w:rPr>
                <w:rFonts w:ascii="Arial" w:cs="Arial" w:eastAsia="Arial" w:hAnsi="Arial"/>
                <w:sz w:val="22"/>
                <w:szCs w:val="22"/>
                <w:color w:val="auto"/>
              </w:rPr>
              <w:t>Trust Indenture Act Controls.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Section 10.2.</w:t>
            </w:r>
          </w:p>
        </w:tc>
        <w:tc>
          <w:tcPr>
            <w:tcW w:w="7020" w:type="dxa"/>
            <w:vAlign w:val="bottom"/>
          </w:tcPr>
          <w:p>
            <w:pPr>
              <w:ind w:left="340"/>
              <w:spacing w:after="0"/>
              <w:rPr>
                <w:sz w:val="20"/>
                <w:szCs w:val="20"/>
                <w:color w:val="auto"/>
              </w:rPr>
            </w:pPr>
            <w:r>
              <w:rPr>
                <w:rFonts w:ascii="Arial" w:cs="Arial" w:eastAsia="Arial" w:hAnsi="Arial"/>
                <w:sz w:val="22"/>
                <w:szCs w:val="22"/>
                <w:color w:val="auto"/>
              </w:rPr>
              <w:t>Notices.</w:t>
            </w:r>
          </w:p>
        </w:tc>
        <w:tc>
          <w:tcPr>
            <w:tcW w:w="1220" w:type="dxa"/>
            <w:vAlign w:val="bottom"/>
          </w:tcPr>
          <w:p>
            <w:pPr>
              <w:jc w:val="right"/>
              <w:spacing w:after="0"/>
              <w:rPr>
                <w:sz w:val="20"/>
                <w:szCs w:val="20"/>
                <w:color w:val="auto"/>
              </w:rPr>
            </w:pPr>
            <w:r>
              <w:rPr>
                <w:rFonts w:ascii="Arial" w:cs="Arial" w:eastAsia="Arial" w:hAnsi="Arial"/>
                <w:sz w:val="22"/>
                <w:szCs w:val="22"/>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349885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1080" w:top="1269" w:right="10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1540" w:type="dxa"/>
            <w:vAlign w:val="bottom"/>
          </w:tcPr>
          <w:p>
            <w:pPr>
              <w:spacing w:after="0"/>
              <w:rPr>
                <w:sz w:val="20"/>
                <w:szCs w:val="20"/>
                <w:color w:val="auto"/>
              </w:rPr>
            </w:pPr>
            <w:r>
              <w:rPr>
                <w:rFonts w:ascii="Arial" w:cs="Arial" w:eastAsia="Arial" w:hAnsi="Arial"/>
                <w:sz w:val="22"/>
                <w:szCs w:val="22"/>
                <w:color w:val="auto"/>
              </w:rPr>
              <w:t>Section 10.3.</w:t>
            </w:r>
          </w:p>
        </w:tc>
        <w:tc>
          <w:tcPr>
            <w:tcW w:w="6800" w:type="dxa"/>
            <w:vAlign w:val="bottom"/>
          </w:tcPr>
          <w:p>
            <w:pPr>
              <w:ind w:left="280"/>
              <w:spacing w:after="0"/>
              <w:rPr>
                <w:sz w:val="20"/>
                <w:szCs w:val="20"/>
                <w:color w:val="auto"/>
              </w:rPr>
            </w:pPr>
            <w:r>
              <w:rPr>
                <w:rFonts w:ascii="Arial" w:cs="Arial" w:eastAsia="Arial" w:hAnsi="Arial"/>
                <w:sz w:val="22"/>
                <w:szCs w:val="22"/>
                <w:color w:val="auto"/>
              </w:rPr>
              <w:t>Communication by Holders with Other Holders.</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10.4.</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Certificate and Opinion as to Conditions Precedent.</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10.5.</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Statements Required in Certificate or Opinion.</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10.6.</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Rules by Trustee and Agents.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10.7.</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Legal Holidays.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10.8.</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No Recourse Against Others.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10.9.</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Counterparts.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10.10.</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Governing Law; Waiver of Jury Trial; Consent to Jurisdiction.</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10.11.</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No Adverse Interpretation of Other Agreements.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10.12.</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Successors.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10.13.</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Severability.</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10.14.</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Table of Contents, Headings, Etc.</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10.15.</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Securities in a Foreign Currency.</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10.16.</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Judgment Currency.</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10.17.</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Force Majeure.</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10.18.</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U.S.A. Patriot Act.</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8340" w:type="dxa"/>
            <w:vAlign w:val="bottom"/>
            <w:gridSpan w:val="2"/>
          </w:tcPr>
          <w:p>
            <w:pPr>
              <w:spacing w:after="0" w:line="243" w:lineRule="exact"/>
              <w:rPr>
                <w:sz w:val="20"/>
                <w:szCs w:val="20"/>
                <w:color w:val="auto"/>
              </w:rPr>
            </w:pPr>
            <w:r>
              <w:rPr>
                <w:rFonts w:ascii="Arial" w:cs="Arial" w:eastAsia="Arial" w:hAnsi="Arial"/>
                <w:sz w:val="22"/>
                <w:szCs w:val="22"/>
                <w:color w:val="auto"/>
              </w:rPr>
              <w:t>ARTICLE XI. SINKING FUNDS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11.1.</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Applicability of Article.</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Section 11.2.</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Satisfaction of Sinking Fund Payments with Securities.</w:t>
            </w: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Section 11.3.</w:t>
            </w:r>
          </w:p>
        </w:tc>
        <w:tc>
          <w:tcPr>
            <w:tcW w:w="6800" w:type="dxa"/>
            <w:vAlign w:val="bottom"/>
          </w:tcPr>
          <w:p>
            <w:pPr>
              <w:ind w:left="280"/>
              <w:spacing w:after="0"/>
              <w:rPr>
                <w:sz w:val="20"/>
                <w:szCs w:val="20"/>
                <w:color w:val="auto"/>
              </w:rPr>
            </w:pPr>
            <w:r>
              <w:rPr>
                <w:rFonts w:ascii="Arial" w:cs="Arial" w:eastAsia="Arial" w:hAnsi="Arial"/>
                <w:sz w:val="22"/>
                <w:szCs w:val="22"/>
                <w:color w:val="auto"/>
              </w:rPr>
              <w:t>Redemption of Securities for Sinking Fund.</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349885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1269" w:right="1099" w:bottom="1440" w:gutter="0" w:footer="0" w:header="0"/>
        </w:sectPr>
      </w:pPr>
    </w:p>
    <w:bookmarkStart w:id="107" w:name="page108"/>
    <w:bookmarkEnd w:id="107"/>
    <w:tbl>
      <w:tblPr>
        <w:tblLayout w:type="fixed"/>
        <w:tblInd w:w="1240" w:type="dxa"/>
        <w:tblCellMar>
          <w:top w:w="0" w:type="dxa"/>
          <w:left w:w="0" w:type="dxa"/>
          <w:bottom w:w="0" w:type="dxa"/>
          <w:right w:w="0" w:type="dxa"/>
        </w:tblCellMar>
      </w:tblPr>
      <w:tr>
        <w:trPr>
          <w:trHeight w:val="328"/>
        </w:trPr>
        <w:tc>
          <w:tcPr>
            <w:tcW w:w="900" w:type="dxa"/>
            <w:vAlign w:val="bottom"/>
          </w:tcPr>
          <w:p>
            <w:pPr>
              <w:spacing w:after="0"/>
              <w:rPr>
                <w:sz w:val="24"/>
                <w:szCs w:val="24"/>
                <w:color w:val="auto"/>
              </w:rPr>
            </w:pPr>
          </w:p>
        </w:tc>
        <w:tc>
          <w:tcPr>
            <w:tcW w:w="6480" w:type="dxa"/>
            <w:vAlign w:val="bottom"/>
          </w:tcPr>
          <w:p>
            <w:pPr>
              <w:jc w:val="center"/>
              <w:ind w:right="748"/>
              <w:spacing w:after="0"/>
              <w:rPr>
                <w:sz w:val="20"/>
                <w:szCs w:val="20"/>
                <w:color w:val="auto"/>
              </w:rPr>
            </w:pPr>
            <w:r>
              <w:rPr>
                <w:rFonts w:ascii="Arial" w:cs="Arial" w:eastAsia="Arial" w:hAnsi="Arial"/>
                <w:sz w:val="25"/>
                <w:szCs w:val="25"/>
                <w:b w:val="1"/>
                <w:bCs w:val="1"/>
                <w:color w:val="auto"/>
              </w:rPr>
              <w:t>ARDELYX, INC.</w:t>
            </w:r>
          </w:p>
        </w:tc>
      </w:tr>
      <w:tr>
        <w:trPr>
          <w:trHeight w:val="429"/>
        </w:trPr>
        <w:tc>
          <w:tcPr>
            <w:tcW w:w="900" w:type="dxa"/>
            <w:vAlign w:val="bottom"/>
          </w:tcPr>
          <w:p>
            <w:pPr>
              <w:spacing w:after="0"/>
              <w:rPr>
                <w:sz w:val="24"/>
                <w:szCs w:val="24"/>
                <w:color w:val="auto"/>
              </w:rPr>
            </w:pPr>
          </w:p>
        </w:tc>
        <w:tc>
          <w:tcPr>
            <w:tcW w:w="6480" w:type="dxa"/>
            <w:vAlign w:val="bottom"/>
          </w:tcPr>
          <w:p>
            <w:pPr>
              <w:jc w:val="center"/>
              <w:ind w:right="728"/>
              <w:spacing w:after="0"/>
              <w:rPr>
                <w:sz w:val="20"/>
                <w:szCs w:val="20"/>
                <w:color w:val="auto"/>
              </w:rPr>
            </w:pPr>
            <w:r>
              <w:rPr>
                <w:rFonts w:ascii="Arial" w:cs="Arial" w:eastAsia="Arial" w:hAnsi="Arial"/>
                <w:sz w:val="22"/>
                <w:szCs w:val="22"/>
                <w:color w:val="auto"/>
                <w:w w:val="89"/>
              </w:rPr>
              <w:t>Reconciliation and tie between Trust Indenture Act of 1939 and</w:t>
            </w:r>
          </w:p>
        </w:tc>
      </w:tr>
      <w:tr>
        <w:trPr>
          <w:trHeight w:val="274"/>
        </w:trPr>
        <w:tc>
          <w:tcPr>
            <w:tcW w:w="900" w:type="dxa"/>
            <w:vAlign w:val="bottom"/>
          </w:tcPr>
          <w:p>
            <w:pPr>
              <w:spacing w:after="0"/>
              <w:rPr>
                <w:sz w:val="23"/>
                <w:szCs w:val="23"/>
                <w:color w:val="auto"/>
              </w:rPr>
            </w:pPr>
          </w:p>
        </w:tc>
        <w:tc>
          <w:tcPr>
            <w:tcW w:w="6480" w:type="dxa"/>
            <w:vAlign w:val="bottom"/>
          </w:tcPr>
          <w:p>
            <w:pPr>
              <w:jc w:val="center"/>
              <w:ind w:right="728"/>
              <w:spacing w:after="0"/>
              <w:rPr>
                <w:sz w:val="20"/>
                <w:szCs w:val="20"/>
                <w:color w:val="auto"/>
              </w:rPr>
            </w:pPr>
            <w:r>
              <w:rPr>
                <w:rFonts w:ascii="Arial" w:cs="Arial" w:eastAsia="Arial" w:hAnsi="Arial"/>
                <w:sz w:val="22"/>
                <w:szCs w:val="22"/>
                <w:color w:val="auto"/>
                <w:w w:val="94"/>
              </w:rPr>
              <w:t>Indenture, dated as of [ ], 20[ ]</w:t>
            </w:r>
          </w:p>
        </w:tc>
      </w:tr>
      <w:tr>
        <w:trPr>
          <w:trHeight w:val="529"/>
        </w:trPr>
        <w:tc>
          <w:tcPr>
            <w:tcW w:w="900" w:type="dxa"/>
            <w:vAlign w:val="bottom"/>
          </w:tcPr>
          <w:p>
            <w:pPr>
              <w:jc w:val="right"/>
              <w:spacing w:after="0"/>
              <w:rPr>
                <w:sz w:val="20"/>
                <w:szCs w:val="20"/>
                <w:color w:val="auto"/>
              </w:rPr>
            </w:pPr>
            <w:r>
              <w:rPr>
                <w:rFonts w:ascii="Arial" w:cs="Arial" w:eastAsia="Arial" w:hAnsi="Arial"/>
                <w:sz w:val="18"/>
                <w:szCs w:val="18"/>
                <w:color w:val="auto"/>
                <w:w w:val="89"/>
              </w:rPr>
              <w:t>§ 310(a)(1)</w:t>
            </w:r>
          </w:p>
        </w:tc>
        <w:tc>
          <w:tcPr>
            <w:tcW w:w="6480" w:type="dxa"/>
            <w:vAlign w:val="bottom"/>
          </w:tcPr>
          <w:p>
            <w:pPr>
              <w:ind w:left="5380"/>
              <w:spacing w:after="0"/>
              <w:rPr>
                <w:sz w:val="20"/>
                <w:szCs w:val="20"/>
                <w:color w:val="auto"/>
              </w:rPr>
            </w:pPr>
            <w:r>
              <w:rPr>
                <w:rFonts w:ascii="Arial" w:cs="Arial" w:eastAsia="Arial" w:hAnsi="Arial"/>
                <w:sz w:val="18"/>
                <w:szCs w:val="18"/>
                <w:color w:val="auto"/>
              </w:rPr>
              <w:t>7.10</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(a)(2)</w:t>
            </w:r>
          </w:p>
        </w:tc>
        <w:tc>
          <w:tcPr>
            <w:tcW w:w="6480" w:type="dxa"/>
            <w:vAlign w:val="bottom"/>
          </w:tcPr>
          <w:p>
            <w:pPr>
              <w:ind w:left="5380"/>
              <w:spacing w:after="0"/>
              <w:rPr>
                <w:sz w:val="20"/>
                <w:szCs w:val="20"/>
                <w:color w:val="auto"/>
              </w:rPr>
            </w:pPr>
            <w:r>
              <w:rPr>
                <w:rFonts w:ascii="Arial" w:cs="Arial" w:eastAsia="Arial" w:hAnsi="Arial"/>
                <w:sz w:val="18"/>
                <w:szCs w:val="18"/>
                <w:color w:val="auto"/>
              </w:rPr>
              <w:t>7.10</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(a)(3)</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(a)(4)</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(a)(5)</w:t>
            </w:r>
          </w:p>
        </w:tc>
        <w:tc>
          <w:tcPr>
            <w:tcW w:w="6480" w:type="dxa"/>
            <w:vAlign w:val="bottom"/>
          </w:tcPr>
          <w:p>
            <w:pPr>
              <w:ind w:left="5380"/>
              <w:spacing w:after="0"/>
              <w:rPr>
                <w:sz w:val="20"/>
                <w:szCs w:val="20"/>
                <w:color w:val="auto"/>
              </w:rPr>
            </w:pPr>
            <w:r>
              <w:rPr>
                <w:rFonts w:ascii="Arial" w:cs="Arial" w:eastAsia="Arial" w:hAnsi="Arial"/>
                <w:sz w:val="18"/>
                <w:szCs w:val="18"/>
                <w:color w:val="auto"/>
              </w:rPr>
              <w:t>7.10</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7.10</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311(a)</w:t>
            </w:r>
          </w:p>
        </w:tc>
        <w:tc>
          <w:tcPr>
            <w:tcW w:w="6480" w:type="dxa"/>
            <w:vAlign w:val="bottom"/>
          </w:tcPr>
          <w:p>
            <w:pPr>
              <w:ind w:left="5380"/>
              <w:spacing w:after="0"/>
              <w:rPr>
                <w:sz w:val="20"/>
                <w:szCs w:val="20"/>
                <w:color w:val="auto"/>
              </w:rPr>
            </w:pPr>
            <w:r>
              <w:rPr>
                <w:rFonts w:ascii="Arial" w:cs="Arial" w:eastAsia="Arial" w:hAnsi="Arial"/>
                <w:sz w:val="18"/>
                <w:szCs w:val="18"/>
                <w:color w:val="auto"/>
              </w:rPr>
              <w:t>7.11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7.11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312(a)</w:t>
            </w:r>
          </w:p>
        </w:tc>
        <w:tc>
          <w:tcPr>
            <w:tcW w:w="6480" w:type="dxa"/>
            <w:vAlign w:val="bottom"/>
          </w:tcPr>
          <w:p>
            <w:pPr>
              <w:ind w:left="5380"/>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10.3</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w:t>
            </w:r>
          </w:p>
        </w:tc>
        <w:tc>
          <w:tcPr>
            <w:tcW w:w="6480" w:type="dxa"/>
            <w:vAlign w:val="bottom"/>
          </w:tcPr>
          <w:p>
            <w:pPr>
              <w:ind w:left="5380"/>
              <w:spacing w:after="0"/>
              <w:rPr>
                <w:sz w:val="20"/>
                <w:szCs w:val="20"/>
                <w:color w:val="auto"/>
              </w:rPr>
            </w:pPr>
            <w:r>
              <w:rPr>
                <w:rFonts w:ascii="Arial" w:cs="Arial" w:eastAsia="Arial" w:hAnsi="Arial"/>
                <w:sz w:val="18"/>
                <w:szCs w:val="18"/>
                <w:color w:val="auto"/>
              </w:rPr>
              <w:t>10.3</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313(a)</w:t>
            </w:r>
          </w:p>
        </w:tc>
        <w:tc>
          <w:tcPr>
            <w:tcW w:w="6480" w:type="dxa"/>
            <w:vAlign w:val="bottom"/>
          </w:tcPr>
          <w:p>
            <w:pPr>
              <w:ind w:left="5380"/>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(b)(1)</w:t>
            </w:r>
          </w:p>
        </w:tc>
        <w:tc>
          <w:tcPr>
            <w:tcW w:w="6480" w:type="dxa"/>
            <w:vAlign w:val="bottom"/>
          </w:tcPr>
          <w:p>
            <w:pPr>
              <w:ind w:left="5380"/>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(b)(2)</w:t>
            </w:r>
          </w:p>
        </w:tc>
        <w:tc>
          <w:tcPr>
            <w:tcW w:w="6480" w:type="dxa"/>
            <w:vAlign w:val="bottom"/>
          </w:tcPr>
          <w:p>
            <w:pPr>
              <w:ind w:left="5380"/>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(c)(1)</w:t>
            </w:r>
          </w:p>
        </w:tc>
        <w:tc>
          <w:tcPr>
            <w:tcW w:w="6480" w:type="dxa"/>
            <w:vAlign w:val="bottom"/>
          </w:tcPr>
          <w:p>
            <w:pPr>
              <w:ind w:left="5380"/>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(d)</w:t>
            </w:r>
          </w:p>
        </w:tc>
        <w:tc>
          <w:tcPr>
            <w:tcW w:w="6480" w:type="dxa"/>
            <w:vAlign w:val="bottom"/>
          </w:tcPr>
          <w:p>
            <w:pPr>
              <w:ind w:left="5380"/>
              <w:spacing w:after="0"/>
              <w:rPr>
                <w:sz w:val="20"/>
                <w:szCs w:val="20"/>
                <w:color w:val="auto"/>
              </w:rPr>
            </w:pPr>
            <w:r>
              <w:rPr>
                <w:rFonts w:ascii="Arial" w:cs="Arial" w:eastAsia="Arial" w:hAnsi="Arial"/>
                <w:sz w:val="18"/>
                <w:szCs w:val="18"/>
                <w:color w:val="auto"/>
              </w:rPr>
              <w:t>7.6</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314(a)</w:t>
            </w:r>
          </w:p>
        </w:tc>
        <w:tc>
          <w:tcPr>
            <w:tcW w:w="6480" w:type="dxa"/>
            <w:vAlign w:val="bottom"/>
          </w:tcPr>
          <w:p>
            <w:pPr>
              <w:ind w:left="5380"/>
              <w:spacing w:after="0"/>
              <w:rPr>
                <w:sz w:val="20"/>
                <w:szCs w:val="20"/>
                <w:color w:val="auto"/>
              </w:rPr>
            </w:pPr>
            <w:r>
              <w:rPr>
                <w:rFonts w:ascii="Arial" w:cs="Arial" w:eastAsia="Arial" w:hAnsi="Arial"/>
                <w:sz w:val="18"/>
                <w:szCs w:val="18"/>
                <w:color w:val="auto"/>
              </w:rPr>
              <w:t>4.2, 10.5</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(c)(1)</w:t>
            </w:r>
          </w:p>
        </w:tc>
        <w:tc>
          <w:tcPr>
            <w:tcW w:w="6480" w:type="dxa"/>
            <w:vAlign w:val="bottom"/>
          </w:tcPr>
          <w:p>
            <w:pPr>
              <w:ind w:left="5380"/>
              <w:spacing w:after="0"/>
              <w:rPr>
                <w:sz w:val="20"/>
                <w:szCs w:val="20"/>
                <w:color w:val="auto"/>
              </w:rPr>
            </w:pPr>
            <w:r>
              <w:rPr>
                <w:rFonts w:ascii="Arial" w:cs="Arial" w:eastAsia="Arial" w:hAnsi="Arial"/>
                <w:sz w:val="18"/>
                <w:szCs w:val="18"/>
                <w:color w:val="auto"/>
              </w:rPr>
              <w:t>10.4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(c)(2)</w:t>
            </w:r>
          </w:p>
        </w:tc>
        <w:tc>
          <w:tcPr>
            <w:tcW w:w="6480" w:type="dxa"/>
            <w:vAlign w:val="bottom"/>
          </w:tcPr>
          <w:p>
            <w:pPr>
              <w:ind w:left="5380"/>
              <w:spacing w:after="0"/>
              <w:rPr>
                <w:sz w:val="20"/>
                <w:szCs w:val="20"/>
                <w:color w:val="auto"/>
              </w:rPr>
            </w:pPr>
            <w:r>
              <w:rPr>
                <w:rFonts w:ascii="Arial" w:cs="Arial" w:eastAsia="Arial" w:hAnsi="Arial"/>
                <w:sz w:val="18"/>
                <w:szCs w:val="18"/>
                <w:color w:val="auto"/>
              </w:rPr>
              <w:t>10.4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(c)(3)</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(d)</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(e)</w:t>
            </w:r>
          </w:p>
        </w:tc>
        <w:tc>
          <w:tcPr>
            <w:tcW w:w="6480" w:type="dxa"/>
            <w:vAlign w:val="bottom"/>
          </w:tcPr>
          <w:p>
            <w:pPr>
              <w:ind w:left="5380"/>
              <w:spacing w:after="0"/>
              <w:rPr>
                <w:sz w:val="20"/>
                <w:szCs w:val="20"/>
                <w:color w:val="auto"/>
              </w:rPr>
            </w:pPr>
            <w:r>
              <w:rPr>
                <w:rFonts w:ascii="Arial" w:cs="Arial" w:eastAsia="Arial" w:hAnsi="Arial"/>
                <w:sz w:val="18"/>
                <w:szCs w:val="18"/>
                <w:color w:val="auto"/>
              </w:rPr>
              <w:t>10.5</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(f)</w:t>
            </w:r>
          </w:p>
        </w:tc>
        <w:tc>
          <w:tcPr>
            <w:tcW w:w="6480" w:type="dxa"/>
            <w:vAlign w:val="bottom"/>
          </w:tcPr>
          <w:p>
            <w:pPr>
              <w:ind w:left="5380"/>
              <w:spacing w:after="0"/>
              <w:rPr>
                <w:sz w:val="20"/>
                <w:szCs w:val="20"/>
                <w:color w:val="auto"/>
              </w:rPr>
            </w:pPr>
            <w:r>
              <w:rPr>
                <w:rFonts w:ascii="Arial" w:cs="Arial" w:eastAsia="Arial" w:hAnsi="Arial"/>
                <w:sz w:val="18"/>
                <w:szCs w:val="18"/>
                <w:color w:val="auto"/>
                <w:w w:val="93"/>
              </w:rPr>
              <w:t>Not Applicable</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315(a)</w:t>
            </w:r>
          </w:p>
        </w:tc>
        <w:tc>
          <w:tcPr>
            <w:tcW w:w="6480" w:type="dxa"/>
            <w:vAlign w:val="bottom"/>
          </w:tcPr>
          <w:p>
            <w:pPr>
              <w:ind w:left="5380"/>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7.5</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(c)</w:t>
            </w:r>
          </w:p>
        </w:tc>
        <w:tc>
          <w:tcPr>
            <w:tcW w:w="6480" w:type="dxa"/>
            <w:vAlign w:val="bottom"/>
          </w:tcPr>
          <w:p>
            <w:pPr>
              <w:ind w:left="5380"/>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(d)</w:t>
            </w:r>
          </w:p>
        </w:tc>
        <w:tc>
          <w:tcPr>
            <w:tcW w:w="6480" w:type="dxa"/>
            <w:vAlign w:val="bottom"/>
          </w:tcPr>
          <w:p>
            <w:pPr>
              <w:ind w:left="5380"/>
              <w:spacing w:after="0"/>
              <w:rPr>
                <w:sz w:val="20"/>
                <w:szCs w:val="20"/>
                <w:color w:val="auto"/>
              </w:rPr>
            </w:pPr>
            <w:r>
              <w:rPr>
                <w:rFonts w:ascii="Arial" w:cs="Arial" w:eastAsia="Arial" w:hAnsi="Arial"/>
                <w:sz w:val="18"/>
                <w:szCs w:val="18"/>
                <w:color w:val="auto"/>
              </w:rPr>
              <w:t>7.1</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(e)</w:t>
            </w:r>
          </w:p>
        </w:tc>
        <w:tc>
          <w:tcPr>
            <w:tcW w:w="6480" w:type="dxa"/>
            <w:vAlign w:val="bottom"/>
          </w:tcPr>
          <w:p>
            <w:pPr>
              <w:ind w:left="5380"/>
              <w:spacing w:after="0"/>
              <w:rPr>
                <w:sz w:val="20"/>
                <w:szCs w:val="20"/>
                <w:color w:val="auto"/>
              </w:rPr>
            </w:pPr>
            <w:r>
              <w:rPr>
                <w:rFonts w:ascii="Arial" w:cs="Arial" w:eastAsia="Arial" w:hAnsi="Arial"/>
                <w:sz w:val="18"/>
                <w:szCs w:val="18"/>
                <w:color w:val="auto"/>
              </w:rPr>
              <w:t>6.14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 316(a)</w:t>
            </w:r>
          </w:p>
        </w:tc>
        <w:tc>
          <w:tcPr>
            <w:tcW w:w="6480" w:type="dxa"/>
            <w:vAlign w:val="bottom"/>
          </w:tcPr>
          <w:p>
            <w:pPr>
              <w:ind w:left="5380"/>
              <w:spacing w:after="0"/>
              <w:rPr>
                <w:sz w:val="20"/>
                <w:szCs w:val="20"/>
                <w:color w:val="auto"/>
              </w:rPr>
            </w:pPr>
            <w:r>
              <w:rPr>
                <w:rFonts w:ascii="Arial" w:cs="Arial" w:eastAsia="Arial" w:hAnsi="Arial"/>
                <w:sz w:val="18"/>
                <w:szCs w:val="18"/>
                <w:color w:val="auto"/>
              </w:rPr>
              <w:t>2.10</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(a)(1)(A)</w:t>
            </w:r>
          </w:p>
        </w:tc>
        <w:tc>
          <w:tcPr>
            <w:tcW w:w="6480" w:type="dxa"/>
            <w:vAlign w:val="bottom"/>
          </w:tcPr>
          <w:p>
            <w:pPr>
              <w:ind w:left="5380"/>
              <w:spacing w:after="0"/>
              <w:rPr>
                <w:sz w:val="20"/>
                <w:szCs w:val="20"/>
                <w:color w:val="auto"/>
              </w:rPr>
            </w:pPr>
            <w:r>
              <w:rPr>
                <w:rFonts w:ascii="Arial" w:cs="Arial" w:eastAsia="Arial" w:hAnsi="Arial"/>
                <w:sz w:val="18"/>
                <w:szCs w:val="18"/>
                <w:color w:val="auto"/>
              </w:rPr>
              <w:t>6.12</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(a)(1)(B)</w:t>
            </w:r>
          </w:p>
        </w:tc>
        <w:tc>
          <w:tcPr>
            <w:tcW w:w="6480" w:type="dxa"/>
            <w:vAlign w:val="bottom"/>
          </w:tcPr>
          <w:p>
            <w:pPr>
              <w:ind w:left="5380"/>
              <w:spacing w:after="0"/>
              <w:rPr>
                <w:sz w:val="20"/>
                <w:szCs w:val="20"/>
                <w:color w:val="auto"/>
              </w:rPr>
            </w:pPr>
            <w:r>
              <w:rPr>
                <w:rFonts w:ascii="Arial" w:cs="Arial" w:eastAsia="Arial" w:hAnsi="Arial"/>
                <w:sz w:val="18"/>
                <w:szCs w:val="18"/>
                <w:color w:val="auto"/>
              </w:rPr>
              <w:t>6.13</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89"/>
              </w:rPr>
              <w:t>§ 317(a)(1)</w:t>
            </w:r>
          </w:p>
        </w:tc>
        <w:tc>
          <w:tcPr>
            <w:tcW w:w="6480" w:type="dxa"/>
            <w:vAlign w:val="bottom"/>
          </w:tcPr>
          <w:p>
            <w:pPr>
              <w:ind w:left="5380"/>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(a)(2)</w:t>
            </w:r>
          </w:p>
        </w:tc>
        <w:tc>
          <w:tcPr>
            <w:tcW w:w="6480" w:type="dxa"/>
            <w:vAlign w:val="bottom"/>
          </w:tcPr>
          <w:p>
            <w:pPr>
              <w:ind w:left="5380"/>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(b)</w:t>
            </w:r>
          </w:p>
        </w:tc>
        <w:tc>
          <w:tcPr>
            <w:tcW w:w="6480" w:type="dxa"/>
            <w:vAlign w:val="bottom"/>
          </w:tcPr>
          <w:p>
            <w:pPr>
              <w:ind w:left="5380"/>
              <w:spacing w:after="0"/>
              <w:rPr>
                <w:sz w:val="20"/>
                <w:szCs w:val="20"/>
                <w:color w:val="auto"/>
              </w:rPr>
            </w:pPr>
            <w:r>
              <w:rPr>
                <w:rFonts w:ascii="Arial" w:cs="Arial" w:eastAsia="Arial" w:hAnsi="Arial"/>
                <w:sz w:val="18"/>
                <w:szCs w:val="18"/>
                <w:color w:val="auto"/>
              </w:rPr>
              <w:t>2.5</w:t>
            </w:r>
          </w:p>
        </w:tc>
      </w:t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 318(a)</w:t>
            </w:r>
          </w:p>
        </w:tc>
        <w:tc>
          <w:tcPr>
            <w:tcW w:w="6480" w:type="dxa"/>
            <w:vAlign w:val="bottom"/>
          </w:tcPr>
          <w:p>
            <w:pPr>
              <w:ind w:left="538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Note: 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108" w:name="page109"/>
    <w:bookmarkEnd w:id="108"/>
    <w:p>
      <w:pPr>
        <w:jc w:val="both"/>
        <w:ind w:right="20" w:firstLine="1296"/>
        <w:spacing w:after="0" w:line="250" w:lineRule="auto"/>
        <w:rPr>
          <w:sz w:val="20"/>
          <w:szCs w:val="20"/>
          <w:color w:val="auto"/>
        </w:rPr>
      </w:pPr>
      <w:r>
        <w:rPr>
          <w:rFonts w:ascii="Arial" w:cs="Arial" w:eastAsia="Arial" w:hAnsi="Arial"/>
          <w:sz w:val="22"/>
          <w:szCs w:val="22"/>
          <w:color w:val="auto"/>
        </w:rPr>
        <w:t>Indenture dated as of [ ], 20[ ] between Ardelyx, Inc., a company incorporated under the laws of the State of Delaware (“</w:t>
      </w:r>
      <w:r>
        <w:rPr>
          <w:rFonts w:ascii="Arial" w:cs="Arial" w:eastAsia="Arial" w:hAnsi="Arial"/>
          <w:sz w:val="22"/>
          <w:szCs w:val="22"/>
          <w:i w:val="1"/>
          <w:iCs w:val="1"/>
          <w:color w:val="auto"/>
        </w:rPr>
        <w:t>Company</w:t>
      </w:r>
      <w:r>
        <w:rPr>
          <w:rFonts w:ascii="Arial" w:cs="Arial" w:eastAsia="Arial" w:hAnsi="Arial"/>
          <w:sz w:val="22"/>
          <w:szCs w:val="22"/>
          <w:color w:val="auto"/>
        </w:rPr>
        <w:t>”), and [ ]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Each party agrees as follows for the benefit of the other party and for the equal and ratable benefit of the Holders of the Securities issued under this Indenture.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p>
    <w:p>
      <w:pPr>
        <w:spacing w:after="0" w:line="206" w:lineRule="exact"/>
        <w:rPr>
          <w:sz w:val="20"/>
          <w:szCs w:val="20"/>
          <w:color w:val="auto"/>
        </w:rPr>
      </w:pPr>
    </w:p>
    <w:p>
      <w:pPr>
        <w:jc w:val="both"/>
        <w:ind w:firstLine="14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8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Notice Agent.</w:t>
      </w:r>
    </w:p>
    <w:p>
      <w:pPr>
        <w:spacing w:after="0" w:line="20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 the board of directors of the Company or any duly authorized committee thereof.</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 Resolution</w:t>
      </w:r>
      <w:r>
        <w:rPr>
          <w:rFonts w:ascii="Arial" w:cs="Arial" w:eastAsia="Arial" w:hAnsi="Arial"/>
          <w:sz w:val="19"/>
          <w:szCs w:val="19"/>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 any and all shares, interests, participations, rights or other equivalents (however designated) of corporate stock.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the party named as such above until a successor replaces it and thereafter means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successor.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Company Order</w:t>
      </w:r>
      <w:r>
        <w:rPr>
          <w:rFonts w:ascii="Arial" w:cs="Arial" w:eastAsia="Arial" w:hAnsi="Arial"/>
          <w:sz w:val="21"/>
          <w:szCs w:val="21"/>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9" w:name="page110"/>
    <w:bookmarkEnd w:id="109"/>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w:t>
      </w:r>
      <w:r>
        <w:rPr>
          <w:rFonts w:ascii="Arial" w:cs="Arial" w:eastAsia="Arial" w:hAnsi="Arial"/>
          <w:sz w:val="22"/>
          <w:szCs w:val="22"/>
          <w:color w:val="auto"/>
        </w:rPr>
        <w:t>” means the office of the Trustee at which at any particular time its corporate trust business related to this Indenture shall be principally administered.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which is, or after notice or passage of time or both would be, an Event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Default.</w:t>
      </w:r>
    </w:p>
    <w:p>
      <w:pPr>
        <w:spacing w:after="0" w:line="18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7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Discount Security</w:t>
      </w:r>
      <w:r>
        <w:rPr>
          <w:rFonts w:ascii="Arial" w:cs="Arial" w:eastAsia="Arial" w:hAnsi="Arial"/>
          <w:sz w:val="22"/>
          <w:szCs w:val="22"/>
          <w:color w:val="auto"/>
        </w:rPr>
        <w:t>” means any Security that provides for an amount less than the stated principal amount thereof to be due and payable upon declaration of acceleration of the maturity thereof pursuant to Section 6.2.</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and “</w:t>
      </w:r>
      <w:r>
        <w:rPr>
          <w:rFonts w:ascii="Arial" w:cs="Arial" w:eastAsia="Arial" w:hAnsi="Arial"/>
          <w:sz w:val="22"/>
          <w:szCs w:val="22"/>
          <w:i w:val="1"/>
          <w:iCs w:val="1"/>
          <w:color w:val="auto"/>
        </w:rPr>
        <w:t>$</w:t>
      </w:r>
      <w:r>
        <w:rPr>
          <w:rFonts w:ascii="Arial" w:cs="Arial" w:eastAsia="Arial" w:hAnsi="Arial"/>
          <w:sz w:val="22"/>
          <w:szCs w:val="22"/>
          <w:color w:val="auto"/>
        </w:rPr>
        <w:t>” means the currency of The United States of America.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Foreign Currency</w:t>
      </w:r>
      <w:r>
        <w:rPr>
          <w:rFonts w:ascii="Arial" w:cs="Arial" w:eastAsia="Arial" w:hAnsi="Arial"/>
          <w:sz w:val="22"/>
          <w:szCs w:val="22"/>
          <w:color w:val="auto"/>
        </w:rPr>
        <w:t>” means any currency or currency unit issued by a government other than the government of The United States of America.</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Foreign Government Obligations</w:t>
      </w:r>
      <w:r>
        <w:rPr>
          <w:rFonts w:ascii="Arial" w:cs="Arial" w:eastAsia="Arial" w:hAnsi="Arial"/>
          <w:sz w:val="21"/>
          <w:szCs w:val="21"/>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i w:val="1"/>
          <w:iCs w:val="1"/>
          <w:color w:val="auto"/>
        </w:rPr>
        <w:t xml:space="preserve">“GAAP” </w:t>
      </w:r>
      <w:r>
        <w:rPr>
          <w:rFonts w:ascii="Arial" w:cs="Arial" w:eastAsia="Arial" w:hAnsi="Arial"/>
          <w:sz w:val="21"/>
          <w:szCs w:val="21"/>
          <w:color w:val="auto"/>
        </w:rPr>
        <w:t>means accounting principles generally accepted in the United States of America set forth</w:t>
      </w:r>
      <w:r>
        <w:rPr>
          <w:rFonts w:ascii="Arial" w:cs="Arial" w:eastAsia="Arial" w:hAnsi="Arial"/>
          <w:sz w:val="21"/>
          <w:szCs w:val="21"/>
          <w:i w:val="1"/>
          <w:iCs w:val="1"/>
          <w:color w:val="auto"/>
        </w:rPr>
        <w:t xml:space="preserve"> </w:t>
      </w:r>
      <w:r>
        <w:rPr>
          <w:rFonts w:ascii="Arial" w:cs="Arial" w:eastAsia="Arial" w:hAnsi="Arial"/>
          <w:sz w:val="21"/>
          <w:szCs w:val="21"/>
          <w:color w:val="auto"/>
        </w:rPr>
        <w:t>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Global Security</w:t>
      </w:r>
      <w:r>
        <w:rPr>
          <w:rFonts w:ascii="Arial" w:cs="Arial" w:eastAsia="Arial" w:hAnsi="Arial"/>
          <w:sz w:val="21"/>
          <w:szCs w:val="21"/>
          <w:color w:val="auto"/>
        </w:rPr>
        <w:t>” or “</w:t>
      </w:r>
      <w:r>
        <w:rPr>
          <w:rFonts w:ascii="Arial" w:cs="Arial" w:eastAsia="Arial" w:hAnsi="Arial"/>
          <w:sz w:val="21"/>
          <w:szCs w:val="21"/>
          <w:i w:val="1"/>
          <w:iCs w:val="1"/>
          <w:color w:val="auto"/>
        </w:rPr>
        <w:t>Global Securities</w:t>
      </w:r>
      <w:r>
        <w:rPr>
          <w:rFonts w:ascii="Arial" w:cs="Arial" w:eastAsia="Arial" w:hAnsi="Arial"/>
          <w:sz w:val="21"/>
          <w:szCs w:val="21"/>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or “</w:t>
      </w:r>
      <w:r>
        <w:rPr>
          <w:rFonts w:ascii="Arial" w:cs="Arial" w:eastAsia="Arial" w:hAnsi="Arial"/>
          <w:sz w:val="22"/>
          <w:szCs w:val="22"/>
          <w:i w:val="1"/>
          <w:iCs w:val="1"/>
          <w:color w:val="auto"/>
        </w:rPr>
        <w:t>Securityholder</w:t>
      </w:r>
      <w:r>
        <w:rPr>
          <w:rFonts w:ascii="Arial" w:cs="Arial" w:eastAsia="Arial" w:hAnsi="Arial"/>
          <w:sz w:val="22"/>
          <w:szCs w:val="22"/>
          <w:color w:val="auto"/>
        </w:rPr>
        <w:t>” means a person in whose name a Security is registered.</w:t>
      </w:r>
    </w:p>
    <w:p>
      <w:pPr>
        <w:spacing w:after="0" w:line="206"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Indenture</w:t>
      </w:r>
      <w:r>
        <w:rPr>
          <w:rFonts w:ascii="Arial" w:cs="Arial" w:eastAsia="Arial" w:hAnsi="Arial"/>
          <w:sz w:val="21"/>
          <w:szCs w:val="21"/>
          <w:color w:val="auto"/>
        </w:rPr>
        <w:t>” means this Indenture as amended or supplemented from time to time and shall include the form and terms of particular Series of Securities established as contemplated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0" w:name="page111"/>
    <w:bookmarkEnd w:id="110"/>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interest</w:t>
      </w:r>
      <w:r>
        <w:rPr>
          <w:rFonts w:ascii="Arial" w:cs="Arial" w:eastAsia="Arial" w:hAnsi="Arial"/>
          <w:sz w:val="22"/>
          <w:szCs w:val="22"/>
          <w:color w:val="auto"/>
        </w:rPr>
        <w:t>” with respect to any Discount Security which by its terms bears interest only after Maturity, means interest payable after Maturity.</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w:t>
      </w:r>
      <w:r>
        <w:rPr>
          <w:rFonts w:ascii="Arial" w:cs="Arial" w:eastAsia="Arial" w:hAnsi="Arial"/>
          <w:sz w:val="22"/>
          <w:szCs w:val="22"/>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86"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w:t>
      </w:r>
      <w:r>
        <w:rPr>
          <w:rFonts w:ascii="Arial" w:cs="Arial" w:eastAsia="Arial" w:hAnsi="Arial"/>
          <w:sz w:val="19"/>
          <w:szCs w:val="19"/>
          <w:color w:val="auto"/>
        </w:rPr>
        <w:t>” means the Chief Executive Officer, President, the Chief Financial Officer, the Treasurer or any Assistant Treasurer, the Secretary or any Assistant Secretary, and any Vice President of the Company.</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by any Officer.</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 written opinion of legal counsel who is acceptable to the Trustee. The counsel may be an employee of or counsel to the Company. The opinion may contain customary limitations, conditions and exceptions.</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of a Security means the principal of the Security plus, when appropriate, the premium, if any, on, and any Additional Amounts in respect of, the Security.</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w:t>
      </w:r>
      <w:r>
        <w:rPr>
          <w:rFonts w:ascii="Arial" w:cs="Arial" w:eastAsia="Arial" w:hAnsi="Arial"/>
          <w:sz w:val="22"/>
          <w:szCs w:val="22"/>
          <w:color w:val="auto"/>
        </w:rPr>
        <w:t>” means the debentures, notes or other debt instruments of the Company of any Series authenticated and delivered under this Indenture.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Series</w:t>
      </w:r>
      <w:r>
        <w:rPr>
          <w:rFonts w:ascii="Arial" w:cs="Arial" w:eastAsia="Arial" w:hAnsi="Arial"/>
          <w:sz w:val="22"/>
          <w:szCs w:val="22"/>
          <w:color w:val="auto"/>
        </w:rPr>
        <w:t>” or “</w:t>
      </w:r>
      <w:r>
        <w:rPr>
          <w:rFonts w:ascii="Arial" w:cs="Arial" w:eastAsia="Arial" w:hAnsi="Arial"/>
          <w:sz w:val="22"/>
          <w:szCs w:val="22"/>
          <w:i w:val="1"/>
          <w:iCs w:val="1"/>
          <w:color w:val="auto"/>
        </w:rPr>
        <w:t>Series of Securities</w:t>
      </w:r>
      <w:r>
        <w:rPr>
          <w:rFonts w:ascii="Arial" w:cs="Arial" w:eastAsia="Arial" w:hAnsi="Arial"/>
          <w:sz w:val="22"/>
          <w:szCs w:val="22"/>
          <w:color w:val="auto"/>
        </w:rPr>
        <w:t>” means each series of debentures, notes or other debt instruments of the Company created pursuant to Sections 2.1 and 2.2 hereof.</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when used with respect to any Security, means the date specified in such Security as the fixed date on which the principal of such Security or interest is due and payable.</w:t>
      </w:r>
    </w:p>
    <w:p>
      <w:pPr>
        <w:spacing w:after="0" w:line="17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1" w:name="page112"/>
    <w:bookmarkEnd w:id="111"/>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TIA</w:t>
      </w:r>
      <w:r>
        <w:rPr>
          <w:rFonts w:ascii="Arial" w:cs="Arial" w:eastAsia="Arial" w:hAnsi="Arial"/>
          <w:sz w:val="19"/>
          <w:szCs w:val="19"/>
          <w:color w:val="auto"/>
        </w:rPr>
        <w:t xml:space="preserve">” means the Trust Indenture Act of 1939 (15 U.S. Code §§ 77aaa-77bbbb) as in effect on the date of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Trust Indenture Act of 1939 is amended after such date, “TIA” means, to the extent required by any such amendment, the Trust Indenture Act as so amended.</w:t>
      </w:r>
    </w:p>
    <w:p>
      <w:pPr>
        <w:spacing w:after="0" w:line="13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 Government Obligations</w:t>
      </w:r>
      <w:r>
        <w:rPr>
          <w:rFonts w:ascii="Arial" w:cs="Arial" w:eastAsia="Arial" w:hAnsi="Arial"/>
          <w:sz w:val="19"/>
          <w:szCs w:val="19"/>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20" w:type="dxa"/>
            <w:vAlign w:val="bottom"/>
            <w:gridSpan w:val="5"/>
          </w:tcPr>
          <w:p>
            <w:pPr>
              <w:spacing w:after="0"/>
              <w:rPr>
                <w:sz w:val="20"/>
                <w:szCs w:val="20"/>
                <w:color w:val="auto"/>
              </w:rPr>
            </w:pPr>
            <w:r>
              <w:rPr>
                <w:rFonts w:ascii="Arial" w:cs="Arial" w:eastAsia="Arial" w:hAnsi="Arial"/>
                <w:sz w:val="22"/>
                <w:szCs w:val="22"/>
                <w:color w:val="auto"/>
              </w:rPr>
              <w:t>Section 1.2.  Other Definitions.</w:t>
            </w:r>
          </w:p>
        </w:tc>
        <w:tc>
          <w:tcPr>
            <w:tcW w:w="3460" w:type="dxa"/>
            <w:vAlign w:val="bottom"/>
          </w:tcPr>
          <w:p>
            <w:pPr>
              <w:spacing w:after="0"/>
              <w:rPr>
                <w:sz w:val="21"/>
                <w:szCs w:val="21"/>
                <w:color w:val="auto"/>
              </w:rPr>
            </w:pPr>
          </w:p>
        </w:tc>
      </w:tr>
      <w:tr>
        <w:trPr>
          <w:trHeight w:val="458"/>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22"/>
                <w:szCs w:val="22"/>
                <w:color w:val="auto"/>
                <w:w w:val="96"/>
              </w:rPr>
              <w:t>DEFINED IN</w:t>
            </w:r>
          </w:p>
        </w:tc>
      </w:tr>
      <w:tr>
        <w:trPr>
          <w:trHeight w:val="264"/>
        </w:trPr>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80" w:type="dxa"/>
            <w:vAlign w:val="bottom"/>
            <w:gridSpan w:val="3"/>
          </w:tcPr>
          <w:p>
            <w:pPr>
              <w:ind w:left="880"/>
              <w:spacing w:after="0"/>
              <w:rPr>
                <w:sz w:val="20"/>
                <w:szCs w:val="20"/>
                <w:color w:val="auto"/>
              </w:rPr>
            </w:pPr>
            <w:r>
              <w:rPr>
                <w:rFonts w:ascii="Arial" w:cs="Arial" w:eastAsia="Arial" w:hAnsi="Arial"/>
                <w:sz w:val="22"/>
                <w:szCs w:val="22"/>
                <w:color w:val="auto"/>
              </w:rPr>
              <w:t>TERM</w:t>
            </w:r>
          </w:p>
        </w:tc>
        <w:tc>
          <w:tcPr>
            <w:tcW w:w="3460" w:type="dxa"/>
            <w:vAlign w:val="bottom"/>
          </w:tcPr>
          <w:p>
            <w:pPr>
              <w:jc w:val="center"/>
              <w:spacing w:after="0"/>
              <w:rPr>
                <w:sz w:val="20"/>
                <w:szCs w:val="20"/>
                <w:color w:val="auto"/>
              </w:rPr>
            </w:pPr>
            <w:r>
              <w:rPr>
                <w:rFonts w:ascii="Arial" w:cs="Arial" w:eastAsia="Arial" w:hAnsi="Arial"/>
                <w:sz w:val="22"/>
                <w:szCs w:val="22"/>
                <w:color w:val="auto"/>
                <w:w w:val="94"/>
              </w:rPr>
              <w:t>SECTION</w:t>
            </w:r>
          </w:p>
        </w:tc>
      </w:tr>
      <w:tr>
        <w:trPr>
          <w:trHeight w:val="215"/>
        </w:trPr>
        <w:tc>
          <w:tcPr>
            <w:tcW w:w="340" w:type="dxa"/>
            <w:vAlign w:val="bottom"/>
          </w:tcPr>
          <w:p>
            <w:pPr>
              <w:spacing w:after="0"/>
              <w:rPr>
                <w:sz w:val="18"/>
                <w:szCs w:val="18"/>
                <w:color w:val="auto"/>
              </w:rPr>
            </w:pPr>
          </w:p>
        </w:tc>
        <w:tc>
          <w:tcPr>
            <w:tcW w:w="4160" w:type="dxa"/>
            <w:vAlign w:val="bottom"/>
            <w:tcBorders>
              <w:top w:val="single" w:sz="8" w:color="auto"/>
            </w:tcBorders>
            <w:gridSpan w:val="3"/>
          </w:tcPr>
          <w:p>
            <w:pPr>
              <w:ind w:left="640"/>
              <w:spacing w:after="0" w:line="216"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w:t>
            </w:r>
          </w:p>
        </w:tc>
        <w:tc>
          <w:tcPr>
            <w:tcW w:w="320" w:type="dxa"/>
            <w:vAlign w:val="bottom"/>
          </w:tcPr>
          <w:p>
            <w:pPr>
              <w:spacing w:after="0"/>
              <w:rPr>
                <w:sz w:val="18"/>
                <w:szCs w:val="18"/>
                <w:color w:val="auto"/>
              </w:rPr>
            </w:pPr>
          </w:p>
        </w:tc>
        <w:tc>
          <w:tcPr>
            <w:tcW w:w="34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6.1</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91"/>
              </w:rPr>
              <w:t>6.1</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91"/>
              </w:rPr>
              <w:t>6.1</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7"/>
              </w:rPr>
              <w:t>10.16</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8"/>
              </w:rPr>
              <w:t>10.7</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mandatory sinking fund payment</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3"/>
              </w:rPr>
              <w:t>11.1</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York Banking Day</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7"/>
              </w:rPr>
              <w:t>10.16</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Notice Agent</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91"/>
              </w:rPr>
              <w:t>2.4</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optional sinking fund payment</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3"/>
              </w:rPr>
              <w:t>11.1</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91"/>
              </w:rPr>
              <w:t>2.4</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91"/>
              </w:rPr>
              <w:t>2.4</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7"/>
              </w:rPr>
              <w:t>10.16</w:t>
            </w:r>
          </w:p>
        </w:tc>
      </w:tr>
      <w:tr>
        <w:trPr>
          <w:trHeight w:val="243"/>
        </w:trPr>
        <w:tc>
          <w:tcPr>
            <w:tcW w:w="340" w:type="dxa"/>
            <w:vAlign w:val="bottom"/>
          </w:tcPr>
          <w:p>
            <w:pPr>
              <w:spacing w:after="0"/>
              <w:rPr>
                <w:sz w:val="21"/>
                <w:szCs w:val="21"/>
                <w:color w:val="auto"/>
              </w:rPr>
            </w:pPr>
          </w:p>
        </w:tc>
        <w:tc>
          <w:tcPr>
            <w:tcW w:w="4480" w:type="dxa"/>
            <w:vAlign w:val="bottom"/>
            <w:gridSpan w:val="4"/>
          </w:tcPr>
          <w:p>
            <w:pPr>
              <w:ind w:left="640"/>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Specified Courts</w:t>
            </w:r>
            <w:r>
              <w:rPr>
                <w:rFonts w:ascii="Arial" w:cs="Arial" w:eastAsia="Arial" w:hAnsi="Arial"/>
                <w:sz w:val="22"/>
                <w:szCs w:val="22"/>
                <w:color w:val="auto"/>
              </w:rPr>
              <w:t>”</w:t>
            </w:r>
          </w:p>
        </w:tc>
        <w:tc>
          <w:tcPr>
            <w:tcW w:w="3460" w:type="dxa"/>
            <w:vAlign w:val="bottom"/>
          </w:tcPr>
          <w:p>
            <w:pPr>
              <w:jc w:val="center"/>
              <w:spacing w:after="0" w:line="243" w:lineRule="exact"/>
              <w:rPr>
                <w:sz w:val="20"/>
                <w:szCs w:val="20"/>
                <w:color w:val="auto"/>
              </w:rPr>
            </w:pPr>
            <w:r>
              <w:rPr>
                <w:rFonts w:ascii="Arial" w:cs="Arial" w:eastAsia="Arial" w:hAnsi="Arial"/>
                <w:sz w:val="22"/>
                <w:szCs w:val="22"/>
                <w:color w:val="auto"/>
                <w:w w:val="87"/>
              </w:rPr>
              <w:t>10.10</w:t>
            </w:r>
          </w:p>
        </w:tc>
      </w:tr>
      <w:tr>
        <w:trPr>
          <w:trHeight w:val="274"/>
        </w:trPr>
        <w:tc>
          <w:tcPr>
            <w:tcW w:w="340" w:type="dxa"/>
            <w:vAlign w:val="bottom"/>
          </w:tcPr>
          <w:p>
            <w:pPr>
              <w:spacing w:after="0"/>
              <w:rPr>
                <w:sz w:val="23"/>
                <w:szCs w:val="23"/>
                <w:color w:val="auto"/>
              </w:rPr>
            </w:pPr>
          </w:p>
        </w:tc>
        <w:tc>
          <w:tcPr>
            <w:tcW w:w="4480" w:type="dxa"/>
            <w:vAlign w:val="bottom"/>
            <w:gridSpan w:val="4"/>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successor person</w:t>
            </w: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w w:val="91"/>
              </w:rPr>
              <w:t>5.1</w:t>
            </w:r>
          </w:p>
        </w:tc>
      </w:tr>
    </w:tbl>
    <w:p>
      <w:pPr>
        <w:spacing w:after="0" w:line="18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Incorporation by Reference of Trust Indenture Act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 The following TIA terms used in this Indenture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2" w:name="page113"/>
    <w:bookmarkEnd w:id="11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Securities.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Securityholder.</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means this Indenture.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w:t>
      </w:r>
      <w:r>
        <w:rPr>
          <w:rFonts w:ascii="Arial" w:cs="Arial" w:eastAsia="Arial" w:hAnsi="Arial"/>
          <w:sz w:val="22"/>
          <w:szCs w:val="22"/>
          <w:i w:val="1"/>
          <w:iCs w:val="1"/>
          <w:color w:val="auto"/>
        </w:rPr>
        <w:t>institutional trustee</w:t>
      </w:r>
      <w:r>
        <w:rPr>
          <w:rFonts w:ascii="Arial" w:cs="Arial" w:eastAsia="Arial" w:hAnsi="Arial"/>
          <w:sz w:val="22"/>
          <w:szCs w:val="22"/>
          <w:color w:val="auto"/>
        </w:rPr>
        <w:t>” means the Trustee.</w:t>
      </w:r>
    </w:p>
    <w:p>
      <w:pPr>
        <w:spacing w:after="0" w:line="206"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obligor</w:t>
      </w:r>
      <w:r>
        <w:rPr>
          <w:rFonts w:ascii="Arial" w:cs="Arial" w:eastAsia="Arial" w:hAnsi="Arial"/>
          <w:sz w:val="22"/>
          <w:szCs w:val="22"/>
          <w:color w:val="auto"/>
        </w:rPr>
        <w:t>” on the indenture securities means the Company and any successor obligor upon the Securities.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All other terms used in this Indenture that are defined by the TIA, defined by TIA reference to another statute or defined by SEC rule under the TIA and not otherwise defined herein are used herein as so defined.</w:t>
      </w:r>
    </w:p>
    <w:p>
      <w:pPr>
        <w:spacing w:after="0" w:line="18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Unless the context otherwise requires:</w:t>
      </w:r>
    </w:p>
    <w:p>
      <w:pPr>
        <w:spacing w:after="0" w:line="206" w:lineRule="exact"/>
        <w:rPr>
          <w:sz w:val="20"/>
          <w:szCs w:val="20"/>
          <w:color w:val="auto"/>
        </w:rPr>
      </w:pPr>
    </w:p>
    <w:p>
      <w:pPr>
        <w:ind w:left="1760" w:hanging="456"/>
        <w:spacing w:after="0"/>
        <w:tabs>
          <w:tab w:leader="none" w:pos="17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left="1820" w:hanging="516"/>
        <w:spacing w:after="0"/>
        <w:tabs>
          <w:tab w:leader="none" w:pos="18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 accounting term not otherwise defined has the meaning assigned to it in accordance with</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GAAP;</w:t>
      </w:r>
    </w:p>
    <w:p>
      <w:pPr>
        <w:spacing w:after="0" w:line="188" w:lineRule="exact"/>
        <w:rPr>
          <w:sz w:val="20"/>
          <w:szCs w:val="20"/>
          <w:color w:val="auto"/>
        </w:rPr>
      </w:pPr>
    </w:p>
    <w:p>
      <w:pPr>
        <w:ind w:left="1760" w:hanging="456"/>
        <w:spacing w:after="0"/>
        <w:tabs>
          <w:tab w:leader="none" w:pos="17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 is not exclusive;</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 and</w:t>
      </w:r>
    </w:p>
    <w:p>
      <w:pPr>
        <w:spacing w:after="0" w:line="206" w:lineRule="exact"/>
        <w:rPr>
          <w:rFonts w:ascii="Arial" w:cs="Arial" w:eastAsia="Arial" w:hAnsi="Arial"/>
          <w:sz w:val="22"/>
          <w:szCs w:val="22"/>
          <w:color w:val="auto"/>
        </w:rPr>
      </w:pPr>
    </w:p>
    <w:p>
      <w:pPr>
        <w:ind w:left="1760" w:hanging="456"/>
        <w:spacing w:after="0"/>
        <w:tabs>
          <w:tab w:leader="none" w:pos="17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THE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Issuable in Series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3" w:name="page114"/>
    <w:bookmarkEnd w:id="113"/>
    <w:p>
      <w:pPr>
        <w:ind w:left="660"/>
        <w:spacing w:after="0"/>
        <w:tabs>
          <w:tab w:leader="none" w:pos="18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Establishment of Terms of Series of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87"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2.2.1. the title (which shall distinguish the Securities of that particular Series from the Securities of any other Series) and ranking (including the terms of any subordination provisions) of the Series;</w:t>
      </w:r>
    </w:p>
    <w:p>
      <w:pPr>
        <w:spacing w:after="0" w:line="10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2.2.2. the price or prices (expressed as a percentage of the principal amount thereof) at which the Securities of the Series will be issued;</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the date or dates on which the principal of the Securities of the Series is payable;</w:t>
      </w:r>
    </w:p>
    <w:p>
      <w:pPr>
        <w:spacing w:after="0" w:line="20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3"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2.2.7. if applicable, the period or periods within which, the price or prices at which and the terms and conditions upon which the Securities of the Series may be redeemed, in whole or in part, at the option of the Company;</w:t>
      </w:r>
    </w:p>
    <w:p>
      <w:pPr>
        <w:spacing w:after="0" w:line="18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4" w:name="page115"/>
    <w:bookmarkEnd w:id="114"/>
    <w:p>
      <w:pPr>
        <w:jc w:val="both"/>
        <w:ind w:firstLine="1296"/>
        <w:spacing w:after="0"/>
        <w:rPr>
          <w:sz w:val="20"/>
          <w:szCs w:val="20"/>
          <w:color w:val="auto"/>
        </w:rPr>
      </w:pPr>
      <w:r>
        <w:rPr>
          <w:rFonts w:ascii="Arial" w:cs="Arial" w:eastAsia="Arial" w:hAnsi="Arial"/>
          <w:sz w:val="22"/>
          <w:szCs w:val="22"/>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2.2.10. if other than denominations of $1,000 and any integral multiple thereof, the denominations in which the Securities of the Series shall be issuable;</w:t>
      </w:r>
    </w:p>
    <w:p>
      <w:pPr>
        <w:spacing w:after="0" w:line="17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2.2.11. the forms of the Securities of the Series and whether the Securities will be issuable as Global Securities;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2.2.14. the designation of the currency, currencies or currency units in which payment of the principal of and interest, if any, on the Securities of the Series will be made;</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6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2.2.17.</w:t>
      </w:r>
      <w:r>
        <w:rPr>
          <w:sz w:val="20"/>
          <w:szCs w:val="20"/>
          <w:color w:val="auto"/>
        </w:rPr>
        <w:tab/>
      </w:r>
      <w:r>
        <w:rPr>
          <w:rFonts w:ascii="Arial" w:cs="Arial" w:eastAsia="Arial" w:hAnsi="Arial"/>
          <w:sz w:val="19"/>
          <w:szCs w:val="19"/>
          <w:color w:val="auto"/>
        </w:rPr>
        <w:t>the provisions, if any, relating to any security provided for the Securities of the Series;</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8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2.2.19. any addition to, deletion of or change in the covenants set forth in Articles IV or V which applies to Securities of the Series;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2.2.20. any Depositaries, interest rate calculation agents, exchange rate calculation agents or other agents with respect to Securities of such Series if other than those appointed herein;</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2.2.21. the provisions, if any, relating to conversion or exchange of any Securities of such Series, including if applicable, the conversion or exchange price,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5" w:name="page116"/>
    <w:bookmarkEnd w:id="115"/>
    <w:p>
      <w:pPr>
        <w:jc w:val="both"/>
        <w:spacing w:after="0" w:line="297" w:lineRule="auto"/>
        <w:rPr>
          <w:sz w:val="20"/>
          <w:szCs w:val="20"/>
          <w:color w:val="auto"/>
        </w:rPr>
      </w:pPr>
      <w:r>
        <w:rPr>
          <w:rFonts w:ascii="Arial" w:cs="Arial" w:eastAsia="Arial" w:hAnsi="Arial"/>
          <w:sz w:val="19"/>
          <w:szCs w:val="19"/>
          <w:color w:val="auto"/>
        </w:rPr>
        <w:t>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3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6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2.2.23. whether any of the Company’s direct or indirect Subsidiaries will guarantee the Securities of that Series, including the terms of subordination, if any, of such guarantees.</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8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Execution and Authentication</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 Officer shall sign the Securities for the Company by manual or facsimile signature.</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an Officer whose signature is on a Security no longer holds that office at the time the Security is authenticated, the Security shall nevertheless be valid.</w:t>
      </w:r>
    </w:p>
    <w:p>
      <w:pPr>
        <w:spacing w:after="0" w:line="175"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8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4"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3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6" w:name="page117"/>
    <w:bookmarkEnd w:id="116"/>
    <w:p>
      <w:pPr>
        <w:ind w:left="1300"/>
        <w:spacing w:after="0"/>
        <w:rPr>
          <w:sz w:val="20"/>
          <w:szCs w:val="20"/>
          <w:color w:val="auto"/>
        </w:rPr>
      </w:pPr>
      <w:r>
        <w:rPr>
          <w:rFonts w:ascii="Arial" w:cs="Arial" w:eastAsia="Arial" w:hAnsi="Arial"/>
          <w:sz w:val="19"/>
          <w:szCs w:val="19"/>
          <w:color w:val="auto"/>
        </w:rPr>
        <w:t>The Trustee shall have the right to decline to authenticate and deliver any Securities of such Series:</w:t>
      </w:r>
    </w:p>
    <w:p>
      <w:pPr>
        <w:spacing w:after="0" w:line="43" w:lineRule="exact"/>
        <w:rPr>
          <w:sz w:val="20"/>
          <w:szCs w:val="20"/>
          <w:color w:val="auto"/>
        </w:rPr>
      </w:pPr>
    </w:p>
    <w:p>
      <w:pPr>
        <w:jc w:val="both"/>
        <w:ind w:firstLine="8"/>
        <w:spacing w:after="0" w:line="246" w:lineRule="auto"/>
        <w:tabs>
          <w:tab w:leader="none" w:pos="309"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where Securities of such Series may be surrendered for registration of transfer 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where notices and demands to or upon the Company in respect of the Securities of such Series and this Indenture may be delivered (“</w:t>
      </w:r>
      <w:r>
        <w:rPr>
          <w:rFonts w:ascii="Arial" w:cs="Arial" w:eastAsia="Arial" w:hAnsi="Arial"/>
          <w:sz w:val="19"/>
          <w:szCs w:val="19"/>
          <w:i w:val="1"/>
          <w:iCs w:val="1"/>
          <w:color w:val="auto"/>
        </w:rPr>
        <w:t>Notice Agent</w:t>
      </w:r>
      <w:r>
        <w:rPr>
          <w:rFonts w:ascii="Arial" w:cs="Arial" w:eastAsia="Arial" w:hAnsi="Arial"/>
          <w:sz w:val="19"/>
          <w:szCs w:val="19"/>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appointment of the Trustee as the Notice Agent shall exclude the appointment of the Trustee or any office of the Trustee as an agent to receive the service of legal process on the Company.</w:t>
      </w:r>
    </w:p>
    <w:p>
      <w:pPr>
        <w:spacing w:after="0" w:line="200" w:lineRule="exact"/>
        <w:rPr>
          <w:sz w:val="20"/>
          <w:szCs w:val="20"/>
          <w:color w:val="auto"/>
        </w:rPr>
      </w:pPr>
    </w:p>
    <w:p>
      <w:pPr>
        <w:spacing w:after="0" w:line="21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21"/>
          <w:szCs w:val="21"/>
          <w:i w:val="1"/>
          <w:iCs w:val="1"/>
          <w:color w:val="auto"/>
        </w:rPr>
        <w:t>Registrar</w:t>
      </w:r>
      <w:r>
        <w:rPr>
          <w:rFonts w:ascii="Arial" w:cs="Arial" w:eastAsia="Arial" w:hAnsi="Arial"/>
          <w:sz w:val="21"/>
          <w:szCs w:val="21"/>
          <w:color w:val="auto"/>
        </w:rPr>
        <w:t>” includes any co-registrar; the term “</w:t>
      </w:r>
      <w:r>
        <w:rPr>
          <w:rFonts w:ascii="Arial" w:cs="Arial" w:eastAsia="Arial" w:hAnsi="Arial"/>
          <w:sz w:val="21"/>
          <w:szCs w:val="21"/>
          <w:i w:val="1"/>
          <w:iCs w:val="1"/>
          <w:color w:val="auto"/>
        </w:rPr>
        <w:t>Paying Agent</w:t>
      </w:r>
      <w:r>
        <w:rPr>
          <w:rFonts w:ascii="Arial" w:cs="Arial" w:eastAsia="Arial" w:hAnsi="Arial"/>
          <w:sz w:val="21"/>
          <w:szCs w:val="21"/>
          <w:color w:val="auto"/>
        </w:rPr>
        <w:t>” includes any additional paying agent; and the term “</w:t>
      </w:r>
      <w:r>
        <w:rPr>
          <w:rFonts w:ascii="Arial" w:cs="Arial" w:eastAsia="Arial" w:hAnsi="Arial"/>
          <w:sz w:val="21"/>
          <w:szCs w:val="21"/>
          <w:i w:val="1"/>
          <w:iCs w:val="1"/>
          <w:color w:val="auto"/>
        </w:rPr>
        <w:t>Notice Agent</w:t>
      </w:r>
      <w:r>
        <w:rPr>
          <w:rFonts w:ascii="Arial" w:cs="Arial" w:eastAsia="Arial" w:hAnsi="Arial"/>
          <w:sz w:val="21"/>
          <w:szCs w:val="21"/>
          <w:color w:val="auto"/>
        </w:rPr>
        <w:t>” includes any additional notice agent. The Company or any of its Affiliates may serve as Registrar or Paying Agent.</w:t>
      </w:r>
    </w:p>
    <w:p>
      <w:pPr>
        <w:spacing w:after="0" w:line="18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7" w:name="page118"/>
    <w:bookmarkEnd w:id="117"/>
    <w:p>
      <w:pPr>
        <w:ind w:left="660"/>
        <w:spacing w:after="0"/>
        <w:tabs>
          <w:tab w:leader="none" w:pos="18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5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Securityholder Lists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5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5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Mutilated, Destroyed, Lost and Stolen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any mutilated Security is surrendered to the Trustee, the Company shall execute and the Trustee shall authenticate and deliver in exchange therefor a new Security of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8" w:name="page119"/>
    <w:bookmarkEnd w:id="118"/>
    <w:p>
      <w:pPr>
        <w:spacing w:after="0"/>
        <w:rPr>
          <w:sz w:val="20"/>
          <w:szCs w:val="20"/>
          <w:color w:val="auto"/>
        </w:rPr>
      </w:pPr>
      <w:r>
        <w:rPr>
          <w:rFonts w:ascii="Arial" w:cs="Arial" w:eastAsia="Arial" w:hAnsi="Arial"/>
          <w:sz w:val="21"/>
          <w:szCs w:val="21"/>
          <w:color w:val="auto"/>
        </w:rPr>
        <w:t>Series and of like tenor and principal amount and bearing a number not contemporaneously outstanding.</w:t>
      </w:r>
    </w:p>
    <w:p>
      <w:pPr>
        <w:spacing w:after="0" w:line="21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4"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In case any such mutilated, destroyed, lost or stolen Security has become or is about to become due and payable, the Company in its discretion may, instead of issuing a new Security, pay such Security.</w:t>
      </w:r>
    </w:p>
    <w:p>
      <w:pPr>
        <w:spacing w:after="0" w:line="10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The provisions of this Section are exclusive and shall preclude (to the extent lawful) all other rights and remedies with respect to the replacement or payment of mutilated, destroyed, lost or stolen Securities.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Outstanding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 Security is replaced pursuant to Section 2.8, it ceases to be outstanding until the Trustee receives proof satisfactory to it that the replaced Security is held by a bona fide purchaser.</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9" w:name="page120"/>
    <w:bookmarkEnd w:id="119"/>
    <w:p>
      <w:pPr>
        <w:jc w:val="both"/>
        <w:ind w:firstLine="1296"/>
        <w:spacing w:after="0"/>
        <w:rPr>
          <w:sz w:val="20"/>
          <w:szCs w:val="20"/>
          <w:color w:val="auto"/>
        </w:rPr>
      </w:pPr>
      <w:r>
        <w:rPr>
          <w:rFonts w:ascii="Arial" w:cs="Arial" w:eastAsia="Arial" w:hAnsi="Arial"/>
          <w:sz w:val="22"/>
          <w:szCs w:val="22"/>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Treasury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Temporary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Cancellation</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Defaulted Interest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0" w:name="page121"/>
    <w:bookmarkEnd w:id="120"/>
    <w:p>
      <w:pPr>
        <w:jc w:val="both"/>
        <w:spacing w:after="0" w:line="238" w:lineRule="auto"/>
        <w:rPr>
          <w:sz w:val="20"/>
          <w:szCs w:val="20"/>
          <w:color w:val="auto"/>
        </w:rPr>
      </w:pPr>
      <w:r>
        <w:rPr>
          <w:rFonts w:ascii="Arial" w:cs="Arial" w:eastAsia="Arial" w:hAnsi="Arial"/>
          <w:sz w:val="22"/>
          <w:szCs w:val="22"/>
          <w:color w:val="auto"/>
        </w:rPr>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Global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2.14.1. </w:t>
      </w:r>
      <w:r>
        <w:rPr>
          <w:rFonts w:ascii="Arial" w:cs="Arial" w:eastAsia="Arial" w:hAnsi="Arial"/>
          <w:sz w:val="21"/>
          <w:szCs w:val="21"/>
          <w:u w:val="single" w:color="auto"/>
          <w:color w:val="auto"/>
        </w:rPr>
        <w:t>Terms of Securities</w:t>
      </w:r>
      <w:r>
        <w:rPr>
          <w:rFonts w:ascii="Arial" w:cs="Arial" w:eastAsia="Arial" w:hAnsi="Arial"/>
          <w:sz w:val="21"/>
          <w:szCs w:val="21"/>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6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2.14.2. </w:t>
      </w:r>
      <w:r>
        <w:rPr>
          <w:rFonts w:ascii="Arial" w:cs="Arial" w:eastAsia="Arial" w:hAnsi="Arial"/>
          <w:sz w:val="19"/>
          <w:szCs w:val="19"/>
          <w:u w:val="single" w:color="auto"/>
          <w:color w:val="auto"/>
        </w:rPr>
        <w:t>Transfer and Exchange</w:t>
      </w:r>
      <w:r>
        <w:rPr>
          <w:rFonts w:ascii="Arial" w:cs="Arial" w:eastAsia="Arial" w:hAnsi="Arial"/>
          <w:sz w:val="19"/>
          <w:szCs w:val="19"/>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5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2.14.3. </w:t>
      </w:r>
      <w:r>
        <w:rPr>
          <w:rFonts w:ascii="Arial" w:cs="Arial" w:eastAsia="Arial" w:hAnsi="Arial"/>
          <w:sz w:val="22"/>
          <w:szCs w:val="22"/>
          <w:u w:val="single" w:color="auto"/>
          <w:color w:val="auto"/>
        </w:rPr>
        <w:t>Legends</w:t>
      </w:r>
      <w:r>
        <w:rPr>
          <w:rFonts w:ascii="Arial" w:cs="Arial" w:eastAsia="Arial" w:hAnsi="Arial"/>
          <w:sz w:val="22"/>
          <w:szCs w:val="22"/>
          <w:color w:val="auto"/>
        </w:rPr>
        <w:t>. Any Global Security issued hereunder shall bear a legend in substantially the following form:</w:t>
      </w:r>
    </w:p>
    <w:p>
      <w:pPr>
        <w:spacing w:after="0" w:line="17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1" w:name="page122"/>
    <w:bookmarkEnd w:id="121"/>
    <w:p>
      <w:pPr>
        <w:jc w:val="both"/>
        <w:ind w:firstLine="1296"/>
        <w:spacing w:after="0" w:line="274" w:lineRule="auto"/>
        <w:rPr>
          <w:sz w:val="20"/>
          <w:szCs w:val="20"/>
          <w:color w:val="auto"/>
        </w:rPr>
      </w:pPr>
      <w:r>
        <w:rPr>
          <w:rFonts w:ascii="Arial" w:cs="Arial" w:eastAsia="Arial" w:hAnsi="Arial"/>
          <w:sz w:val="21"/>
          <w:szCs w:val="21"/>
          <w:color w:val="auto"/>
        </w:rPr>
        <w:t>In addition, so long as the Depository Trust Company (“DTC”) is the Depositary, each Global Note registered in the name of DTC or its nominee shall bear a legend in substantially the following form:</w:t>
      </w:r>
    </w:p>
    <w:p>
      <w:pPr>
        <w:spacing w:after="0" w:line="151"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2.14.4. </w:t>
      </w:r>
      <w:r>
        <w:rPr>
          <w:rFonts w:ascii="Arial" w:cs="Arial" w:eastAsia="Arial" w:hAnsi="Arial"/>
          <w:sz w:val="22"/>
          <w:szCs w:val="22"/>
          <w:u w:val="single" w:color="auto"/>
          <w:color w:val="auto"/>
        </w:rPr>
        <w:t>Acts of Holders</w:t>
      </w:r>
      <w:r>
        <w:rPr>
          <w:rFonts w:ascii="Arial" w:cs="Arial" w:eastAsia="Arial" w:hAnsi="Arial"/>
          <w:sz w:val="22"/>
          <w:szCs w:val="22"/>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2.14.5. </w:t>
      </w:r>
      <w:r>
        <w:rPr>
          <w:rFonts w:ascii="Arial" w:cs="Arial" w:eastAsia="Arial" w:hAnsi="Arial"/>
          <w:sz w:val="22"/>
          <w:szCs w:val="22"/>
          <w:u w:val="single" w:color="auto"/>
          <w:color w:val="auto"/>
        </w:rPr>
        <w:t>Payments</w:t>
      </w:r>
      <w:r>
        <w:rPr>
          <w:rFonts w:ascii="Arial" w:cs="Arial" w:eastAsia="Arial" w:hAnsi="Arial"/>
          <w:sz w:val="22"/>
          <w:szCs w:val="22"/>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8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2.14.6. </w:t>
      </w:r>
      <w:r>
        <w:rPr>
          <w:rFonts w:ascii="Arial" w:cs="Arial" w:eastAsia="Arial" w:hAnsi="Arial"/>
          <w:sz w:val="19"/>
          <w:szCs w:val="19"/>
          <w:u w:val="single" w:color="auto"/>
          <w:color w:val="auto"/>
        </w:rPr>
        <w:t>Consents, Declaration and Directions</w:t>
      </w:r>
      <w:r>
        <w:rPr>
          <w:rFonts w:ascii="Arial" w:cs="Arial" w:eastAsia="Arial" w:hAnsi="Arial"/>
          <w:sz w:val="19"/>
          <w:szCs w:val="19"/>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4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CUSIP Numbers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2" w:name="page123"/>
    <w:bookmarkEnd w:id="122"/>
    <w:p>
      <w:pPr>
        <w:ind w:left="436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REDEMPTION</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Notice to Trustee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5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notice shall identify the Securities of the Series to be redeemed and shall state:</w:t>
      </w:r>
    </w:p>
    <w:p>
      <w:pPr>
        <w:spacing w:after="0" w:line="206" w:lineRule="exact"/>
        <w:rPr>
          <w:sz w:val="20"/>
          <w:szCs w:val="20"/>
          <w:color w:val="auto"/>
        </w:rPr>
      </w:pPr>
    </w:p>
    <w:p>
      <w:pPr>
        <w:ind w:left="1760" w:hanging="456"/>
        <w:spacing w:after="0"/>
        <w:tabs>
          <w:tab w:leader="none" w:pos="17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3" w:name="page124"/>
    <w:bookmarkEnd w:id="123"/>
    <w:p>
      <w:pPr>
        <w:ind w:left="1780" w:hanging="476"/>
        <w:spacing w:after="0"/>
        <w:tabs>
          <w:tab w:leader="none" w:pos="1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6" w:lineRule="exact"/>
        <w:rPr>
          <w:rFonts w:ascii="Arial" w:cs="Arial" w:eastAsia="Arial" w:hAnsi="Arial"/>
          <w:sz w:val="22"/>
          <w:szCs w:val="22"/>
          <w:color w:val="auto"/>
        </w:rPr>
      </w:pPr>
    </w:p>
    <w:p>
      <w:pPr>
        <w:ind w:left="1760" w:hanging="456"/>
        <w:spacing w:after="0"/>
        <w:tabs>
          <w:tab w:leader="none" w:pos="17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6" w:lineRule="exact"/>
        <w:rPr>
          <w:rFonts w:ascii="Arial" w:cs="Arial" w:eastAsia="Arial" w:hAnsi="Arial"/>
          <w:sz w:val="22"/>
          <w:szCs w:val="22"/>
          <w:color w:val="auto"/>
        </w:rPr>
      </w:pPr>
    </w:p>
    <w:p>
      <w:pPr>
        <w:jc w:val="both"/>
        <w:ind w:left="660" w:firstLine="644"/>
        <w:spacing w:after="0" w:line="287" w:lineRule="auto"/>
        <w:tabs>
          <w:tab w:leader="none" w:pos="189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42" w:lineRule="exact"/>
        <w:rPr>
          <w:rFonts w:ascii="Arial" w:cs="Arial" w:eastAsia="Arial" w:hAnsi="Arial"/>
          <w:sz w:val="19"/>
          <w:szCs w:val="19"/>
          <w:color w:val="auto"/>
        </w:rPr>
      </w:pPr>
    </w:p>
    <w:p>
      <w:pPr>
        <w:ind w:left="660" w:right="20" w:firstLine="644"/>
        <w:spacing w:after="0" w:line="250" w:lineRule="auto"/>
        <w:tabs>
          <w:tab w:leader="none" w:pos="177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Securities of the Series called for redemption must be surrendered to the Paying Agent to collect the redemption price;</w:t>
      </w:r>
    </w:p>
    <w:p>
      <w:pPr>
        <w:spacing w:after="0" w:line="174" w:lineRule="exact"/>
        <w:rPr>
          <w:rFonts w:ascii="Arial" w:cs="Arial" w:eastAsia="Arial" w:hAnsi="Arial"/>
          <w:sz w:val="22"/>
          <w:szCs w:val="22"/>
          <w:color w:val="auto"/>
        </w:rPr>
      </w:pPr>
    </w:p>
    <w:p>
      <w:pPr>
        <w:ind w:left="660" w:firstLine="644"/>
        <w:spacing w:after="0" w:line="274" w:lineRule="auto"/>
        <w:tabs>
          <w:tab w:leader="none" w:pos="175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that interest on Securities of the Series called for redemption ceases to accrue on and after the redemption date unless the Company defaults in the deposit of the redemption price;</w:t>
      </w:r>
    </w:p>
    <w:p>
      <w:pPr>
        <w:spacing w:after="0" w:line="150" w:lineRule="exact"/>
        <w:rPr>
          <w:rFonts w:ascii="Arial" w:cs="Arial" w:eastAsia="Arial" w:hAnsi="Arial"/>
          <w:sz w:val="21"/>
          <w:szCs w:val="21"/>
          <w:color w:val="auto"/>
        </w:rPr>
      </w:pPr>
    </w:p>
    <w:p>
      <w:pPr>
        <w:ind w:left="1780" w:hanging="476"/>
        <w:spacing w:after="0"/>
        <w:tabs>
          <w:tab w:leader="none" w:pos="17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CUSIP number, if any; and</w:t>
      </w:r>
    </w:p>
    <w:p>
      <w:pPr>
        <w:spacing w:after="0" w:line="206" w:lineRule="exact"/>
        <w:rPr>
          <w:rFonts w:ascii="Arial" w:cs="Arial" w:eastAsia="Arial" w:hAnsi="Arial"/>
          <w:sz w:val="22"/>
          <w:szCs w:val="22"/>
          <w:color w:val="auto"/>
        </w:rPr>
      </w:pPr>
    </w:p>
    <w:p>
      <w:pPr>
        <w:ind w:left="660" w:firstLine="644"/>
        <w:spacing w:after="0" w:line="250" w:lineRule="auto"/>
        <w:tabs>
          <w:tab w:leader="none" w:pos="196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other information as may be required by the terms of the particular Series or the Securities of a Series being redeemed.</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4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8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4" w:name="page125"/>
    <w:bookmarkEnd w:id="124"/>
    <w:p>
      <w:pPr>
        <w:ind w:left="436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COVENANTS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Payment of Principal and Interest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SEC Reports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8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Compliance Certificate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5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Stay, Extension and Usury Laws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5" w:name="page126"/>
    <w:bookmarkEnd w:id="125"/>
    <w:p>
      <w:pPr>
        <w:jc w:val="both"/>
        <w:spacing w:after="0" w:line="287" w:lineRule="auto"/>
        <w:rPr>
          <w:sz w:val="20"/>
          <w:szCs w:val="20"/>
          <w:color w:val="auto"/>
        </w:rPr>
      </w:pPr>
      <w:r>
        <w:rPr>
          <w:rFonts w:ascii="Arial" w:cs="Arial" w:eastAsia="Arial" w:hAnsi="Arial"/>
          <w:sz w:val="19"/>
          <w:szCs w:val="19"/>
          <w:color w:val="auto"/>
        </w:rPr>
        <w:t>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SUCCESSORS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When Company May Merge, Etc</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shall not consolidate with or merge with or into, or convey, transfer or lease all or substantially all of its properties and assets to, any person (a “</w:t>
      </w:r>
      <w:r>
        <w:rPr>
          <w:rFonts w:ascii="Arial" w:cs="Arial" w:eastAsia="Arial" w:hAnsi="Arial"/>
          <w:sz w:val="22"/>
          <w:szCs w:val="22"/>
          <w:i w:val="1"/>
          <w:iCs w:val="1"/>
          <w:color w:val="auto"/>
        </w:rPr>
        <w:t>successor person</w:t>
      </w:r>
      <w:r>
        <w:rPr>
          <w:rFonts w:ascii="Arial" w:cs="Arial" w:eastAsia="Arial" w:hAnsi="Arial"/>
          <w:sz w:val="22"/>
          <w:szCs w:val="22"/>
          <w:color w:val="auto"/>
        </w:rPr>
        <w:t>”) unless:</w:t>
      </w:r>
    </w:p>
    <w:p>
      <w:pPr>
        <w:spacing w:after="0" w:line="175" w:lineRule="exact"/>
        <w:rPr>
          <w:sz w:val="20"/>
          <w:szCs w:val="20"/>
          <w:color w:val="auto"/>
        </w:rPr>
      </w:pPr>
    </w:p>
    <w:p>
      <w:pPr>
        <w:jc w:val="both"/>
        <w:ind w:left="660" w:right="20" w:firstLine="644"/>
        <w:spacing w:after="0" w:line="297" w:lineRule="auto"/>
        <w:tabs>
          <w:tab w:leader="none" w:pos="177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33" w:lineRule="exact"/>
        <w:rPr>
          <w:rFonts w:ascii="Arial" w:cs="Arial" w:eastAsia="Arial" w:hAnsi="Arial"/>
          <w:sz w:val="19"/>
          <w:szCs w:val="19"/>
          <w:color w:val="auto"/>
        </w:rPr>
      </w:pPr>
    </w:p>
    <w:p>
      <w:pPr>
        <w:ind w:left="660" w:firstLine="644"/>
        <w:spacing w:after="0" w:line="250" w:lineRule="auto"/>
        <w:tabs>
          <w:tab w:leader="none" w:pos="181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immediately after giving effect to the transaction, no Default or Event of Default, shall have occurred and be continuing.</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Successor Corporation Substituted</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Event of Default</w:t>
      </w:r>
      <w:r>
        <w:rPr>
          <w:rFonts w:ascii="Arial" w:cs="Arial" w:eastAsia="Arial" w:hAnsi="Arial"/>
          <w:sz w:val="21"/>
          <w:szCs w:val="21"/>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69" w:lineRule="exact"/>
        <w:rPr>
          <w:sz w:val="20"/>
          <w:szCs w:val="20"/>
          <w:color w:val="auto"/>
        </w:rPr>
      </w:pPr>
    </w:p>
    <w:p>
      <w:pPr>
        <w:jc w:val="both"/>
        <w:ind w:left="660" w:firstLine="644"/>
        <w:spacing w:after="0" w:line="238" w:lineRule="auto"/>
        <w:tabs>
          <w:tab w:leader="none" w:pos="177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16"/>
          <w:szCs w:val="16"/>
          <w:color w:val="auto"/>
        </w:rPr>
        <w:t>th</w:t>
      </w:r>
      <w:r>
        <w:rPr>
          <w:rFonts w:ascii="Arial" w:cs="Arial" w:eastAsia="Arial" w:hAnsi="Arial"/>
          <w:sz w:val="22"/>
          <w:szCs w:val="22"/>
          <w:color w:val="auto"/>
        </w:rPr>
        <w:t xml:space="preserve"> day of such period); or</w:t>
      </w:r>
    </w:p>
    <w:p>
      <w:pPr>
        <w:spacing w:after="0" w:line="184" w:lineRule="exact"/>
        <w:rPr>
          <w:rFonts w:ascii="Arial" w:cs="Arial" w:eastAsia="Arial" w:hAnsi="Arial"/>
          <w:sz w:val="22"/>
          <w:szCs w:val="22"/>
          <w:color w:val="auto"/>
        </w:rPr>
      </w:pPr>
    </w:p>
    <w:p>
      <w:pPr>
        <w:ind w:left="1780" w:hanging="476"/>
        <w:spacing w:after="0"/>
        <w:tabs>
          <w:tab w:leader="none" w:pos="17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default in the payment of principal of any Security of that Series at its Maturity; or</w:t>
      </w:r>
    </w:p>
    <w:p>
      <w:pPr>
        <w:spacing w:after="0" w:line="206" w:lineRule="exact"/>
        <w:rPr>
          <w:rFonts w:ascii="Arial" w:cs="Arial" w:eastAsia="Arial" w:hAnsi="Arial"/>
          <w:sz w:val="22"/>
          <w:szCs w:val="22"/>
          <w:color w:val="auto"/>
        </w:rPr>
      </w:pPr>
    </w:p>
    <w:p>
      <w:pPr>
        <w:jc w:val="both"/>
        <w:ind w:left="660" w:firstLine="644"/>
        <w:spacing w:after="0" w:line="234" w:lineRule="auto"/>
        <w:tabs>
          <w:tab w:leader="none" w:pos="186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6" w:lineRule="exact"/>
        <w:rPr>
          <w:rFonts w:ascii="Arial" w:cs="Arial" w:eastAsia="Arial" w:hAnsi="Arial"/>
          <w:sz w:val="22"/>
          <w:szCs w:val="22"/>
          <w:color w:val="auto"/>
        </w:rPr>
      </w:pPr>
    </w:p>
    <w:p>
      <w:pPr>
        <w:ind w:left="1780" w:hanging="476"/>
        <w:spacing w:after="0"/>
        <w:tabs>
          <w:tab w:leader="none" w:pos="17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pursuant to or within the meaning of any Bankruptcy Law:</w:t>
      </w:r>
    </w:p>
    <w:p>
      <w:pPr>
        <w:spacing w:after="0" w:line="206" w:lineRule="exact"/>
        <w:rPr>
          <w:rFonts w:ascii="Arial" w:cs="Arial" w:eastAsia="Arial" w:hAnsi="Arial"/>
          <w:sz w:val="22"/>
          <w:szCs w:val="22"/>
          <w:color w:val="auto"/>
        </w:rPr>
      </w:pPr>
    </w:p>
    <w:p>
      <w:pPr>
        <w:ind w:left="2420" w:hanging="468"/>
        <w:spacing w:after="0"/>
        <w:tabs>
          <w:tab w:leader="none" w:pos="24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440" w:hanging="488"/>
        <w:spacing w:after="0"/>
        <w:tabs>
          <w:tab w:leader="none" w:pos="24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2500" w:hanging="548"/>
        <w:spacing w:after="0"/>
        <w:tabs>
          <w:tab w:leader="none" w:pos="250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consents to the appointment of a Custodian of it or for all or substantially all of its</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property,</w:t>
      </w:r>
    </w:p>
    <w:p>
      <w:pPr>
        <w:spacing w:after="0" w:line="188" w:lineRule="exact"/>
        <w:rPr>
          <w:rFonts w:ascii="Arial" w:cs="Arial" w:eastAsia="Arial" w:hAnsi="Arial"/>
          <w:sz w:val="19"/>
          <w:szCs w:val="19"/>
          <w:color w:val="auto"/>
        </w:rPr>
      </w:pPr>
    </w:p>
    <w:p>
      <w:pPr>
        <w:ind w:left="2480" w:hanging="528"/>
        <w:spacing w:after="0"/>
        <w:tabs>
          <w:tab w:leader="none" w:pos="24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2420" w:hanging="468"/>
        <w:spacing w:after="0"/>
        <w:tabs>
          <w:tab w:leader="none" w:pos="24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generally is unable to pay its debts as the same become due; or</w:t>
      </w:r>
    </w:p>
    <w:p>
      <w:pPr>
        <w:spacing w:after="0" w:line="206" w:lineRule="exact"/>
        <w:rPr>
          <w:rFonts w:ascii="Arial" w:cs="Arial" w:eastAsia="Arial" w:hAnsi="Arial"/>
          <w:sz w:val="22"/>
          <w:szCs w:val="22"/>
          <w:color w:val="auto"/>
        </w:rPr>
      </w:pPr>
    </w:p>
    <w:p>
      <w:pPr>
        <w:ind w:left="1760" w:hanging="456"/>
        <w:spacing w:after="0"/>
        <w:tabs>
          <w:tab w:leader="none" w:pos="17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 court of competent jurisdiction enters an order or decree under any Bankruptcy Law that:</w:t>
      </w:r>
    </w:p>
    <w:p>
      <w:pPr>
        <w:spacing w:after="0" w:line="240" w:lineRule="exact"/>
        <w:rPr>
          <w:rFonts w:ascii="Arial" w:cs="Arial" w:eastAsia="Arial" w:hAnsi="Arial"/>
          <w:sz w:val="19"/>
          <w:szCs w:val="19"/>
          <w:color w:val="auto"/>
        </w:rPr>
      </w:pPr>
    </w:p>
    <w:p>
      <w:pPr>
        <w:ind w:left="2320" w:hanging="368"/>
        <w:spacing w:after="0"/>
        <w:tabs>
          <w:tab w:leader="none" w:pos="23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is for relief against the Company in an involuntary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7" w:name="page128"/>
    <w:bookmarkEnd w:id="127"/>
    <w:p>
      <w:pPr>
        <w:ind w:left="2440" w:hanging="488"/>
        <w:spacing w:after="0"/>
        <w:tabs>
          <w:tab w:leader="none" w:pos="24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appoints a Custodian of the Company or for all or substantially all of its property, or</w:t>
      </w:r>
    </w:p>
    <w:p>
      <w:pPr>
        <w:spacing w:after="0" w:line="240" w:lineRule="exact"/>
        <w:rPr>
          <w:rFonts w:ascii="Arial" w:cs="Arial" w:eastAsia="Arial" w:hAnsi="Arial"/>
          <w:sz w:val="19"/>
          <w:szCs w:val="19"/>
          <w:color w:val="auto"/>
        </w:rPr>
      </w:pPr>
    </w:p>
    <w:p>
      <w:pPr>
        <w:ind w:left="2440" w:hanging="488"/>
        <w:spacing w:after="0"/>
        <w:tabs>
          <w:tab w:leader="none" w:pos="24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orders the liquidation of the Company,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the order or decree remains unstayed and in effect for 60 days; or</w:t>
      </w:r>
    </w:p>
    <w:p>
      <w:pPr>
        <w:spacing w:after="0" w:line="206" w:lineRule="exact"/>
        <w:rPr>
          <w:sz w:val="20"/>
          <w:szCs w:val="20"/>
          <w:color w:val="auto"/>
        </w:rPr>
      </w:pPr>
    </w:p>
    <w:p>
      <w:pPr>
        <w:jc w:val="both"/>
        <w:ind w:left="660" w:firstLine="644"/>
        <w:spacing w:after="0"/>
        <w:tabs>
          <w:tab w:leader="none" w:pos="191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other Event of Default provided with respect to Securities of that Series, which is specified in a Board Resolution, a supplemental indenture hereto or an Officer’s Certificate, in accordance with Section 2.2.18.</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 The term “</w:t>
      </w:r>
      <w:r>
        <w:rPr>
          <w:rFonts w:ascii="Arial" w:cs="Arial" w:eastAsia="Arial" w:hAnsi="Arial"/>
          <w:sz w:val="22"/>
          <w:szCs w:val="22"/>
          <w:i w:val="1"/>
          <w:iCs w:val="1"/>
          <w:color w:val="auto"/>
        </w:rPr>
        <w:t>Custodian</w:t>
      </w:r>
      <w:r>
        <w:rPr>
          <w:rFonts w:ascii="Arial" w:cs="Arial" w:eastAsia="Arial" w:hAnsi="Arial"/>
          <w:sz w:val="22"/>
          <w:szCs w:val="22"/>
          <w:color w:val="auto"/>
        </w:rPr>
        <w:t>” means any receiver, trustee, assignee, liquidator or similar official under any Bankruptcy Law.</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Acceleration of Maturity; Rescission and Annulment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9"/>
          <w:szCs w:val="19"/>
          <w:i w:val="1"/>
          <w:iCs w:val="1"/>
          <w:color w:val="auto"/>
        </w:rPr>
        <w:t>ipso facto</w:t>
      </w:r>
      <w:r>
        <w:rPr>
          <w:rFonts w:ascii="Arial" w:cs="Arial" w:eastAsia="Arial" w:hAnsi="Arial"/>
          <w:sz w:val="19"/>
          <w:szCs w:val="19"/>
          <w:color w:val="auto"/>
        </w:rPr>
        <w:t xml:space="preserve"> become and be immediately due and payable without any declaration or other act on the part of the Trustee or any Holder.</w:t>
      </w:r>
    </w:p>
    <w:p>
      <w:pPr>
        <w:spacing w:after="0" w:line="15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 such rescission shall affect any subsequent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8" w:name="page129"/>
    <w:bookmarkEnd w:id="128"/>
    <w:p>
      <w:pPr>
        <w:ind w:left="660"/>
        <w:spacing w:after="0"/>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Collection of Indebtedness and Suits for Enforcement by Trustee</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covenants that if</w:t>
      </w:r>
    </w:p>
    <w:p>
      <w:pPr>
        <w:spacing w:after="0" w:line="206" w:lineRule="exact"/>
        <w:rPr>
          <w:sz w:val="20"/>
          <w:szCs w:val="20"/>
          <w:color w:val="auto"/>
        </w:rPr>
      </w:pPr>
    </w:p>
    <w:p>
      <w:pPr>
        <w:ind w:left="660" w:firstLine="644"/>
        <w:spacing w:after="0" w:line="250" w:lineRule="auto"/>
        <w:tabs>
          <w:tab w:leader="none" w:pos="183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Security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default is made in the payment of principal of any Security at the Maturity thereof, or</w:t>
      </w:r>
    </w:p>
    <w:p>
      <w:pPr>
        <w:spacing w:after="0" w:line="217" w:lineRule="exact"/>
        <w:rPr>
          <w:rFonts w:ascii="Arial" w:cs="Arial" w:eastAsia="Arial" w:hAnsi="Arial"/>
          <w:sz w:val="21"/>
          <w:szCs w:val="21"/>
          <w:color w:val="auto"/>
        </w:rPr>
      </w:pPr>
    </w:p>
    <w:p>
      <w:pPr>
        <w:ind w:left="660" w:right="20" w:firstLine="644"/>
        <w:spacing w:after="0" w:line="250" w:lineRule="auto"/>
        <w:tabs>
          <w:tab w:leader="none" w:pos="182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default is made in the deposit of any sinking fund payment, if any, when and as due by the terms of a Security,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 xml:space="preserve">then, </w:t>
      </w:r>
      <w:r>
        <w:rPr>
          <w:rFonts w:ascii="Arial" w:cs="Arial" w:eastAsia="Arial" w:hAnsi="Arial"/>
          <w:sz w:val="21"/>
          <w:szCs w:val="21"/>
          <w:color w:val="auto"/>
        </w:rPr>
        <w:t>the Company will, upon demand of the Trustee, pay to it, for the benefit of the Holders of such 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7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Trustee May File Proofs of Claim</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91" w:lineRule="exact"/>
        <w:rPr>
          <w:sz w:val="20"/>
          <w:szCs w:val="20"/>
          <w:color w:val="auto"/>
        </w:rPr>
      </w:pPr>
    </w:p>
    <w:p>
      <w:pPr>
        <w:ind w:left="660" w:firstLine="644"/>
        <w:spacing w:after="0" w:line="250" w:lineRule="auto"/>
        <w:tabs>
          <w:tab w:leader="none" w:pos="180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principal and interest owing and unpaid in respect of the Securities and to file such other papers or documents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29" w:name="page130"/>
    <w:bookmarkEnd w:id="129"/>
    <w:p>
      <w:pPr>
        <w:jc w:val="both"/>
        <w:ind w:left="660"/>
        <w:spacing w:after="0"/>
        <w:rPr>
          <w:sz w:val="20"/>
          <w:szCs w:val="20"/>
          <w:color w:val="auto"/>
        </w:rPr>
      </w:pPr>
      <w:r>
        <w:rPr>
          <w:rFonts w:ascii="Arial" w:cs="Arial" w:eastAsia="Arial" w:hAnsi="Arial"/>
          <w:sz w:val="22"/>
          <w:szCs w:val="22"/>
          <w:color w:val="auto"/>
        </w:rPr>
        <w:t>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6" w:lineRule="exact"/>
        <w:rPr>
          <w:sz w:val="20"/>
          <w:szCs w:val="20"/>
          <w:color w:val="auto"/>
        </w:rPr>
      </w:pPr>
    </w:p>
    <w:p>
      <w:pPr>
        <w:ind w:left="660" w:firstLine="644"/>
        <w:spacing w:after="0" w:line="250" w:lineRule="auto"/>
        <w:tabs>
          <w:tab w:leader="none" w:pos="177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7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Trustee May Enforce Claims Without Possession of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Application of Money Collected.</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22"/>
          <w:szCs w:val="22"/>
          <w:color w:val="auto"/>
        </w:rPr>
        <w:t>First:</w:t>
      </w:r>
      <w:r>
        <w:rPr>
          <w:sz w:val="20"/>
          <w:szCs w:val="20"/>
          <w:color w:val="auto"/>
        </w:rPr>
        <w:tab/>
      </w:r>
      <w:r>
        <w:rPr>
          <w:rFonts w:ascii="Arial" w:cs="Arial" w:eastAsia="Arial" w:hAnsi="Arial"/>
          <w:sz w:val="22"/>
          <w:szCs w:val="22"/>
          <w:color w:val="auto"/>
        </w:rPr>
        <w:t>To the payment of all amounts due the Trustee under Section 7.7; and</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Third:</w:t>
        <w:tab/>
        <w:t>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Limitation on Suits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86" w:lineRule="exact"/>
        <w:rPr>
          <w:sz w:val="20"/>
          <w:szCs w:val="20"/>
          <w:color w:val="auto"/>
        </w:rPr>
      </w:pPr>
    </w:p>
    <w:p>
      <w:pPr>
        <w:ind w:left="660" w:right="20" w:firstLine="644"/>
        <w:spacing w:after="0" w:line="250" w:lineRule="auto"/>
        <w:tabs>
          <w:tab w:leader="none" w:pos="190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such Holder has previously given written notice to the Trustee of a continuing Event of Default with respect to the Securities of that Series;</w:t>
      </w:r>
    </w:p>
    <w:p>
      <w:pPr>
        <w:spacing w:after="0" w:line="174" w:lineRule="exact"/>
        <w:rPr>
          <w:rFonts w:ascii="Arial" w:cs="Arial" w:eastAsia="Arial" w:hAnsi="Arial"/>
          <w:sz w:val="22"/>
          <w:szCs w:val="22"/>
          <w:color w:val="auto"/>
        </w:rPr>
      </w:pPr>
    </w:p>
    <w:p>
      <w:pPr>
        <w:jc w:val="both"/>
        <w:ind w:left="660" w:firstLine="644"/>
        <w:spacing w:after="0"/>
        <w:tabs>
          <w:tab w:leader="none" w:pos="187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6" w:lineRule="exact"/>
        <w:rPr>
          <w:rFonts w:ascii="Arial" w:cs="Arial" w:eastAsia="Arial" w:hAnsi="Arial"/>
          <w:sz w:val="22"/>
          <w:szCs w:val="22"/>
          <w:color w:val="auto"/>
        </w:rPr>
      </w:pPr>
    </w:p>
    <w:p>
      <w:pPr>
        <w:jc w:val="both"/>
        <w:ind w:left="660" w:firstLine="644"/>
        <w:spacing w:after="0"/>
        <w:tabs>
          <w:tab w:leader="none" w:pos="182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such Holder or Holders have offered to the Trustee indemnity or security satisfactory to the Trustee against the costs, expenses and liabilities which might be incurred by the Trustee in compliance with such request;</w:t>
      </w:r>
    </w:p>
    <w:p>
      <w:pPr>
        <w:spacing w:after="0" w:line="186" w:lineRule="exact"/>
        <w:rPr>
          <w:rFonts w:ascii="Arial" w:cs="Arial" w:eastAsia="Arial" w:hAnsi="Arial"/>
          <w:sz w:val="22"/>
          <w:szCs w:val="22"/>
          <w:color w:val="auto"/>
        </w:rPr>
      </w:pPr>
    </w:p>
    <w:p>
      <w:pPr>
        <w:ind w:left="660" w:firstLine="644"/>
        <w:spacing w:after="0" w:line="250" w:lineRule="auto"/>
        <w:tabs>
          <w:tab w:leader="none" w:pos="187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Trustee for 60 days after its receipt of such notice, request and offer of indemnity has failed to institute any such proceeding; and</w:t>
      </w:r>
    </w:p>
    <w:p>
      <w:pPr>
        <w:spacing w:after="0" w:line="174" w:lineRule="exact"/>
        <w:rPr>
          <w:rFonts w:ascii="Arial" w:cs="Arial" w:eastAsia="Arial" w:hAnsi="Arial"/>
          <w:sz w:val="22"/>
          <w:szCs w:val="22"/>
          <w:color w:val="auto"/>
        </w:rPr>
      </w:pPr>
    </w:p>
    <w:p>
      <w:pPr>
        <w:jc w:val="both"/>
        <w:ind w:left="660" w:firstLine="644"/>
        <w:spacing w:after="0" w:line="328" w:lineRule="auto"/>
        <w:tabs>
          <w:tab w:leader="none" w:pos="18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 direction inconsistent with such written request has been given to the Trustee during such 60-day period by the Holders of a majority in principal amount of the outstanding Securities of that Series;</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Unconditional Right of Holders to Receive Principal and Interest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Restoration of Rights and Remedies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2"/>
          <w:szCs w:val="22"/>
          <w:color w:val="auto"/>
        </w:rPr>
        <w:t>rights and remedies of the Trustee and the Holders shall continue as though no such proceeding had been instituted.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Rights and Remedies Cumulative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Delay or Omission Not Waiver</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Control by Holders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5" w:lineRule="exact"/>
        <w:rPr>
          <w:sz w:val="20"/>
          <w:szCs w:val="20"/>
          <w:color w:val="auto"/>
        </w:rPr>
      </w:pPr>
    </w:p>
    <w:p>
      <w:pPr>
        <w:ind w:left="1760" w:hanging="456"/>
        <w:spacing w:after="0"/>
        <w:tabs>
          <w:tab w:leader="none" w:pos="17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06" w:lineRule="exact"/>
        <w:rPr>
          <w:rFonts w:ascii="Arial" w:cs="Arial" w:eastAsia="Arial" w:hAnsi="Arial"/>
          <w:sz w:val="22"/>
          <w:szCs w:val="22"/>
          <w:color w:val="auto"/>
        </w:rPr>
      </w:pPr>
    </w:p>
    <w:p>
      <w:pPr>
        <w:ind w:left="660" w:firstLine="644"/>
        <w:spacing w:after="0" w:line="250" w:lineRule="auto"/>
        <w:tabs>
          <w:tab w:leader="none" w:pos="179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Trustee may take any other action deemed proper by the Trustee which is not inconsistent with such direction,</w:t>
      </w:r>
    </w:p>
    <w:p>
      <w:pPr>
        <w:spacing w:after="0" w:line="174" w:lineRule="exact"/>
        <w:rPr>
          <w:rFonts w:ascii="Arial" w:cs="Arial" w:eastAsia="Arial" w:hAnsi="Arial"/>
          <w:sz w:val="22"/>
          <w:szCs w:val="22"/>
          <w:color w:val="auto"/>
        </w:rPr>
      </w:pPr>
    </w:p>
    <w:p>
      <w:pPr>
        <w:jc w:val="both"/>
        <w:ind w:left="660" w:firstLine="644"/>
        <w:spacing w:after="0" w:line="257" w:lineRule="auto"/>
        <w:tabs>
          <w:tab w:leader="none" w:pos="18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69" w:lineRule="exact"/>
        <w:rPr>
          <w:rFonts w:ascii="Arial" w:cs="Arial" w:eastAsia="Arial" w:hAnsi="Arial"/>
          <w:sz w:val="21"/>
          <w:szCs w:val="21"/>
          <w:color w:val="auto"/>
        </w:rPr>
      </w:pPr>
    </w:p>
    <w:p>
      <w:pPr>
        <w:jc w:val="both"/>
        <w:ind w:left="660" w:firstLine="644"/>
        <w:spacing w:after="0"/>
        <w:tabs>
          <w:tab w:leader="none" w:pos="181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2" w:name="page133"/>
    <w:bookmarkEnd w:id="132"/>
    <w:p>
      <w:pPr>
        <w:ind w:left="660"/>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Waiver of Past Defaults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Undertaking for Costs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TRUSTEE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Duties of Trustee</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4"/>
        <w:spacing w:after="0" w:line="297" w:lineRule="auto"/>
        <w:tabs>
          <w:tab w:leader="none" w:pos="177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33" w:lineRule="exact"/>
        <w:rPr>
          <w:rFonts w:ascii="Arial" w:cs="Arial" w:eastAsia="Arial" w:hAnsi="Arial"/>
          <w:sz w:val="19"/>
          <w:szCs w:val="19"/>
          <w:color w:val="auto"/>
        </w:rPr>
      </w:pPr>
    </w:p>
    <w:p>
      <w:pPr>
        <w:ind w:left="1780" w:hanging="476"/>
        <w:spacing w:after="0"/>
        <w:tabs>
          <w:tab w:leader="none" w:pos="17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6" w:lineRule="exact"/>
        <w:rPr>
          <w:rFonts w:ascii="Arial" w:cs="Arial" w:eastAsia="Arial" w:hAnsi="Arial"/>
          <w:sz w:val="22"/>
          <w:szCs w:val="22"/>
          <w:color w:val="auto"/>
        </w:rPr>
      </w:pPr>
    </w:p>
    <w:p>
      <w:pPr>
        <w:ind w:left="1300" w:firstLine="652"/>
        <w:spacing w:after="0" w:line="250" w:lineRule="auto"/>
        <w:tabs>
          <w:tab w:leader="none" w:pos="2526"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The Trustee need perform only those duties that are specifically set forth in this Indenture and no others.</w:t>
      </w:r>
    </w:p>
    <w:p>
      <w:pPr>
        <w:spacing w:after="0" w:line="174" w:lineRule="exact"/>
        <w:rPr>
          <w:rFonts w:ascii="Arial" w:cs="Arial" w:eastAsia="Arial" w:hAnsi="Arial"/>
          <w:sz w:val="22"/>
          <w:szCs w:val="22"/>
          <w:color w:val="auto"/>
        </w:rPr>
      </w:pPr>
    </w:p>
    <w:p>
      <w:pPr>
        <w:jc w:val="both"/>
        <w:ind w:left="1300" w:firstLine="652"/>
        <w:spacing w:after="0" w:line="238" w:lineRule="auto"/>
        <w:tabs>
          <w:tab w:leader="none" w:pos="2514" w:val="left"/>
        </w:tabs>
        <w:numPr>
          <w:ilvl w:val="1"/>
          <w:numId w:val="117"/>
        </w:numPr>
        <w:rPr>
          <w:rFonts w:ascii="Arial" w:cs="Arial" w:eastAsia="Arial" w:hAnsi="Arial"/>
          <w:sz w:val="22"/>
          <w:szCs w:val="22"/>
          <w:color w:val="auto"/>
        </w:rPr>
      </w:pPr>
      <w:r>
        <w:rPr>
          <w:rFonts w:ascii="Arial" w:cs="Arial" w:eastAsia="Arial" w:hAnsi="Arial"/>
          <w:sz w:val="22"/>
          <w:szCs w:val="22"/>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22"/>
          <w:szCs w:val="22"/>
          <w:u w:val="single" w:color="auto"/>
          <w:color w:val="auto"/>
        </w:rPr>
        <w:t>however</w:t>
      </w:r>
      <w:r>
        <w:rPr>
          <w:rFonts w:ascii="Arial" w:cs="Arial" w:eastAsia="Arial" w:hAnsi="Arial"/>
          <w:sz w:val="22"/>
          <w:szCs w:val="22"/>
          <w:color w:val="auto"/>
        </w:rPr>
        <w:t>,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3" w:name="page134"/>
    <w:bookmarkEnd w:id="133"/>
    <w:p>
      <w:pPr>
        <w:jc w:val="both"/>
        <w:ind w:left="840"/>
        <w:spacing w:after="0" w:line="238" w:lineRule="auto"/>
        <w:rPr>
          <w:sz w:val="20"/>
          <w:szCs w:val="20"/>
          <w:color w:val="auto"/>
        </w:rPr>
      </w:pPr>
      <w:r>
        <w:rPr>
          <w:rFonts w:ascii="Arial" w:cs="Arial" w:eastAsia="Arial" w:hAnsi="Arial"/>
          <w:sz w:val="22"/>
          <w:szCs w:val="22"/>
          <w:color w:val="auto"/>
        </w:rPr>
        <w:t>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85" w:lineRule="exact"/>
        <w:rPr>
          <w:sz w:val="20"/>
          <w:szCs w:val="20"/>
          <w:color w:val="auto"/>
        </w:rPr>
      </w:pPr>
    </w:p>
    <w:p>
      <w:pPr>
        <w:ind w:left="200" w:right="20" w:firstLine="644"/>
        <w:spacing w:after="0" w:line="250" w:lineRule="auto"/>
        <w:tabs>
          <w:tab w:leader="none" w:pos="132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1900" w:hanging="408"/>
        <w:spacing w:after="0"/>
        <w:tabs>
          <w:tab w:leader="none" w:pos="190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w:t>
      </w:r>
    </w:p>
    <w:p>
      <w:pPr>
        <w:spacing w:after="0" w:line="206" w:lineRule="exact"/>
        <w:rPr>
          <w:rFonts w:ascii="Arial" w:cs="Arial" w:eastAsia="Arial" w:hAnsi="Arial"/>
          <w:sz w:val="22"/>
          <w:szCs w:val="22"/>
          <w:color w:val="auto"/>
        </w:rPr>
      </w:pPr>
    </w:p>
    <w:p>
      <w:pPr>
        <w:jc w:val="both"/>
        <w:ind w:left="840" w:firstLine="652"/>
        <w:spacing w:after="0"/>
        <w:tabs>
          <w:tab w:leader="none" w:pos="206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w:t>
      </w:r>
    </w:p>
    <w:p>
      <w:pPr>
        <w:spacing w:after="0" w:line="186" w:lineRule="exact"/>
        <w:rPr>
          <w:rFonts w:ascii="Arial" w:cs="Arial" w:eastAsia="Arial" w:hAnsi="Arial"/>
          <w:sz w:val="22"/>
          <w:szCs w:val="22"/>
          <w:color w:val="auto"/>
        </w:rPr>
      </w:pPr>
    </w:p>
    <w:p>
      <w:pPr>
        <w:jc w:val="both"/>
        <w:ind w:left="840" w:firstLine="652"/>
        <w:spacing w:after="0" w:line="279" w:lineRule="auto"/>
        <w:tabs>
          <w:tab w:leader="none" w:pos="2033"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50" w:lineRule="exact"/>
        <w:rPr>
          <w:rFonts w:ascii="Arial" w:cs="Arial" w:eastAsia="Arial" w:hAnsi="Arial"/>
          <w:sz w:val="19"/>
          <w:szCs w:val="19"/>
          <w:color w:val="auto"/>
        </w:rPr>
      </w:pPr>
    </w:p>
    <w:p>
      <w:pPr>
        <w:ind w:left="200" w:firstLine="644"/>
        <w:spacing w:after="0" w:line="250" w:lineRule="auto"/>
        <w:tabs>
          <w:tab w:leader="none" w:pos="132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Every provision of this Indenture that in any way relates to the Trustee is subject to paragraph (a), (b) and (c) of this Section.</w:t>
      </w:r>
    </w:p>
    <w:p>
      <w:pPr>
        <w:spacing w:after="0" w:line="174" w:lineRule="exact"/>
        <w:rPr>
          <w:rFonts w:ascii="Arial" w:cs="Arial" w:eastAsia="Arial" w:hAnsi="Arial"/>
          <w:sz w:val="22"/>
          <w:szCs w:val="22"/>
          <w:color w:val="auto"/>
        </w:rPr>
      </w:pPr>
    </w:p>
    <w:p>
      <w:pPr>
        <w:jc w:val="both"/>
        <w:ind w:left="200" w:firstLine="644"/>
        <w:spacing w:after="0"/>
        <w:tabs>
          <w:tab w:leader="none" w:pos="133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86" w:lineRule="exact"/>
        <w:rPr>
          <w:rFonts w:ascii="Arial" w:cs="Arial" w:eastAsia="Arial" w:hAnsi="Arial"/>
          <w:sz w:val="22"/>
          <w:szCs w:val="22"/>
          <w:color w:val="auto"/>
        </w:rPr>
      </w:pPr>
    </w:p>
    <w:p>
      <w:pPr>
        <w:jc w:val="both"/>
        <w:ind w:left="200" w:firstLine="644"/>
        <w:spacing w:after="0"/>
        <w:tabs>
          <w:tab w:leader="none" w:pos="131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86" w:lineRule="exact"/>
        <w:rPr>
          <w:rFonts w:ascii="Arial" w:cs="Arial" w:eastAsia="Arial" w:hAnsi="Arial"/>
          <w:sz w:val="22"/>
          <w:szCs w:val="22"/>
          <w:color w:val="auto"/>
        </w:rPr>
      </w:pPr>
    </w:p>
    <w:p>
      <w:pPr>
        <w:jc w:val="both"/>
        <w:ind w:left="200" w:firstLine="644"/>
        <w:spacing w:after="0" w:line="297" w:lineRule="auto"/>
        <w:tabs>
          <w:tab w:leader="none" w:pos="141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33" w:lineRule="exact"/>
        <w:rPr>
          <w:rFonts w:ascii="Arial" w:cs="Arial" w:eastAsia="Arial" w:hAnsi="Arial"/>
          <w:sz w:val="19"/>
          <w:szCs w:val="19"/>
          <w:color w:val="auto"/>
        </w:rPr>
      </w:pPr>
    </w:p>
    <w:p>
      <w:pPr>
        <w:jc w:val="both"/>
        <w:ind w:left="200" w:firstLine="644"/>
        <w:spacing w:after="0"/>
        <w:tabs>
          <w:tab w:leader="none" w:pos="151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Rights of Trustee</w:t>
      </w:r>
      <w:r>
        <w:rPr>
          <w:rFonts w:ascii="Arial" w:cs="Arial" w:eastAsia="Arial" w:hAnsi="Arial"/>
          <w:sz w:val="22"/>
          <w:szCs w:val="22"/>
          <w:color w:val="auto"/>
        </w:rPr>
        <w:t>.</w:t>
      </w:r>
    </w:p>
    <w:p>
      <w:pPr>
        <w:spacing w:after="0" w:line="206" w:lineRule="exact"/>
        <w:rPr>
          <w:sz w:val="20"/>
          <w:szCs w:val="20"/>
          <w:color w:val="auto"/>
        </w:rPr>
      </w:pPr>
    </w:p>
    <w:p>
      <w:pPr>
        <w:ind w:left="200" w:right="20" w:firstLine="644"/>
        <w:spacing w:after="0" w:line="250" w:lineRule="auto"/>
        <w:tabs>
          <w:tab w:leader="none" w:pos="139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Trustee may rely on and shall be protected in acting or refraining from acting upon any document (whether in its original or facsimile form) believed by it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34" w:name="page135"/>
    <w:bookmarkEnd w:id="134"/>
    <w:p>
      <w:pPr>
        <w:ind w:left="200"/>
        <w:spacing w:after="0" w:line="250" w:lineRule="auto"/>
        <w:rPr>
          <w:sz w:val="20"/>
          <w:szCs w:val="20"/>
          <w:color w:val="auto"/>
        </w:rPr>
      </w:pPr>
      <w:r>
        <w:rPr>
          <w:rFonts w:ascii="Arial" w:cs="Arial" w:eastAsia="Arial" w:hAnsi="Arial"/>
          <w:sz w:val="22"/>
          <w:szCs w:val="22"/>
          <w:color w:val="auto"/>
        </w:rPr>
        <w:t>genuine and to have been signed or presented by the proper person. The Trustee need not investigate any fact or matter stated in the document.</w:t>
      </w:r>
    </w:p>
    <w:p>
      <w:pPr>
        <w:spacing w:after="0" w:line="175" w:lineRule="exact"/>
        <w:rPr>
          <w:sz w:val="20"/>
          <w:szCs w:val="20"/>
          <w:color w:val="auto"/>
        </w:rPr>
      </w:pPr>
    </w:p>
    <w:p>
      <w:pPr>
        <w:jc w:val="both"/>
        <w:ind w:left="200" w:right="20" w:firstLine="644"/>
        <w:spacing w:after="0" w:line="257" w:lineRule="auto"/>
        <w:tabs>
          <w:tab w:leader="none" w:pos="137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69" w:lineRule="exact"/>
        <w:rPr>
          <w:rFonts w:ascii="Arial" w:cs="Arial" w:eastAsia="Arial" w:hAnsi="Arial"/>
          <w:sz w:val="21"/>
          <w:szCs w:val="21"/>
          <w:color w:val="auto"/>
        </w:rPr>
      </w:pPr>
    </w:p>
    <w:p>
      <w:pPr>
        <w:jc w:val="both"/>
        <w:ind w:left="200" w:firstLine="644"/>
        <w:spacing w:after="0" w:line="257" w:lineRule="auto"/>
        <w:tabs>
          <w:tab w:leader="none" w:pos="145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9" w:lineRule="exact"/>
        <w:rPr>
          <w:rFonts w:ascii="Arial" w:cs="Arial" w:eastAsia="Arial" w:hAnsi="Arial"/>
          <w:sz w:val="21"/>
          <w:szCs w:val="21"/>
          <w:color w:val="auto"/>
        </w:rPr>
      </w:pPr>
    </w:p>
    <w:p>
      <w:pPr>
        <w:jc w:val="both"/>
        <w:ind w:left="200" w:firstLine="644"/>
        <w:spacing w:after="0"/>
        <w:tabs>
          <w:tab w:leader="none" w:pos="136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86" w:lineRule="exact"/>
        <w:rPr>
          <w:rFonts w:ascii="Arial" w:cs="Arial" w:eastAsia="Arial" w:hAnsi="Arial"/>
          <w:sz w:val="22"/>
          <w:szCs w:val="22"/>
          <w:color w:val="auto"/>
        </w:rPr>
      </w:pPr>
    </w:p>
    <w:p>
      <w:pPr>
        <w:jc w:val="both"/>
        <w:ind w:left="200" w:firstLine="644"/>
        <w:spacing w:after="0" w:line="257" w:lineRule="auto"/>
        <w:tabs>
          <w:tab w:leader="none" w:pos="142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69" w:lineRule="exact"/>
        <w:rPr>
          <w:rFonts w:ascii="Arial" w:cs="Arial" w:eastAsia="Arial" w:hAnsi="Arial"/>
          <w:sz w:val="21"/>
          <w:szCs w:val="21"/>
          <w:color w:val="auto"/>
        </w:rPr>
      </w:pPr>
    </w:p>
    <w:p>
      <w:pPr>
        <w:jc w:val="both"/>
        <w:ind w:left="200" w:firstLine="644"/>
        <w:spacing w:after="0" w:line="252" w:lineRule="auto"/>
        <w:tabs>
          <w:tab w:leader="none" w:pos="128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3" w:lineRule="exact"/>
        <w:rPr>
          <w:rFonts w:ascii="Arial" w:cs="Arial" w:eastAsia="Arial" w:hAnsi="Arial"/>
          <w:sz w:val="21"/>
          <w:szCs w:val="21"/>
          <w:color w:val="auto"/>
        </w:rPr>
      </w:pPr>
    </w:p>
    <w:p>
      <w:pPr>
        <w:jc w:val="both"/>
        <w:ind w:left="200" w:firstLine="644"/>
        <w:spacing w:after="0" w:line="287" w:lineRule="auto"/>
        <w:tabs>
          <w:tab w:leader="none" w:pos="137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2" w:lineRule="exact"/>
        <w:rPr>
          <w:rFonts w:ascii="Arial" w:cs="Arial" w:eastAsia="Arial" w:hAnsi="Arial"/>
          <w:sz w:val="19"/>
          <w:szCs w:val="19"/>
          <w:color w:val="auto"/>
        </w:rPr>
      </w:pPr>
    </w:p>
    <w:p>
      <w:pPr>
        <w:jc w:val="both"/>
        <w:ind w:left="200" w:firstLine="644"/>
        <w:spacing w:after="0" w:line="287" w:lineRule="auto"/>
        <w:tabs>
          <w:tab w:leader="none" w:pos="136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42" w:lineRule="exact"/>
        <w:rPr>
          <w:rFonts w:ascii="Arial" w:cs="Arial" w:eastAsia="Arial" w:hAnsi="Arial"/>
          <w:sz w:val="19"/>
          <w:szCs w:val="19"/>
          <w:color w:val="auto"/>
        </w:rPr>
      </w:pPr>
    </w:p>
    <w:p>
      <w:pPr>
        <w:jc w:val="both"/>
        <w:ind w:left="200" w:firstLine="644"/>
        <w:spacing w:after="0"/>
        <w:tabs>
          <w:tab w:leader="none" w:pos="15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86" w:lineRule="exact"/>
        <w:rPr>
          <w:rFonts w:ascii="Arial" w:cs="Arial" w:eastAsia="Arial" w:hAnsi="Arial"/>
          <w:sz w:val="22"/>
          <w:szCs w:val="22"/>
          <w:color w:val="auto"/>
        </w:rPr>
      </w:pPr>
    </w:p>
    <w:p>
      <w:pPr>
        <w:ind w:left="200" w:firstLine="644"/>
        <w:spacing w:after="0" w:line="250" w:lineRule="auto"/>
        <w:tabs>
          <w:tab w:leader="none" w:pos="128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permissive right of the Trustee to take the actions permitted by this Indenture shall not be construed as an obligation or duty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35" w:name="page136"/>
    <w:bookmarkEnd w:id="135"/>
    <w:p>
      <w:pPr>
        <w:ind w:left="660"/>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Individual Rights of Trustee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Notice of Defaults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Reports by Trustee to Holders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3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Compensation and Indemnity</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shall indemnify each of the Trustee and any predecessor Trustee (including for the cost of defending itself) against any cost, expense or liability, including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6" w:name="page137"/>
    <w:bookmarkEnd w:id="136"/>
    <w:p>
      <w:pPr>
        <w:jc w:val="both"/>
        <w:spacing w:after="0" w:line="245" w:lineRule="auto"/>
        <w:rPr>
          <w:sz w:val="20"/>
          <w:szCs w:val="20"/>
          <w:color w:val="auto"/>
        </w:rPr>
      </w:pPr>
      <w:r>
        <w:rPr>
          <w:rFonts w:ascii="Arial" w:cs="Arial" w:eastAsia="Arial" w:hAnsi="Arial"/>
          <w:sz w:val="21"/>
          <w:szCs w:val="21"/>
          <w:color w:val="auto"/>
        </w:rPr>
        <w:t>(other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8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provisions of this Section shall survive the termination of this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A resignation or removal of the Trustee and appointment of a successor Trustee shall become effective only upon the successor Trustee’s acceptance of appointment as provided in this Section.</w:t>
      </w:r>
    </w:p>
    <w:p>
      <w:pPr>
        <w:spacing w:after="0" w:line="10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87" w:lineRule="exact"/>
        <w:rPr>
          <w:sz w:val="20"/>
          <w:szCs w:val="20"/>
          <w:color w:val="auto"/>
        </w:rPr>
      </w:pPr>
    </w:p>
    <w:p>
      <w:pPr>
        <w:ind w:left="1760" w:hanging="456"/>
        <w:spacing w:after="0"/>
        <w:tabs>
          <w:tab w:leader="none" w:pos="1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06" w:lineRule="exact"/>
        <w:rPr>
          <w:rFonts w:ascii="Arial" w:cs="Arial" w:eastAsia="Arial" w:hAnsi="Arial"/>
          <w:sz w:val="22"/>
          <w:szCs w:val="22"/>
          <w:color w:val="auto"/>
        </w:rPr>
      </w:pPr>
    </w:p>
    <w:p>
      <w:pPr>
        <w:ind w:left="660" w:firstLine="644"/>
        <w:spacing w:after="0" w:line="250" w:lineRule="auto"/>
        <w:tabs>
          <w:tab w:leader="none" w:pos="178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7" w:name="page138"/>
    <w:bookmarkEnd w:id="137"/>
    <w:p>
      <w:pPr>
        <w:jc w:val="both"/>
        <w:ind w:firstLine="1296"/>
        <w:spacing w:after="0" w:line="238"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Successor Trustee by Merger, Etc</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Preferential Collection of Claims Against Company</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Trustee is subject to TIA § 311(a), excluding any creditor relationship listed in TIA § 311(b).</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A Trustee who has resigned or been removed shall be subject to TIA § 311(a) to the extent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SATISFACTION AND DISCHARGE; DEFEASANCE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Satisfaction and Discharge of Indenture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5" w:lineRule="exact"/>
        <w:rPr>
          <w:sz w:val="20"/>
          <w:szCs w:val="20"/>
          <w:color w:val="auto"/>
        </w:rPr>
      </w:pPr>
    </w:p>
    <w:p>
      <w:pPr>
        <w:ind w:left="1760" w:hanging="456"/>
        <w:spacing w:after="0"/>
        <w:tabs>
          <w:tab w:leader="none" w:pos="17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jc w:val="both"/>
        <w:ind w:left="1300" w:firstLine="652"/>
        <w:spacing w:after="0"/>
        <w:tabs>
          <w:tab w:leader="none" w:pos="257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86" w:lineRule="exact"/>
        <w:rPr>
          <w:rFonts w:ascii="Arial" w:cs="Arial" w:eastAsia="Arial" w:hAnsi="Arial"/>
          <w:sz w:val="22"/>
          <w:szCs w:val="22"/>
          <w:color w:val="auto"/>
        </w:rPr>
      </w:pPr>
    </w:p>
    <w:p>
      <w:pPr>
        <w:ind w:left="2580" w:hanging="628"/>
        <w:spacing w:after="0"/>
        <w:tabs>
          <w:tab w:leader="none" w:pos="258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all such Securities of such Series not theretofore delivered to the Trustee for</w:t>
      </w:r>
    </w:p>
    <w:p>
      <w:pPr>
        <w:spacing w:after="0" w:line="19"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cancellation</w:t>
      </w:r>
    </w:p>
    <w:p>
      <w:pPr>
        <w:spacing w:after="0" w:line="188" w:lineRule="exact"/>
        <w:rPr>
          <w:rFonts w:ascii="Arial" w:cs="Arial" w:eastAsia="Arial" w:hAnsi="Arial"/>
          <w:sz w:val="21"/>
          <w:szCs w:val="21"/>
          <w:color w:val="auto"/>
        </w:rPr>
      </w:pPr>
    </w:p>
    <w:p>
      <w:pPr>
        <w:ind w:left="3100" w:hanging="500"/>
        <w:spacing w:after="0"/>
        <w:tabs>
          <w:tab w:leader="none" w:pos="3100" w:val="left"/>
        </w:tabs>
        <w:numPr>
          <w:ilvl w:val="2"/>
          <w:numId w:val="122"/>
        </w:numPr>
        <w:rPr>
          <w:rFonts w:ascii="Arial" w:cs="Arial" w:eastAsia="Arial" w:hAnsi="Arial"/>
          <w:sz w:val="19"/>
          <w:szCs w:val="19"/>
          <w:color w:val="auto"/>
        </w:rPr>
      </w:pPr>
      <w:r>
        <w:rPr>
          <w:rFonts w:ascii="Arial" w:cs="Arial" w:eastAsia="Arial" w:hAnsi="Arial"/>
          <w:sz w:val="19"/>
          <w:szCs w:val="19"/>
          <w:color w:val="auto"/>
        </w:rPr>
        <w:t>have become due and payable by reason of sending a notice of redemption or</w:t>
      </w:r>
    </w:p>
    <w:p>
      <w:pPr>
        <w:spacing w:after="0" w:line="42"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otherwise, or</w:t>
      </w:r>
    </w:p>
    <w:p>
      <w:pPr>
        <w:spacing w:after="0" w:line="188" w:lineRule="exact"/>
        <w:rPr>
          <w:rFonts w:ascii="Arial" w:cs="Arial" w:eastAsia="Arial" w:hAnsi="Arial"/>
          <w:sz w:val="19"/>
          <w:szCs w:val="19"/>
          <w:color w:val="auto"/>
        </w:rPr>
      </w:pPr>
    </w:p>
    <w:p>
      <w:pPr>
        <w:ind w:left="3060" w:hanging="460"/>
        <w:spacing w:after="0"/>
        <w:tabs>
          <w:tab w:leader="none" w:pos="3060" w:val="left"/>
        </w:tabs>
        <w:numPr>
          <w:ilvl w:val="2"/>
          <w:numId w:val="122"/>
        </w:numPr>
        <w:rPr>
          <w:rFonts w:ascii="Arial" w:cs="Arial" w:eastAsia="Arial" w:hAnsi="Arial"/>
          <w:sz w:val="21"/>
          <w:szCs w:val="21"/>
          <w:color w:val="auto"/>
        </w:rPr>
      </w:pPr>
      <w:r>
        <w:rPr>
          <w:rFonts w:ascii="Arial" w:cs="Arial" w:eastAsia="Arial" w:hAnsi="Arial"/>
          <w:sz w:val="21"/>
          <w:szCs w:val="21"/>
          <w:color w:val="auto"/>
        </w:rPr>
        <w:t>will become due and payable at their Stated Maturity within one year, or</w:t>
      </w:r>
    </w:p>
    <w:p>
      <w:pPr>
        <w:spacing w:after="0" w:line="217" w:lineRule="exact"/>
        <w:rPr>
          <w:rFonts w:ascii="Arial" w:cs="Arial" w:eastAsia="Arial" w:hAnsi="Arial"/>
          <w:sz w:val="21"/>
          <w:szCs w:val="21"/>
          <w:color w:val="auto"/>
        </w:rPr>
      </w:pPr>
    </w:p>
    <w:p>
      <w:pPr>
        <w:jc w:val="both"/>
        <w:ind w:left="1960" w:firstLine="640"/>
        <w:spacing w:after="0" w:line="257" w:lineRule="auto"/>
        <w:tabs>
          <w:tab w:leader="none" w:pos="3111" w:val="left"/>
        </w:tabs>
        <w:numPr>
          <w:ilvl w:val="2"/>
          <w:numId w:val="122"/>
        </w:numPr>
        <w:rPr>
          <w:rFonts w:ascii="Arial" w:cs="Arial" w:eastAsia="Arial" w:hAnsi="Arial"/>
          <w:sz w:val="21"/>
          <w:szCs w:val="21"/>
          <w:color w:val="auto"/>
        </w:rPr>
      </w:pPr>
      <w:r>
        <w:rPr>
          <w:rFonts w:ascii="Arial" w:cs="Arial" w:eastAsia="Arial" w:hAnsi="Arial"/>
          <w:sz w:val="21"/>
          <w:szCs w:val="21"/>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9" w:lineRule="exact"/>
        <w:rPr>
          <w:rFonts w:ascii="Arial" w:cs="Arial" w:eastAsia="Arial" w:hAnsi="Arial"/>
          <w:sz w:val="21"/>
          <w:szCs w:val="21"/>
          <w:color w:val="auto"/>
        </w:rPr>
      </w:pPr>
    </w:p>
    <w:p>
      <w:pPr>
        <w:ind w:left="3060" w:hanging="460"/>
        <w:spacing w:after="0"/>
        <w:tabs>
          <w:tab w:leader="none" w:pos="3060" w:val="left"/>
        </w:tabs>
        <w:numPr>
          <w:ilvl w:val="2"/>
          <w:numId w:val="122"/>
        </w:numPr>
        <w:rPr>
          <w:rFonts w:ascii="Arial" w:cs="Arial" w:eastAsia="Arial" w:hAnsi="Arial"/>
          <w:sz w:val="21"/>
          <w:szCs w:val="21"/>
          <w:color w:val="auto"/>
        </w:rPr>
      </w:pPr>
      <w:r>
        <w:rPr>
          <w:rFonts w:ascii="Arial" w:cs="Arial" w:eastAsia="Arial" w:hAnsi="Arial"/>
          <w:sz w:val="21"/>
          <w:szCs w:val="21"/>
          <w:color w:val="auto"/>
        </w:rPr>
        <w:t>are deemed paid and discharged pursuant to Section 8.3, as applicable;</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1960" w:hanging="656"/>
        <w:spacing w:after="0"/>
        <w:tabs>
          <w:tab w:leader="none" w:pos="19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Company has paid or caused to be paid all other sums payable hereunder by the</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Company; and</w:t>
      </w:r>
    </w:p>
    <w:p>
      <w:pPr>
        <w:spacing w:after="0" w:line="188" w:lineRule="exact"/>
        <w:rPr>
          <w:rFonts w:ascii="Arial" w:cs="Arial" w:eastAsia="Arial" w:hAnsi="Arial"/>
          <w:sz w:val="21"/>
          <w:szCs w:val="21"/>
          <w:color w:val="auto"/>
        </w:rPr>
      </w:pPr>
    </w:p>
    <w:p>
      <w:pPr>
        <w:jc w:val="both"/>
        <w:ind w:left="660" w:firstLine="644"/>
        <w:spacing w:after="0"/>
        <w:tabs>
          <w:tab w:leader="none" w:pos="18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8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Notwithstanding the satisfaction and discharge of this Indenture, the obligations of the Company to the Trustee under Section 7.7, and, if money shall have been deposited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Trustee pursuant to clause (a) of this Section, the provisions of Sections 2.4, 2.7, 2.8, 8.2 and 8.5 shall survive.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Application of Trust Funds; Indemnification</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4"/>
        <w:spacing w:after="0" w:line="274" w:lineRule="auto"/>
        <w:tabs>
          <w:tab w:leader="none" w:pos="189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58" w:lineRule="exact"/>
        <w:rPr>
          <w:rFonts w:ascii="Arial" w:cs="Arial" w:eastAsia="Arial" w:hAnsi="Arial"/>
          <w:sz w:val="19"/>
          <w:szCs w:val="19"/>
          <w:color w:val="auto"/>
        </w:rPr>
      </w:pPr>
    </w:p>
    <w:p>
      <w:pPr>
        <w:jc w:val="both"/>
        <w:ind w:left="660" w:firstLine="644"/>
        <w:spacing w:after="0" w:line="252" w:lineRule="auto"/>
        <w:tabs>
          <w:tab w:leader="none" w:pos="18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3" w:lineRule="exact"/>
        <w:rPr>
          <w:rFonts w:ascii="Arial" w:cs="Arial" w:eastAsia="Arial" w:hAnsi="Arial"/>
          <w:sz w:val="21"/>
          <w:szCs w:val="21"/>
          <w:color w:val="auto"/>
        </w:rPr>
      </w:pPr>
    </w:p>
    <w:p>
      <w:pPr>
        <w:jc w:val="both"/>
        <w:ind w:left="660" w:firstLine="644"/>
        <w:spacing w:after="0" w:line="275" w:lineRule="auto"/>
        <w:tabs>
          <w:tab w:leader="none" w:pos="178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Legal Defeasance of Securities of any Series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0" w:lineRule="exact"/>
        <w:rPr>
          <w:sz w:val="20"/>
          <w:szCs w:val="20"/>
          <w:color w:val="auto"/>
        </w:rPr>
      </w:pPr>
    </w:p>
    <w:p>
      <w:pPr>
        <w:jc w:val="both"/>
        <w:ind w:left="660" w:firstLine="644"/>
        <w:spacing w:after="0"/>
        <w:tabs>
          <w:tab w:leader="none" w:pos="18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rights of Holders of Securities of such Series to receive, from the trust funds described in subparagraph (d) hereof, (i) payment of the principal of and each installment of principal of and interest on the outstanding Securities of such Series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0" w:name="page141"/>
    <w:bookmarkEnd w:id="140"/>
    <w:p>
      <w:pPr>
        <w:jc w:val="both"/>
        <w:ind w:left="660"/>
        <w:spacing w:after="0" w:line="297" w:lineRule="auto"/>
        <w:rPr>
          <w:sz w:val="20"/>
          <w:szCs w:val="20"/>
          <w:color w:val="auto"/>
        </w:rPr>
      </w:pPr>
      <w:r>
        <w:rPr>
          <w:rFonts w:ascii="Arial" w:cs="Arial" w:eastAsia="Arial" w:hAnsi="Arial"/>
          <w:sz w:val="19"/>
          <w:szCs w:val="19"/>
          <w:color w:val="auto"/>
        </w:rPr>
        <w:t>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34" w:lineRule="exact"/>
        <w:rPr>
          <w:sz w:val="20"/>
          <w:szCs w:val="20"/>
          <w:color w:val="auto"/>
        </w:rPr>
      </w:pPr>
    </w:p>
    <w:p>
      <w:pPr>
        <w:ind w:left="1780" w:hanging="476"/>
        <w:spacing w:after="0"/>
        <w:tabs>
          <w:tab w:leader="none" w:pos="17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provisions of Sections 2.4, 2.5, 2.7, 2.8, 7.7, 8.2, 8.3, 8.5 and 8.6; and</w:t>
      </w:r>
    </w:p>
    <w:p>
      <w:pPr>
        <w:spacing w:after="0" w:line="206" w:lineRule="exact"/>
        <w:rPr>
          <w:rFonts w:ascii="Arial" w:cs="Arial" w:eastAsia="Arial" w:hAnsi="Arial"/>
          <w:sz w:val="22"/>
          <w:szCs w:val="22"/>
          <w:color w:val="auto"/>
        </w:rPr>
      </w:pPr>
    </w:p>
    <w:p>
      <w:pPr>
        <w:ind w:left="660" w:firstLine="644"/>
        <w:spacing w:after="0" w:line="250" w:lineRule="auto"/>
        <w:tabs>
          <w:tab w:leader="none" w:pos="195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rights, powers, trusts and immunities of the Trustee hereunder and the Company’s obligations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provided that, the following conditions shall have been satisfied:</w:t>
      </w:r>
    </w:p>
    <w:p>
      <w:pPr>
        <w:spacing w:after="0" w:line="206" w:lineRule="exact"/>
        <w:rPr>
          <w:sz w:val="20"/>
          <w:szCs w:val="20"/>
          <w:color w:val="auto"/>
        </w:rPr>
      </w:pPr>
    </w:p>
    <w:p>
      <w:pPr>
        <w:jc w:val="both"/>
        <w:ind w:left="660" w:firstLine="644"/>
        <w:spacing w:after="0" w:line="272" w:lineRule="auto"/>
        <w:tabs>
          <w:tab w:leader="none" w:pos="181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660" w:firstLine="644"/>
        <w:spacing w:after="0" w:line="328" w:lineRule="auto"/>
        <w:tabs>
          <w:tab w:leader="none" w:pos="188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such deposit will not result in a breach or violation of, or constitute a default under, this Indenture or any other agreement or instrument to which the Company is a party or by which it is bound;</w:t>
      </w:r>
    </w:p>
    <w:p>
      <w:pPr>
        <w:spacing w:after="0" w:line="104" w:lineRule="exact"/>
        <w:rPr>
          <w:rFonts w:ascii="Arial" w:cs="Arial" w:eastAsia="Arial" w:hAnsi="Arial"/>
          <w:sz w:val="19"/>
          <w:szCs w:val="19"/>
          <w:color w:val="auto"/>
        </w:rPr>
      </w:pPr>
    </w:p>
    <w:p>
      <w:pPr>
        <w:jc w:val="both"/>
        <w:ind w:left="660" w:firstLine="644"/>
        <w:spacing w:after="0"/>
        <w:tabs>
          <w:tab w:leader="none" w:pos="190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 Default or Event of Default with respect to the Securities of such Series shall have occurred and be continuing on the date of such deposit or during the period ending on the 91st day after such date;</w:t>
      </w:r>
    </w:p>
    <w:p>
      <w:pPr>
        <w:spacing w:after="0" w:line="186" w:lineRule="exact"/>
        <w:rPr>
          <w:rFonts w:ascii="Arial" w:cs="Arial" w:eastAsia="Arial" w:hAnsi="Arial"/>
          <w:sz w:val="22"/>
          <w:szCs w:val="22"/>
          <w:color w:val="auto"/>
        </w:rPr>
      </w:pPr>
    </w:p>
    <w:p>
      <w:pPr>
        <w:jc w:val="both"/>
        <w:ind w:left="660" w:firstLine="644"/>
        <w:spacing w:after="0" w:line="275" w:lineRule="auto"/>
        <w:tabs>
          <w:tab w:leader="none" w:pos="184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1" w:name="page142"/>
    <w:bookmarkEnd w:id="141"/>
    <w:p>
      <w:pPr>
        <w:jc w:val="both"/>
        <w:ind w:left="660" w:firstLine="644"/>
        <w:spacing w:after="0"/>
        <w:tabs>
          <w:tab w:leader="none" w:pos="191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86" w:lineRule="exact"/>
        <w:rPr>
          <w:rFonts w:ascii="Arial" w:cs="Arial" w:eastAsia="Arial" w:hAnsi="Arial"/>
          <w:sz w:val="22"/>
          <w:szCs w:val="22"/>
          <w:color w:val="auto"/>
        </w:rPr>
      </w:pPr>
    </w:p>
    <w:p>
      <w:pPr>
        <w:jc w:val="both"/>
        <w:ind w:left="660" w:firstLine="644"/>
        <w:spacing w:after="0"/>
        <w:tabs>
          <w:tab w:leader="none" w:pos="180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Covenant Defeasance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55" w:lineRule="exact"/>
        <w:rPr>
          <w:sz w:val="20"/>
          <w:szCs w:val="20"/>
          <w:color w:val="auto"/>
        </w:rPr>
      </w:pPr>
    </w:p>
    <w:p>
      <w:pPr>
        <w:jc w:val="both"/>
        <w:ind w:left="660" w:firstLine="644"/>
        <w:spacing w:after="0" w:line="272" w:lineRule="auto"/>
        <w:tabs>
          <w:tab w:leader="none" w:pos="185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55" w:lineRule="exact"/>
        <w:rPr>
          <w:rFonts w:ascii="Arial" w:cs="Arial" w:eastAsia="Arial" w:hAnsi="Arial"/>
          <w:sz w:val="19"/>
          <w:szCs w:val="19"/>
          <w:color w:val="auto"/>
        </w:rPr>
      </w:pPr>
    </w:p>
    <w:p>
      <w:pPr>
        <w:ind w:left="660" w:firstLine="644"/>
        <w:spacing w:after="0" w:line="328" w:lineRule="auto"/>
        <w:tabs>
          <w:tab w:leader="none" w:pos="189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such deposit will not result in a breach or violation of, or constitute a default under, this Indenture or any other agreement or instrument to which the Company is a party or by which it is bound;</w:t>
      </w:r>
    </w:p>
    <w:p>
      <w:pPr>
        <w:spacing w:after="0" w:line="104" w:lineRule="exact"/>
        <w:rPr>
          <w:rFonts w:ascii="Arial" w:cs="Arial" w:eastAsia="Arial" w:hAnsi="Arial"/>
          <w:sz w:val="19"/>
          <w:szCs w:val="19"/>
          <w:color w:val="auto"/>
        </w:rPr>
      </w:pPr>
    </w:p>
    <w:p>
      <w:pPr>
        <w:ind w:left="660" w:firstLine="644"/>
        <w:spacing w:after="0" w:line="250" w:lineRule="auto"/>
        <w:tabs>
          <w:tab w:leader="none" w:pos="192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Default or Event of Default with respect to the Securities of such Series shall have occurred and be continuing on the date of such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2" w:name="page143"/>
    <w:bookmarkEnd w:id="142"/>
    <w:p>
      <w:pPr>
        <w:jc w:val="both"/>
        <w:ind w:left="660" w:firstLine="644"/>
        <w:spacing w:after="0" w:line="282" w:lineRule="auto"/>
        <w:tabs>
          <w:tab w:leader="none" w:pos="195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47" w:lineRule="exact"/>
        <w:rPr>
          <w:rFonts w:ascii="Arial" w:cs="Arial" w:eastAsia="Arial" w:hAnsi="Arial"/>
          <w:sz w:val="19"/>
          <w:szCs w:val="19"/>
          <w:color w:val="auto"/>
        </w:rPr>
      </w:pPr>
    </w:p>
    <w:p>
      <w:pPr>
        <w:jc w:val="both"/>
        <w:ind w:left="660" w:firstLine="644"/>
        <w:spacing w:after="0"/>
        <w:tabs>
          <w:tab w:leader="none" w:pos="181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86" w:lineRule="exact"/>
        <w:rPr>
          <w:rFonts w:ascii="Arial" w:cs="Arial" w:eastAsia="Arial" w:hAnsi="Arial"/>
          <w:sz w:val="22"/>
          <w:szCs w:val="22"/>
          <w:color w:val="auto"/>
        </w:rPr>
      </w:pPr>
    </w:p>
    <w:p>
      <w:pPr>
        <w:jc w:val="both"/>
        <w:ind w:left="660" w:firstLine="644"/>
        <w:spacing w:after="0"/>
        <w:tabs>
          <w:tab w:leader="none" w:pos="17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Repayment to Company</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Reinstatement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AMENDMENTS AND WAIVERS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and the Trustee may amend or supplement this Indenture or the Securities of one or more Series without the consent of any Securityholder:</w:t>
      </w:r>
    </w:p>
    <w:p>
      <w:pPr>
        <w:spacing w:after="0" w:line="175" w:lineRule="exact"/>
        <w:rPr>
          <w:sz w:val="20"/>
          <w:szCs w:val="20"/>
          <w:color w:val="auto"/>
        </w:rPr>
      </w:pPr>
    </w:p>
    <w:p>
      <w:pPr>
        <w:ind w:left="1760" w:hanging="456"/>
        <w:spacing w:after="0"/>
        <w:tabs>
          <w:tab w:leader="none" w:pos="17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cure any ambiguity, defect or inconsistency;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4860"/>
        <w:spacing w:after="0"/>
        <w:rPr>
          <w:rFonts w:ascii="Arial" w:cs="Arial" w:eastAsia="Arial" w:hAnsi="Arial"/>
          <w:sz w:val="22"/>
          <w:szCs w:val="22"/>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3" w:name="page144"/>
    <w:bookmarkEnd w:id="143"/>
    <w:p>
      <w:pPr>
        <w:ind w:left="1780" w:hanging="476"/>
        <w:spacing w:after="0"/>
        <w:tabs>
          <w:tab w:leader="none" w:pos="17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comply with Article V;</w:t>
      </w:r>
    </w:p>
    <w:p>
      <w:pPr>
        <w:spacing w:after="0" w:line="206" w:lineRule="exact"/>
        <w:rPr>
          <w:rFonts w:ascii="Arial" w:cs="Arial" w:eastAsia="Arial" w:hAnsi="Arial"/>
          <w:sz w:val="22"/>
          <w:szCs w:val="22"/>
          <w:color w:val="auto"/>
        </w:rPr>
      </w:pPr>
    </w:p>
    <w:p>
      <w:pPr>
        <w:ind w:left="1760" w:hanging="456"/>
        <w:spacing w:after="0"/>
        <w:tabs>
          <w:tab w:leader="none" w:pos="176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to provide for uncertificated Securities in addition to or in place of certificated Securities;</w:t>
      </w:r>
    </w:p>
    <w:p>
      <w:pPr>
        <w:spacing w:after="0" w:line="217" w:lineRule="exact"/>
        <w:rPr>
          <w:rFonts w:ascii="Arial" w:cs="Arial" w:eastAsia="Arial" w:hAnsi="Arial"/>
          <w:sz w:val="21"/>
          <w:szCs w:val="21"/>
          <w:color w:val="auto"/>
        </w:rPr>
      </w:pPr>
    </w:p>
    <w:p>
      <w:pPr>
        <w:ind w:left="1780" w:hanging="476"/>
        <w:spacing w:after="0"/>
        <w:tabs>
          <w:tab w:leader="none" w:pos="17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to add guarantees with respect to Securities of any Series or secure Securities of any Series;</w:t>
      </w:r>
    </w:p>
    <w:p>
      <w:pPr>
        <w:spacing w:after="0" w:line="240" w:lineRule="exact"/>
        <w:rPr>
          <w:rFonts w:ascii="Arial" w:cs="Arial" w:eastAsia="Arial" w:hAnsi="Arial"/>
          <w:sz w:val="19"/>
          <w:szCs w:val="19"/>
          <w:color w:val="auto"/>
        </w:rPr>
      </w:pPr>
    </w:p>
    <w:p>
      <w:pPr>
        <w:ind w:left="1760" w:hanging="456"/>
        <w:spacing w:after="0"/>
        <w:tabs>
          <w:tab w:leader="none" w:pos="17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surrender any of the Company’s rights or powers under this Indenture;</w:t>
      </w:r>
    </w:p>
    <w:p>
      <w:pPr>
        <w:spacing w:after="0" w:line="206" w:lineRule="exact"/>
        <w:rPr>
          <w:rFonts w:ascii="Arial" w:cs="Arial" w:eastAsia="Arial" w:hAnsi="Arial"/>
          <w:sz w:val="22"/>
          <w:szCs w:val="22"/>
          <w:color w:val="auto"/>
        </w:rPr>
      </w:pPr>
    </w:p>
    <w:p>
      <w:pPr>
        <w:ind w:left="1740" w:hanging="436"/>
        <w:spacing w:after="0"/>
        <w:tabs>
          <w:tab w:leader="none" w:pos="17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to add covenants or events of default for the benefit of the holders of Securities of any Series;</w:t>
      </w:r>
    </w:p>
    <w:p>
      <w:pPr>
        <w:spacing w:after="0" w:line="240" w:lineRule="exact"/>
        <w:rPr>
          <w:rFonts w:ascii="Arial" w:cs="Arial" w:eastAsia="Arial" w:hAnsi="Arial"/>
          <w:sz w:val="19"/>
          <w:szCs w:val="19"/>
          <w:color w:val="auto"/>
        </w:rPr>
      </w:pPr>
    </w:p>
    <w:p>
      <w:pPr>
        <w:ind w:left="1780" w:hanging="476"/>
        <w:spacing w:after="0"/>
        <w:tabs>
          <w:tab w:leader="none" w:pos="17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comply with the applicable procedures of the applicable depositary;</w:t>
      </w:r>
    </w:p>
    <w:p>
      <w:pPr>
        <w:spacing w:after="0" w:line="206" w:lineRule="exact"/>
        <w:rPr>
          <w:rFonts w:ascii="Arial" w:cs="Arial" w:eastAsia="Arial" w:hAnsi="Arial"/>
          <w:sz w:val="22"/>
          <w:szCs w:val="22"/>
          <w:color w:val="auto"/>
        </w:rPr>
      </w:pPr>
    </w:p>
    <w:p>
      <w:pPr>
        <w:ind w:left="1780" w:hanging="476"/>
        <w:spacing w:after="0"/>
        <w:tabs>
          <w:tab w:leader="none" w:pos="17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Securityholder;</w:t>
      </w:r>
    </w:p>
    <w:p>
      <w:pPr>
        <w:spacing w:after="0" w:line="206" w:lineRule="exact"/>
        <w:rPr>
          <w:rFonts w:ascii="Arial" w:cs="Arial" w:eastAsia="Arial" w:hAnsi="Arial"/>
          <w:sz w:val="22"/>
          <w:szCs w:val="22"/>
          <w:color w:val="auto"/>
        </w:rPr>
      </w:pPr>
    </w:p>
    <w:p>
      <w:pPr>
        <w:ind w:left="660" w:firstLine="644"/>
        <w:spacing w:after="0" w:line="250" w:lineRule="auto"/>
        <w:tabs>
          <w:tab w:leader="none" w:pos="175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provide for the issuance of and establish the form and terms and conditions of Securities of any Series as permitted by this Indenture;</w:t>
      </w:r>
    </w:p>
    <w:p>
      <w:pPr>
        <w:spacing w:after="0" w:line="174" w:lineRule="exact"/>
        <w:rPr>
          <w:rFonts w:ascii="Arial" w:cs="Arial" w:eastAsia="Arial" w:hAnsi="Arial"/>
          <w:sz w:val="22"/>
          <w:szCs w:val="22"/>
          <w:color w:val="auto"/>
        </w:rPr>
      </w:pPr>
    </w:p>
    <w:p>
      <w:pPr>
        <w:jc w:val="both"/>
        <w:ind w:left="660" w:firstLine="644"/>
        <w:spacing w:after="0" w:line="238" w:lineRule="auto"/>
        <w:tabs>
          <w:tab w:leader="none" w:pos="177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4" w:lineRule="exact"/>
        <w:rPr>
          <w:rFonts w:ascii="Arial" w:cs="Arial" w:eastAsia="Arial" w:hAnsi="Arial"/>
          <w:sz w:val="22"/>
          <w:szCs w:val="22"/>
          <w:color w:val="auto"/>
        </w:rPr>
      </w:pPr>
    </w:p>
    <w:p>
      <w:pPr>
        <w:ind w:left="660" w:right="20" w:firstLine="644"/>
        <w:spacing w:after="0" w:line="250" w:lineRule="auto"/>
        <w:tabs>
          <w:tab w:leader="none" w:pos="178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to comply with requirements of the SEC in order to effect or maintain the qualification of this Indenture under the TIA.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With Consent of Holders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5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4" w:name="page145"/>
    <w:bookmarkEnd w:id="144"/>
    <w:p>
      <w:pPr>
        <w:spacing w:after="0" w:line="250" w:lineRule="auto"/>
        <w:rPr>
          <w:sz w:val="20"/>
          <w:szCs w:val="20"/>
          <w:color w:val="auto"/>
        </w:rPr>
      </w:pPr>
      <w:r>
        <w:rPr>
          <w:rFonts w:ascii="Arial" w:cs="Arial" w:eastAsia="Arial" w:hAnsi="Arial"/>
          <w:sz w:val="22"/>
          <w:szCs w:val="22"/>
          <w:color w:val="auto"/>
        </w:rPr>
        <w:t>the Company to send such notice, or any defect therein, shall not, however, in any way impair or affect the validity of any such supplemental indenture or waiver.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Limitations</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Without the consent of each Securityholder affected, an amendment or waiver may not:</w:t>
      </w:r>
    </w:p>
    <w:p>
      <w:pPr>
        <w:spacing w:after="0" w:line="206" w:lineRule="exact"/>
        <w:rPr>
          <w:sz w:val="20"/>
          <w:szCs w:val="20"/>
          <w:color w:val="auto"/>
        </w:rPr>
      </w:pPr>
    </w:p>
    <w:p>
      <w:pPr>
        <w:ind w:left="660" w:firstLine="644"/>
        <w:spacing w:after="0" w:line="250" w:lineRule="auto"/>
        <w:tabs>
          <w:tab w:leader="none" w:pos="188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reduce the principal amount of Securities whose Holders must consent to an amendment, supplement or waiver;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reduce the rate of or extend the time for payment of interest (including default interest) on any</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Security;</w:t>
      </w:r>
    </w:p>
    <w:p>
      <w:pPr>
        <w:spacing w:after="0" w:line="188" w:lineRule="exact"/>
        <w:rPr>
          <w:rFonts w:ascii="Arial" w:cs="Arial" w:eastAsia="Arial" w:hAnsi="Arial"/>
          <w:sz w:val="19"/>
          <w:szCs w:val="19"/>
          <w:color w:val="auto"/>
        </w:rPr>
      </w:pPr>
    </w:p>
    <w:p>
      <w:pPr>
        <w:ind w:left="660" w:firstLine="644"/>
        <w:spacing w:after="0" w:line="274" w:lineRule="auto"/>
        <w:tabs>
          <w:tab w:leader="none" w:pos="177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reduce the principal or change the Stated Maturity of any Security or reduce the amount of, or postpone the date fixed for, the payment of any sinking fund or analogous obligation;</w:t>
      </w:r>
    </w:p>
    <w:p>
      <w:pPr>
        <w:spacing w:after="0" w:line="150" w:lineRule="exact"/>
        <w:rPr>
          <w:rFonts w:ascii="Arial" w:cs="Arial" w:eastAsia="Arial" w:hAnsi="Arial"/>
          <w:sz w:val="21"/>
          <w:szCs w:val="21"/>
          <w:color w:val="auto"/>
        </w:rPr>
      </w:pPr>
    </w:p>
    <w:p>
      <w:pPr>
        <w:ind w:left="1800" w:hanging="496"/>
        <w:spacing w:after="0"/>
        <w:tabs>
          <w:tab w:leader="none" w:pos="18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reduce the principal amount of Discount Securities payable upon acceleration of the maturity</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188" w:lineRule="exact"/>
        <w:rPr>
          <w:rFonts w:ascii="Arial" w:cs="Arial" w:eastAsia="Arial" w:hAnsi="Arial"/>
          <w:sz w:val="19"/>
          <w:szCs w:val="19"/>
          <w:color w:val="auto"/>
        </w:rPr>
      </w:pPr>
    </w:p>
    <w:p>
      <w:pPr>
        <w:jc w:val="both"/>
        <w:ind w:left="660" w:firstLine="644"/>
        <w:spacing w:after="0" w:line="238" w:lineRule="auto"/>
        <w:tabs>
          <w:tab w:leader="none" w:pos="181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4" w:lineRule="exact"/>
        <w:rPr>
          <w:rFonts w:ascii="Arial" w:cs="Arial" w:eastAsia="Arial" w:hAnsi="Arial"/>
          <w:sz w:val="22"/>
          <w:szCs w:val="22"/>
          <w:color w:val="auto"/>
        </w:rPr>
      </w:pPr>
    </w:p>
    <w:p>
      <w:pPr>
        <w:ind w:left="660" w:firstLine="644"/>
        <w:spacing w:after="0" w:line="250" w:lineRule="auto"/>
        <w:tabs>
          <w:tab w:leader="none" w:pos="180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make the principal of or interest, if any, on any Security payable in any currency other than that stated in the Security;</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make any change in Sections 6.8, 6.13 or 9.3 (this sentence); or</w:t>
      </w:r>
    </w:p>
    <w:p>
      <w:pPr>
        <w:spacing w:after="0" w:line="206" w:lineRule="exact"/>
        <w:rPr>
          <w:rFonts w:ascii="Arial" w:cs="Arial" w:eastAsia="Arial" w:hAnsi="Arial"/>
          <w:sz w:val="22"/>
          <w:szCs w:val="22"/>
          <w:color w:val="auto"/>
        </w:rPr>
      </w:pPr>
    </w:p>
    <w:p>
      <w:pPr>
        <w:ind w:left="660" w:right="20" w:firstLine="644"/>
        <w:spacing w:after="0" w:line="250" w:lineRule="auto"/>
        <w:tabs>
          <w:tab w:leader="none" w:pos="183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waive a redemption payment with respect to any Security, provided that such redemption is made at the Company’s option.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u w:val="single" w:color="auto"/>
          <w:color w:val="auto"/>
        </w:rPr>
        <w:t>Compliance with Trust Indenture Act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Every amendment to this Indenture or the Securities of one or more Series shall be set forth in a supplemental indenture hereto that complies with the TIA as then in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Revocation and Effect of Consents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5" w:name="page146"/>
    <w:bookmarkEnd w:id="145"/>
    <w:p>
      <w:pPr>
        <w:jc w:val="both"/>
        <w:ind w:firstLine="1296"/>
        <w:spacing w:after="0" w:line="236" w:lineRule="auto"/>
        <w:rPr>
          <w:sz w:val="20"/>
          <w:szCs w:val="20"/>
          <w:color w:val="auto"/>
        </w:rPr>
      </w:pPr>
      <w:r>
        <w:rPr>
          <w:rFonts w:ascii="Arial" w:cs="Arial" w:eastAsia="Arial" w:hAnsi="Arial"/>
          <w:sz w:val="22"/>
          <w:szCs w:val="22"/>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9.6.  </w:t>
      </w:r>
      <w:r>
        <w:rPr>
          <w:rFonts w:ascii="Arial" w:cs="Arial" w:eastAsia="Arial" w:hAnsi="Arial"/>
          <w:sz w:val="22"/>
          <w:szCs w:val="22"/>
          <w:u w:val="single" w:color="auto"/>
          <w:color w:val="auto"/>
        </w:rPr>
        <w:t>Notation on or Exchange of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9.7.  </w:t>
      </w:r>
      <w:r>
        <w:rPr>
          <w:rFonts w:ascii="Arial" w:cs="Arial" w:eastAsia="Arial" w:hAnsi="Arial"/>
          <w:sz w:val="22"/>
          <w:szCs w:val="22"/>
          <w:u w:val="single" w:color="auto"/>
          <w:color w:val="auto"/>
        </w:rPr>
        <w:t>Trustee Protected</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5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Trust Indenture Act Controls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If any provision of this Indenture limits, qualifies, or conflicts with another provision which is required or deemed to be included in this Indenture by the TIA, such required or deemed provision shall control.</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Any notice or communication by the Company or the Trustee to the other, or by a Holder to the Company or the Trustee, is duly given if in writing and delivered in person or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6" w:name="page147"/>
    <w:bookmarkEnd w:id="146"/>
    <w:p>
      <w:pPr>
        <w:spacing w:after="0" w:line="250" w:lineRule="auto"/>
        <w:rPr>
          <w:sz w:val="20"/>
          <w:szCs w:val="20"/>
          <w:color w:val="auto"/>
        </w:rPr>
      </w:pPr>
      <w:r>
        <w:rPr>
          <w:rFonts w:ascii="Arial" w:cs="Arial" w:eastAsia="Arial" w:hAnsi="Arial"/>
          <w:sz w:val="22"/>
          <w:szCs w:val="22"/>
          <w:color w:val="auto"/>
        </w:rPr>
        <w:t>by first-class mail (registered or certified, return receipt requested), facsimile transmission, email or overnight air courier guaranteeing next day delivery, to the others’ address: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Ardelyx, Inc.</w:t>
      </w:r>
    </w:p>
    <w:p>
      <w:pPr>
        <w:ind w:left="1960"/>
        <w:spacing w:after="0" w:line="238" w:lineRule="auto"/>
        <w:rPr>
          <w:sz w:val="20"/>
          <w:szCs w:val="20"/>
          <w:color w:val="auto"/>
        </w:rPr>
      </w:pPr>
      <w:r>
        <w:rPr>
          <w:rFonts w:ascii="Arial" w:cs="Arial" w:eastAsia="Arial" w:hAnsi="Arial"/>
          <w:sz w:val="22"/>
          <w:szCs w:val="22"/>
          <w:color w:val="auto"/>
        </w:rPr>
        <w:t>34175 Ardenwood Blvd.</w:t>
      </w:r>
    </w:p>
    <w:p>
      <w:pPr>
        <w:ind w:left="1960"/>
        <w:spacing w:after="0" w:line="230" w:lineRule="auto"/>
        <w:rPr>
          <w:sz w:val="20"/>
          <w:szCs w:val="20"/>
          <w:color w:val="auto"/>
        </w:rPr>
      </w:pPr>
      <w:r>
        <w:rPr>
          <w:rFonts w:ascii="Arial" w:cs="Arial" w:eastAsia="Arial" w:hAnsi="Arial"/>
          <w:sz w:val="22"/>
          <w:szCs w:val="22"/>
          <w:color w:val="auto"/>
        </w:rPr>
        <w:t>Fremont, CA 94555</w:t>
      </w:r>
    </w:p>
    <w:p>
      <w:pPr>
        <w:ind w:left="1960"/>
        <w:spacing w:after="0" w:line="231" w:lineRule="auto"/>
        <w:rPr>
          <w:sz w:val="20"/>
          <w:szCs w:val="20"/>
          <w:color w:val="auto"/>
        </w:rPr>
      </w:pPr>
      <w:r>
        <w:rPr>
          <w:rFonts w:ascii="Arial" w:cs="Arial" w:eastAsia="Arial" w:hAnsi="Arial"/>
          <w:sz w:val="22"/>
          <w:szCs w:val="22"/>
          <w:color w:val="auto"/>
        </w:rPr>
        <w:t>Attention: Chief Executive Officer</w:t>
      </w:r>
    </w:p>
    <w:p>
      <w:pPr>
        <w:ind w:left="1960"/>
        <w:spacing w:after="0"/>
        <w:rPr>
          <w:sz w:val="20"/>
          <w:szCs w:val="20"/>
          <w:color w:val="auto"/>
        </w:rPr>
      </w:pPr>
      <w:r>
        <w:rPr>
          <w:rFonts w:ascii="Arial" w:cs="Arial" w:eastAsia="Arial" w:hAnsi="Arial"/>
          <w:sz w:val="22"/>
          <w:szCs w:val="22"/>
          <w:color w:val="auto"/>
        </w:rPr>
        <w:t>Telephone: (510) 745-1700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ind w:left="1960"/>
        <w:spacing w:after="0" w:line="238" w:lineRule="auto"/>
        <w:rPr>
          <w:sz w:val="20"/>
          <w:szCs w:val="20"/>
          <w:color w:val="auto"/>
        </w:rPr>
      </w:pPr>
      <w:r>
        <w:rPr>
          <w:rFonts w:ascii="Arial" w:cs="Arial" w:eastAsia="Arial" w:hAnsi="Arial"/>
          <w:sz w:val="22"/>
          <w:szCs w:val="22"/>
          <w:color w:val="auto"/>
        </w:rPr>
        <w:t>140 Scott Drive</w:t>
      </w:r>
    </w:p>
    <w:p>
      <w:pPr>
        <w:ind w:left="1960"/>
        <w:spacing w:after="0" w:line="230" w:lineRule="auto"/>
        <w:rPr>
          <w:sz w:val="20"/>
          <w:szCs w:val="20"/>
          <w:color w:val="auto"/>
        </w:rPr>
      </w:pPr>
      <w:r>
        <w:rPr>
          <w:rFonts w:ascii="Arial" w:cs="Arial" w:eastAsia="Arial" w:hAnsi="Arial"/>
          <w:sz w:val="22"/>
          <w:szCs w:val="22"/>
          <w:color w:val="auto"/>
        </w:rPr>
        <w:t>Menlo Park, CA 94025</w:t>
      </w:r>
    </w:p>
    <w:p>
      <w:pPr>
        <w:ind w:left="1960"/>
        <w:spacing w:after="0" w:line="231" w:lineRule="auto"/>
        <w:rPr>
          <w:sz w:val="20"/>
          <w:szCs w:val="20"/>
          <w:color w:val="auto"/>
        </w:rPr>
      </w:pPr>
      <w:r>
        <w:rPr>
          <w:rFonts w:ascii="Arial" w:cs="Arial" w:eastAsia="Arial" w:hAnsi="Arial"/>
          <w:sz w:val="22"/>
          <w:szCs w:val="22"/>
          <w:color w:val="auto"/>
        </w:rPr>
        <w:t>Attention: Mark V. Roeder</w:t>
      </w:r>
    </w:p>
    <w:p>
      <w:pPr>
        <w:ind w:left="1960"/>
        <w:spacing w:after="0"/>
        <w:rPr>
          <w:sz w:val="20"/>
          <w:szCs w:val="20"/>
          <w:color w:val="auto"/>
        </w:rPr>
      </w:pPr>
      <w:r>
        <w:rPr>
          <w:rFonts w:ascii="Arial" w:cs="Arial" w:eastAsia="Arial" w:hAnsi="Arial"/>
          <w:sz w:val="22"/>
          <w:szCs w:val="22"/>
          <w:color w:val="auto"/>
        </w:rPr>
        <w:t>Telephone: (650) 328-4600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w:t>
      </w:r>
    </w:p>
    <w:p>
      <w:pPr>
        <w:ind w:left="1960"/>
        <w:spacing w:after="0" w:line="238" w:lineRule="auto"/>
        <w:rPr>
          <w:sz w:val="20"/>
          <w:szCs w:val="20"/>
          <w:color w:val="auto"/>
        </w:rPr>
      </w:pPr>
      <w:r>
        <w:rPr>
          <w:rFonts w:ascii="Arial" w:cs="Arial" w:eastAsia="Arial" w:hAnsi="Arial"/>
          <w:sz w:val="22"/>
          <w:szCs w:val="22"/>
          <w:color w:val="auto"/>
        </w:rPr>
        <w:t>Attention: [ ]</w:t>
      </w:r>
    </w:p>
    <w:p>
      <w:pPr>
        <w:ind w:left="1960"/>
        <w:spacing w:after="0"/>
        <w:rPr>
          <w:sz w:val="20"/>
          <w:szCs w:val="20"/>
          <w:color w:val="auto"/>
        </w:rPr>
      </w:pPr>
      <w:r>
        <w:rPr>
          <w:rFonts w:ascii="Arial" w:cs="Arial" w:eastAsia="Arial" w:hAnsi="Arial"/>
          <w:sz w:val="22"/>
          <w:szCs w:val="22"/>
          <w:color w:val="auto"/>
        </w:rPr>
        <w:t>Telephone: [ ]</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w:t>
      </w:r>
    </w:p>
    <w:p>
      <w:pPr>
        <w:ind w:left="1960"/>
        <w:spacing w:after="0" w:line="238" w:lineRule="auto"/>
        <w:rPr>
          <w:sz w:val="20"/>
          <w:szCs w:val="20"/>
          <w:color w:val="auto"/>
        </w:rPr>
      </w:pPr>
      <w:r>
        <w:rPr>
          <w:rFonts w:ascii="Arial" w:cs="Arial" w:eastAsia="Arial" w:hAnsi="Arial"/>
          <w:sz w:val="22"/>
          <w:szCs w:val="22"/>
          <w:color w:val="auto"/>
        </w:rPr>
        <w:t>Attention: [ ]</w:t>
      </w:r>
    </w:p>
    <w:p>
      <w:pPr>
        <w:ind w:left="1960"/>
        <w:spacing w:after="0"/>
        <w:rPr>
          <w:sz w:val="20"/>
          <w:szCs w:val="20"/>
          <w:color w:val="auto"/>
        </w:rPr>
      </w:pPr>
      <w:r>
        <w:rPr>
          <w:rFonts w:ascii="Arial" w:cs="Arial" w:eastAsia="Arial" w:hAnsi="Arial"/>
          <w:sz w:val="22"/>
          <w:szCs w:val="22"/>
          <w:color w:val="auto"/>
        </w:rPr>
        <w:t>Telephone: [ ]</w:t>
      </w:r>
    </w:p>
    <w:p>
      <w:pPr>
        <w:spacing w:after="0" w:line="21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4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a notice or communication is sent or published in the manner provided above, within the time prescribed, it is duly given, whether or not the Securityholder receives it.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If the Company sends a notice or communication to Securityholders, it shall send a copy to the Trustee and each Agent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7" w:name="page148"/>
    <w:bookmarkEnd w:id="147"/>
    <w:p>
      <w:pPr>
        <w:jc w:val="both"/>
        <w:ind w:firstLine="1296"/>
        <w:spacing w:after="0" w:line="252" w:lineRule="auto"/>
        <w:rPr>
          <w:sz w:val="20"/>
          <w:szCs w:val="20"/>
          <w:color w:val="auto"/>
        </w:rPr>
      </w:pPr>
      <w:r>
        <w:rPr>
          <w:rFonts w:ascii="Arial" w:cs="Arial" w:eastAsia="Arial" w:hAnsi="Arial"/>
          <w:sz w:val="21"/>
          <w:szCs w:val="21"/>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Communication by Holders with Other Holders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Upon any request or application by the Company to the Trustee to take any action under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Indenture, the Company shall furnish to the Trustee:</w:t>
      </w:r>
    </w:p>
    <w:p>
      <w:pPr>
        <w:spacing w:after="0" w:line="188" w:lineRule="exact"/>
        <w:rPr>
          <w:sz w:val="20"/>
          <w:szCs w:val="20"/>
          <w:color w:val="auto"/>
        </w:rPr>
      </w:pPr>
    </w:p>
    <w:p>
      <w:pPr>
        <w:ind w:left="660" w:firstLine="644"/>
        <w:spacing w:after="0" w:line="328" w:lineRule="auto"/>
        <w:tabs>
          <w:tab w:leader="none" w:pos="181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 Officer’s Certificate stating that, in the opinion of the signers, all conditions precedent, if any, provided for in this Indenture relating to the proposed action have been complied with; and</w:t>
      </w:r>
    </w:p>
    <w:p>
      <w:pPr>
        <w:spacing w:after="0" w:line="104" w:lineRule="exact"/>
        <w:rPr>
          <w:rFonts w:ascii="Arial" w:cs="Arial" w:eastAsia="Arial" w:hAnsi="Arial"/>
          <w:sz w:val="19"/>
          <w:szCs w:val="19"/>
          <w:color w:val="auto"/>
        </w:rPr>
      </w:pPr>
    </w:p>
    <w:p>
      <w:pPr>
        <w:ind w:left="660" w:firstLine="644"/>
        <w:spacing w:after="0" w:line="250" w:lineRule="auto"/>
        <w:tabs>
          <w:tab w:leader="none" w:pos="194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 Opinion of Counsel stating that, in the opinion of such counsel, all such conditions precedent have been complied with.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86" w:lineRule="exact"/>
        <w:rPr>
          <w:sz w:val="20"/>
          <w:szCs w:val="20"/>
          <w:color w:val="auto"/>
        </w:rPr>
      </w:pPr>
    </w:p>
    <w:p>
      <w:pPr>
        <w:ind w:left="1880" w:hanging="576"/>
        <w:spacing w:after="0"/>
        <w:tabs>
          <w:tab w:leader="none" w:pos="18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statement that the person making such certificate or opinion has read such covenant or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condition;</w:t>
      </w:r>
    </w:p>
    <w:p>
      <w:pPr>
        <w:spacing w:after="0" w:line="188" w:lineRule="exact"/>
        <w:rPr>
          <w:rFonts w:ascii="Arial" w:cs="Arial" w:eastAsia="Arial" w:hAnsi="Arial"/>
          <w:sz w:val="19"/>
          <w:szCs w:val="19"/>
          <w:color w:val="auto"/>
        </w:rPr>
      </w:pPr>
    </w:p>
    <w:p>
      <w:pPr>
        <w:ind w:left="660" w:firstLine="644"/>
        <w:spacing w:after="0" w:line="250" w:lineRule="auto"/>
        <w:tabs>
          <w:tab w:leader="none" w:pos="183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jc w:val="both"/>
        <w:ind w:left="660" w:firstLine="644"/>
        <w:spacing w:after="0"/>
        <w:tabs>
          <w:tab w:leader="none" w:pos="176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660" w:firstLine="644"/>
        <w:spacing w:after="0" w:line="250" w:lineRule="auto"/>
        <w:tabs>
          <w:tab w:leader="none" w:pos="184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8" w:name="page149"/>
    <w:bookmarkEnd w:id="148"/>
    <w:p>
      <w:pPr>
        <w:ind w:left="660"/>
        <w:spacing w:after="0"/>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Rules by Trustee and Agents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The Trustee may make reasonable rules for action by or a meeting of Securityholders of one or more Series. Any Agent may make reasonable rules and set reasonable requirements for its functions.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Legal Holidays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i w:val="1"/>
          <w:iCs w:val="1"/>
          <w:color w:val="auto"/>
        </w:rPr>
        <w:t>Legal Holiday</w:t>
      </w:r>
      <w:r>
        <w:rPr>
          <w:rFonts w:ascii="Arial" w:cs="Arial" w:eastAsia="Arial" w:hAnsi="Arial"/>
          <w:sz w:val="22"/>
          <w:szCs w:val="22"/>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No Recourse Against Others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u w:val="single" w:color="auto"/>
          <w:color w:val="auto"/>
        </w:rPr>
        <w:t>Counterparts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Governing Law; Waiver of Jury Trial; Consent to Jurisdiction</w:t>
      </w:r>
      <w:r>
        <w:rPr>
          <w:rFonts w:ascii="Arial" w:cs="Arial" w:eastAsia="Arial" w:hAnsi="Arial"/>
          <w:sz w:val="22"/>
          <w:szCs w:val="22"/>
          <w:color w:val="auto"/>
        </w:rPr>
        <w:t>.</w:t>
      </w:r>
    </w:p>
    <w:p>
      <w:pPr>
        <w:spacing w:after="0" w:line="20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THIS INDENTURE AND THE SECURITIES, INCLUDING ANY CLAIM OR CONTROVERSY ARISING OUT OF OR RELATING TO THE INDENTURE OR THE SECURITIES, SHALL BE GOVERNED BY THE LAWS OF THE STATE OF NEW YORK.</w:t>
      </w:r>
    </w:p>
    <w:p>
      <w:pPr>
        <w:spacing w:after="0" w:line="177"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22"/>
          <w:szCs w:val="22"/>
          <w:i w:val="1"/>
          <w:iCs w:val="1"/>
          <w:color w:val="auto"/>
        </w:rPr>
        <w:t>Specified Courts</w:t>
      </w:r>
      <w:r>
        <w:rPr>
          <w:rFonts w:ascii="Arial" w:cs="Arial" w:eastAsia="Arial" w:hAnsi="Arial"/>
          <w:sz w:val="22"/>
          <w:szCs w:val="22"/>
          <w:color w:val="auto"/>
        </w:rPr>
        <w:t>”), and each party irrevocably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9" w:name="page150"/>
    <w:bookmarkEnd w:id="149"/>
    <w:p>
      <w:pPr>
        <w:jc w:val="both"/>
        <w:spacing w:after="0" w:line="277" w:lineRule="auto"/>
        <w:rPr>
          <w:sz w:val="20"/>
          <w:szCs w:val="20"/>
          <w:color w:val="auto"/>
        </w:rPr>
      </w:pPr>
      <w:r>
        <w:rPr>
          <w:rFonts w:ascii="Arial" w:cs="Arial" w:eastAsia="Arial" w:hAnsi="Arial"/>
          <w:sz w:val="19"/>
          <w:szCs w:val="19"/>
          <w:color w:val="auto"/>
        </w:rPr>
        <w:t>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No Adverse Interpretation of Other Agreements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All agreements of the Company in this Indenture and the Securities shall bind its successor. All agreements of the Trustee in this Indenture shall bind its successor.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10.13. </w:t>
      </w:r>
      <w:r>
        <w:rPr>
          <w:rFonts w:ascii="Arial" w:cs="Arial" w:eastAsia="Arial" w:hAnsi="Arial"/>
          <w:sz w:val="22"/>
          <w:szCs w:val="22"/>
          <w:u w:val="single" w:color="auto"/>
          <w:color w:val="auto"/>
        </w:rPr>
        <w:t>Severability</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10.14. </w:t>
      </w:r>
      <w:r>
        <w:rPr>
          <w:rFonts w:ascii="Arial" w:cs="Arial" w:eastAsia="Arial" w:hAnsi="Arial"/>
          <w:sz w:val="22"/>
          <w:szCs w:val="22"/>
          <w:u w:val="single" w:color="auto"/>
          <w:color w:val="auto"/>
        </w:rPr>
        <w:t>Table of Contents, Headings, Etc</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Securities in a Foreign Currency</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0" w:name="page151"/>
    <w:bookmarkEnd w:id="150"/>
    <w:p>
      <w:pPr>
        <w:jc w:val="both"/>
        <w:spacing w:after="0" w:line="287" w:lineRule="auto"/>
        <w:rPr>
          <w:sz w:val="20"/>
          <w:szCs w:val="20"/>
          <w:color w:val="auto"/>
        </w:rPr>
      </w:pPr>
      <w:r>
        <w:rPr>
          <w:rFonts w:ascii="Arial" w:cs="Arial" w:eastAsia="Arial" w:hAnsi="Arial"/>
          <w:sz w:val="19"/>
          <w:szCs w:val="19"/>
          <w:color w:val="auto"/>
        </w:rPr>
        <w:t>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4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10.16. </w:t>
      </w:r>
      <w:r>
        <w:rPr>
          <w:rFonts w:ascii="Arial" w:cs="Arial" w:eastAsia="Arial" w:hAnsi="Arial"/>
          <w:sz w:val="22"/>
          <w:szCs w:val="22"/>
          <w:u w:val="single" w:color="auto"/>
          <w:color w:val="auto"/>
        </w:rPr>
        <w:t>Judgment Currency</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agrees, to the fullest extent that it may effectively do so under applicable law, that</w:t>
      </w:r>
    </w:p>
    <w:p>
      <w:pPr>
        <w:spacing w:after="0" w:line="43" w:lineRule="exact"/>
        <w:rPr>
          <w:sz w:val="20"/>
          <w:szCs w:val="20"/>
          <w:color w:val="auto"/>
        </w:rPr>
      </w:pPr>
    </w:p>
    <w:p>
      <w:pPr>
        <w:jc w:val="both"/>
        <w:ind w:firstLine="8"/>
        <w:spacing w:after="0" w:line="266" w:lineRule="auto"/>
        <w:tabs>
          <w:tab w:leader="none" w:pos="30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for the purpose of obtaining judgment in any court it is necessary to convert the sum due in respect of the principal of or interest or other amount on the Securities of any Series (the “</w:t>
      </w:r>
      <w:r>
        <w:rPr>
          <w:rFonts w:ascii="Arial" w:cs="Arial" w:eastAsia="Arial" w:hAnsi="Arial"/>
          <w:sz w:val="19"/>
          <w:szCs w:val="19"/>
          <w:i w:val="1"/>
          <w:iCs w:val="1"/>
          <w:color w:val="auto"/>
        </w:rPr>
        <w:t>Required Currency</w:t>
      </w:r>
      <w:r>
        <w:rPr>
          <w:rFonts w:ascii="Arial" w:cs="Arial" w:eastAsia="Arial" w:hAnsi="Arial"/>
          <w:sz w:val="19"/>
          <w:szCs w:val="19"/>
          <w:color w:val="auto"/>
        </w:rPr>
        <w:t>”) into a currency in which a judgment will be rendered (the “</w:t>
      </w:r>
      <w:r>
        <w:rPr>
          <w:rFonts w:ascii="Arial" w:cs="Arial" w:eastAsia="Arial" w:hAnsi="Arial"/>
          <w:sz w:val="19"/>
          <w:szCs w:val="19"/>
          <w:i w:val="1"/>
          <w:iCs w:val="1"/>
          <w:color w:val="auto"/>
        </w:rPr>
        <w:t>Judgment Currency</w:t>
      </w:r>
      <w:r>
        <w:rPr>
          <w:rFonts w:ascii="Arial" w:cs="Arial" w:eastAsia="Arial" w:hAnsi="Arial"/>
          <w:sz w:val="19"/>
          <w:szCs w:val="19"/>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w:t>
      </w:r>
    </w:p>
    <w:p>
      <w:pPr>
        <w:spacing w:after="0" w:line="12" w:lineRule="exact"/>
        <w:rPr>
          <w:rFonts w:ascii="Arial" w:cs="Arial" w:eastAsia="Arial" w:hAnsi="Arial"/>
          <w:sz w:val="19"/>
          <w:szCs w:val="19"/>
          <w:color w:val="auto"/>
        </w:rPr>
      </w:pPr>
    </w:p>
    <w:p>
      <w:pPr>
        <w:jc w:val="both"/>
        <w:ind w:firstLine="8"/>
        <w:spacing w:after="0" w:line="233" w:lineRule="auto"/>
        <w:tabs>
          <w:tab w:leader="none" w:pos="38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shall not be affected by judgment being obtained for any other sum due under this Indenture. For purposes of the foregoing, “</w:t>
      </w:r>
      <w:r>
        <w:rPr>
          <w:rFonts w:ascii="Arial" w:cs="Arial" w:eastAsia="Arial" w:hAnsi="Arial"/>
          <w:sz w:val="22"/>
          <w:szCs w:val="22"/>
          <w:i w:val="1"/>
          <w:iCs w:val="1"/>
          <w:color w:val="auto"/>
        </w:rPr>
        <w:t>New York Banking Day</w:t>
      </w:r>
      <w:r>
        <w:rPr>
          <w:rFonts w:ascii="Arial" w:cs="Arial" w:eastAsia="Arial" w:hAnsi="Arial"/>
          <w:sz w:val="22"/>
          <w:szCs w:val="22"/>
          <w:color w:val="auto"/>
        </w:rPr>
        <w:t>” means any day except a Saturday, Sunday or a legal holiday in The City of New York on which banking institutions are authorized or required by law, regulation or executive order to close.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10.17. </w:t>
      </w: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1" w:name="page152"/>
    <w:bookmarkEnd w:id="151"/>
    <w:p>
      <w:pPr>
        <w:ind w:left="660"/>
        <w:spacing w:after="0"/>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u w:val="single" w:color="auto"/>
          <w:color w:val="auto"/>
        </w:rPr>
        <w:t>U.S.A. Patriot Act</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SINKING FUNDS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Applicability of Article</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6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The minimum amount of any sinking fund payment provided for by the terms of the Securities of any Series is herein referred to as a “</w:t>
      </w:r>
      <w:r>
        <w:rPr>
          <w:rFonts w:ascii="Arial" w:cs="Arial" w:eastAsia="Arial" w:hAnsi="Arial"/>
          <w:sz w:val="19"/>
          <w:szCs w:val="19"/>
          <w:i w:val="1"/>
          <w:iCs w:val="1"/>
          <w:color w:val="auto"/>
        </w:rPr>
        <w:t>mandatory sinking fund payment</w:t>
      </w:r>
      <w:r>
        <w:rPr>
          <w:rFonts w:ascii="Arial" w:cs="Arial" w:eastAsia="Arial" w:hAnsi="Arial"/>
          <w:sz w:val="19"/>
          <w:szCs w:val="19"/>
          <w:color w:val="auto"/>
        </w:rPr>
        <w:t>” and any other amount provided for by the terms of Securities of such Series is herein referred to as an “</w:t>
      </w:r>
      <w:r>
        <w:rPr>
          <w:rFonts w:ascii="Arial" w:cs="Arial" w:eastAsia="Arial" w:hAnsi="Arial"/>
          <w:sz w:val="19"/>
          <w:szCs w:val="19"/>
          <w:i w:val="1"/>
          <w:iCs w:val="1"/>
          <w:color w:val="auto"/>
        </w:rPr>
        <w:t>optional sinking fund payment</w:t>
      </w:r>
      <w:r>
        <w:rPr>
          <w:rFonts w:ascii="Arial" w:cs="Arial" w:eastAsia="Arial" w:hAnsi="Arial"/>
          <w:sz w:val="19"/>
          <w:szCs w:val="19"/>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Satisfaction of Sinking Fund Payments with Securities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2" w:name="page153"/>
    <w:bookmarkEnd w:id="152"/>
    <w:p>
      <w:pPr>
        <w:jc w:val="both"/>
        <w:spacing w:after="0" w:line="287" w:lineRule="auto"/>
        <w:rPr>
          <w:sz w:val="20"/>
          <w:szCs w:val="20"/>
          <w:color w:val="auto"/>
        </w:rPr>
      </w:pPr>
      <w:r>
        <w:rPr>
          <w:rFonts w:ascii="Arial" w:cs="Arial" w:eastAsia="Arial" w:hAnsi="Arial"/>
          <w:sz w:val="19"/>
          <w:szCs w:val="19"/>
          <w:color w:val="auto"/>
        </w:rPr>
        <w:t xml:space="preserve">fund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Redemption of Securities for Sinking Fund</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3" w:name="page154"/>
    <w:bookmarkEnd w:id="153"/>
    <w:p>
      <w:pPr>
        <w:ind w:firstLine="1296"/>
        <w:spacing w:after="0" w:line="250" w:lineRule="auto"/>
        <w:rPr>
          <w:sz w:val="20"/>
          <w:szCs w:val="20"/>
          <w:color w:val="auto"/>
        </w:rPr>
      </w:pPr>
      <w:r>
        <w:rPr>
          <w:rFonts w:ascii="Arial" w:cs="Arial" w:eastAsia="Arial" w:hAnsi="Arial"/>
          <w:sz w:val="22"/>
          <w:szCs w:val="22"/>
          <w:color w:val="auto"/>
        </w:rPr>
        <w:t>IN WITNESS WHEREOF, the parties hereto have caused this Indenture to be duly executed as of the day and year first above written.</w:t>
      </w:r>
    </w:p>
    <w:p>
      <w:pPr>
        <w:spacing w:after="0" w:line="18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ARDELYX, INC.</w:t>
      </w:r>
    </w:p>
    <w:p>
      <w:pPr>
        <w:spacing w:after="0" w:line="23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6985</wp:posOffset>
            </wp:positionV>
            <wp:extent cx="30346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Name:</w:t>
      </w:r>
    </w:p>
    <w:p>
      <w:pPr>
        <w:ind w:left="5140"/>
        <w:spacing w:after="0"/>
        <w:rPr>
          <w:sz w:val="20"/>
          <w:szCs w:val="20"/>
          <w:color w:val="auto"/>
        </w:rPr>
      </w:pPr>
      <w:r>
        <w:rPr>
          <w:rFonts w:ascii="Arial" w:cs="Arial" w:eastAsia="Arial" w:hAnsi="Arial"/>
          <w:sz w:val="22"/>
          <w:szCs w:val="22"/>
          <w:color w:val="auto"/>
        </w:rPr>
        <w:t>Its:</w:t>
      </w:r>
    </w:p>
    <w:p>
      <w:pPr>
        <w:spacing w:after="0" w:line="175" w:lineRule="exact"/>
        <w:rPr>
          <w:sz w:val="20"/>
          <w:szCs w:val="20"/>
          <w:color w:val="auto"/>
        </w:rPr>
      </w:pPr>
    </w:p>
    <w:p>
      <w:pPr>
        <w:ind w:left="4720"/>
        <w:spacing w:after="0"/>
        <w:tabs>
          <w:tab w:leader="none" w:pos="49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as Trustee</w:t>
      </w:r>
    </w:p>
    <w:p>
      <w:pPr>
        <w:spacing w:after="0" w:line="27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6985</wp:posOffset>
            </wp:positionV>
            <wp:extent cx="30429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Name:</w:t>
      </w:r>
    </w:p>
    <w:p>
      <w:pPr>
        <w:ind w:left="512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904240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54" w:name="page155"/>
    <w:bookmarkEnd w:id="154"/>
    <w:p>
      <w:pPr>
        <w:ind w:left="892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9920"/>
          </w:cols>
          <w:pgMar w:left="980" w:top="1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-1072515</wp:posOffset>
            </wp:positionV>
            <wp:extent cx="205740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20574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Ardelyx, Inc.</w:t>
      </w:r>
    </w:p>
    <w:p>
      <w:pPr>
        <w:spacing w:after="0" w:line="238" w:lineRule="auto"/>
        <w:rPr>
          <w:sz w:val="20"/>
          <w:szCs w:val="20"/>
          <w:color w:val="auto"/>
        </w:rPr>
      </w:pPr>
      <w:r>
        <w:rPr>
          <w:rFonts w:ascii="Arial" w:cs="Arial" w:eastAsia="Arial" w:hAnsi="Arial"/>
          <w:sz w:val="22"/>
          <w:szCs w:val="22"/>
          <w:color w:val="auto"/>
        </w:rPr>
        <w:t>34175 Ardenwood Blvd.</w:t>
      </w:r>
    </w:p>
    <w:p>
      <w:pPr>
        <w:spacing w:after="0"/>
        <w:rPr>
          <w:sz w:val="20"/>
          <w:szCs w:val="20"/>
          <w:color w:val="auto"/>
        </w:rPr>
      </w:pPr>
      <w:r>
        <w:rPr>
          <w:rFonts w:ascii="Arial" w:cs="Arial" w:eastAsia="Arial" w:hAnsi="Arial"/>
          <w:sz w:val="22"/>
          <w:szCs w:val="22"/>
          <w:color w:val="auto"/>
        </w:rPr>
        <w:t>Freemont, California 94555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Registration Statement on Form S-3</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140 Scott Drive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Tel: +1.650.328.4600 Fax: +1.650.463.2600</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94" w:lineRule="exact"/>
        <w:rPr>
          <w:sz w:val="20"/>
          <w:szCs w:val="20"/>
          <w:color w:val="auto"/>
        </w:rPr>
      </w:pPr>
    </w:p>
    <w:p>
      <w:pPr>
        <w:spacing w:after="0"/>
        <w:tabs>
          <w:tab w:leader="none" w:pos="2020" w:val="left"/>
        </w:tabs>
        <w:rPr>
          <w:sz w:val="20"/>
          <w:szCs w:val="20"/>
          <w:color w:val="auto"/>
        </w:rPr>
      </w:pPr>
      <w:r>
        <w:rPr>
          <w:rFonts w:ascii="Arial" w:cs="Arial" w:eastAsia="Arial" w:hAnsi="Arial"/>
          <w:sz w:val="12"/>
          <w:szCs w:val="12"/>
          <w:color w:val="auto"/>
        </w:rPr>
        <w:t>Madrid</w:t>
      </w:r>
      <w:r>
        <w:rPr>
          <w:sz w:val="20"/>
          <w:szCs w:val="20"/>
          <w:color w:val="auto"/>
        </w:rPr>
        <w:tab/>
      </w:r>
      <w:r>
        <w:rPr>
          <w:rFonts w:ascii="Arial" w:cs="Arial" w:eastAsia="Arial" w:hAnsi="Arial"/>
          <w:sz w:val="12"/>
          <w:szCs w:val="12"/>
          <w:color w:val="auto"/>
        </w:rPr>
        <w:t>Washington, D.C.</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Milan</w:t>
      </w:r>
    </w:p>
    <w:p>
      <w:pPr>
        <w:spacing w:after="0" w:line="996" w:lineRule="exact"/>
        <w:rPr>
          <w:sz w:val="20"/>
          <w:szCs w:val="20"/>
          <w:color w:val="auto"/>
        </w:rPr>
      </w:pPr>
    </w:p>
    <w:p>
      <w:pPr>
        <w:sectPr>
          <w:pgSz w:w="11900" w:h="16838" w:orient="portrait"/>
          <w:cols w:equalWidth="0" w:num="2">
            <w:col w:w="4440" w:space="720"/>
            <w:col w:w="4760"/>
          </w:cols>
          <w:pgMar w:left="980" w:top="112" w:right="999" w:bottom="1440" w:gutter="0" w:footer="0" w:header="0"/>
          <w:type w:val="continuous"/>
        </w:sectPr>
      </w:pPr>
    </w:p>
    <w:p>
      <w:pPr>
        <w:jc w:val="both"/>
        <w:ind w:firstLine="648"/>
        <w:spacing w:after="0" w:line="269" w:lineRule="auto"/>
        <w:rPr>
          <w:sz w:val="20"/>
          <w:szCs w:val="20"/>
          <w:color w:val="auto"/>
        </w:rPr>
      </w:pPr>
      <w:r>
        <w:rPr>
          <w:rFonts w:ascii="Arial" w:cs="Arial" w:eastAsia="Arial" w:hAnsi="Arial"/>
          <w:sz w:val="19"/>
          <w:szCs w:val="19"/>
          <w:color w:val="auto"/>
        </w:rPr>
        <w:t>We have acted as special counsel to Ardelyx,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its filing on the date hereof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of a registration statement on Form S-3 (as amended,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including a base prospectus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which provides that it will be supplemented by one or more prospectus supplements (each such prospectus supplement, together with the Base Prospectus, a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relating to the registration for issue and sale by the Company of up to $250,000,000 offering price of (i) shares of the Company’s common stock, $0.0001 par value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(ii) shares of one or more series of the Company’s preferred stock, $0.0001 par value per share (“</w:t>
      </w:r>
      <w:r>
        <w:rPr>
          <w:rFonts w:ascii="Arial" w:cs="Arial" w:eastAsia="Arial" w:hAnsi="Arial"/>
          <w:sz w:val="19"/>
          <w:szCs w:val="19"/>
          <w:b w:val="1"/>
          <w:bCs w:val="1"/>
          <w:i w:val="1"/>
          <w:iCs w:val="1"/>
          <w:color w:val="auto"/>
        </w:rPr>
        <w:t>Preferred Stock</w:t>
      </w:r>
      <w:r>
        <w:rPr>
          <w:rFonts w:ascii="Arial" w:cs="Arial" w:eastAsia="Arial" w:hAnsi="Arial"/>
          <w:sz w:val="19"/>
          <w:szCs w:val="19"/>
          <w:color w:val="auto"/>
        </w:rPr>
        <w:t>”),</w:t>
      </w:r>
    </w:p>
    <w:p>
      <w:pPr>
        <w:spacing w:after="0" w:line="3" w:lineRule="exact"/>
        <w:rPr>
          <w:sz w:val="20"/>
          <w:szCs w:val="20"/>
          <w:color w:val="auto"/>
        </w:rPr>
      </w:pPr>
    </w:p>
    <w:p>
      <w:pPr>
        <w:jc w:val="both"/>
        <w:ind w:firstLine="8"/>
        <w:spacing w:after="0" w:line="271" w:lineRule="auto"/>
        <w:tabs>
          <w:tab w:leader="none" w:pos="39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one or more series of the Company’s debt securities (collectively, “</w:t>
      </w:r>
      <w:r>
        <w:rPr>
          <w:rFonts w:ascii="Arial" w:cs="Arial" w:eastAsia="Arial" w:hAnsi="Arial"/>
          <w:sz w:val="19"/>
          <w:szCs w:val="19"/>
          <w:b w:val="1"/>
          <w:bCs w:val="1"/>
          <w:i w:val="1"/>
          <w:iCs w:val="1"/>
          <w:color w:val="auto"/>
        </w:rPr>
        <w:t>Debt Securities</w:t>
      </w:r>
      <w:r>
        <w:rPr>
          <w:rFonts w:ascii="Arial" w:cs="Arial" w:eastAsia="Arial" w:hAnsi="Arial"/>
          <w:sz w:val="19"/>
          <w:szCs w:val="19"/>
          <w:color w:val="auto"/>
        </w:rPr>
        <w:t>”) to be issued under an indenture to be entered into between the Company, as issuer, and a third party to be identified therein as trustee (a form of which is included as Exhibit 4.4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9"/>
          <w:szCs w:val="19"/>
          <w:b w:val="1"/>
          <w:bCs w:val="1"/>
          <w:i w:val="1"/>
          <w:iCs w:val="1"/>
          <w:color w:val="auto"/>
        </w:rPr>
        <w:t>Applicable Indenture</w:t>
      </w:r>
      <w:r>
        <w:rPr>
          <w:rFonts w:ascii="Arial" w:cs="Arial" w:eastAsia="Arial" w:hAnsi="Arial"/>
          <w:sz w:val="19"/>
          <w:szCs w:val="19"/>
          <w:color w:val="auto"/>
        </w:rPr>
        <w:t>”), (iv) warrants (“</w:t>
      </w:r>
      <w:r>
        <w:rPr>
          <w:rFonts w:ascii="Arial" w:cs="Arial" w:eastAsia="Arial" w:hAnsi="Arial"/>
          <w:sz w:val="19"/>
          <w:szCs w:val="19"/>
          <w:b w:val="1"/>
          <w:bCs w:val="1"/>
          <w:i w:val="1"/>
          <w:iCs w:val="1"/>
          <w:color w:val="auto"/>
        </w:rPr>
        <w:t>Warrants</w:t>
      </w:r>
      <w:r>
        <w:rPr>
          <w:rFonts w:ascii="Arial" w:cs="Arial" w:eastAsia="Arial" w:hAnsi="Arial"/>
          <w:sz w:val="19"/>
          <w:szCs w:val="19"/>
          <w:color w:val="auto"/>
        </w:rPr>
        <w:t>”) and (v) units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w:t>
      </w:r>
    </w:p>
    <w:p>
      <w:pPr>
        <w:spacing w:after="0" w:line="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also have acted as special counsel to the Company in connection with the sale through Jefferies LLC as the sales agent (the “</w:t>
      </w:r>
      <w:r>
        <w:rPr>
          <w:rFonts w:ascii="Arial" w:cs="Arial" w:eastAsia="Arial" w:hAnsi="Arial"/>
          <w:sz w:val="22"/>
          <w:szCs w:val="22"/>
          <w:b w:val="1"/>
          <w:bCs w:val="1"/>
          <w:i w:val="1"/>
          <w:iCs w:val="1"/>
          <w:color w:val="auto"/>
        </w:rPr>
        <w:t>Sales Agent</w:t>
      </w:r>
      <w:r>
        <w:rPr>
          <w:rFonts w:ascii="Arial" w:cs="Arial" w:eastAsia="Arial" w:hAnsi="Arial"/>
          <w:sz w:val="22"/>
          <w:szCs w:val="22"/>
          <w:color w:val="auto"/>
        </w:rPr>
        <w:t>”) from time to time by the Company of shares of Common Stock (the “</w:t>
      </w:r>
      <w:r>
        <w:rPr>
          <w:rFonts w:ascii="Arial" w:cs="Arial" w:eastAsia="Arial" w:hAnsi="Arial"/>
          <w:sz w:val="22"/>
          <w:szCs w:val="22"/>
          <w:b w:val="1"/>
          <w:bCs w:val="1"/>
          <w:i w:val="1"/>
          <w:iCs w:val="1"/>
          <w:color w:val="auto"/>
        </w:rPr>
        <w:t>Sales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 Shares</w:t>
      </w:r>
      <w:r>
        <w:rPr>
          <w:rFonts w:ascii="Arial" w:cs="Arial" w:eastAsia="Arial" w:hAnsi="Arial"/>
          <w:sz w:val="22"/>
          <w:szCs w:val="22"/>
          <w:color w:val="auto"/>
        </w:rPr>
        <w:t>”) having an aggregate offering price of up to $100,000,000 pursuant to the Registration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Statement, the Base Prospectus and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155" w:name="page156"/>
    <w:bookmarkEnd w:id="155"/>
    <w:p>
      <w:pPr>
        <w:ind w:left="340"/>
        <w:spacing w:after="0"/>
        <w:rPr>
          <w:sz w:val="20"/>
          <w:szCs w:val="20"/>
          <w:color w:val="auto"/>
        </w:rPr>
      </w:pPr>
      <w:r>
        <w:rPr>
          <w:rFonts w:ascii="Arial" w:cs="Arial" w:eastAsia="Arial" w:hAnsi="Arial"/>
          <w:sz w:val="13"/>
          <w:szCs w:val="13"/>
          <w:b w:val="1"/>
          <w:bCs w:val="1"/>
          <w:color w:val="auto"/>
        </w:rPr>
        <w:t>July 8,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179133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1791335" cy="1200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prospectus supplement for the sale of the Sales Agreement Shares included in the Registration Statement (the Base Prospectus and such prospectus supplement, collectively, the “</w:t>
      </w:r>
      <w:r>
        <w:rPr>
          <w:rFonts w:ascii="Arial" w:cs="Arial" w:eastAsia="Arial" w:hAnsi="Arial"/>
          <w:sz w:val="22"/>
          <w:szCs w:val="22"/>
          <w:b w:val="1"/>
          <w:bCs w:val="1"/>
          <w:i w:val="1"/>
          <w:iCs w:val="1"/>
          <w:color w:val="auto"/>
        </w:rPr>
        <w:t>Sales Agreement Prospectus</w:t>
      </w:r>
      <w:r>
        <w:rPr>
          <w:rFonts w:ascii="Arial" w:cs="Arial" w:eastAsia="Arial" w:hAnsi="Arial"/>
          <w:sz w:val="22"/>
          <w:szCs w:val="22"/>
          <w:color w:val="auto"/>
        </w:rPr>
        <w:t>”), and that certain Open Market Sale Agreement dated as of July 8, 2020 between the Sales Agent and the Company (the “</w:t>
      </w:r>
      <w:r>
        <w:rPr>
          <w:rFonts w:ascii="Arial" w:cs="Arial" w:eastAsia="Arial" w:hAnsi="Arial"/>
          <w:sz w:val="22"/>
          <w:szCs w:val="22"/>
          <w:b w:val="1"/>
          <w:bCs w:val="1"/>
          <w:i w:val="1"/>
          <w:iCs w:val="1"/>
          <w:color w:val="auto"/>
        </w:rPr>
        <w:t>Sales Agreement</w:t>
      </w:r>
      <w:r>
        <w:rPr>
          <w:rFonts w:ascii="Arial" w:cs="Arial" w:eastAsia="Arial" w:hAnsi="Arial"/>
          <w:sz w:val="22"/>
          <w:szCs w:val="22"/>
          <w:color w:val="auto"/>
        </w:rPr>
        <w:t>”).</w:t>
      </w:r>
    </w:p>
    <w:p>
      <w:pPr>
        <w:spacing w:after="0" w:line="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or the Sales Agreement Prospectus, other than as expressly stated herein with respect to the issuance of the Securities, including the issuance of the Sales Agreement Shares.</w:t>
      </w:r>
    </w:p>
    <w:p>
      <w:pPr>
        <w:spacing w:after="0" w:line="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foregoing and the other matters set forth herein, it is our opinion that, as of the date hereof:</w:t>
      </w:r>
    </w:p>
    <w:p>
      <w:pPr>
        <w:spacing w:after="0" w:line="133" w:lineRule="exact"/>
        <w:rPr>
          <w:sz w:val="20"/>
          <w:szCs w:val="20"/>
          <w:color w:val="auto"/>
        </w:rPr>
      </w:pPr>
    </w:p>
    <w:p>
      <w:pPr>
        <w:jc w:val="both"/>
        <w:ind w:firstLine="656"/>
        <w:spacing w:after="0" w:line="233"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When an issuance of Common Stock (other than the Sales Agreement Shares)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(i) available under the certificate of incorporation, and (ii)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84" w:lineRule="exact"/>
        <w:rPr>
          <w:rFonts w:ascii="Arial" w:cs="Arial" w:eastAsia="Arial" w:hAnsi="Arial"/>
          <w:sz w:val="22"/>
          <w:szCs w:val="22"/>
          <w:color w:val="auto"/>
        </w:rPr>
      </w:pPr>
    </w:p>
    <w:p>
      <w:pPr>
        <w:jc w:val="both"/>
        <w:ind w:firstLine="656"/>
        <w:spacing w:after="0" w:line="274" w:lineRule="auto"/>
        <w:tabs>
          <w:tab w:leader="none" w:pos="129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(i) available under the certificate of incorporation, and (ii)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6" w:name="page157"/>
    <w:bookmarkEnd w:id="156"/>
    <w:p>
      <w:pPr>
        <w:ind w:left="340"/>
        <w:spacing w:after="0"/>
        <w:rPr>
          <w:sz w:val="20"/>
          <w:szCs w:val="20"/>
          <w:color w:val="auto"/>
        </w:rPr>
      </w:pPr>
      <w:r>
        <w:rPr>
          <w:rFonts w:ascii="Arial" w:cs="Arial" w:eastAsia="Arial" w:hAnsi="Arial"/>
          <w:sz w:val="13"/>
          <w:szCs w:val="13"/>
          <w:b w:val="1"/>
          <w:bCs w:val="1"/>
          <w:color w:val="auto"/>
        </w:rPr>
        <w:t>July 8,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179133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1791335" cy="12001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ind w:firstLine="656"/>
        <w:spacing w:after="0" w:line="277" w:lineRule="auto"/>
        <w:tabs>
          <w:tab w:leader="none" w:pos="12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43"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50" w:lineRule="exact"/>
        <w:rPr>
          <w:rFonts w:ascii="Arial" w:cs="Arial" w:eastAsia="Arial" w:hAnsi="Arial"/>
          <w:sz w:val="19"/>
          <w:szCs w:val="19"/>
          <w:color w:val="auto"/>
        </w:rPr>
      </w:pPr>
    </w:p>
    <w:p>
      <w:pPr>
        <w:jc w:val="both"/>
        <w:ind w:firstLine="656"/>
        <w:spacing w:after="0" w:line="245" w:lineRule="auto"/>
        <w:tabs>
          <w:tab w:leader="none" w:pos="129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76" w:lineRule="exact"/>
        <w:rPr>
          <w:rFonts w:ascii="Arial" w:cs="Arial" w:eastAsia="Arial" w:hAnsi="Arial"/>
          <w:sz w:val="21"/>
          <w:szCs w:val="21"/>
          <w:color w:val="auto"/>
        </w:rPr>
      </w:pPr>
    </w:p>
    <w:p>
      <w:pPr>
        <w:jc w:val="both"/>
        <w:ind w:firstLine="656"/>
        <w:spacing w:after="0" w:line="274" w:lineRule="auto"/>
        <w:tabs>
          <w:tab w:leader="none" w:pos="12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When the Sales Agreement Shares shall have been duly registered on the books of the transfer agent and registrar therefor in the name or on behalf of the purchasers, and have been issued by the Company against payment therefor (not less than par value) in the circumstances contemplated by the Sales Agreement, the issuance and sale of the Sales Agreement Shares will have been duly authorized by all necessary corporate action of the Company, and the Sales Agreement Shares will be validly issued, fully paid and nonassessable. In rendering the foregoing opinion, we have assumed that (i) the Company will comply with all applicable notice requirements regarding uncertificated shares provided in the DGCL and (ii) upon the issuance of any of the Sales Agreement Shares, the total number of shares of Common Stock issued and outstanding will not exceed the total number of shares of Common Stock that the Company is then authorized to issue under its Certificate of Incorporation.</w:t>
      </w:r>
    </w:p>
    <w:p>
      <w:pPr>
        <w:spacing w:after="0" w:line="5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Our opinions set forth in paragraphs 1 through 6 are subject to: (i) the effect of bankruptcy, insolvency, reorganization, preference, fraudulent transfer, moratorium or other similar laws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7" w:name="page158"/>
    <w:bookmarkEnd w:id="157"/>
    <w:p>
      <w:pPr>
        <w:ind w:left="340"/>
        <w:spacing w:after="0"/>
        <w:rPr>
          <w:sz w:val="20"/>
          <w:szCs w:val="20"/>
          <w:color w:val="auto"/>
        </w:rPr>
      </w:pPr>
      <w:r>
        <w:rPr>
          <w:rFonts w:ascii="Arial" w:cs="Arial" w:eastAsia="Arial" w:hAnsi="Arial"/>
          <w:sz w:val="13"/>
          <w:szCs w:val="13"/>
          <w:b w:val="1"/>
          <w:bCs w:val="1"/>
          <w:color w:val="auto"/>
        </w:rPr>
        <w:t>July 8,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1791335"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1791335" cy="1200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With your consent, with respect to our opinions set forth in paragraphs 3 through 5, we have assumed (i) that each of the Debt Securities, Warrants and Units and the Applicable Indenture, warrant agreements and unit agreements governing such Securities (collectively, the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 (iv) 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5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of the Prospectus and the Sales Agreement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8" w:name="page159"/>
    <w:bookmarkEnd w:id="158"/>
    <w:p>
      <w:pPr>
        <w:ind w:left="340"/>
        <w:spacing w:after="0"/>
        <w:rPr>
          <w:sz w:val="20"/>
          <w:szCs w:val="20"/>
          <w:color w:val="auto"/>
        </w:rPr>
      </w:pPr>
      <w:r>
        <w:rPr>
          <w:rFonts w:ascii="Arial" w:cs="Arial" w:eastAsia="Arial" w:hAnsi="Arial"/>
          <w:sz w:val="13"/>
          <w:szCs w:val="13"/>
          <w:b w:val="1"/>
          <w:bCs w:val="1"/>
          <w:color w:val="auto"/>
        </w:rPr>
        <w:t>July 8,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179133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1791335" cy="12001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consent, we do not thereby admit that we are in the category of persons whose consent is required under Section 7 of the Act or the rules and regulations of the Commission thereunder.</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Very truly yours,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 Latham &amp; Watkins LLP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consent to the reference to our firm under the caption “Experts” in this Registration Statement (Form S-3) and the related Prospectus of Ardelyx, Inc. for the registration of up to $250,000,000 of its common stock, preferred stock, debt securities, warrants, and units, and to the incorporation by reference therein of our reports dated March 6, 2020, with respect to the financial statements of Ardelyx, Inc., and the effectiveness of internal control over financial reporting of Ardelyx, Inc., included in its Annual Report (Form 10-K) for the year ended December 31, 2019, filed with the Securities and Exchange Commission.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1)"/>
      <w:numFmt w:val="decimal"/>
      <w:start w:val="1"/>
    </w:lvl>
  </w:abstractNum>
  <w:abstractNum w:abstractNumId="32">
    <w:nsid w:val="885E1B"/>
    <w:multiLevelType w:val="hybridMultilevel"/>
    <w:lvl w:ilvl="0">
      <w:lvlJc w:val="left"/>
      <w:lvlText w:val="(%1)"/>
      <w:numFmt w:val="lowerRoman"/>
      <w:start w:val="1"/>
    </w:lvl>
  </w:abstractNum>
  <w:abstractNum w:abstractNumId="33">
    <w:nsid w:val="76272110"/>
    <w:multiLevelType w:val="hybridMultilevel"/>
    <w:lvl w:ilvl="0">
      <w:lvlJc w:val="left"/>
      <w:lvlText w:val="(%1)"/>
      <w:numFmt w:val="lowerRoman"/>
      <w:start w:val="4"/>
    </w:lvl>
  </w:abstractNum>
  <w:abstractNum w:abstractNumId="34">
    <w:nsid w:val="4C04A8AF"/>
    <w:multiLevelType w:val="hybridMultilevel"/>
    <w:lvl w:ilvl="0">
      <w:lvlJc w:val="left"/>
      <w:lvlText w:val="(%1)"/>
      <w:numFmt w:val="lowerLetter"/>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1)"/>
      <w:numFmt w:val="lowerLetter"/>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1)"/>
      <w:numFmt w:val="lowerRoman"/>
      <w:start w:val="1"/>
    </w:lvl>
  </w:abstractNum>
  <w:abstractNum w:abstractNumId="39">
    <w:nsid w:val="68EBC550"/>
    <w:multiLevelType w:val="hybridMultilevel"/>
    <w:lvl w:ilvl="0">
      <w:lvlJc w:val="left"/>
      <w:lvlText w:val="(%1)"/>
      <w:numFmt w:val="decimal"/>
      <w:start w:val="2"/>
    </w:lvl>
  </w:abstractNum>
  <w:abstractNum w:abstractNumId="40">
    <w:nsid w:val="2DF6D648"/>
    <w:multiLevelType w:val="hybridMultilevel"/>
    <w:lvl w:ilvl="0">
      <w:lvlJc w:val="left"/>
      <w:lvlText w:val="(%1)"/>
      <w:numFmt w:val="decimal"/>
      <w:start w:val="5"/>
    </w:lvl>
  </w:abstractNum>
  <w:abstractNum w:abstractNumId="41">
    <w:nsid w:val="46B7D447"/>
    <w:multiLevelType w:val="hybridMultilevel"/>
    <w:lvl w:ilvl="0">
      <w:lvlJc w:val="left"/>
      <w:lvlText w:val="(%1)"/>
      <w:numFmt w:val="upperLetter"/>
      <w:start w:val="1"/>
    </w:lvl>
  </w:abstractNum>
  <w:abstractNum w:abstractNumId="42">
    <w:nsid w:val="4A2AC315"/>
    <w:multiLevelType w:val="hybridMultilevel"/>
    <w:lvl w:ilvl="0">
      <w:lvlJc w:val="left"/>
      <w:lvlText w:val="(%1)"/>
      <w:numFmt w:val="decimal"/>
      <w:start w:val="6"/>
    </w:lvl>
  </w:abstractNum>
  <w:abstractNum w:abstractNumId="43">
    <w:nsid w:val="39EE015C"/>
    <w:multiLevelType w:val="hybridMultilevel"/>
    <w:lvl w:ilvl="0">
      <w:lvlJc w:val="left"/>
      <w:lvlText w:val="(%1)"/>
      <w:numFmt w:val="lowerRoman"/>
      <w:start w:val="1"/>
    </w:lvl>
  </w:abstractNum>
  <w:abstractNum w:abstractNumId="44">
    <w:nsid w:val="57FC4FBB"/>
    <w:multiLevelType w:val="hybridMultilevel"/>
    <w:lvl w:ilvl="0">
      <w:lvlJc w:val="left"/>
      <w:lvlText w:val="(%1)"/>
      <w:numFmt w:val="lowerLetter"/>
      <w:start w:val="2"/>
    </w:lvl>
  </w:abstractNum>
  <w:abstractNum w:abstractNumId="45">
    <w:nsid w:val="CC1016F"/>
    <w:multiLevelType w:val="hybridMultilevel"/>
    <w:lvl w:ilvl="0">
      <w:lvlJc w:val="left"/>
      <w:lvlText w:val="(%1)"/>
      <w:numFmt w:val="lowerLetter"/>
      <w:start w:val="8"/>
    </w:lvl>
  </w:abstractNum>
  <w:abstractNum w:abstractNumId="46">
    <w:nsid w:val="43F18422"/>
    <w:multiLevelType w:val="hybridMultilevel"/>
    <w:lvl w:ilvl="0">
      <w:lvlJc w:val="left"/>
      <w:lvlText w:val="(%1)"/>
      <w:numFmt w:val="lowerLetter"/>
      <w:start w:val="10"/>
    </w:lvl>
  </w:abstractNum>
  <w:abstractNum w:abstractNumId="47">
    <w:nsid w:val="60EF0119"/>
    <w:multiLevelType w:val="hybridMultilevel"/>
    <w:lvl w:ilvl="0">
      <w:lvlJc w:val="left"/>
      <w:lvlText w:val="(%1)"/>
      <w:numFmt w:val="lowerLetter"/>
      <w:start w:val="1"/>
    </w:lvl>
  </w:abstractNum>
  <w:abstractNum w:abstractNumId="48">
    <w:nsid w:val="26F324BA"/>
    <w:multiLevelType w:val="hybridMultilevel"/>
    <w:lvl w:ilvl="0">
      <w:lvlJc w:val="left"/>
      <w:lvlText w:val="(%1)"/>
      <w:numFmt w:val="lowerLetter"/>
      <w:start w:val="1"/>
    </w:lvl>
  </w:abstractNum>
  <w:abstractNum w:abstractNumId="49">
    <w:nsid w:val="7F01579B"/>
    <w:multiLevelType w:val="hybridMultilevel"/>
    <w:lvl w:ilvl="0">
      <w:lvlJc w:val="left"/>
      <w:lvlText w:val="(%1)"/>
      <w:numFmt w:val="lowerLetter"/>
      <w:start w:val="2"/>
    </w:lvl>
  </w:abstractNum>
  <w:abstractNum w:abstractNumId="50">
    <w:nsid w:val="49DA307D"/>
    <w:multiLevelType w:val="hybridMultilevel"/>
    <w:lvl w:ilvl="0">
      <w:lvlJc w:val="left"/>
      <w:lvlText w:val="(%1)"/>
      <w:numFmt w:val="lowerLetter"/>
      <w:start w:val="3"/>
    </w:lvl>
  </w:abstractNum>
  <w:abstractNum w:abstractNumId="51">
    <w:nsid w:val="7055A5F5"/>
    <w:multiLevelType w:val="hybridMultilevel"/>
    <w:lvl w:ilvl="0">
      <w:lvlJc w:val="left"/>
      <w:lvlText w:val="(%1)"/>
      <w:numFmt w:val="lowerLetter"/>
      <w:start w:val="7"/>
    </w:lvl>
  </w:abstractNum>
  <w:abstractNum w:abstractNumId="52">
    <w:nsid w:val="5FB8370B"/>
    <w:multiLevelType w:val="hybridMultilevel"/>
    <w:lvl w:ilvl="0">
      <w:lvlJc w:val="left"/>
      <w:lvlText w:val="(%1)"/>
      <w:numFmt w:val="lowerLetter"/>
      <w:start w:val="35"/>
    </w:lvl>
    <w:lvl w:ilvl="1">
      <w:lvlJc w:val="left"/>
      <w:lvlText w:val="(%2)"/>
      <w:numFmt w:val="lowerLetter"/>
      <w:start w:val="11"/>
    </w:lvl>
  </w:abstractNum>
  <w:abstractNum w:abstractNumId="53">
    <w:nsid w:val="50801EE1"/>
    <w:multiLevelType w:val="hybridMultilevel"/>
    <w:lvl w:ilvl="0">
      <w:lvlJc w:val="left"/>
      <w:lvlText w:val="(%1)"/>
      <w:numFmt w:val="lowerLetter"/>
      <w:start w:val="13"/>
    </w:lvl>
  </w:abstractNum>
  <w:abstractNum w:abstractNumId="54">
    <w:nsid w:val="488AC1A"/>
    <w:multiLevelType w:val="hybridMultilevel"/>
    <w:lvl w:ilvl="0">
      <w:lvlJc w:val="left"/>
      <w:lvlText w:val="(%1)"/>
      <w:numFmt w:val="lowerLetter"/>
      <w:start w:val="17"/>
    </w:lvl>
  </w:abstractNum>
  <w:abstractNum w:abstractNumId="55">
    <w:nsid w:val="5FB8011C"/>
    <w:multiLevelType w:val="hybridMultilevel"/>
    <w:lvl w:ilvl="0">
      <w:lvlJc w:val="left"/>
      <w:lvlText w:val="(%1)"/>
      <w:numFmt w:val="lowerLetter"/>
      <w:start w:val="21"/>
    </w:lvl>
  </w:abstractNum>
  <w:abstractNum w:abstractNumId="56">
    <w:nsid w:val="6AA78F7F"/>
    <w:multiLevelType w:val="hybridMultilevel"/>
    <w:lvl w:ilvl="0">
      <w:lvlJc w:val="left"/>
      <w:lvlText w:val="(%1)"/>
      <w:numFmt w:val="lowerLetter"/>
      <w:start w:val="22"/>
    </w:lvl>
  </w:abstractNum>
  <w:abstractNum w:abstractNumId="57">
    <w:nsid w:val="7672BD23"/>
    <w:multiLevelType w:val="hybridMultilevel"/>
    <w:lvl w:ilvl="0">
      <w:lvlJc w:val="left"/>
      <w:lvlText w:val="(%1)"/>
      <w:numFmt w:val="lowerLetter"/>
      <w:start w:val="24"/>
    </w:lvl>
  </w:abstractNum>
  <w:abstractNum w:abstractNumId="58">
    <w:nsid w:val="6FC75AF8"/>
    <w:multiLevelType w:val="hybridMultilevel"/>
    <w:lvl w:ilvl="0">
      <w:lvlJc w:val="left"/>
      <w:lvlText w:val="(%1)"/>
      <w:numFmt w:val="lowerLetter"/>
      <w:start w:val="27"/>
    </w:lvl>
  </w:abstractNum>
  <w:abstractNum w:abstractNumId="59">
    <w:nsid w:val="6A5F7029"/>
    <w:multiLevelType w:val="hybridMultilevel"/>
    <w:lvl w:ilvl="0">
      <w:lvlJc w:val="left"/>
      <w:lvlText w:val="(%1)"/>
      <w:numFmt w:val="lowerLetter"/>
      <w:start w:val="28"/>
    </w:lvl>
  </w:abstractNum>
  <w:abstractNum w:abstractNumId="60">
    <w:nsid w:val="7D5E18F8"/>
    <w:multiLevelType w:val="hybridMultilevel"/>
    <w:lvl w:ilvl="0">
      <w:lvlJc w:val="left"/>
      <w:lvlText w:val="(%1)"/>
      <w:numFmt w:val="lowerLetter"/>
      <w:start w:val="61"/>
    </w:lvl>
    <w:lvl w:ilvl="1">
      <w:lvlJc w:val="left"/>
      <w:lvlText w:val="(%2)"/>
      <w:numFmt w:val="lowerLetter"/>
      <w:start w:val="33"/>
    </w:lvl>
  </w:abstractNum>
  <w:abstractNum w:abstractNumId="61">
    <w:nsid w:val="5F3534A4"/>
    <w:multiLevelType w:val="hybridMultilevel"/>
    <w:lvl w:ilvl="0">
      <w:lvlJc w:val="left"/>
      <w:lvlText w:val="(%1)"/>
      <w:numFmt w:val="lowerLetter"/>
      <w:start w:val="35"/>
    </w:lvl>
  </w:abstractNum>
  <w:abstractNum w:abstractNumId="62">
    <w:nsid w:val="73A1821B"/>
    <w:multiLevelType w:val="hybridMultilevel"/>
    <w:lvl w:ilvl="0">
      <w:lvlJc w:val="left"/>
      <w:lvlText w:val="(%1)"/>
      <w:numFmt w:val="lowerLetter"/>
      <w:start w:val="41"/>
    </w:lvl>
  </w:abstractNum>
  <w:abstractNum w:abstractNumId="63">
    <w:nsid w:val="7DE67713"/>
    <w:multiLevelType w:val="hybridMultilevel"/>
    <w:lvl w:ilvl="0">
      <w:lvlJc w:val="left"/>
      <w:lvlText w:val="(%1)"/>
      <w:numFmt w:val="lowerLetter"/>
      <w:start w:val="47"/>
    </w:lvl>
  </w:abstractNum>
  <w:abstractNum w:abstractNumId="64">
    <w:nsid w:val="555C55B5"/>
    <w:multiLevelType w:val="hybridMultilevel"/>
    <w:lvl w:ilvl="0">
      <w:lvlJc w:val="left"/>
      <w:lvlText w:val="(%1)"/>
      <w:numFmt w:val="lowerLetter"/>
      <w:start w:val="50"/>
    </w:lvl>
    <w:lvl w:ilvl="1">
      <w:lvlJc w:val="left"/>
      <w:lvlText w:val="(%2)"/>
      <w:numFmt w:val="lowerLetter"/>
      <w:start w:val="1"/>
    </w:lvl>
  </w:abstractNum>
  <w:abstractNum w:abstractNumId="65">
    <w:nsid w:val="3FA62ACA"/>
    <w:multiLevelType w:val="hybridMultilevel"/>
    <w:lvl w:ilvl="0">
      <w:lvlJc w:val="left"/>
      <w:lvlText w:val="(%1)"/>
      <w:numFmt w:val="lowerLetter"/>
      <w:start w:val="35"/>
    </w:lvl>
    <w:lvl w:ilvl="1">
      <w:lvlJc w:val="left"/>
      <w:lvlText w:val="(%2)"/>
      <w:numFmt w:val="lowerLetter"/>
      <w:start w:val="1"/>
    </w:lvl>
  </w:abstractNum>
  <w:abstractNum w:abstractNumId="66">
    <w:nsid w:val="14FCE74E"/>
    <w:multiLevelType w:val="hybridMultilevel"/>
    <w:lvl w:ilvl="0">
      <w:lvlJc w:val="left"/>
      <w:lvlText w:val="(%1)"/>
      <w:numFmt w:val="upperLetter"/>
      <w:start w:val="2"/>
    </w:lvl>
  </w:abstractNum>
  <w:abstractNum w:abstractNumId="67">
    <w:nsid w:val="6A3DD3E8"/>
    <w:multiLevelType w:val="hybridMultilevel"/>
    <w:lvl w:ilvl="0">
      <w:lvlJc w:val="left"/>
      <w:lvlText w:val="(%1)"/>
      <w:numFmt w:val="lowerRoman"/>
      <w:start w:val="3"/>
    </w:lvl>
  </w:abstractNum>
  <w:abstractNum w:abstractNumId="68">
    <w:nsid w:val="71C91298"/>
    <w:multiLevelType w:val="hybridMultilevel"/>
    <w:lvl w:ilvl="0">
      <w:lvlJc w:val="left"/>
      <w:lvlText w:val="(%1)"/>
      <w:numFmt w:val="lowerLetter"/>
      <w:start w:val="52"/>
    </w:lvl>
  </w:abstractNum>
  <w:abstractNum w:abstractNumId="69">
    <w:nsid w:val="9DAF632"/>
    <w:multiLevelType w:val="hybridMultilevel"/>
    <w:lvl w:ilvl="0">
      <w:lvlJc w:val="left"/>
      <w:lvlText w:val="(%1)"/>
      <w:numFmt w:val="lowerLetter"/>
      <w:start w:val="53"/>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lowerRoman"/>
      <w:start w:val="1"/>
    </w:lvl>
  </w:abstractNum>
  <w:abstractNum w:abstractNumId="72">
    <w:nsid w:val="5092CA79"/>
    <w:multiLevelType w:val="hybridMultilevel"/>
    <w:lvl w:ilvl="0">
      <w:lvlJc w:val="left"/>
      <w:lvlText w:val="(%1)"/>
      <w:numFmt w:val="lowerRoman"/>
      <w:start w:val="2"/>
    </w:lvl>
  </w:abstractNum>
  <w:abstractNum w:abstractNumId="73">
    <w:nsid w:val="1D545C4D"/>
    <w:multiLevelType w:val="hybridMultilevel"/>
    <w:lvl w:ilvl="0">
      <w:lvlJc w:val="left"/>
      <w:lvlText w:val="(%1)"/>
      <w:numFmt w:val="lowerRoman"/>
      <w:start w:val="7"/>
    </w:lvl>
  </w:abstractNum>
  <w:abstractNum w:abstractNumId="74">
    <w:nsid w:val="59ADEA3D"/>
    <w:multiLevelType w:val="hybridMultilevel"/>
    <w:lvl w:ilvl="0">
      <w:lvlJc w:val="left"/>
      <w:lvlText w:val="(%1)"/>
      <w:numFmt w:val="lowerLetter"/>
      <w:start w:val="3"/>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1)"/>
      <w:numFmt w:val="lowerLetter"/>
      <w:start w:val="3"/>
    </w:lvl>
  </w:abstractNum>
  <w:abstractNum w:abstractNumId="77">
    <w:nsid w:val="1D9F6E5F"/>
    <w:multiLevelType w:val="hybridMultilevel"/>
    <w:lvl w:ilvl="0">
      <w:lvlJc w:val="left"/>
      <w:lvlText w:val="(%1)"/>
      <w:numFmt w:val="lowerLetter"/>
      <w:start w:val="6"/>
    </w:lvl>
  </w:abstractNum>
  <w:abstractNum w:abstractNumId="78">
    <w:nsid w:val="97E1B4E"/>
    <w:multiLevelType w:val="hybridMultilevel"/>
    <w:lvl w:ilvl="0">
      <w:lvlJc w:val="left"/>
      <w:lvlText w:val="%1"/>
      <w:numFmt w:val="lowerLetter"/>
      <w:start w:val="1"/>
    </w:lvl>
    <w:lvl w:ilvl="1">
      <w:lvlJc w:val="left"/>
      <w:lvlText w:val="(%2)"/>
      <w:numFmt w:val="lowerLetter"/>
      <w:start w:val="9"/>
    </w:lvl>
  </w:abstractNum>
  <w:abstractNum w:abstractNumId="79">
    <w:nsid w:val="51088277"/>
    <w:multiLevelType w:val="hybridMultilevel"/>
    <w:lvl w:ilvl="0">
      <w:lvlJc w:val="left"/>
      <w:lvlText w:val="(%1)"/>
      <w:numFmt w:val="lowerLetter"/>
      <w:start w:val="13"/>
    </w:lvl>
    <w:lvl w:ilvl="1">
      <w:lvlJc w:val="left"/>
      <w:lvlText w:val="%2"/>
      <w:numFmt w:val="lowerLetter"/>
      <w:start w:val="1"/>
    </w:lvl>
  </w:abstractNum>
  <w:abstractNum w:abstractNumId="80">
    <w:nsid w:val="1CA0C5FA"/>
    <w:multiLevelType w:val="hybridMultilevel"/>
    <w:lvl w:ilvl="0">
      <w:lvlJc w:val="left"/>
      <w:lvlText w:val="1"/>
      <w:numFmt w:val="bullet"/>
      <w:start w:val="1"/>
    </w:lvl>
  </w:abstractNum>
  <w:abstractNum w:abstractNumId="81">
    <w:nsid w:val="53584BCB"/>
    <w:multiLevelType w:val="hybridMultilevel"/>
    <w:lvl w:ilvl="0">
      <w:lvlJc w:val="left"/>
      <w:lvlText w:val="(%1)"/>
      <w:numFmt w:val="lowerLetter"/>
      <w:start w:val="14"/>
    </w:lvl>
    <w:lvl w:ilvl="1">
      <w:lvlJc w:val="left"/>
      <w:lvlText w:val="(%2)"/>
      <w:numFmt w:val="upperLetter"/>
      <w:start w:val="1"/>
    </w:lvl>
  </w:abstractNum>
  <w:abstractNum w:abstractNumId="82">
    <w:nsid w:val="415E286C"/>
    <w:multiLevelType w:val="hybridMultilevel"/>
    <w:lvl w:ilvl="0">
      <w:lvlJc w:val="left"/>
      <w:lvlText w:val="(%1)"/>
      <w:numFmt w:val="lowerLetter"/>
      <w:start w:val="16"/>
    </w:lvl>
  </w:abstractNum>
  <w:abstractNum w:abstractNumId="83">
    <w:nsid w:val="7C58FD05"/>
    <w:multiLevelType w:val="hybridMultilevel"/>
    <w:lvl w:ilvl="0">
      <w:lvlJc w:val="left"/>
      <w:lvlText w:val="(%1)"/>
      <w:numFmt w:val="lowerLetter"/>
      <w:start w:val="18"/>
    </w:lvl>
  </w:abstractNum>
  <w:abstractNum w:abstractNumId="84">
    <w:nsid w:val="23D86AAC"/>
    <w:multiLevelType w:val="hybridMultilevel"/>
    <w:lvl w:ilvl="0">
      <w:lvlJc w:val="left"/>
      <w:lvlText w:val="(%1)"/>
      <w:numFmt w:val="lowerRoman"/>
      <w:start w:val="4"/>
    </w:lvl>
  </w:abstractNum>
  <w:abstractNum w:abstractNumId="85">
    <w:nsid w:val="45E6D486"/>
    <w:multiLevelType w:val="hybridMultilevel"/>
    <w:lvl w:ilvl="0">
      <w:lvlJc w:val="left"/>
      <w:lvlText w:val="(%1)"/>
      <w:numFmt w:val="lowerLetter"/>
      <w:start w:val="1"/>
    </w:lvl>
  </w:abstractNum>
  <w:abstractNum w:abstractNumId="86">
    <w:nsid w:val="5C10FE21"/>
    <w:multiLevelType w:val="hybridMultilevel"/>
    <w:lvl w:ilvl="0">
      <w:lvlJc w:val="left"/>
      <w:lvlText w:val="(%1)"/>
      <w:numFmt w:val="lowerRoman"/>
      <w:start w:val="1"/>
    </w:lvl>
  </w:abstractNum>
  <w:abstractNum w:abstractNumId="87">
    <w:nsid w:val="E7FFA2B"/>
    <w:multiLevelType w:val="hybridMultilevel"/>
    <w:lvl w:ilvl="0">
      <w:lvlJc w:val="left"/>
      <w:lvlText w:val="(%1)"/>
      <w:numFmt w:val="lowerRoman"/>
      <w:start w:val="4"/>
    </w:lvl>
  </w:abstractNum>
  <w:abstractNum w:abstractNumId="88">
    <w:nsid w:val="3C5991AA"/>
    <w:multiLevelType w:val="hybridMultilevel"/>
    <w:lvl w:ilvl="0">
      <w:lvlJc w:val="left"/>
      <w:lvlText w:val="(%1)"/>
      <w:numFmt w:val="lowerLetter"/>
      <w:start w:val="2"/>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2"/>
    </w:lvl>
  </w:abstractNum>
  <w:abstractNum w:abstractNumId="91">
    <w:nsid w:val="39B7AAA2"/>
    <w:multiLevelType w:val="hybridMultilevel"/>
    <w:lvl w:ilvl="0">
      <w:lvlJc w:val="left"/>
      <w:lvlText w:val="(%1)"/>
      <w:numFmt w:val="lowerLetter"/>
      <w:start w:val="4"/>
    </w:lvl>
  </w:abstractNum>
  <w:abstractNum w:abstractNumId="92">
    <w:nsid w:val="2B0D8DBE"/>
    <w:multiLevelType w:val="hybridMultilevel"/>
    <w:lvl w:ilvl="0">
      <w:lvlJc w:val="left"/>
      <w:lvlText w:val="(%1)"/>
      <w:numFmt w:val="lowerLetter"/>
      <w:start w:val="5"/>
    </w:lvl>
  </w:abstractNum>
  <w:abstractNum w:abstractNumId="93">
    <w:nsid w:val="6C80EC70"/>
    <w:multiLevelType w:val="hybridMultilevel"/>
    <w:lvl w:ilvl="0">
      <w:lvlJc w:val="left"/>
      <w:lvlText w:val="(%1)"/>
      <w:numFmt w:val="lowerLetter"/>
      <w:start w:val="1"/>
    </w:lvl>
    <w:lvl w:ilvl="1">
      <w:lvlJc w:val="left"/>
      <w:lvlText w:val="(%2)"/>
      <w:numFmt w:val="lowerRoman"/>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lowerLetter"/>
      <w:start w:val="2"/>
    </w:lvl>
  </w:abstractNum>
  <w:abstractNum w:abstractNumId="96">
    <w:nsid w:val="2C27173B"/>
    <w:multiLevelType w:val="hybridMultilevel"/>
    <w:lvl w:ilvl="0">
      <w:lvlJc w:val="left"/>
      <w:lvlText w:val="(%1)"/>
      <w:numFmt w:val="lowerLetter"/>
      <w:start w:val="5"/>
    </w:lvl>
  </w:abstractNum>
  <w:abstractNum w:abstractNumId="97">
    <w:nsid w:val="4C9B0904"/>
    <w:multiLevelType w:val="hybridMultilevel"/>
    <w:lvl w:ilvl="0">
      <w:lvlJc w:val="left"/>
      <w:lvlText w:val="(%1)"/>
      <w:numFmt w:val="lowerLetter"/>
      <w:start w:val="8"/>
    </w:lvl>
    <w:lvl w:ilvl="1">
      <w:lvlJc w:val="left"/>
      <w:lvlText w:val="(%2)"/>
      <w:numFmt w:val="lowerLetter"/>
      <w:start w:val="1"/>
    </w:lvl>
  </w:abstractNum>
  <w:abstractNum w:abstractNumId="98">
    <w:nsid w:val="6AA7B75C"/>
    <w:multiLevelType w:val="hybridMultilevel"/>
    <w:lvl w:ilvl="0">
      <w:lvlJc w:val="left"/>
      <w:lvlText w:val="(%1)"/>
      <w:numFmt w:val="lowerRoman"/>
      <w:start w:val="1"/>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1."/>
      <w:numFmt w:val="decimal"/>
      <w:start w:val="1"/>
    </w:lvl>
  </w:abstractNum>
  <w:abstractNum w:abstractNumId="101">
    <w:nsid w:val="3DD15094"/>
    <w:multiLevelType w:val="hybridMultilevel"/>
    <w:lvl w:ilvl="0">
      <w:lvlJc w:val="left"/>
      <w:lvlText w:val="%1."/>
      <w:numFmt w:val="decimal"/>
      <w:start w:val="6"/>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3"/>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1)"/>
      <w:numFmt w:val="lowerLetter"/>
      <w:start w:val="2"/>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1"/>
    </w:lvl>
    <w:lvl w:ilvl="1">
      <w:lvlJc w:val="left"/>
      <w:lvlText w:val="(%2)"/>
      <w:numFmt w:val="lowerRoman"/>
      <w:start w:val="1"/>
    </w:lvl>
  </w:abstractNum>
  <w:abstractNum w:abstractNumId="109">
    <w:nsid w:val="5915FF32"/>
    <w:multiLevelType w:val="hybridMultilevel"/>
    <w:lvl w:ilvl="0">
      <w:lvlJc w:val="left"/>
      <w:lvlText w:val="(%1)"/>
      <w:numFmt w:val="lowerRoman"/>
      <w:start w:val="2"/>
    </w:lvl>
  </w:abstractNum>
  <w:abstractNum w:abstractNumId="110">
    <w:nsid w:val="56438D15"/>
    <w:multiLevelType w:val="hybridMultilevel"/>
    <w:lvl w:ilvl="0">
      <w:lvlJc w:val="left"/>
      <w:lvlText w:val="(%1)"/>
      <w:numFmt w:val="lowerLetter"/>
      <w:start w:val="6"/>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1"/>
    </w:lvl>
  </w:abstractNum>
  <w:abstractNum w:abstractNumId="113">
    <w:nsid w:val="17A1B582"/>
    <w:multiLevelType w:val="hybridMultilevel"/>
    <w:lvl w:ilvl="0">
      <w:lvlJc w:val="left"/>
      <w:lvlText w:val="(%1)"/>
      <w:numFmt w:val="lowerLetter"/>
      <w:start w:val="2"/>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lvl w:ilvl="1">
      <w:lvlJc w:val="left"/>
      <w:lvlText w:val="(%2)"/>
      <w:numFmt w:val="lowerRoman"/>
      <w:start w:val="1"/>
    </w:lvl>
  </w:abstractNum>
  <w:abstractNum w:abstractNumId="117">
    <w:nsid w:val="2A082C70"/>
    <w:multiLevelType w:val="hybridMultilevel"/>
    <w:lvl w:ilvl="0">
      <w:lvlJc w:val="left"/>
      <w:lvlText w:val="(%1)"/>
      <w:numFmt w:val="lowerLetter"/>
      <w:start w:val="3"/>
    </w:lvl>
    <w:lvl w:ilvl="1">
      <w:lvlJc w:val="left"/>
      <w:lvlText w:val="(%2)"/>
      <w:numFmt w:val="lowerRoman"/>
      <w:start w:val="1"/>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lowerLetter"/>
      <w:start w:val="2"/>
    </w:lvl>
  </w:abstractNum>
  <w:abstractNum w:abstractNumId="120">
    <w:nsid w:val="75E0858A"/>
    <w:multiLevelType w:val="hybridMultilevel"/>
    <w:lvl w:ilvl="0">
      <w:lvlJc w:val="left"/>
      <w:lvlText w:val="(%1)"/>
      <w:numFmt w:val="lowerLetter"/>
      <w:start w:val="1"/>
    </w:lvl>
  </w:abstractNum>
  <w:abstractNum w:abstractNumId="121">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2">
    <w:nsid w:val="5399C654"/>
    <w:multiLevelType w:val="hybridMultilevel"/>
    <w:lvl w:ilvl="0">
      <w:lvlJc w:val="left"/>
      <w:lvlText w:val="(%1)"/>
      <w:numFmt w:val="lowerLetter"/>
      <w:start w:val="2"/>
    </w:lvl>
  </w:abstractNum>
  <w:abstractNum w:abstractNumId="123">
    <w:nsid w:val="20EE1348"/>
    <w:multiLevelType w:val="hybridMultilevel"/>
    <w:lvl w:ilvl="0">
      <w:lvlJc w:val="left"/>
      <w:lvlText w:val="(%1)"/>
      <w:numFmt w:val="lowerLetter"/>
      <w:start w:val="1"/>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lowerLetter"/>
      <w:start w:val="2"/>
    </w:lvl>
  </w:abstractNum>
  <w:abstractNum w:abstractNumId="126">
    <w:nsid w:val="2157F6BC"/>
    <w:multiLevelType w:val="hybridMultilevel"/>
    <w:lvl w:ilvl="0">
      <w:lvlJc w:val="left"/>
      <w:lvlText w:val="(%1)"/>
      <w:numFmt w:val="lowerLetter"/>
      <w:start w:val="4"/>
    </w:lvl>
  </w:abstractNum>
  <w:abstractNum w:abstractNumId="127">
    <w:nsid w:val="704E1DD5"/>
    <w:multiLevelType w:val="hybridMultilevel"/>
    <w:lvl w:ilvl="0">
      <w:lvlJc w:val="left"/>
      <w:lvlText w:val="(%1)"/>
      <w:numFmt w:val="lowerLetter"/>
      <w:start w:val="8"/>
    </w:lvl>
  </w:abstractNum>
  <w:abstractNum w:abstractNumId="128">
    <w:nsid w:val="57D2F10E"/>
    <w:multiLevelType w:val="hybridMultilevel"/>
    <w:lvl w:ilvl="0">
      <w:lvlJc w:val="left"/>
      <w:lvlText w:val="(%1)"/>
      <w:numFmt w:val="lowerLetter"/>
      <w:start w:val="1"/>
    </w:lvl>
  </w:abstractNum>
  <w:abstractNum w:abstractNumId="129">
    <w:nsid w:val="BFFAE18"/>
    <w:multiLevelType w:val="hybridMultilevel"/>
    <w:lvl w:ilvl="0">
      <w:lvlJc w:val="left"/>
      <w:lvlText w:val="(%1)"/>
      <w:numFmt w:val="lowerLetter"/>
      <w:start w:val="4"/>
    </w:lvl>
  </w:abstractNum>
  <w:abstractNum w:abstractNumId="130">
    <w:nsid w:val="E3E47A8"/>
    <w:multiLevelType w:val="hybridMultilevel"/>
    <w:lvl w:ilvl="0">
      <w:lvlJc w:val="left"/>
      <w:lvlText w:val="(%1)"/>
      <w:numFmt w:val="lowerLetter"/>
      <w:start w:val="1"/>
    </w:lvl>
  </w:abstractNum>
  <w:abstractNum w:abstractNumId="131">
    <w:nsid w:val="2E48F044"/>
    <w:multiLevelType w:val="hybridMultilevel"/>
    <w:lvl w:ilvl="0">
      <w:lvlJc w:val="left"/>
      <w:lvlText w:val="(%1)"/>
      <w:numFmt w:val="lowerLetter"/>
      <w:start w:val="2"/>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Letter"/>
      <w:start w:val="1"/>
    </w:lvl>
  </w:abstractNum>
  <w:abstractNum w:abstractNumId="136">
    <w:nsid w:val="634C574C"/>
    <w:multiLevelType w:val="hybridMultilevel"/>
    <w:lvl w:ilvl="0">
      <w:lvlJc w:val="left"/>
      <w:lvlText w:val="(%1)"/>
      <w:numFmt w:val="lowerLetter"/>
      <w:start w:val="61"/>
    </w:lvl>
  </w:abstractNum>
  <w:abstractNum w:abstractNumId="137">
    <w:nsid w:val="24E99DD7"/>
    <w:multiLevelType w:val="hybridMultilevel"/>
    <w:lvl w:ilvl="0">
      <w:lvlJc w:val="left"/>
      <w:lvlText w:val="(%1)"/>
      <w:numFmt w:val="lowerRoman"/>
      <w:start w:val="3"/>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jpe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jpe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jpeg"/><Relationship Id="rId213" Type="http://schemas.openxmlformats.org/officeDocument/2006/relationships/image" Target="media/image196.png"/><Relationship Id="rId214" Type="http://schemas.openxmlformats.org/officeDocument/2006/relationships/image" Target="media/image197.jpeg"/><Relationship Id="rId215" Type="http://schemas.openxmlformats.org/officeDocument/2006/relationships/image" Target="media/image198.png"/><Relationship Id="rId216" Type="http://schemas.openxmlformats.org/officeDocument/2006/relationships/image" Target="media/image199.jpeg"/><Relationship Id="rId217" Type="http://schemas.openxmlformats.org/officeDocument/2006/relationships/image" Target="media/image200.png"/><Relationship Id="rId218" Type="http://schemas.openxmlformats.org/officeDocument/2006/relationships/image" Target="media/image201.jpeg"/><Relationship Id="rId219" Type="http://schemas.openxmlformats.org/officeDocument/2006/relationships/image" Target="media/image202.png"/><Relationship Id="rId220" Type="http://schemas.openxmlformats.org/officeDocument/2006/relationships/image" Target="media/image203.jpeg"/><Relationship Id="rId221" Type="http://schemas.openxmlformats.org/officeDocument/2006/relationships/image" Target="media/image204.png"/><Relationship Id="rId222" Type="http://schemas.openxmlformats.org/officeDocument/2006/relationships/image" Target="media/image205.png"/><Relationship Id="rId28" Type="http://schemas.openxmlformats.org/officeDocument/2006/relationships/hyperlink" Target="https://www.sec.gov/Archives/edgar/data/1437402/000155837020002138/ardx-20191231x10k.htm" TargetMode="External"/><Relationship Id="rId29" Type="http://schemas.openxmlformats.org/officeDocument/2006/relationships/hyperlink" Target="https://www.sec.gov/Archives/edgar/data/1437402/000155837020004319/tmb-20200609xdef14a.htm" TargetMode="External"/><Relationship Id="rId30" Type="http://schemas.openxmlformats.org/officeDocument/2006/relationships/hyperlink" Target="https://www.sec.gov/Archives/edgar/data/1437402/000155837020005688/ardx-20200331x10q.htm" TargetMode="External"/><Relationship Id="rId31" Type="http://schemas.openxmlformats.org/officeDocument/2006/relationships/hyperlink" Target="https://www.sec.gov/Archives/edgar/data/1437402/000155837020000130/f8-k.htm" TargetMode="External"/><Relationship Id="rId32" Type="http://schemas.openxmlformats.org/officeDocument/2006/relationships/hyperlink" Target="https://www.sec.gov/Archives/edgar/data/1437402/000155837020002836/f8-k.htm" TargetMode="External"/><Relationship Id="rId33" Type="http://schemas.openxmlformats.org/officeDocument/2006/relationships/hyperlink" Target="https://www.sec.gov/Archives/edgar/data/1437402/000155837020007400/tmb-20200608x8k.htm" TargetMode="External"/><Relationship Id="rId35" Type="http://schemas.openxmlformats.org/officeDocument/2006/relationships/hyperlink" Target="https://www.sec.gov/Archives/edgar/data/1437402/000119312514230441/d740908d8a12b.htm" TargetMode="External"/><Relationship Id="rId87" Type="http://schemas.openxmlformats.org/officeDocument/2006/relationships/hyperlink" Target="https://www.sec.gov/Archives/edgar/data/1437402/000119312514247380/d748616dex31.htm" TargetMode="External"/><Relationship Id="rId88" Type="http://schemas.openxmlformats.org/officeDocument/2006/relationships/hyperlink" Target="https://www.sec.gov/Archives/edgar/data/1437402/000119312514247380/d748616dex32.htm" TargetMode="External"/><Relationship Id="rId89" Type="http://schemas.openxmlformats.org/officeDocument/2006/relationships/hyperlink" Target="https://www.sec.gov/Archives/edgar/data/1437402/000119312514240520/d70477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2020-07-09T05:07:30Z</dcterms:created>
  <dcterms:modified xsi:type="dcterms:W3CDTF">2020-07-09T05:07:30Z</dcterms:modified>
</cp:coreProperties>
</file>