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ARDELYX,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26-1303944</w:t>
            </w:r>
          </w:p>
        </w:tc>
      </w:tr>
      <w:tr>
        <w:trPr>
          <w:trHeight w:val="216"/>
        </w:trPr>
        <w:tc>
          <w:tcPr>
            <w:tcW w:w="2120" w:type="dxa"/>
            <w:vAlign w:val="bottom"/>
          </w:tcPr>
          <w:p>
            <w:pPr>
              <w:jc w:val="center"/>
              <w:ind w:right="150"/>
              <w:spacing w:after="0"/>
              <w:rPr>
                <w:sz w:val="20"/>
                <w:szCs w:val="20"/>
                <w:color w:val="auto"/>
              </w:rPr>
            </w:pPr>
            <w:r>
              <w:rPr>
                <w:rFonts w:ascii="Arial" w:cs="Arial" w:eastAsia="Arial" w:hAnsi="Arial"/>
                <w:sz w:val="18"/>
                <w:szCs w:val="18"/>
                <w:color w:val="auto"/>
                <w:w w:val="91"/>
              </w:rPr>
              <w:t>(State or other jurisdiction</w:t>
            </w: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21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150"/>
              <w:spacing w:after="0"/>
              <w:rPr>
                <w:sz w:val="20"/>
                <w:szCs w:val="20"/>
                <w:color w:val="auto"/>
              </w:rPr>
            </w:pPr>
            <w:r>
              <w:rPr>
                <w:rFonts w:ascii="Arial" w:cs="Arial" w:eastAsia="Arial" w:hAnsi="Arial"/>
                <w:sz w:val="18"/>
                <w:szCs w:val="18"/>
                <w:color w:val="auto"/>
                <w:w w:val="95"/>
              </w:rPr>
              <w:t>of incorporation)</w:t>
            </w:r>
          </w:p>
        </w:tc>
        <w:tc>
          <w:tcPr>
            <w:tcW w:w="544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21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21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 Suite 200</w:t>
            </w:r>
          </w:p>
        </w:tc>
        <w:tc>
          <w:tcPr>
            <w:tcW w:w="196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1"/>
              </w:rPr>
              <w:t>Fremont, CA 94555</w:t>
            </w:r>
          </w:p>
        </w:tc>
        <w:tc>
          <w:tcPr>
            <w:tcW w:w="19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960" w:type="dxa"/>
            <w:vAlign w:val="bottom"/>
          </w:tcPr>
          <w:p>
            <w:pPr>
              <w:spacing w:after="0"/>
              <w:rPr>
                <w:sz w:val="20"/>
                <w:szCs w:val="20"/>
                <w:color w:val="auto"/>
              </w:rPr>
            </w:pPr>
          </w:p>
        </w:tc>
      </w:tr>
      <w:tr>
        <w:trPr>
          <w:trHeight w:val="432"/>
        </w:trPr>
        <w:tc>
          <w:tcPr>
            <w:tcW w:w="21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(510) 745-1700</w:t>
            </w:r>
          </w:p>
        </w:tc>
        <w:tc>
          <w:tcPr>
            <w:tcW w:w="19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On May 22, 2018, Ardelyx, Inc. (the “Company”) entered into an underwriting agreement (the “Underwriting Agreement”) with Jefferies LLC and Leerink Partners LLC, as representatives (the “Representatives”) of the several underwriters named therein (collectively, the “Underwriters”), pursuant to which the Company agreed to issue and sell 12,500,000 shares (the “Shares”) of its common stock, par value $0.0001 per share (“Common Stock”), to the Underwriters (the “Offering”). The Shares were sold at a public offering price of $4.00 per Share, and were purchased by the Underwriters from the Company at a price of $3.76 per Share. Under the terms of the Underwriting Agreement, the Company granted the Underwriters the option, for 30 days, to purchase up to 1,875,000 additional shares of Common Stock at the public offering price.</w:t>
      </w:r>
    </w:p>
    <w:p>
      <w:pPr>
        <w:spacing w:after="0" w:line="178"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The Offering was made under a prospectus supplement and related prospectus filed with the Securities and Exchange Commission pursuant to the Company’s effective shelf registration statement on Form S-3, as amended (Registration No. 333-205631).</w:t>
      </w:r>
    </w:p>
    <w:p>
      <w:pPr>
        <w:sectPr>
          <w:pgSz w:w="11900" w:h="16838" w:orient="portrait"/>
          <w:cols w:equalWidth="0" w:num="1">
            <w:col w:w="11400"/>
          </w:cols>
          <w:pgMar w:left="240" w:top="544" w:right="259" w:bottom="0" w:gutter="0" w:footer="0" w:header="0"/>
        </w:sectPr>
      </w:pPr>
    </w:p>
    <w:bookmarkStart w:id="1" w:name="page2"/>
    <w:bookmarkEnd w:id="1"/>
    <w:p>
      <w:pPr>
        <w:ind w:right="280" w:firstLine="648"/>
        <w:spacing w:after="0" w:line="264" w:lineRule="auto"/>
        <w:rPr>
          <w:sz w:val="20"/>
          <w:szCs w:val="20"/>
          <w:color w:val="auto"/>
        </w:rPr>
      </w:pPr>
      <w:r>
        <w:rPr>
          <w:rFonts w:ascii="Arial" w:cs="Arial" w:eastAsia="Arial" w:hAnsi="Arial"/>
          <w:sz w:val="18"/>
          <w:szCs w:val="18"/>
          <w:color w:val="auto"/>
        </w:rPr>
        <w:t>On May 25, 2018, the Offering closed and the Company completed the sale and issuance of an aggregate of 12,500,000 shares of Common Stock. The Company received net proceeds from the Offering of approximately $46.6 million, after deducting the Underwriters’ discounts and commissions and estimated offering expenses payable by the Company.</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Pursuant to the Underwriting Agreement, the Company agreed to indemnify the Underwriters against certain liabilities, including liabilities under the Securities Act of 1933, as amended, or to contribute to payments that the Underwriters may be required to make because of such liabilities. The Company and the Company’s directors and executive officers also agreed not to sell or transfer any Common Stock for 60 days after May 22, 2018 without first obtaining the written consent of the Representatives on behalf of the Underwriters, subject to certain exceptions as described in the prospectus supplement.</w:t>
      </w:r>
    </w:p>
    <w:p>
      <w:pPr>
        <w:spacing w:after="0" w:line="154"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 copy of the Underwriting Agreement is attached as Exhibit 1.1 hereto and is incorporated herein by reference. The foregoing descriptions of the Underwriting Agreement and lock-up arrangements do not purport to be complete and are qualified in their entirety by reference to such exhibit.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copy of the opinion of Latham &amp; Watkins LLP relating to the validity of the securities issued in the Offering is filed herewith as Exhibit 5.1.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5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800" w:type="dxa"/>
            <w:vAlign w:val="bottom"/>
            <w:tcBorders>
              <w:top w:val="single" w:sz="8" w:color="auto"/>
              <w:bottom w:val="single" w:sz="8" w:color="0000EE"/>
            </w:tcBorders>
            <w:gridSpan w:val="4"/>
          </w:tcPr>
          <w:p>
            <w:pPr>
              <w:spacing w:after="0" w:line="170"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Underwriting Agreement, dated as of May 22, 2018, among Ardelyx, Inc. and Jefferies LLC and Leerink Partners LLC, as</w:t>
              </w:r>
            </w:hyperlink>
          </w:p>
        </w:tc>
        <w:tc>
          <w:tcPr>
            <w:tcW w:w="11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representatives of the underwriters named therein.</w:t>
              </w:r>
            </w:hyperlink>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Opinion of Latham &amp; Watkins LLP.</w:t>
              </w:r>
            </w:hyperlink>
          </w:p>
        </w:tc>
        <w:tc>
          <w:tcPr>
            <w:tcW w:w="1020" w:type="dxa"/>
            <w:vAlign w:val="bottom"/>
            <w:tcBorders>
              <w:top w:val="single" w:sz="8" w:color="0000EE"/>
            </w:tcBorders>
          </w:tcPr>
          <w:p>
            <w:pPr>
              <w:spacing w:after="0"/>
              <w:rPr>
                <w:sz w:val="17"/>
                <w:szCs w:val="17"/>
                <w:color w:val="auto"/>
              </w:rPr>
            </w:pPr>
          </w:p>
        </w:tc>
        <w:tc>
          <w:tcPr>
            <w:tcW w:w="63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34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Consent of Latham &amp; Watkins LLP (included in Exhibit 5.1).</w:t>
              </w:r>
            </w:hyperlink>
          </w:p>
        </w:tc>
        <w:tc>
          <w:tcPr>
            <w:tcW w:w="4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400" w:type="dxa"/>
            <w:vAlign w:val="bottom"/>
            <w:tcBorders>
              <w:top w:val="single" w:sz="8" w:color="0000EE"/>
            </w:tcBorders>
            <w:gridSpan w:val="3"/>
          </w:tcPr>
          <w:p>
            <w:pPr>
              <w:jc w:val="right"/>
              <w:ind w:right="160"/>
              <w:spacing w:after="0"/>
              <w:rPr>
                <w:sz w:val="20"/>
                <w:szCs w:val="20"/>
                <w:color w:val="auto"/>
              </w:rPr>
            </w:pPr>
            <w:r>
              <w:rPr>
                <w:rFonts w:ascii="Arial" w:cs="Arial" w:eastAsia="Arial" w:hAnsi="Arial"/>
                <w:sz w:val="18"/>
                <w:szCs w:val="18"/>
                <w:color w:val="auto"/>
              </w:rPr>
              <w:t>2</w:t>
            </w:r>
          </w:p>
        </w:tc>
        <w:tc>
          <w:tcPr>
            <w:tcW w:w="4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29, 2018</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Mark Kaufmann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FINAL 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May 22,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18" w:lineRule="auto"/>
        <w:rPr>
          <w:sz w:val="20"/>
          <w:szCs w:val="20"/>
          <w:color w:val="auto"/>
        </w:rPr>
      </w:pPr>
      <w:r>
        <w:rPr>
          <w:rFonts w:ascii="Arial" w:cs="Arial" w:eastAsia="Arial" w:hAnsi="Arial"/>
          <w:sz w:val="18"/>
          <w:szCs w:val="18"/>
          <w:color w:val="auto"/>
        </w:rPr>
        <w:t>One Federal Street, 37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Introductory. </w:t>
      </w:r>
      <w:r>
        <w:rPr>
          <w:rFonts w:ascii="Arial" w:cs="Arial" w:eastAsia="Arial" w:hAnsi="Arial"/>
          <w:sz w:val="16"/>
          <w:szCs w:val="16"/>
          <w:color w:val="auto"/>
        </w:rPr>
        <w:t>Ardelyx,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12,500,000 shares of its common stock, par value $0.0001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The 12,500,000 Shares to be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are called the “</w:t>
      </w:r>
      <w:r>
        <w:rPr>
          <w:rFonts w:ascii="Arial" w:cs="Arial" w:eastAsia="Arial" w:hAnsi="Arial"/>
          <w:sz w:val="16"/>
          <w:szCs w:val="16"/>
          <w:b w:val="1"/>
          <w:bCs w:val="1"/>
          <w:color w:val="auto"/>
        </w:rPr>
        <w:t>Firm Shares</w:t>
      </w:r>
      <w:r>
        <w:rPr>
          <w:rFonts w:ascii="Arial" w:cs="Arial" w:eastAsia="Arial" w:hAnsi="Arial"/>
          <w:sz w:val="16"/>
          <w:szCs w:val="16"/>
          <w:color w:val="auto"/>
        </w:rPr>
        <w:t>.” In addition, the Company has granted to the Underwriters an option to purchase up to an additional 1,875,000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as provided in Section 2. The additional 1,875,000 Shares to be sold by the Company pursuant to such option are collectively called the “</w:t>
      </w:r>
      <w:r>
        <w:rPr>
          <w:rFonts w:ascii="Arial" w:cs="Arial" w:eastAsia="Arial" w:hAnsi="Arial"/>
          <w:sz w:val="16"/>
          <w:szCs w:val="16"/>
          <w:b w:val="1"/>
          <w:bCs w:val="1"/>
          <w:color w:val="auto"/>
        </w:rPr>
        <w:t>Optional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The Firm Shares and, if and to the extent such option is exercised, the Optional Shares are collectively called the “</w:t>
      </w:r>
      <w:r>
        <w:rPr>
          <w:rFonts w:ascii="Arial" w:cs="Arial" w:eastAsia="Arial" w:hAnsi="Arial"/>
          <w:sz w:val="16"/>
          <w:szCs w:val="16"/>
          <w:b w:val="1"/>
          <w:bCs w:val="1"/>
          <w:color w:val="auto"/>
        </w:rPr>
        <w:t>Offered Shares</w:t>
      </w:r>
      <w:r>
        <w:rPr>
          <w:rFonts w:ascii="Arial" w:cs="Arial" w:eastAsia="Arial" w:hAnsi="Arial"/>
          <w:sz w:val="16"/>
          <w:szCs w:val="16"/>
          <w:color w:val="auto"/>
        </w:rPr>
        <w:t>.” Jefferies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Jefferies</w:t>
      </w:r>
      <w:r>
        <w:rPr>
          <w:rFonts w:ascii="Arial" w:cs="Arial" w:eastAsia="Arial" w:hAnsi="Arial"/>
          <w:sz w:val="18"/>
          <w:szCs w:val="18"/>
          <w:color w:val="auto"/>
        </w:rPr>
        <w:t>”) and Leerink Partners LLC (“</w:t>
      </w:r>
      <w:r>
        <w:rPr>
          <w:rFonts w:ascii="Arial" w:cs="Arial" w:eastAsia="Arial" w:hAnsi="Arial"/>
          <w:sz w:val="18"/>
          <w:szCs w:val="18"/>
          <w:b w:val="1"/>
          <w:bCs w:val="1"/>
          <w:color w:val="auto"/>
        </w:rPr>
        <w:t>Leerink</w:t>
      </w:r>
      <w:r>
        <w:rPr>
          <w:rFonts w:ascii="Arial" w:cs="Arial" w:eastAsia="Arial" w:hAnsi="Arial"/>
          <w:sz w:val="18"/>
          <w:szCs w:val="18"/>
          <w:color w:val="auto"/>
        </w:rPr>
        <w:t>”) have agreed to act as representatives of the several Underwriters (in such capacity,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in connection with the offering and sale of the Offered Shares. To the extent there are no additional underwriters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“Representatives” as used herein shall mean you, as Underwriters, and the term “Underwriters” shall mean either the singular or the plural,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context requires.</w:t>
      </w:r>
    </w:p>
    <w:p>
      <w:pPr>
        <w:spacing w:after="0" w:line="20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shelf registration statement on Form S-3, File No. 333-205631, including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all documents incorporated or deemed to be incorporated by reference therein and any information deemed to be a part thereof at the time of effectiveness pursuant to Rule 430A or 430B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w:t>
      </w:r>
    </w:p>
    <w:p>
      <w:pPr>
        <w:spacing w:after="0" w:line="4"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Rule 462(b) under the Securities Act in connection with the offer and sale of the Offered Shares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 Registration Statement the term “Registration Statement” shall include the</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Rule 462(b) Registration Statement. The preliminary prospectus supplement dated May 21, 2018 describing the Offered Shares and the offering thereof (the “</w:t>
      </w:r>
      <w:r>
        <w:rPr>
          <w:rFonts w:ascii="Arial" w:cs="Arial" w:eastAsia="Arial" w:hAnsi="Arial"/>
          <w:sz w:val="18"/>
          <w:szCs w:val="18"/>
          <w:b w:val="1"/>
          <w:bCs w:val="1"/>
          <w:color w:val="auto"/>
        </w:rPr>
        <w:t>Preliminary Prospectus Supplement</w:t>
      </w:r>
      <w:r>
        <w:rPr>
          <w:rFonts w:ascii="Arial" w:cs="Arial" w:eastAsia="Arial" w:hAnsi="Arial"/>
          <w:sz w:val="18"/>
          <w:szCs w:val="18"/>
          <w:color w:val="auto"/>
        </w:rPr>
        <w:t>”), together with the Base Prospectus, is called the “</w:t>
      </w:r>
      <w:r>
        <w:rPr>
          <w:rFonts w:ascii="Arial" w:cs="Arial" w:eastAsia="Arial" w:hAnsi="Arial"/>
          <w:sz w:val="18"/>
          <w:szCs w:val="18"/>
          <w:b w:val="1"/>
          <w:bCs w:val="1"/>
          <w:color w:val="auto"/>
        </w:rPr>
        <w:t>Preliminary Prospectus</w:t>
      </w:r>
      <w:r>
        <w:rPr>
          <w:rFonts w:ascii="Arial" w:cs="Arial" w:eastAsia="Arial" w:hAnsi="Arial"/>
          <w:sz w:val="18"/>
          <w:szCs w:val="18"/>
          <w:color w:val="auto"/>
        </w:rPr>
        <w:t>,” and the Preliminary Prospectus and any other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supplement to the Base Prospectus in preliminary form that describes the Offered Shares and the offering thereof and is used prior to the filing of the Prospectus (as defined below), together with the Base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mean the final prospectus supplement to the Base Prospectus that describes the Offered Shares and the offering thereof (the “</w:t>
      </w:r>
      <w:r>
        <w:rPr>
          <w:rFonts w:ascii="Arial" w:cs="Arial" w:eastAsia="Arial" w:hAnsi="Arial"/>
          <w:sz w:val="16"/>
          <w:szCs w:val="16"/>
          <w:b w:val="1"/>
          <w:bCs w:val="1"/>
          <w:color w:val="auto"/>
        </w:rPr>
        <w:t>Final Prospectus Supplement</w:t>
      </w:r>
      <w:r>
        <w:rPr>
          <w:rFonts w:ascii="Arial" w:cs="Arial" w:eastAsia="Arial" w:hAnsi="Arial"/>
          <w:sz w:val="16"/>
          <w:szCs w:val="16"/>
          <w:color w:val="auto"/>
        </w:rPr>
        <w:t>”), together with the Base Prospectus, in the form first used by the Underwriters to confirm sales of the Offered Shares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xml:space="preserve">” is 5:00 </w:t>
      </w:r>
      <w:r>
        <w:rPr>
          <w:rFonts w:ascii="Arial" w:cs="Arial" w:eastAsia="Arial" w:hAnsi="Arial"/>
          <w:sz w:val="15"/>
          <w:szCs w:val="15"/>
          <w:color w:val="auto"/>
        </w:rPr>
        <w:t>p.m.</w:t>
      </w:r>
      <w:r>
        <w:rPr>
          <w:rFonts w:ascii="Arial" w:cs="Arial" w:eastAsia="Arial" w:hAnsi="Arial"/>
          <w:sz w:val="16"/>
          <w:szCs w:val="16"/>
          <w:color w:val="auto"/>
        </w:rPr>
        <w:t xml:space="preserve"> (New York City time) on May 22, 2018.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xml:space="preserve">” means the Preliminary Prospectus, as amended or supplemented immediately prior to the Applicable Time, together with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6"/>
          <w:szCs w:val="16"/>
          <w:b w:val="1"/>
          <w:bCs w:val="1"/>
          <w:color w:val="auto"/>
        </w:rPr>
        <w:t>Section 5(d) Oral Communication</w:t>
      </w:r>
      <w:r>
        <w:rPr>
          <w:rFonts w:ascii="Arial" w:cs="Arial" w:eastAsia="Arial" w:hAnsi="Arial"/>
          <w:sz w:val="16"/>
          <w:szCs w:val="16"/>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Arial" w:cs="Arial" w:eastAsia="Arial" w:hAnsi="Arial"/>
          <w:sz w:val="16"/>
          <w:szCs w:val="16"/>
          <w:b w:val="1"/>
          <w:bCs w:val="1"/>
          <w:color w:val="auto"/>
        </w:rPr>
        <w:t>Permitted Section 5(d) Communication</w:t>
      </w:r>
      <w:r>
        <w:rPr>
          <w:rFonts w:ascii="Arial" w:cs="Arial" w:eastAsia="Arial" w:hAnsi="Arial"/>
          <w:sz w:val="16"/>
          <w:szCs w:val="16"/>
          <w:color w:val="auto"/>
        </w:rPr>
        <w:t>” means the Section 5(d) Written Communication(s) and Marketing Materials listed on Schedule C attached hereto.</w:t>
      </w:r>
    </w:p>
    <w:p>
      <w:pPr>
        <w:spacing w:after="0" w:line="16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w:t>
      </w:r>
    </w:p>
    <w:p>
      <w:pPr>
        <w:spacing w:after="0"/>
        <w:rPr>
          <w:sz w:val="20"/>
          <w:szCs w:val="20"/>
          <w:color w:val="auto"/>
        </w:rPr>
      </w:pPr>
      <w:r>
        <w:rPr>
          <w:rFonts w:ascii="Arial" w:cs="Arial" w:eastAsia="Arial" w:hAnsi="Arial"/>
          <w:sz w:val="17"/>
          <w:szCs w:val="17"/>
          <w:color w:val="auto"/>
        </w:rPr>
        <w:t>Rule 462(b) Registration Statement, the Preliminary Prospectus, any preliminary prospectus, the Base Prospectus, the Time of Sale Prospectus or the</w:t>
      </w:r>
    </w:p>
    <w:p>
      <w:pPr>
        <w:sectPr>
          <w:pgSz w:w="11900" w:h="16838" w:orient="portrait"/>
          <w:cols w:equalWidth="0" w:num="1">
            <w:col w:w="11420"/>
          </w:cols>
          <w:pgMar w:left="240" w:top="121" w:right="239" w:bottom="0" w:gutter="0" w:footer="0" w:header="0"/>
        </w:sectPr>
      </w:pPr>
    </w:p>
    <w:bookmarkStart w:id="3" w:name="page4"/>
    <w:bookmarkEnd w:id="3"/>
    <w:p>
      <w:pPr>
        <w:spacing w:after="0" w:line="288" w:lineRule="auto"/>
        <w:rPr>
          <w:sz w:val="20"/>
          <w:szCs w:val="20"/>
          <w:color w:val="auto"/>
        </w:rPr>
      </w:pPr>
      <w:r>
        <w:rPr>
          <w:rFonts w:ascii="Arial" w:cs="Arial" w:eastAsia="Arial" w:hAnsi="Arial"/>
          <w:sz w:val="16"/>
          <w:szCs w:val="16"/>
          <w:color w:val="auto"/>
        </w:rPr>
        <w:t>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and (ii) the Prospectus shall be deemed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include any “electronic Prospectus” provided for use in connection with the offering of the Offered Shares as contemplated by Section 3(n) of this Agreement.</w:t>
      </w:r>
    </w:p>
    <w:p>
      <w:pPr>
        <w:spacing w:after="0" w:line="2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In the event that the Company has only one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confirms its agreement with the Underwriters as follows:</w:t>
      </w:r>
    </w:p>
    <w:p>
      <w:pPr>
        <w:spacing w:after="0" w:line="22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Representations and Warranties of the Company.</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166" w:lineRule="exact"/>
        <w:rPr>
          <w:sz w:val="20"/>
          <w:szCs w:val="20"/>
          <w:color w:val="auto"/>
        </w:rPr>
      </w:pPr>
    </w:p>
    <w:p>
      <w:pPr>
        <w:ind w:right="60" w:firstLine="656"/>
        <w:spacing w:after="0" w:line="290" w:lineRule="auto"/>
        <w:tabs>
          <w:tab w:leader="none" w:pos="130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Registration Requirements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Statement has become effective under the Securities Act.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10-K for the year ended December 31, 2017 (the “</w:t>
      </w:r>
      <w:r>
        <w:rPr>
          <w:rFonts w:ascii="Arial" w:cs="Arial" w:eastAsia="Arial" w:hAnsi="Arial"/>
          <w:sz w:val="16"/>
          <w:szCs w:val="16"/>
          <w:b w:val="1"/>
          <w:bCs w:val="1"/>
          <w:color w:val="auto"/>
        </w:rPr>
        <w:t>Annual Report</w:t>
      </w:r>
      <w:r>
        <w:rPr>
          <w:rFonts w:ascii="Arial" w:cs="Arial" w:eastAsia="Arial" w:hAnsi="Arial"/>
          <w:sz w:val="16"/>
          <w:szCs w:val="16"/>
          <w:color w:val="auto"/>
        </w:rPr>
        <w: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specified in FINRA Conduct Rule 5110(B)(7)(C)(i).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159" w:lineRule="exact"/>
        <w:rPr>
          <w:rFonts w:ascii="Arial" w:cs="Arial" w:eastAsia="Arial" w:hAnsi="Arial"/>
          <w:sz w:val="16"/>
          <w:szCs w:val="16"/>
          <w:b w:val="1"/>
          <w:bCs w:val="1"/>
          <w:color w:val="auto"/>
        </w:rPr>
      </w:pPr>
    </w:p>
    <w:p>
      <w:pPr>
        <w:ind w:firstLine="656"/>
        <w:spacing w:after="0" w:line="286" w:lineRule="auto"/>
        <w:tabs>
          <w:tab w:leader="none" w:pos="131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preliminary prospectus and the Prospectus when filed complied in all material respects with the Securities Act and,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is no contract or other document of a character required to be described in the Registration Statement or Prospectus, or to be filed as an exhibit thereto,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20"/>
        <w:spacing w:after="0" w:line="302" w:lineRule="auto"/>
        <w:rPr>
          <w:sz w:val="20"/>
          <w:szCs w:val="20"/>
          <w:color w:val="auto"/>
        </w:rPr>
      </w:pPr>
      <w:r>
        <w:rPr>
          <w:rFonts w:ascii="Arial" w:cs="Arial" w:eastAsia="Arial" w:hAnsi="Arial"/>
          <w:sz w:val="16"/>
          <w:szCs w:val="16"/>
          <w:color w:val="auto"/>
        </w:rPr>
        <w:t>which is not described or filed as required (and the Preliminary Prospectus contains in all material respects the same description of the foregoing matters contained in the Prospectus); and the statements in the Preliminary Prospectus and the Prospectus under the headings “Description of Capital Stock” and “Material U.S. Federal Income Tax Consequences to Non-U.S. Holders,” insofar as such statements summarize legal matters, agreements, documents or proceedings discussed therein, are accurate and fair summaries of such legal matters, agreements, documents or proceedings.</w:t>
      </w:r>
    </w:p>
    <w:p>
      <w:pPr>
        <w:spacing w:after="0" w:line="150" w:lineRule="exact"/>
        <w:rPr>
          <w:sz w:val="20"/>
          <w:szCs w:val="20"/>
          <w:color w:val="auto"/>
        </w:rPr>
      </w:pPr>
    </w:p>
    <w:p>
      <w:pPr>
        <w:ind w:firstLine="656"/>
        <w:spacing w:after="0" w:line="287" w:lineRule="auto"/>
        <w:tabs>
          <w:tab w:leader="none" w:pos="130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Free Writing Prospectuses; Road Show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determination date referenced in Rule 164(h) under the Securities Act,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ectPr>
          <w:pgSz w:w="11900" w:h="16838" w:orient="portrait"/>
          <w:cols w:equalWidth="0" w:num="1">
            <w:col w:w="11420"/>
          </w:cols>
          <w:pgMar w:left="240" w:top="125" w:right="239" w:bottom="0" w:gutter="0" w:footer="0" w:header="0"/>
        </w:sectPr>
      </w:pPr>
    </w:p>
    <w:bookmarkStart w:id="4" w:name="page5"/>
    <w:bookmarkEnd w:id="4"/>
    <w:p>
      <w:pPr>
        <w:spacing w:after="0" w:line="32" w:lineRule="exact"/>
        <w:rPr>
          <w:sz w:val="20"/>
          <w:szCs w:val="20"/>
          <w:color w:val="auto"/>
        </w:rPr>
      </w:pPr>
    </w:p>
    <w:p>
      <w:pPr>
        <w:ind w:right="220" w:firstLine="656"/>
        <w:spacing w:after="0" w:line="258" w:lineRule="auto"/>
        <w:tabs>
          <w:tab w:leader="none" w:pos="131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Distribution of Offering Material By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later of (i) the expiration or termination of the option granted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several Underwriters in Section 2, and (ii) the completion of the Underwriters’ distribution of the Offered Shares</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and any Permitted Section 5(d) Communications.</w:t>
      </w:r>
    </w:p>
    <w:p>
      <w:pPr>
        <w:spacing w:after="0" w:line="183" w:lineRule="exact"/>
        <w:rPr>
          <w:rFonts w:ascii="Arial" w:cs="Arial" w:eastAsia="Arial" w:hAnsi="Arial"/>
          <w:sz w:val="18"/>
          <w:szCs w:val="18"/>
          <w:b w:val="1"/>
          <w:bCs w:val="1"/>
          <w:color w:val="auto"/>
        </w:rPr>
      </w:pPr>
    </w:p>
    <w:p>
      <w:pPr>
        <w:ind w:left="1320" w:hanging="664"/>
        <w:spacing w:after="0"/>
        <w:tabs>
          <w:tab w:leader="none" w:pos="1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b w:val="1"/>
          <w:bCs w:val="1"/>
          <w:color w:val="auto"/>
        </w:rPr>
      </w:pPr>
    </w:p>
    <w:p>
      <w:pPr>
        <w:jc w:val="both"/>
        <w:ind w:right="60" w:firstLine="656"/>
        <w:spacing w:after="0" w:line="261" w:lineRule="auto"/>
        <w:tabs>
          <w:tab w:leader="none" w:pos="130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180" w:lineRule="exact"/>
        <w:rPr>
          <w:rFonts w:ascii="Arial" w:cs="Arial" w:eastAsia="Arial" w:hAnsi="Arial"/>
          <w:sz w:val="18"/>
          <w:szCs w:val="18"/>
          <w:b w:val="1"/>
          <w:bCs w:val="1"/>
          <w:color w:val="auto"/>
        </w:rPr>
      </w:pPr>
    </w:p>
    <w:p>
      <w:pPr>
        <w:ind w:right="80" w:firstLine="656"/>
        <w:spacing w:after="0" w:line="266" w:lineRule="auto"/>
        <w:tabs>
          <w:tab w:leader="none" w:pos="130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registered for sale under the Registration Statement or included in the offering contemplated by this Agreement, except for such rights as have been duly waived.</w:t>
      </w:r>
    </w:p>
    <w:p>
      <w:pPr>
        <w:spacing w:after="0" w:line="176" w:lineRule="exact"/>
        <w:rPr>
          <w:rFonts w:ascii="Arial" w:cs="Arial" w:eastAsia="Arial" w:hAnsi="Arial"/>
          <w:sz w:val="18"/>
          <w:szCs w:val="18"/>
          <w:b w:val="1"/>
          <w:bCs w:val="1"/>
          <w:color w:val="auto"/>
        </w:rPr>
      </w:pPr>
    </w:p>
    <w:p>
      <w:pPr>
        <w:ind w:right="840" w:firstLine="656"/>
        <w:spacing w:after="0" w:line="282" w:lineRule="auto"/>
        <w:tabs>
          <w:tab w:leader="none" w:pos="131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Adverse Change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disclosed in the Registration Statement, the Time of Sale Prospectus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subsequent to the respective dates as of which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information is given in the Registration Statement, the Time of Sale Prospectus and the Prospectus: (i) there has been no material adverse change, or any development that could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 Company and its subsidiaries, considered as one entity,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transactions not in the ordinary course of business; and (iii) there has not been any material decrease in the capital stock or any material increase in any short-term or long-term indebtedness of the Company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69" w:lineRule="exact"/>
        <w:rPr>
          <w:sz w:val="20"/>
          <w:szCs w:val="20"/>
          <w:color w:val="auto"/>
        </w:rPr>
      </w:pPr>
    </w:p>
    <w:p>
      <w:pPr>
        <w:ind w:firstLine="656"/>
        <w:spacing w:after="0" w:line="256" w:lineRule="auto"/>
        <w:tabs>
          <w:tab w:leader="none" w:pos="130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Accountants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Ernst &amp; Young LLP, which has expressed its opinion with respect to the financial statements (which term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in this Agreement includes the related notes thereto) filed with the Commission as a part of the Registration Statement, the Time of Sale Prospectus and the Prospectus, is (i) an independent registered public accounting firm as required by the Securities Act, and the rules of the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7" w:lineRule="exact"/>
        <w:rPr>
          <w:rFonts w:ascii="Arial" w:cs="Arial" w:eastAsia="Arial" w:hAnsi="Arial"/>
          <w:sz w:val="18"/>
          <w:szCs w:val="18"/>
          <w:b w:val="1"/>
          <w:bCs w:val="1"/>
          <w:color w:val="auto"/>
        </w:rPr>
      </w:pPr>
    </w:p>
    <w:p>
      <w:pPr>
        <w:ind w:right="180" w:firstLine="656"/>
        <w:spacing w:after="0" w:line="255" w:lineRule="auto"/>
        <w:tabs>
          <w:tab w:leader="none" w:pos="131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historical financial statements and schedules of the Company included or incorporated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reference in the Registration Statement, the Time of Sale Prospectus and the Prospectus present fairly the financial condition, results of operations and cash flows of the Company as of the dates and for the periods indicated, comply as to form with the applicable accounting requirements of the Securities Act and have been prepared in conformity with generally accepted accounting principles applied on a consistent basis throughout the periods involved (except as otherwise noted therein). The selected financial data set forth under the caption “Selected Financial Data” in the Registration Statement, the Time of Sale Prospectus and the Prospectus fairly present, on the basis stated in the Registration Statement, the Time of Sale Prospectus and the Prospectus, the information included therein.</w:t>
      </w:r>
    </w:p>
    <w:p>
      <w:pPr>
        <w:spacing w:after="0" w:line="189" w:lineRule="exact"/>
        <w:rPr>
          <w:rFonts w:ascii="Arial" w:cs="Arial" w:eastAsia="Arial" w:hAnsi="Arial"/>
          <w:sz w:val="18"/>
          <w:szCs w:val="18"/>
          <w:b w:val="1"/>
          <w:bCs w:val="1"/>
          <w:color w:val="auto"/>
        </w:rPr>
      </w:pPr>
    </w:p>
    <w:p>
      <w:pPr>
        <w:ind w:right="120" w:firstLine="656"/>
        <w:spacing w:after="0" w:line="255" w:lineRule="auto"/>
        <w:tabs>
          <w:tab w:leader="none" w:pos="131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Company’s Accounting 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maintains a system of internal accounting controls sufficient to provide reasonable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controls over financial reporting are effective to provide reasonable assurance regarding the reliability of financial reporting and the preparation of financial statements for external purposes in accordance with generally accepted accounting principles and the Company is not aware of any material weakness in its internal controls over financial reporting.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56"/>
        <w:spacing w:after="0" w:line="266" w:lineRule="auto"/>
        <w:tabs>
          <w:tab w:leader="none" w:pos="130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Disclosure Controls and Procedures; Deficiencies in or Changes to Internal Control Over Financial Reporting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maintains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“disclosure controls and procedures” (as such term is defined in Rule 13a-15(e) under the Exchange Act); such disclosure controls and procedures are effective.</w:t>
      </w:r>
    </w:p>
    <w:p>
      <w:pPr>
        <w:spacing w:after="0" w:line="176" w:lineRule="exact"/>
        <w:rPr>
          <w:rFonts w:ascii="Arial" w:cs="Arial" w:eastAsia="Arial" w:hAnsi="Arial"/>
          <w:sz w:val="18"/>
          <w:szCs w:val="18"/>
          <w:b w:val="1"/>
          <w:bCs w:val="1"/>
          <w:color w:val="auto"/>
        </w:rPr>
      </w:pPr>
    </w:p>
    <w:p>
      <w:pPr>
        <w:ind w:right="20" w:firstLine="656"/>
        <w:spacing w:after="0" w:line="295" w:lineRule="auto"/>
        <w:tabs>
          <w:tab w:leader="none" w:pos="131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and Good Standing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 has been duly incorporated and is validly existing as a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and (ii) is duly qualified as a foreign corporation to transact business and is in good standing in the State of California and each other jurisdiction in which such qualification is required, whether by reason of the ownership or leasing of property or the conduct of business, except in the case of clause (ii) above, to the extent such failure to be so qualified or be in good standing would not have a Material Adverse Effect (defined below).</w:t>
      </w:r>
    </w:p>
    <w:p>
      <w:pPr>
        <w:spacing w:after="0" w:line="155" w:lineRule="exact"/>
        <w:rPr>
          <w:rFonts w:ascii="Arial" w:cs="Arial" w:eastAsia="Arial" w:hAnsi="Arial"/>
          <w:sz w:val="16"/>
          <w:szCs w:val="16"/>
          <w:b w:val="1"/>
          <w:bCs w:val="1"/>
          <w:color w:val="auto"/>
        </w:rPr>
      </w:pPr>
    </w:p>
    <w:p>
      <w:pPr>
        <w:ind w:left="1320" w:hanging="664"/>
        <w:spacing w:after="0"/>
        <w:tabs>
          <w:tab w:leader="none" w:pos="1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Subsidiaries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 subsidiaries.</w:t>
      </w:r>
    </w:p>
    <w:p>
      <w:pPr>
        <w:sectPr>
          <w:pgSz w:w="11900" w:h="16870" w:orient="portrait"/>
          <w:cols w:equalWidth="0" w:num="1">
            <w:col w:w="11420"/>
          </w:cols>
          <w:pgMar w:left="240" w:top="121" w:right="239" w:bottom="0" w:gutter="0" w:footer="0" w:header="0"/>
        </w:sectPr>
      </w:pPr>
    </w:p>
    <w:bookmarkStart w:id="5" w:name="page6"/>
    <w:bookmarkEnd w:id="5"/>
    <w:p>
      <w:pPr>
        <w:ind w:right="20" w:firstLine="656"/>
        <w:spacing w:after="0" w:line="269" w:lineRule="auto"/>
        <w:tabs>
          <w:tab w:leader="none" w:pos="130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Capitalization and Other Capital Stock Matters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authorized, issued and outstanding capital stock of the Company is as set forth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the information required to be shown with respect to such plans, arrangements, options and rights.</w:t>
      </w:r>
    </w:p>
    <w:p>
      <w:pPr>
        <w:spacing w:after="0" w:line="179" w:lineRule="exact"/>
        <w:rPr>
          <w:rFonts w:ascii="Arial" w:cs="Arial" w:eastAsia="Arial" w:hAnsi="Arial"/>
          <w:sz w:val="17"/>
          <w:szCs w:val="17"/>
          <w:b w:val="1"/>
          <w:bCs w:val="1"/>
          <w:color w:val="auto"/>
        </w:rPr>
      </w:pPr>
    </w:p>
    <w:p>
      <w:pPr>
        <w:ind w:right="20" w:firstLine="656"/>
        <w:spacing w:after="0" w:line="269" w:lineRule="auto"/>
        <w:tabs>
          <w:tab w:leader="none" w:pos="131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Non-Contravention of Existing Instruments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not in violation of its charter or bylaws, partnership agreement or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or similar organizational documents, as applicable, or is in default (or, with the giving of notice or lapse of time, would be in default) (“</w:t>
      </w:r>
      <w:r>
        <w:rPr>
          <w:rFonts w:ascii="Arial" w:cs="Arial" w:eastAsia="Arial" w:hAnsi="Arial"/>
          <w:sz w:val="17"/>
          <w:szCs w:val="17"/>
          <w:b w:val="1"/>
          <w:bCs w:val="1"/>
          <w:color w:val="auto"/>
        </w:rPr>
        <w:t>Default</w:t>
      </w:r>
      <w:r>
        <w:rPr>
          <w:rFonts w:ascii="Arial" w:cs="Arial" w:eastAsia="Arial" w:hAnsi="Arial"/>
          <w:sz w:val="17"/>
          <w:szCs w:val="17"/>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or any of them may be bound, or to which any of their respective properties or assets are subject (each, an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Instrument</w:t>
      </w:r>
      <w:r>
        <w:rPr>
          <w:rFonts w:ascii="Arial" w:cs="Arial" w:eastAsia="Arial" w:hAnsi="Arial"/>
          <w:sz w:val="17"/>
          <w:szCs w:val="17"/>
          <w:color w:val="auto"/>
        </w:rPr>
        <w:t>”), except for such Defaults as could not be expected, individually or in the aggregate, to have a material adverse effect on the condition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earnings, business, properties, operations, assets, liabilities or prospects of the Company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except as could not be expected, individually or in the aggregate, to have a Material Adverse Effect and (iii) will not result in any violation of any law, administrative regulation or administrative or court decree applicable to the Company, except as could not be expected, individually or in the aggregate, to have a Material Adverse Effect. As used herein,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167" w:lineRule="exact"/>
        <w:rPr>
          <w:sz w:val="20"/>
          <w:szCs w:val="20"/>
          <w:color w:val="auto"/>
        </w:rPr>
      </w:pPr>
    </w:p>
    <w:p>
      <w:pPr>
        <w:ind w:right="20" w:firstLine="656"/>
        <w:spacing w:after="0" w:line="276" w:lineRule="auto"/>
        <w:tabs>
          <w:tab w:leader="none" w:pos="1314"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 Further Authorizations or Approvals Required. </w:t>
      </w:r>
      <w:r>
        <w:rPr>
          <w:rFonts w:ascii="Arial" w:cs="Arial" w:eastAsia="Arial" w:hAnsi="Arial"/>
          <w:sz w:val="17"/>
          <w:szCs w:val="17"/>
          <w:color w:val="auto"/>
        </w:rPr>
        <w:t>No consent, approval, authorization or other order of, or registration or filing with,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w:t>
      </w:r>
    </w:p>
    <w:p>
      <w:pPr>
        <w:spacing w:after="0" w:line="172" w:lineRule="exact"/>
        <w:rPr>
          <w:rFonts w:ascii="Arial" w:cs="Arial" w:eastAsia="Arial" w:hAnsi="Arial"/>
          <w:sz w:val="17"/>
          <w:szCs w:val="17"/>
          <w:b w:val="1"/>
          <w:bCs w:val="1"/>
          <w:color w:val="auto"/>
        </w:rPr>
      </w:pPr>
    </w:p>
    <w:p>
      <w:pPr>
        <w:ind w:right="120" w:firstLine="656"/>
        <w:spacing w:after="0" w:line="277" w:lineRule="auto"/>
        <w:tabs>
          <w:tab w:leader="none" w:pos="130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is not in violation of any laws, rules or regulations applicable to it, except where failure to be so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could not be expected, individually or in the aggregate, to have a Material Adverse Effect.</w:t>
      </w:r>
    </w:p>
    <w:p>
      <w:pPr>
        <w:spacing w:after="0" w:line="166" w:lineRule="exact"/>
        <w:rPr>
          <w:rFonts w:ascii="Arial" w:cs="Arial" w:eastAsia="Arial" w:hAnsi="Arial"/>
          <w:sz w:val="18"/>
          <w:szCs w:val="18"/>
          <w:b w:val="1"/>
          <w:bCs w:val="1"/>
          <w:color w:val="auto"/>
        </w:rPr>
      </w:pPr>
    </w:p>
    <w:p>
      <w:pPr>
        <w:ind w:right="200" w:firstLine="656"/>
        <w:spacing w:after="0" w:line="261" w:lineRule="auto"/>
        <w:tabs>
          <w:tab w:leader="none" w:pos="1311"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Actions or Proceedings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action, suit or proceeding by or before any court or governmental agency, authority or body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arbitrator involving the Company or its property is pending or, to the best knowledge of the Company, threatened that will have a Material Adverse Effect, whether or not arising from transactions in the ordinary course of business, except as set forth in or contemplated in the Time of Sale Prospectus and the Prospectus (exclusive of any supplement thereto).</w:t>
      </w:r>
    </w:p>
    <w:p>
      <w:pPr>
        <w:spacing w:after="0" w:line="180" w:lineRule="exact"/>
        <w:rPr>
          <w:rFonts w:ascii="Arial" w:cs="Arial" w:eastAsia="Arial" w:hAnsi="Arial"/>
          <w:sz w:val="18"/>
          <w:szCs w:val="18"/>
          <w:b w:val="1"/>
          <w:bCs w:val="1"/>
          <w:color w:val="auto"/>
        </w:rPr>
      </w:pPr>
    </w:p>
    <w:p>
      <w:pPr>
        <w:ind w:right="20" w:firstLine="656"/>
        <w:spacing w:after="0" w:line="286" w:lineRule="auto"/>
        <w:tabs>
          <w:tab w:leader="none" w:pos="131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Intellectual Property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set forth in or contemplated in the Time of Sale Prospectus and the Prospectus, the Company owns,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possesses, licenses or has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6"/>
          <w:szCs w:val="16"/>
          <w:b w:val="1"/>
          <w:bCs w:val="1"/>
          <w:color w:val="auto"/>
        </w:rPr>
        <w:t>Intellectual</w:t>
      </w:r>
      <w:r>
        <w:rPr>
          <w:rFonts w:ascii="Arial" w:cs="Arial" w:eastAsia="Arial" w:hAnsi="Arial"/>
          <w:sz w:val="16"/>
          <w:szCs w:val="16"/>
          <w:color w:val="auto"/>
        </w:rPr>
        <w:t xml:space="preserve"> </w:t>
      </w:r>
      <w:r>
        <w:rPr>
          <w:rFonts w:ascii="Arial" w:cs="Arial" w:eastAsia="Arial" w:hAnsi="Arial"/>
          <w:sz w:val="16"/>
          <w:szCs w:val="16"/>
          <w:b w:val="1"/>
          <w:bCs w:val="1"/>
          <w:color w:val="auto"/>
        </w:rPr>
        <w:t>Property</w:t>
      </w:r>
      <w:r>
        <w:rPr>
          <w:rFonts w:ascii="Arial" w:cs="Arial" w:eastAsia="Arial" w:hAnsi="Arial"/>
          <w:sz w:val="16"/>
          <w:szCs w:val="16"/>
          <w:color w:val="auto"/>
        </w:rPr>
        <w:t>”) necessary for the conduct of the Company’s business as now conducted or as proposed in the Prospectus to be conducted (the “</w:t>
      </w:r>
      <w:r>
        <w:rPr>
          <w:rFonts w:ascii="Arial" w:cs="Arial" w:eastAsia="Arial" w:hAnsi="Arial"/>
          <w:sz w:val="16"/>
          <w:szCs w:val="16"/>
          <w:b w:val="1"/>
          <w:bCs w:val="1"/>
          <w:color w:val="auto"/>
        </w:rPr>
        <w:t>Company Intellectual Property</w:t>
      </w:r>
      <w:r>
        <w:rPr>
          <w:rFonts w:ascii="Arial" w:cs="Arial" w:eastAsia="Arial" w:hAnsi="Arial"/>
          <w:sz w:val="16"/>
          <w:szCs w:val="16"/>
          <w:color w:val="auto"/>
        </w:rPr>
        <w:t>”). Except as set forth in the Preliminary Prospectus and the Prospectus, (a) to the knowledge of the Company, there are no rights of</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parties to any Company Intellectual Property, other than as licensed by the Company; (b) to the knowledge of the Company, there is no infringement by third parties of any Company Intellectual Property, (c) there is no pending or, to the Company’s best knowledge, threatened action, suit, proceeding or claim by others challenging the Company’s rights in or to any Company Intellectual Property, and the Company is unaware of any facts which would form a reasonable basis for any such claim; (d) there is no pending or, to the Company’s best knowledge, threatened action, suit, proceeding or claim by others challenging the validity or scope of any Company Intellectual Property, and the Company is unaware of any facts which would form a reasonable basis for any such claim; (e) there is no pending or, to the Company’s knowledge, threatened action, suit, proceeding or claim by others that the Company infringes or otherwise violates any patent, trademark, copyright, trade secret or other proprietary rights of others, and, to the Company’s best knowledge, neither the sale nor use of any products or proposed products of the Company referred to in the Registration Statement, Time of Sale Prospectus and Prospectus do or will, infringe or violate any valid patent claim of any third party; and (f) the Company is not aware of any facts required to be disclosed to the U.S. Patent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and Trademark Office (“</w:t>
      </w:r>
      <w:r>
        <w:rPr>
          <w:rFonts w:ascii="Arial" w:cs="Arial" w:eastAsia="Arial" w:hAnsi="Arial"/>
          <w:sz w:val="18"/>
          <w:szCs w:val="18"/>
          <w:b w:val="1"/>
          <w:bCs w:val="1"/>
          <w:color w:val="auto"/>
        </w:rPr>
        <w:t>USPTO</w:t>
      </w:r>
      <w:r>
        <w:rPr>
          <w:rFonts w:ascii="Arial" w:cs="Arial" w:eastAsia="Arial" w:hAnsi="Arial"/>
          <w:sz w:val="18"/>
          <w:szCs w:val="18"/>
          <w:color w:val="auto"/>
        </w:rPr>
        <w:t>”) which have not been disclosed to the USPTO and which would preclude the grant of a patent in connection with any patent application of the Company Intellectual Property or could form the basis of a finding of invalidity with respect to any issued patents of the Company Intellectual Property.</w:t>
      </w:r>
    </w:p>
    <w:p>
      <w:pPr>
        <w:sectPr>
          <w:pgSz w:w="11900" w:h="16838" w:orient="portrait"/>
          <w:cols w:equalWidth="0" w:num="1">
            <w:col w:w="11420"/>
          </w:cols>
          <w:pgMar w:left="240" w:top="337" w:right="239" w:bottom="0" w:gutter="0" w:footer="0" w:header="0"/>
        </w:sectPr>
      </w:pPr>
    </w:p>
    <w:bookmarkStart w:id="6" w:name="page7"/>
    <w:bookmarkEnd w:id="6"/>
    <w:p>
      <w:pPr>
        <w:ind w:right="200" w:firstLine="656"/>
        <w:spacing w:after="0" w:line="258" w:lineRule="auto"/>
        <w:tabs>
          <w:tab w:leader="none" w:pos="131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All Necessary Permits, etc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possesses all licenses, certificates, permits and other authorizations issued by all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authorities necessary to conduct its business, and the Company has not received any notice of proceedings relating to the revocation or modification of any such certificate, authorization or permit which, singly or in the aggregate, if the subject of an unfavorable decision, ruling or finding, would have a Material Adverse Effect, whether or not arising from transactions in the ordinary course of business, except as set forth in or contemplated in the Time of Sale Prospectus and the Prospectus (exclusive of any supplement thereto).</w:t>
      </w:r>
    </w:p>
    <w:p>
      <w:pPr>
        <w:spacing w:after="0" w:line="183" w:lineRule="exact"/>
        <w:rPr>
          <w:rFonts w:ascii="Arial" w:cs="Arial" w:eastAsia="Arial" w:hAnsi="Arial"/>
          <w:sz w:val="18"/>
          <w:szCs w:val="18"/>
          <w:b w:val="1"/>
          <w:bCs w:val="1"/>
          <w:color w:val="auto"/>
        </w:rPr>
      </w:pPr>
    </w:p>
    <w:p>
      <w:pPr>
        <w:ind w:firstLine="656"/>
        <w:spacing w:after="0" w:line="255" w:lineRule="auto"/>
        <w:tabs>
          <w:tab w:leader="none" w:pos="130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Title to Properties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issue and sale of the Shares nor the consummation of any other of the transactions herein contemplated nor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fulfillment of the terms hereof will conflict with, result in a breach or violation of, or imposition of any lien, charge or encumbrance upon any property or assets of the Company pursuant to, (i) the charter or bylaws of the Company, (ii) the terms of any indenture, contract, lease, mortgage, deed of trust, note agreement, loan agreement or other agreement, obligation, condition, covenant or instrument to which the Company is a party or bound or to which its or their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clauses (ii) and (iii) above, for any conflict, breach or violation of, or imposition that would not, individually or in the aggregate, have a Material Adverse Effect.</w:t>
      </w:r>
    </w:p>
    <w:p>
      <w:pPr>
        <w:spacing w:after="0" w:line="185" w:lineRule="exact"/>
        <w:rPr>
          <w:rFonts w:ascii="Arial" w:cs="Arial" w:eastAsia="Arial" w:hAnsi="Arial"/>
          <w:sz w:val="18"/>
          <w:szCs w:val="18"/>
          <w:b w:val="1"/>
          <w:bCs w:val="1"/>
          <w:color w:val="auto"/>
        </w:rPr>
      </w:pPr>
    </w:p>
    <w:p>
      <w:pPr>
        <w:ind w:right="20" w:firstLine="656"/>
        <w:spacing w:after="0" w:line="255" w:lineRule="auto"/>
        <w:tabs>
          <w:tab w:leader="none" w:pos="131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 Law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filed all tax returns that are required to be filed or has requested extensions thereof (except in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 in which the failure so to file would not have a Material Adverse Effect, whether or not arising from transactions in the ordinary course of business, except as set forth in or contemplated in the Time of Sale Prospectus and the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whether or not arising from transactions in the ordinary course of business, except as set forth in or contemplated in the Time of Sale Prospectus and the Prospectus (exclusive of any supplement thereto).</w:t>
      </w:r>
    </w:p>
    <w:p>
      <w:pPr>
        <w:spacing w:after="0" w:line="189" w:lineRule="exact"/>
        <w:rPr>
          <w:rFonts w:ascii="Arial" w:cs="Arial" w:eastAsia="Arial" w:hAnsi="Arial"/>
          <w:sz w:val="18"/>
          <w:szCs w:val="18"/>
          <w:b w:val="1"/>
          <w:bCs w:val="1"/>
          <w:color w:val="auto"/>
        </w:rPr>
      </w:pPr>
    </w:p>
    <w:p>
      <w:pPr>
        <w:ind w:right="20" w:firstLine="656"/>
        <w:spacing w:after="0" w:line="291" w:lineRule="auto"/>
        <w:tabs>
          <w:tab w:leader="none" w:pos="1304"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insured by insurers of recognized financial responsibility against such losses and risks and in such amounts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reasonable and customary in the business in which it is engaged; all policies of insurance and fidelity or surety bonds insuring the Company or its businesses, assets,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 whether or not arising from transactions in the ordinary course of business, except as set forth in or contemplated in the Time of Sale Prospectus and the Prospectus (exclusive of any supplement thereto).</w:t>
      </w:r>
    </w:p>
    <w:p>
      <w:pPr>
        <w:spacing w:after="0" w:line="160" w:lineRule="exact"/>
        <w:rPr>
          <w:rFonts w:ascii="Arial" w:cs="Arial" w:eastAsia="Arial" w:hAnsi="Arial"/>
          <w:sz w:val="16"/>
          <w:szCs w:val="16"/>
          <w:b w:val="1"/>
          <w:bCs w:val="1"/>
          <w:color w:val="auto"/>
        </w:rPr>
      </w:pPr>
    </w:p>
    <w:p>
      <w:pPr>
        <w:ind w:right="20" w:firstLine="656"/>
        <w:spacing w:after="0" w:line="282" w:lineRule="auto"/>
        <w:tabs>
          <w:tab w:leader="none" w:pos="130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Environmental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 is in compliance with any and all applicable foreign, federal, state and local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regulations relating to the protection of human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(ii) has received and is in compliance with all permits, licenses or other approvals required of them under applicable Environmental Laws to conduct its business and (iii) has not received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whether or not arising from transactions in the ordinary course of business, except as set forth in or contemplated in the Time of Sale Prospectus and the Prospectus (exclusive of any supplement thereto). Except as set forth in the Time of Sale Prospectus and the Prospectus, the Company has not been named as a “potentially responsible party” under the Comprehensive Environmental Response, Compensation, and Liability Act of 1980, as amended.</w:t>
      </w:r>
    </w:p>
    <w:p>
      <w:pPr>
        <w:spacing w:after="0" w:line="162" w:lineRule="exact"/>
        <w:rPr>
          <w:sz w:val="20"/>
          <w:szCs w:val="20"/>
          <w:color w:val="auto"/>
        </w:rPr>
      </w:pPr>
    </w:p>
    <w:p>
      <w:pPr>
        <w:ind w:right="220" w:firstLine="656"/>
        <w:spacing w:after="0" w:line="273" w:lineRule="auto"/>
        <w:tabs>
          <w:tab w:leader="none" w:pos="130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Periodic Review of Costs of Environmental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ordinary course of its business, the Company periodically reviews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 of Environmental Laws on the business, operations and properties of the Company,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whether or not arising from transactions in the ordinary course of business, except as set forth in or contemplated in the Time of Sale Prospectus and the Prospectus (exclusive of any supplement thereto).</w:t>
      </w:r>
    </w:p>
    <w:p>
      <w:pPr>
        <w:spacing w:after="0" w:line="172" w:lineRule="exact"/>
        <w:rPr>
          <w:sz w:val="20"/>
          <w:szCs w:val="20"/>
          <w:color w:val="auto"/>
        </w:rPr>
      </w:pPr>
    </w:p>
    <w:p>
      <w:pPr>
        <w:ind w:right="60" w:firstLine="656"/>
        <w:spacing w:after="0" w:line="286" w:lineRule="auto"/>
        <w:tabs>
          <w:tab w:leader="none" w:pos="129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ERISA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 of the following events has occurred or exists: (i) a failure to fulfill the obligations, if any, under the minimum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funding standards of Section 302 of the United States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and the regulations and published interpretations thereunder with respect to a Plan that is required to be funded,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that could have a Material Adverse Effect; (iii) any breach of any contractual obligation, or any violation of law or applicable qualification standards, with respect to the employment or compensation of employees by the Company that could have a Material Adverse Effect. None of the following events has occurred or is reasonably likely to occur: (i) a material increase in the aggregate amount of contributions required to be made to all Plans in the current fiscal year of the Company compared to the amount of such contributions made in the most recently completed fiscal year of the Company; (ii) a material increase in the “accumulated post-retirement benefit obligations” (within the meaning of Statement of Financial Accounting Standards 106) of the Company compared to the amount of such obligations in the most recently completed fiscal year of the Company; (iii) any event or condition giving rise to a liability under Title IV of ERISA that could have a Material Adverse Effect; or (iv) the filing of a claim by one or more employees or former employees of the Company related to their employment that could have a Material Adverse Effect. For purposes of this paragraph, the term “Plan” means a plan (within the meaning of Section 3(3) of ERISA) subject to Title IV of ERISA with respect to which the Company may have any liability.</w:t>
      </w:r>
    </w:p>
    <w:p>
      <w:pPr>
        <w:spacing w:after="0" w:line="175" w:lineRule="exact"/>
        <w:rPr>
          <w:rFonts w:ascii="Arial" w:cs="Arial" w:eastAsia="Arial" w:hAnsi="Arial"/>
          <w:sz w:val="16"/>
          <w:szCs w:val="16"/>
          <w:b w:val="1"/>
          <w:bCs w:val="1"/>
          <w:color w:val="auto"/>
        </w:rPr>
      </w:pPr>
    </w:p>
    <w:p>
      <w:pPr>
        <w:ind w:right="160" w:firstLine="656"/>
        <w:spacing w:after="0" w:line="312" w:lineRule="auto"/>
        <w:tabs>
          <w:tab w:leader="none" w:pos="131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Not an “Investment Company.” </w:t>
      </w:r>
      <w:r>
        <w:rPr>
          <w:rFonts w:ascii="Arial" w:cs="Arial" w:eastAsia="Arial" w:hAnsi="Arial"/>
          <w:sz w:val="16"/>
          <w:szCs w:val="16"/>
          <w:color w:val="auto"/>
        </w:rPr>
        <w:t>The Company is not, and will not be, either after receipt of payment for the Offered Shares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ectPr>
          <w:pgSz w:w="11900" w:h="16838" w:orient="portrait"/>
          <w:cols w:equalWidth="0" w:num="1">
            <w:col w:w="11420"/>
          </w:cols>
          <w:pgMar w:left="240" w:top="121"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7" w:name="page8"/>
    <w:bookmarkEnd w:id="7"/>
    <w:p>
      <w:pPr>
        <w:spacing w:after="0" w:line="45" w:lineRule="exact"/>
        <w:rPr>
          <w:sz w:val="20"/>
          <w:szCs w:val="20"/>
          <w:color w:val="auto"/>
        </w:rPr>
      </w:pPr>
    </w:p>
    <w:p>
      <w:pPr>
        <w:ind w:right="340" w:firstLine="656"/>
        <w:spacing w:after="0" w:line="281" w:lineRule="auto"/>
        <w:tabs>
          <w:tab w:leader="none" w:pos="1306"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Price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have taken,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directly or indirectly, any action designed to or that might cause or result in stabilization or manipulation of the price of the Shares or of any “reference security” (as defined in Rule 100 of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with respect to the Shares, whether to facilitate the sale or resale of the Offered Shares or otherwise, and has taken no action which would directly or indirectly violate Regulation M.</w:t>
      </w:r>
    </w:p>
    <w:p>
      <w:pPr>
        <w:spacing w:after="0" w:line="164" w:lineRule="exact"/>
        <w:rPr>
          <w:rFonts w:ascii="Arial" w:cs="Arial" w:eastAsia="Arial" w:hAnsi="Arial"/>
          <w:sz w:val="17"/>
          <w:szCs w:val="17"/>
          <w:b w:val="1"/>
          <w:bCs w:val="1"/>
          <w:color w:val="auto"/>
        </w:rPr>
      </w:pPr>
    </w:p>
    <w:p>
      <w:pPr>
        <w:jc w:val="both"/>
        <w:ind w:right="40" w:firstLine="656"/>
        <w:spacing w:after="0" w:line="289" w:lineRule="auto"/>
        <w:tabs>
          <w:tab w:leader="none" w:pos="1319"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demographic and market-related data included in the Registration Statement, the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Sale Prospectus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158" w:lineRule="exact"/>
        <w:rPr>
          <w:rFonts w:ascii="Arial" w:cs="Arial" w:eastAsia="Arial" w:hAnsi="Arial"/>
          <w:sz w:val="17"/>
          <w:szCs w:val="17"/>
          <w:b w:val="1"/>
          <w:bCs w:val="1"/>
          <w:color w:val="auto"/>
        </w:rPr>
      </w:pPr>
    </w:p>
    <w:p>
      <w:pPr>
        <w:ind w:right="40" w:firstLine="656"/>
        <w:spacing w:after="0" w:line="261" w:lineRule="auto"/>
        <w:tabs>
          <w:tab w:leader="none" w:pos="1306"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best of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80" w:lineRule="exact"/>
        <w:rPr>
          <w:rFonts w:ascii="Arial" w:cs="Arial" w:eastAsia="Arial" w:hAnsi="Arial"/>
          <w:sz w:val="18"/>
          <w:szCs w:val="18"/>
          <w:b w:val="1"/>
          <w:bCs w:val="1"/>
          <w:color w:val="auto"/>
        </w:rPr>
      </w:pPr>
    </w:p>
    <w:p>
      <w:pPr>
        <w:ind w:right="180" w:firstLine="656"/>
        <w:spacing w:after="0" w:line="286" w:lineRule="auto"/>
        <w:tabs>
          <w:tab w:leader="none" w:pos="1293" w:val="left"/>
        </w:tabs>
        <w:numPr>
          <w:ilvl w:val="1"/>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Foreign Corrupt Practices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nor, to the knowledge of the Company, any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agent, employee, affiliate or other person acting on its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w:t>
      </w:r>
    </w:p>
    <w:p>
      <w:pPr>
        <w:spacing w:after="0" w:line="2" w:lineRule="exact"/>
        <w:rPr>
          <w:rFonts w:ascii="Arial" w:cs="Arial" w:eastAsia="Arial" w:hAnsi="Arial"/>
          <w:sz w:val="16"/>
          <w:szCs w:val="16"/>
          <w:b w:val="1"/>
          <w:bCs w:val="1"/>
          <w:color w:val="auto"/>
        </w:rPr>
      </w:pPr>
    </w:p>
    <w:p>
      <w:pPr>
        <w:ind w:right="80" w:firstLine="8"/>
        <w:spacing w:after="0" w:line="253"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7" w:lineRule="exact"/>
        <w:rPr>
          <w:rFonts w:ascii="Arial" w:cs="Arial" w:eastAsia="Arial" w:hAnsi="Arial"/>
          <w:sz w:val="18"/>
          <w:szCs w:val="18"/>
          <w:color w:val="auto"/>
        </w:rPr>
      </w:pPr>
    </w:p>
    <w:p>
      <w:pPr>
        <w:ind w:right="80" w:firstLine="656"/>
        <w:spacing w:after="0" w:line="256" w:lineRule="auto"/>
        <w:tabs>
          <w:tab w:leader="none" w:pos="1299"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Money Laundering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operations of the Company and its subsidiaries are, and have been conducted at all times, in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187" w:lineRule="exact"/>
        <w:rPr>
          <w:rFonts w:ascii="Arial" w:cs="Arial" w:eastAsia="Arial" w:hAnsi="Arial"/>
          <w:sz w:val="18"/>
          <w:szCs w:val="18"/>
          <w:b w:val="1"/>
          <w:bCs w:val="1"/>
          <w:color w:val="auto"/>
        </w:rPr>
      </w:pPr>
    </w:p>
    <w:p>
      <w:pPr>
        <w:ind w:right="20" w:firstLine="656"/>
        <w:spacing w:after="0" w:line="256" w:lineRule="auto"/>
        <w:tabs>
          <w:tab w:leader="none" w:pos="1319"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OFAC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knowledge of the Company, after reasonable inquiry, any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agent, employee, affiliate or person acting on behalf of the Company or any of its subsidiaries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by any person (including any person participating in the transaction whether as underwriter, advisor, investor or otherwise) of U.S. sanctions administered by OFAC.</w:t>
      </w:r>
    </w:p>
    <w:p>
      <w:pPr>
        <w:spacing w:after="0" w:line="166" w:lineRule="exact"/>
        <w:rPr>
          <w:sz w:val="20"/>
          <w:szCs w:val="20"/>
          <w:color w:val="auto"/>
        </w:rPr>
      </w:pPr>
    </w:p>
    <w:p>
      <w:pPr>
        <w:ind w:right="480" w:firstLine="656"/>
        <w:spacing w:after="0" w:line="282" w:lineRule="auto"/>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pursuant to this Agreement, there is no broker, finder or other party that is entitled to receive from the Company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brokerage or finder’s fee or other fee or commission as a result of any transactions contemplated by this Agreement.</w:t>
      </w:r>
    </w:p>
    <w:p>
      <w:pPr>
        <w:spacing w:after="0" w:line="165" w:lineRule="exact"/>
        <w:rPr>
          <w:rFonts w:ascii="Arial" w:cs="Arial" w:eastAsia="Arial" w:hAnsi="Arial"/>
          <w:sz w:val="18"/>
          <w:szCs w:val="18"/>
          <w:b w:val="1"/>
          <w:bCs w:val="1"/>
          <w:color w:val="auto"/>
        </w:rPr>
      </w:pPr>
    </w:p>
    <w:p>
      <w:pPr>
        <w:ind w:firstLine="656"/>
        <w:spacing w:after="0" w:line="284" w:lineRule="auto"/>
        <w:tabs>
          <w:tab w:leader="none" w:pos="132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Products. </w:t>
      </w:r>
      <w:r>
        <w:rPr>
          <w:rFonts w:ascii="Arial" w:cs="Arial" w:eastAsia="Arial" w:hAnsi="Arial"/>
          <w:sz w:val="16"/>
          <w:szCs w:val="16"/>
          <w:color w:val="auto"/>
        </w:rPr>
        <w:t>Except as described in the Registration Statement, the Time of Sale Prospectus and the Prospectus,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would not, individually or in the aggregate, result in a Material Adverse Effect: (i) the Company is and has been in compliance with statutes, laws, ordinances, rules and regulations applicable to the Company for the ownership, testing, development, manufacture, packaging, processing, use, labeling, storage, or disposal of any product manufactured by or on behalf of the Company (a “</w:t>
      </w:r>
      <w:r>
        <w:rPr>
          <w:rFonts w:ascii="Arial" w:cs="Arial" w:eastAsia="Arial" w:hAnsi="Arial"/>
          <w:sz w:val="16"/>
          <w:szCs w:val="16"/>
          <w:b w:val="1"/>
          <w:bCs w:val="1"/>
          <w:color w:val="auto"/>
        </w:rPr>
        <w:t>Company Product</w:t>
      </w:r>
      <w:r>
        <w:rPr>
          <w:rFonts w:ascii="Arial" w:cs="Arial" w:eastAsia="Arial" w:hAnsi="Arial"/>
          <w:sz w:val="16"/>
          <w:szCs w:val="16"/>
          <w:color w:val="auto"/>
        </w:rPr>
        <w:t>”), including without limitation, the Federal Food, Drug, and Cosmetic Act, 21 U.S.C. § 301, et seq., the Public Health Service Act, 42 U.S.C. § 262, similar laws of other governmental entities and regulatory agencies outside of the United States to which the Company is subject (the “</w:t>
      </w:r>
      <w:r>
        <w:rPr>
          <w:rFonts w:ascii="Arial" w:cs="Arial" w:eastAsia="Arial" w:hAnsi="Arial"/>
          <w:sz w:val="16"/>
          <w:szCs w:val="16"/>
          <w:b w:val="1"/>
          <w:bCs w:val="1"/>
          <w:color w:val="auto"/>
        </w:rPr>
        <w:t>Governmental Entities</w:t>
      </w:r>
      <w:r>
        <w:rPr>
          <w:rFonts w:ascii="Arial" w:cs="Arial" w:eastAsia="Arial" w:hAnsi="Arial"/>
          <w:sz w:val="16"/>
          <w:szCs w:val="16"/>
          <w:color w:val="auto"/>
        </w:rPr>
        <w:t>”) and the regulations promulgated pursuant to such laws (collectively, “</w:t>
      </w:r>
      <w:r>
        <w:rPr>
          <w:rFonts w:ascii="Arial" w:cs="Arial" w:eastAsia="Arial" w:hAnsi="Arial"/>
          <w:sz w:val="16"/>
          <w:szCs w:val="16"/>
          <w:b w:val="1"/>
          <w:bCs w:val="1"/>
          <w:color w:val="auto"/>
        </w:rPr>
        <w:t>Applicable Laws</w:t>
      </w:r>
      <w:r>
        <w:rPr>
          <w:rFonts w:ascii="Arial" w:cs="Arial" w:eastAsia="Arial" w:hAnsi="Arial"/>
          <w:sz w:val="16"/>
          <w:szCs w:val="16"/>
          <w:color w:val="auto"/>
        </w:rPr>
        <w:t>”); (ii) the Company possesses all licenses, certificates, approvals, authorizations, permits and supplements or amendments thereto required by any such Applicable Laws and/or for the ownership of its properties or the conduct of its business as it relates to a Company Product and as described in the Registration Statement, the Time of Sale Prospectus and the Prospectus (collectively, “</w:t>
      </w:r>
      <w:r>
        <w:rPr>
          <w:rFonts w:ascii="Arial" w:cs="Arial" w:eastAsia="Arial" w:hAnsi="Arial"/>
          <w:sz w:val="16"/>
          <w:szCs w:val="16"/>
          <w:b w:val="1"/>
          <w:bCs w:val="1"/>
          <w:color w:val="auto"/>
        </w:rPr>
        <w:t>Authorizations</w:t>
      </w:r>
      <w:r>
        <w:rPr>
          <w:rFonts w:ascii="Arial" w:cs="Arial" w:eastAsia="Arial" w:hAnsi="Arial"/>
          <w:sz w:val="16"/>
          <w:szCs w:val="16"/>
          <w:color w:val="auto"/>
        </w:rPr>
        <w:t>”) and such Authorizations are valid and in full force and effect and the Company is not in violation of any term of any such Authorizations; (iii) the Company has not received any written notice of adverse finding, warning letter or other written correspondence or notice from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or any other Governmental Entity alleging or asserting noncompliance with any Applicable Laws or Authorizations relating to a Company Product; (iv) the Company has not received written notice of any ongoing claim, action, suit, proceeding, hearing, enforcement, investigation, arbitration or other action from any Governmental Entity or third party alleging that any Company Product, operation or activity related to a Company Product is in violation of any Applicable Laws or Authorizations or has any knowledge that any such Governmental Entity or third party is considering any such claim, litigation, arbitration, action, suit, investigation or proceeding, nor, to the best of the Company’s knowledge, has there been any noncompliance with or violation of any Applicable Laws by the Company that could reasonably be expected to require the issuance of any such written notice or result in an investigation, corrective action, or enforcement action by FDA or similar Governmental Entity with respect to a Company Product; (v) the Company has not received written notice that any Governmental Entity has taken, is taking or intends to take action to limit, suspend, modify or revoke any Authorizations or has any knowledge that any such Governmental Entity has threatened or is considering such action with respect to a Company Product; and (vi) the Company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 To the Company’s knowledge, neither the Company nor any of its directors, officers, employees or agents, has made, or caused the making of, any false statements on, or material omissions from, any other records or documentation prepared or maintained to comply with the requirements of the FDA or any other Governmental Entity.</w:t>
      </w:r>
    </w:p>
    <w:p>
      <w:pPr>
        <w:sectPr>
          <w:pgSz w:w="11900" w:h="16883" w:orient="portrait"/>
          <w:cols w:equalWidth="0" w:num="1">
            <w:col w:w="11420"/>
          </w:cols>
          <w:pgMar w:left="240" w:top="580" w:right="239" w:bottom="0" w:gutter="0" w:footer="0" w:header="0"/>
        </w:sectPr>
      </w:pPr>
    </w:p>
    <w:bookmarkStart w:id="8" w:name="page9"/>
    <w:bookmarkEnd w:id="8"/>
    <w:p>
      <w:pPr>
        <w:spacing w:after="0" w:line="115" w:lineRule="exact"/>
        <w:rPr>
          <w:sz w:val="20"/>
          <w:szCs w:val="20"/>
          <w:color w:val="auto"/>
        </w:rPr>
      </w:pPr>
    </w:p>
    <w:p>
      <w:pPr>
        <w:ind w:right="100" w:firstLine="656"/>
        <w:spacing w:after="0" w:line="259" w:lineRule="auto"/>
        <w:tabs>
          <w:tab w:leader="none" w:pos="131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Clinical Studies</w:t>
      </w:r>
      <w:r>
        <w:rPr>
          <w:rFonts w:ascii="Arial" w:cs="Arial" w:eastAsia="Arial" w:hAnsi="Arial"/>
          <w:sz w:val="18"/>
          <w:szCs w:val="18"/>
          <w:color w:val="auto"/>
        </w:rPr>
        <w:t>. The clinical studies and tests conducted by the Company, or to the knowledge of the Company, by third parties in respect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Company Product, have been and, if still pending, are being conducted in all material respects pursuant to all Applicable Laws and Authorizations; the descriptions of the results of such clinical studies and tests contained in the Registration Statement, the Time of Sale Prospectus and the Prospectus are accurate and complete in all material respects and fairly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present the data derived from such clinical studies and tests; except to the extent disclosed in the Registration Statement, the Time of Sale Prospectus and the Prospectus, the Company is not aware of any clinical studies or tests, the results of which the Company believes reasonably call into question the research, nonclinical or clinical study or test results described or referred to in the Registration Statement, the Time of Sale Prospectus and the Prospectus when viewed in the context in which such results are described; and the Company has not received any written notices or correspondence from any Governmental Entity requiring the termination, suspension or material modification of any clinical study or test conducted by or on behalf of the Company.</w:t>
      </w:r>
    </w:p>
    <w:p>
      <w:pPr>
        <w:spacing w:after="0" w:line="158" w:lineRule="exact"/>
        <w:rPr>
          <w:sz w:val="20"/>
          <w:szCs w:val="20"/>
          <w:color w:val="auto"/>
        </w:rPr>
      </w:pPr>
    </w:p>
    <w:p>
      <w:pPr>
        <w:ind w:right="100" w:firstLine="656"/>
        <w:spacing w:after="0" w:line="312" w:lineRule="auto"/>
        <w:tabs>
          <w:tab w:leader="none" w:pos="130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Emerging Growth Company Status. </w:t>
      </w:r>
      <w:r>
        <w:rPr>
          <w:rFonts w:ascii="Arial" w:cs="Arial" w:eastAsia="Arial" w:hAnsi="Arial"/>
          <w:sz w:val="16"/>
          <w:szCs w:val="16"/>
          <w:color w:val="auto"/>
        </w:rPr>
        <w:t>From the time of initial filing of the Registration Statement to the Commission (or, if earlier,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46" w:lineRule="exact"/>
        <w:rPr>
          <w:rFonts w:ascii="Arial" w:cs="Arial" w:eastAsia="Arial" w:hAnsi="Arial"/>
          <w:sz w:val="16"/>
          <w:szCs w:val="16"/>
          <w:b w:val="1"/>
          <w:bCs w:val="1"/>
          <w:color w:val="auto"/>
        </w:rPr>
      </w:pPr>
    </w:p>
    <w:p>
      <w:pPr>
        <w:jc w:val="both"/>
        <w:ind w:right="260" w:firstLine="656"/>
        <w:spacing w:after="0" w:line="264" w:lineRule="auto"/>
        <w:tabs>
          <w:tab w:leader="none" w:pos="131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Communications. </w:t>
      </w:r>
      <w:r>
        <w:rPr>
          <w:rFonts w:ascii="Arial" w:cs="Arial" w:eastAsia="Arial" w:hAnsi="Arial"/>
          <w:sz w:val="18"/>
          <w:szCs w:val="18"/>
          <w:color w:val="auto"/>
        </w:rPr>
        <w:t>Since May 7, 2018 the Company (i) has not alone engaged in communications with potential investors in reliance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5(d) of the Securities Act other than Permitted Section 5(d) Communications with the consent of the Representatives with entities that are QIBs or IAIs and (ii) has not authorized anyone other than the Representatives to engage in such communications.</w:t>
      </w:r>
    </w:p>
    <w:p>
      <w:pPr>
        <w:spacing w:after="0" w:line="181" w:lineRule="exact"/>
        <w:rPr>
          <w:rFonts w:ascii="Arial" w:cs="Arial" w:eastAsia="Arial" w:hAnsi="Arial"/>
          <w:sz w:val="18"/>
          <w:szCs w:val="18"/>
          <w:b w:val="1"/>
          <w:bCs w:val="1"/>
          <w:color w:val="auto"/>
        </w:rPr>
      </w:pPr>
    </w:p>
    <w:p>
      <w:pPr>
        <w:ind w:right="100" w:firstLine="656"/>
        <w:spacing w:after="0" w:line="264" w:lineRule="auto"/>
        <w:tabs>
          <w:tab w:leader="none" w:pos="1319"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Rated Security. </w:t>
      </w:r>
      <w:r>
        <w:rPr>
          <w:rFonts w:ascii="Arial" w:cs="Arial" w:eastAsia="Arial" w:hAnsi="Arial"/>
          <w:sz w:val="18"/>
          <w:szCs w:val="18"/>
          <w:color w:val="auto"/>
        </w:rPr>
        <w:t>There are (and prior to the first Closing Date and, if applicable, the Option Closing Date, will be) no debt securities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of, or guaranteed by, the Company that are rated by a “nationally recognized statistical rating organization,” as such term is defined by the Commission for the purposes of Section 3(a)(62) of the Exchange Act.</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Any certificate signed by any officer of the Company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62"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Purchase, Sale and Delivery of the Offered Shares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303" w:lineRule="auto"/>
        <w:tabs>
          <w:tab w:leader="none" w:pos="1304"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Firm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herein set forth, the Company agrees to issue and sell to the several Underwriters an aggregate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12,500,000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The purchase price per Firm Share to be paid by the several Underwriters to the Company shall be $3.76 per share.</w:t>
      </w:r>
    </w:p>
    <w:p>
      <w:pPr>
        <w:spacing w:after="0" w:line="151" w:lineRule="exact"/>
        <w:rPr>
          <w:rFonts w:ascii="Arial" w:cs="Arial" w:eastAsia="Arial" w:hAnsi="Arial"/>
          <w:sz w:val="16"/>
          <w:szCs w:val="16"/>
          <w:b w:val="1"/>
          <w:bCs w:val="1"/>
          <w:color w:val="auto"/>
        </w:rPr>
      </w:pPr>
    </w:p>
    <w:p>
      <w:pPr>
        <w:ind w:right="160" w:firstLine="656"/>
        <w:spacing w:after="0" w:line="258" w:lineRule="auto"/>
        <w:tabs>
          <w:tab w:leader="none" w:pos="131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First Closing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 of certificates for the Firm Shares to be purchased by the Underwriters and payment therefor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at the offices of Davis Polk &amp; Wardwell LLP, 1600 El Camino Real, Menlo Park, California 94025 (or such other place as may be agreed to by the Company and the Representatives) at 10:00 a.m. New York City time, on May 25, 2018</w:t>
      </w:r>
      <w:r>
        <w:rPr>
          <w:rFonts w:ascii="Arial" w:cs="Arial" w:eastAsia="Arial" w:hAnsi="Arial"/>
          <w:sz w:val="18"/>
          <w:szCs w:val="18"/>
          <w:b w:val="1"/>
          <w:bCs w:val="1"/>
          <w:color w:val="auto"/>
        </w:rPr>
        <w:t>,</w:t>
      </w:r>
      <w:r>
        <w:rPr>
          <w:rFonts w:ascii="Arial" w:cs="Arial" w:eastAsia="Arial" w:hAnsi="Arial"/>
          <w:sz w:val="18"/>
          <w:szCs w:val="18"/>
          <w:color w:val="auto"/>
        </w:rPr>
        <w:t xml:space="preserve"> or such other time and date not later than 1:30 p.m. New York City time, on June 8, 2018 as the Representatives shall designate by notice to the Company (the time and date of such closing are called the “</w:t>
      </w:r>
      <w:r>
        <w:rPr>
          <w:rFonts w:ascii="Arial" w:cs="Arial" w:eastAsia="Arial" w:hAnsi="Arial"/>
          <w:sz w:val="18"/>
          <w:szCs w:val="18"/>
          <w:b w:val="1"/>
          <w:bCs w:val="1"/>
          <w:color w:val="auto"/>
        </w:rPr>
        <w:t>First Closing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Sections 11.</w:t>
      </w:r>
    </w:p>
    <w:p>
      <w:pPr>
        <w:spacing w:after="0" w:line="177" w:lineRule="exact"/>
        <w:rPr>
          <w:sz w:val="20"/>
          <w:szCs w:val="20"/>
          <w:color w:val="auto"/>
        </w:rPr>
      </w:pPr>
    </w:p>
    <w:p>
      <w:pPr>
        <w:ind w:right="80" w:firstLine="656"/>
        <w:spacing w:after="0" w:line="286" w:lineRule="auto"/>
        <w:tabs>
          <w:tab w:leader="none" w:pos="1307"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Shares;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upon the terms but subject to the conditions herein set forth, the Company hereby grants an option to the several Underwriters to purchase, severally and not jointly, up to an aggregate of 1,875,000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certificates for the Firm Shares and such Optional 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shall be determined by the Representatives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Shares bears to the total number of Optional Shares. The Representatives may cancel the option at any time prior to its expiration by giving written notice of such cancellation to the Company.</w:t>
      </w:r>
    </w:p>
    <w:p>
      <w:pPr>
        <w:spacing w:after="0" w:line="168" w:lineRule="exact"/>
        <w:rPr>
          <w:rFonts w:ascii="Arial" w:cs="Arial" w:eastAsia="Arial" w:hAnsi="Arial"/>
          <w:sz w:val="16"/>
          <w:szCs w:val="16"/>
          <w:b w:val="1"/>
          <w:bCs w:val="1"/>
          <w:color w:val="auto"/>
        </w:rPr>
      </w:pPr>
    </w:p>
    <w:p>
      <w:pPr>
        <w:ind w:right="180" w:firstLine="656"/>
        <w:spacing w:after="0" w:line="314" w:lineRule="auto"/>
        <w:tabs>
          <w:tab w:leader="none" w:pos="1314"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Public Offering of the Offered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Representatives hereby advise the Company that the Underwriters intend to offer for sale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w:t>
      </w:r>
    </w:p>
    <w:p>
      <w:pPr>
        <w:sectPr>
          <w:pgSz w:w="11900" w:h="16953" w:orient="portrait"/>
          <w:cols w:equalWidth="0" w:num="1">
            <w:col w:w="11400"/>
          </w:cols>
          <w:pgMar w:left="240" w:top="341" w:right="259" w:bottom="0" w:gutter="0" w:footer="0" w:header="0"/>
        </w:sectPr>
      </w:pPr>
    </w:p>
    <w:bookmarkStart w:id="9" w:name="page10"/>
    <w:bookmarkEnd w:id="9"/>
    <w:p>
      <w:pPr>
        <w:ind w:right="320" w:firstLine="656"/>
        <w:spacing w:after="0" w:line="282" w:lineRule="auto"/>
        <w:tabs>
          <w:tab w:leader="none" w:pos="130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Offered Shares shall be made at the First Closing Date (and, if applicable, at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Closing Date) by wire transfer of immediately available funds to the order of the Company.</w:t>
      </w:r>
    </w:p>
    <w:p>
      <w:pPr>
        <w:spacing w:after="0" w:line="165" w:lineRule="exact"/>
        <w:rPr>
          <w:rFonts w:ascii="Arial" w:cs="Arial" w:eastAsia="Arial" w:hAnsi="Arial"/>
          <w:sz w:val="18"/>
          <w:szCs w:val="18"/>
          <w:b w:val="1"/>
          <w:bCs w:val="1"/>
          <w:color w:val="auto"/>
        </w:rPr>
      </w:pPr>
    </w:p>
    <w:p>
      <w:pPr>
        <w:ind w:right="20" w:firstLine="1305"/>
        <w:spacing w:after="0" w:line="255" w:lineRule="auto"/>
        <w:tabs>
          <w:tab w:leader="none" w:pos="19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Leerink,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89" w:lineRule="exact"/>
        <w:rPr>
          <w:rFonts w:ascii="Arial" w:cs="Arial" w:eastAsia="Arial" w:hAnsi="Arial"/>
          <w:sz w:val="18"/>
          <w:szCs w:val="18"/>
          <w:color w:val="auto"/>
        </w:rPr>
      </w:pPr>
    </w:p>
    <w:p>
      <w:pPr>
        <w:ind w:right="40" w:firstLine="656"/>
        <w:spacing w:after="0" w:line="266" w:lineRule="auto"/>
        <w:tabs>
          <w:tab w:leader="none" w:pos="1301"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Delivery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deliver, or cause to be delivered to the Representatives for the accounts of the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Underwriters certificates for the Firm Shares to be sold by them at the First Closing Date, against release of a wire transfer of immediately available funds for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amount of the purchase price therefor. The Company shall also deliver, or cause to be delivered to the Representatives for the accounts of the several Underwriters, certificates for the Optional Shares the Underwriters have agreed to purchase from them at the First Closing Date or the applicable Option Closing Date, as the case may be, against the release of a wire transfer of immediately available funds for the amount of the purchase price therefor. The certificates for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18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Additional Covenants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225" w:lineRule="exact"/>
        <w:rPr>
          <w:sz w:val="20"/>
          <w:szCs w:val="20"/>
          <w:color w:val="auto"/>
        </w:rPr>
      </w:pPr>
    </w:p>
    <w:p>
      <w:pPr>
        <w:ind w:right="40" w:firstLine="656"/>
        <w:spacing w:after="0" w:line="276" w:lineRule="auto"/>
        <w:tabs>
          <w:tab w:leader="none" w:pos="1304"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172" w:lineRule="exact"/>
        <w:rPr>
          <w:rFonts w:ascii="Arial" w:cs="Arial" w:eastAsia="Arial" w:hAnsi="Arial"/>
          <w:sz w:val="17"/>
          <w:szCs w:val="17"/>
          <w:b w:val="1"/>
          <w:bCs w:val="1"/>
          <w:color w:val="auto"/>
        </w:rPr>
      </w:pPr>
    </w:p>
    <w:p>
      <w:pPr>
        <w:ind w:right="60" w:firstLine="656"/>
        <w:spacing w:after="0" w:line="270" w:lineRule="auto"/>
        <w:tabs>
          <w:tab w:leader="none" w:pos="1314"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Representatives’ Review of Proposed Amendments and Supplements. </w:t>
      </w:r>
      <w:r>
        <w:rPr>
          <w:rFonts w:ascii="Arial" w:cs="Arial" w:eastAsia="Arial" w:hAnsi="Arial"/>
          <w:sz w:val="17"/>
          <w:szCs w:val="17"/>
          <w:color w:val="auto"/>
        </w:rPr>
        <w:t>During the period when a prospectus relating to the Offered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1" w:lineRule="exact"/>
        <w:rPr>
          <w:rFonts w:ascii="Arial" w:cs="Arial" w:eastAsia="Arial" w:hAnsi="Arial"/>
          <w:sz w:val="17"/>
          <w:szCs w:val="17"/>
          <w:b w:val="1"/>
          <w:bCs w:val="1"/>
          <w:color w:val="auto"/>
        </w:rPr>
      </w:pPr>
    </w:p>
    <w:p>
      <w:pPr>
        <w:ind w:firstLine="656"/>
        <w:spacing w:after="0" w:line="289" w:lineRule="auto"/>
        <w:tabs>
          <w:tab w:leader="none" w:pos="1307"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shall furnish to the Representatives for review, a reasonable amount of time prior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spacing w:after="0" w:line="192" w:lineRule="exact"/>
        <w:rPr>
          <w:sz w:val="20"/>
          <w:szCs w:val="20"/>
          <w:color w:val="auto"/>
        </w:rPr>
      </w:pPr>
    </w:p>
    <w:p>
      <w:pPr>
        <w:ind w:right="160" w:firstLine="656"/>
        <w:spacing w:after="0" w:line="264" w:lineRule="auto"/>
        <w:tabs>
          <w:tab w:leader="none" w:pos="131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 of Underwriter Free Writing Prospectuses. </w:t>
      </w:r>
      <w:r>
        <w:rPr>
          <w:rFonts w:ascii="Arial" w:cs="Arial" w:eastAsia="Arial" w:hAnsi="Arial"/>
          <w:sz w:val="18"/>
          <w:szCs w:val="18"/>
          <w:color w:val="auto"/>
        </w:rPr>
        <w:t>The Company shall not take any action that would result in an Underwriter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being required to file with the Commission pursuant to Rule 433(d) under the Securities Act a free writing prospectus prepared by or on behalf of such Underwriter that such Underwriter otherwise would not have been required to file thereunder.</w:t>
      </w:r>
    </w:p>
    <w:p>
      <w:pPr>
        <w:sectPr>
          <w:pgSz w:w="11900" w:h="16838" w:orient="portrait"/>
          <w:cols w:equalWidth="0" w:num="1">
            <w:col w:w="11400"/>
          </w:cols>
          <w:pgMar w:left="240" w:top="337" w:right="259" w:bottom="0" w:gutter="0" w:footer="0" w:header="0"/>
        </w:sectPr>
      </w:pPr>
    </w:p>
    <w:bookmarkStart w:id="10" w:name="page11"/>
    <w:bookmarkEnd w:id="10"/>
    <w:p>
      <w:pPr>
        <w:spacing w:after="0" w:line="103" w:lineRule="exact"/>
        <w:rPr>
          <w:sz w:val="20"/>
          <w:szCs w:val="20"/>
          <w:color w:val="auto"/>
        </w:rPr>
      </w:pPr>
    </w:p>
    <w:p>
      <w:pPr>
        <w:ind w:firstLine="656"/>
        <w:spacing w:after="0" w:line="269" w:lineRule="auto"/>
        <w:tabs>
          <w:tab w:leader="none" w:pos="1307"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Time of Sale Prospectus. </w:t>
      </w:r>
      <w:r>
        <w:rPr>
          <w:rFonts w:ascii="Arial" w:cs="Arial" w:eastAsia="Arial" w:hAnsi="Arial"/>
          <w:sz w:val="17"/>
          <w:szCs w:val="17"/>
          <w:color w:val="auto"/>
        </w:rPr>
        <w:t>If the Time of Sale Prospectus is being used to solicit offers to buy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75" w:lineRule="exact"/>
        <w:rPr>
          <w:rFonts w:ascii="Arial" w:cs="Arial" w:eastAsia="Arial" w:hAnsi="Arial"/>
          <w:sz w:val="17"/>
          <w:szCs w:val="17"/>
          <w:b w:val="1"/>
          <w:bCs w:val="1"/>
          <w:color w:val="auto"/>
        </w:rPr>
      </w:pPr>
    </w:p>
    <w:p>
      <w:pPr>
        <w:ind w:left="1300" w:hanging="644"/>
        <w:spacing w:after="0"/>
        <w:tabs>
          <w:tab w:leader="none" w:pos="130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Representatives in</w:t>
      </w:r>
    </w:p>
    <w:p>
      <w:pPr>
        <w:spacing w:after="0" w:line="50" w:lineRule="exact"/>
        <w:rPr>
          <w:rFonts w:ascii="Arial" w:cs="Arial" w:eastAsia="Arial" w:hAnsi="Arial"/>
          <w:sz w:val="16"/>
          <w:szCs w:val="16"/>
          <w:b w:val="1"/>
          <w:bCs w:val="1"/>
          <w:color w:val="auto"/>
        </w:rPr>
      </w:pPr>
    </w:p>
    <w:p>
      <w:pPr>
        <w:ind w:right="6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provisions of Rule 424(b), Rule 433 and Rule 430B under the Securities Act and will use its reasonable efforts to confirm that any filings made by the Company under Rule 424(b) or Rule 433 were received in a timely manner by the Commission.</w:t>
      </w:r>
    </w:p>
    <w:p>
      <w:pPr>
        <w:spacing w:after="0" w:line="170" w:lineRule="exact"/>
        <w:rPr>
          <w:sz w:val="20"/>
          <w:szCs w:val="20"/>
          <w:color w:val="auto"/>
        </w:rPr>
      </w:pPr>
    </w:p>
    <w:p>
      <w:pPr>
        <w:ind w:right="40" w:firstLine="656"/>
        <w:spacing w:after="0" w:line="287" w:lineRule="auto"/>
        <w:tabs>
          <w:tab w:leader="none" w:pos="1304"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the Prospectus and Other Securities Act Matters. </w:t>
      </w:r>
      <w:r>
        <w:rPr>
          <w:rFonts w:ascii="Arial" w:cs="Arial" w:eastAsia="Arial" w:hAnsi="Arial"/>
          <w:sz w:val="16"/>
          <w:szCs w:val="16"/>
          <w:color w:val="auto"/>
        </w:rPr>
        <w:t>If any event shall occur or condition exist as a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168" w:lineRule="exact"/>
        <w:rPr>
          <w:rFonts w:ascii="Arial" w:cs="Arial" w:eastAsia="Arial" w:hAnsi="Arial"/>
          <w:sz w:val="16"/>
          <w:szCs w:val="16"/>
          <w:b w:val="1"/>
          <w:bCs w:val="1"/>
          <w:color w:val="auto"/>
        </w:rPr>
      </w:pPr>
    </w:p>
    <w:p>
      <w:pPr>
        <w:ind w:right="60" w:firstLine="656"/>
        <w:spacing w:after="0" w:line="256" w:lineRule="auto"/>
        <w:tabs>
          <w:tab w:leader="none" w:pos="131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Blue Sky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cooperate with the Representatives and counsel for the Underwriters to qualify or register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Shares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w:t>
      </w:r>
    </w:p>
    <w:p>
      <w:pPr>
        <w:spacing w:after="0" w:line="187" w:lineRule="exact"/>
        <w:rPr>
          <w:rFonts w:ascii="Arial" w:cs="Arial" w:eastAsia="Arial" w:hAnsi="Arial"/>
          <w:sz w:val="18"/>
          <w:szCs w:val="18"/>
          <w:b w:val="1"/>
          <w:bCs w:val="1"/>
          <w:color w:val="auto"/>
        </w:rPr>
      </w:pPr>
    </w:p>
    <w:p>
      <w:pPr>
        <w:ind w:right="200" w:firstLine="656"/>
        <w:spacing w:after="0" w:line="282" w:lineRule="auto"/>
        <w:tabs>
          <w:tab w:leader="none" w:pos="130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in the manner described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caption “Use of Proceeds” in the Registration Statement, the Time of Sale Prospectus and the Prospectus.</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engage and maintain, at its expense, a registrar and transfer agent for the Shares.</w:t>
      </w:r>
    </w:p>
    <w:p>
      <w:pPr>
        <w:spacing w:after="0" w:line="225" w:lineRule="exact"/>
        <w:rPr>
          <w:rFonts w:ascii="Arial" w:cs="Arial" w:eastAsia="Arial" w:hAnsi="Arial"/>
          <w:sz w:val="18"/>
          <w:szCs w:val="18"/>
          <w:b w:val="1"/>
          <w:bCs w:val="1"/>
          <w:color w:val="auto"/>
        </w:rPr>
      </w:pPr>
    </w:p>
    <w:p>
      <w:pPr>
        <w:ind w:right="160" w:firstLine="656"/>
        <w:spacing w:after="0" w:line="261" w:lineRule="auto"/>
        <w:tabs>
          <w:tab w:leader="none" w:pos="131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8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Listing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use its best efforts to list, subject to notice of issuance, the Offered Shares on The Nasdaq Global Market.</w:t>
      </w:r>
    </w:p>
    <w:p>
      <w:pPr>
        <w:spacing w:after="0" w:line="236" w:lineRule="exact"/>
        <w:rPr>
          <w:rFonts w:ascii="Arial" w:cs="Arial" w:eastAsia="Arial" w:hAnsi="Arial"/>
          <w:sz w:val="17"/>
          <w:szCs w:val="17"/>
          <w:b w:val="1"/>
          <w:bCs w:val="1"/>
          <w:color w:val="auto"/>
        </w:rPr>
      </w:pPr>
    </w:p>
    <w:p>
      <w:pPr>
        <w:ind w:right="180" w:firstLine="656"/>
        <w:spacing w:after="0" w:line="289" w:lineRule="auto"/>
        <w:tabs>
          <w:tab w:leader="none" w:pos="131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Company to Provide Copy of the Prospectus in Form That May be Downloaded from the Internet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requested by the Representatives,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cause to be prepared and delivered, at its expense, within one business day from the effective date of this Agreement, to the Representatives an “</w:t>
      </w:r>
      <w:r>
        <w:rPr>
          <w:rFonts w:ascii="Arial" w:cs="Arial" w:eastAsia="Arial" w:hAnsi="Arial"/>
          <w:sz w:val="17"/>
          <w:szCs w:val="17"/>
          <w:b w:val="1"/>
          <w:bCs w:val="1"/>
          <w:color w:val="auto"/>
        </w:rPr>
        <w:t>electronic Prospectus</w:t>
      </w:r>
      <w:r>
        <w:rPr>
          <w:rFonts w:ascii="Arial" w:cs="Arial" w:eastAsia="Arial" w:hAnsi="Arial"/>
          <w:sz w:val="17"/>
          <w:szCs w:val="17"/>
          <w:color w:val="auto"/>
        </w:rPr>
        <w:t>” to be used by the Underwriters in connection with the offering and sale of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Offered Shares.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Time of Sale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w:t>
      </w:r>
    </w:p>
    <w:p>
      <w:pPr>
        <w:sectPr>
          <w:pgSz w:w="11900" w:h="16941" w:orient="portrait"/>
          <w:cols w:equalWidth="0" w:num="1">
            <w:col w:w="11420"/>
          </w:cols>
          <w:pgMar w:left="240" w:top="125" w:right="239" w:bottom="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t>appropriate; and (iii) it shall be in or convertible into a paper format or an electronic format, satisfactory to Jefferies,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189" w:lineRule="exact"/>
        <w:rPr>
          <w:sz w:val="20"/>
          <w:szCs w:val="20"/>
          <w:color w:val="auto"/>
        </w:rPr>
      </w:pPr>
    </w:p>
    <w:p>
      <w:pPr>
        <w:ind w:right="20" w:firstLine="656"/>
        <w:spacing w:after="0" w:line="284" w:lineRule="auto"/>
        <w:tabs>
          <w:tab w:leader="none" w:pos="1314"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 continuing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and including the 60th day following the date of the Prospectus (such period, as extended as described below,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the Company will not, without the prior written consent of Jefferies and Leerink (which consent may be withheld in their sole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file any registration statement under the Securities Act in respect of any Shares or Related Securities (other than as contemplated by this Agreement with respect to the Offered Shares); or</w:t>
      </w:r>
    </w:p>
    <w:p>
      <w:pPr>
        <w:spacing w:after="0" w:line="1" w:lineRule="exact"/>
        <w:rPr>
          <w:rFonts w:ascii="Arial" w:cs="Arial" w:eastAsia="Arial" w:hAnsi="Arial"/>
          <w:sz w:val="16"/>
          <w:szCs w:val="16"/>
          <w:b w:val="1"/>
          <w:bCs w:val="1"/>
          <w:color w:val="auto"/>
        </w:rPr>
      </w:pPr>
    </w:p>
    <w:p>
      <w:pPr>
        <w:ind w:right="40" w:firstLine="8"/>
        <w:spacing w:after="0" w:line="267" w:lineRule="auto"/>
        <w:tabs>
          <w:tab w:leader="none" w:pos="405"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publicly announce the intention to do any of the foregoing;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(A) effect the transactions contemplated hereby and (B) the issuance by the Company of Shares upon the exercise of an option or warrant (whether by cash exercise or “net” or “cashless exercise”) or the conversion of a security outstanding on the date hereof, in each case that is described in or issued pursuant to a plan described in the Time of Sale Prospectus and the Prospectus, (C) the issuance of equity-based awards pursuant to the Company’s equity incentive award plans described in the Time of Sale Prospectus and the Prospectus, (D) the filing of a registration statement on Form S-8 relating to the Shares granted, or options to purchase, pursuant to or reserved for issuance under the Company’s equity incentive award plans and (E) the sale or issuance of or entry into an agreement to sell or issue Shares or Related Securities in connection with (1) an equipment leasing arrangement or debt financing facility, (2) mergers, (3) acquisition of securities, businesses, proper or other assets, (4) joint ventures or (5) strategic alliances; provided, that the aggregate number of Shares or Related Securities (on an as-converted or as-exercised basis, as the case may be) that the Company may sell or issue or agree to sell or issue pursuant to this clause (E) shall not exceed 5.0% of the total number of shares of common stock issued and outstanding immediately following the completion of the transactions contemplated by this Agreement; and provided further, that each recipient of Shares or Related Securities pursuant to this clause (E) shall execute a lock-up agreement substantially in the form of Exhibit A hereto. For purposes of the foregoing, “</w:t>
      </w:r>
      <w:r>
        <w:rPr>
          <w:rFonts w:ascii="Arial" w:cs="Arial" w:eastAsia="Arial" w:hAnsi="Arial"/>
          <w:sz w:val="17"/>
          <w:szCs w:val="17"/>
          <w:b w:val="1"/>
          <w:bCs w:val="1"/>
          <w:color w:val="auto"/>
        </w:rPr>
        <w:t>Related Securities</w:t>
      </w:r>
      <w:r>
        <w:rPr>
          <w:rFonts w:ascii="Arial" w:cs="Arial" w:eastAsia="Arial" w:hAnsi="Arial"/>
          <w:sz w:val="17"/>
          <w:szCs w:val="17"/>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56"/>
        <w:spacing w:after="0" w:line="347" w:lineRule="auto"/>
        <w:tabs>
          <w:tab w:leader="none" w:pos="1304"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Investment Limitation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not invest or otherwise use the proceeds received by the Company from its sale of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in such a manner as would require the Company or any of its subsidiaries to register as an investment company under the Investment Company Act.</w:t>
      </w:r>
    </w:p>
    <w:p>
      <w:pPr>
        <w:spacing w:after="0" w:line="116" w:lineRule="exact"/>
        <w:rPr>
          <w:rFonts w:ascii="Arial" w:cs="Arial" w:eastAsia="Arial" w:hAnsi="Arial"/>
          <w:sz w:val="16"/>
          <w:szCs w:val="16"/>
          <w:b w:val="1"/>
          <w:bCs w:val="1"/>
          <w:color w:val="auto"/>
        </w:rPr>
      </w:pPr>
    </w:p>
    <w:p>
      <w:pPr>
        <w:ind w:right="60" w:firstLine="656"/>
        <w:spacing w:after="0" w:line="261" w:lineRule="auto"/>
        <w:tabs>
          <w:tab w:leader="none" w:pos="131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not take, and will ensure that no affiliate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will take, directly or indirectly, any action designed to or that might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180" w:lineRule="exact"/>
        <w:rPr>
          <w:rFonts w:ascii="Arial" w:cs="Arial" w:eastAsia="Arial" w:hAnsi="Arial"/>
          <w:sz w:val="18"/>
          <w:szCs w:val="18"/>
          <w:b w:val="1"/>
          <w:bCs w:val="1"/>
          <w:color w:val="auto"/>
        </w:rPr>
      </w:pPr>
    </w:p>
    <w:p>
      <w:pPr>
        <w:ind w:right="220" w:firstLine="656"/>
        <w:spacing w:after="0" w:line="261" w:lineRule="auto"/>
        <w:tabs>
          <w:tab w:leader="none" w:pos="131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84" w:lineRule="exact"/>
        <w:rPr>
          <w:rFonts w:ascii="Arial" w:cs="Arial" w:eastAsia="Arial" w:hAnsi="Arial"/>
          <w:sz w:val="18"/>
          <w:szCs w:val="18"/>
          <w:b w:val="1"/>
          <w:bCs w:val="1"/>
          <w:color w:val="auto"/>
        </w:rPr>
      </w:pPr>
    </w:p>
    <w:p>
      <w:pPr>
        <w:ind w:right="20" w:firstLine="656"/>
        <w:spacing w:after="0" w:line="297" w:lineRule="auto"/>
        <w:tabs>
          <w:tab w:leader="none" w:pos="1307"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Permitted Section 5(d) Communications. </w:t>
      </w:r>
      <w:r>
        <w:rPr>
          <w:rFonts w:ascii="Arial" w:cs="Arial" w:eastAsia="Arial" w:hAnsi="Arial"/>
          <w:sz w:val="16"/>
          <w:szCs w:val="16"/>
          <w:color w:val="auto"/>
        </w:rPr>
        <w:t>If at any time following the distribution of any Permitted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158" w:lineRule="exact"/>
        <w:rPr>
          <w:rFonts w:ascii="Arial" w:cs="Arial" w:eastAsia="Arial" w:hAnsi="Arial"/>
          <w:sz w:val="16"/>
          <w:szCs w:val="16"/>
          <w:b w:val="1"/>
          <w:bCs w:val="1"/>
          <w:color w:val="auto"/>
        </w:rPr>
      </w:pPr>
    </w:p>
    <w:p>
      <w:pPr>
        <w:ind w:right="40" w:firstLine="656"/>
        <w:spacing w:after="0" w:line="259" w:lineRule="auto"/>
        <w:tabs>
          <w:tab w:leader="none" w:pos="1311"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Emerging Growth Company Status. </w:t>
      </w:r>
      <w:r>
        <w:rPr>
          <w:rFonts w:ascii="Arial" w:cs="Arial" w:eastAsia="Arial" w:hAnsi="Arial"/>
          <w:sz w:val="18"/>
          <w:szCs w:val="18"/>
          <w:color w:val="auto"/>
        </w:rPr>
        <w:t>The Company will promptly notify the Representatives if the Company ceases to be an Emerging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82" w:lineRule="exact"/>
        <w:rPr>
          <w:rFonts w:ascii="Arial" w:cs="Arial" w:eastAsia="Arial" w:hAnsi="Arial"/>
          <w:sz w:val="18"/>
          <w:szCs w:val="18"/>
          <w:b w:val="1"/>
          <w:bCs w:val="1"/>
          <w:color w:val="auto"/>
        </w:rPr>
      </w:pPr>
    </w:p>
    <w:p>
      <w:pPr>
        <w:ind w:right="40" w:firstLine="656"/>
        <w:spacing w:after="0" w:line="291" w:lineRule="auto"/>
        <w:tabs>
          <w:tab w:leader="none" w:pos="1314"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Announcement Regarding Lock-ups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announce the Underwriters’ intention to release any director or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(within the meaning of Rule 16a-1(f) under the Exchange Act) of the Company from any of the restrictions imposed by any lock-up agreement, by issuing, through a major news service, a press release in form and substance satisfactory to the Representatives promptly following the Company’s receipt of any notification from the Representatives in which such intention is indicated, but in any case not later than the close of the third business day prior to the date on which such release or waiver is to become effective; provided, however, that nothing shall prevent the Representatives, on behalf of the Underwriters, from announcing the same through a major news service, irrespective of whether the Company has made the required announcement;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such announcement shall be made of any release or waiver granted solely to permit a transfer of securities that is not for consideration and where the transferee has agreed in writing to be bound by the terms of a lock-up agreement in the form set forth as Exhibit A hereto.</w:t>
      </w:r>
    </w:p>
    <w:p>
      <w:pPr>
        <w:spacing w:after="0" w:line="160"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b w:val="1"/>
          <w:bCs w:val="1"/>
          <w:color w:val="auto"/>
        </w:rPr>
        <w:t xml:space="preserve">Section 4. Payment of Expenses. </w:t>
      </w:r>
      <w:r>
        <w:rPr>
          <w:rFonts w:ascii="Arial" w:cs="Arial" w:eastAsia="Arial" w:hAnsi="Arial"/>
          <w:sz w:val="18"/>
          <w:szCs w:val="18"/>
          <w:color w:val="auto"/>
        </w:rPr>
        <w:t>The Company agrees to pay all costs, fees and expenses incurred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w:t>
      </w:r>
    </w:p>
    <w:p>
      <w:pPr>
        <w:sectPr>
          <w:pgSz w:w="11900" w:h="16838" w:orient="portrait"/>
          <w:cols w:equalWidth="0" w:num="1">
            <w:col w:w="11420"/>
          </w:cols>
          <w:pgMar w:left="240" w:top="125" w:right="239" w:bottom="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2" w:name="page13"/>
    <w:bookmarkEnd w:id="12"/>
    <w:p>
      <w:pPr>
        <w:ind w:right="40"/>
        <w:spacing w:after="0" w:line="283" w:lineRule="auto"/>
        <w:rPr>
          <w:sz w:val="20"/>
          <w:szCs w:val="20"/>
          <w:color w:val="auto"/>
        </w:rPr>
      </w:pPr>
      <w:r>
        <w:rPr>
          <w:rFonts w:ascii="Arial" w:cs="Arial" w:eastAsia="Arial" w:hAnsi="Arial"/>
          <w:sz w:val="16"/>
          <w:szCs w:val="16"/>
          <w:color w:val="auto"/>
        </w:rPr>
        <w:t>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any supplements thereto, and advising the Underwriters of such qualifications, registrations and exemptions, provided that the amount of such fees of counsel to be paid shall not exceed $7,500 (excluding any filing fees),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provided that the amount of such legal fees to be paid shall not exceed $25,000 (excluding any filing fees) (viii) the costs and expenses of the Company relating to investor presentations on any “road show”, any Permitted</w:t>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provided that the Company and the Underwriters shall each be responsible for 50% of the cost of any aircraft chartered in connection with the road show, (ix) the fees and expenses associated with listing the Offered Shares on Nasdaq, and (x) all other fees, costs and expenses of the nature referred to in Item 14 of Part II of the Registration Statement. Except as provided in this Section 4 or in Section 7, Section 9 or Section 10 hereof, the Underwriters shall pay their own expenses, including the fees and disbursements of their counsel.</w:t>
      </w:r>
    </w:p>
    <w:p>
      <w:pPr>
        <w:spacing w:after="0" w:line="180"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 xml:space="preserve">Section 5. Covenant of the Underwriters. </w:t>
      </w:r>
      <w:r>
        <w:rPr>
          <w:rFonts w:ascii="Arial" w:cs="Arial" w:eastAsia="Arial" w:hAnsi="Arial"/>
          <w:sz w:val="16"/>
          <w:szCs w:val="16"/>
          <w:color w:val="auto"/>
        </w:rPr>
        <w:t>Each Underwriter severally and not jointly covenants with the Company not to take any</w:t>
      </w:r>
      <w:r>
        <w:rPr>
          <w:rFonts w:ascii="Arial" w:cs="Arial" w:eastAsia="Arial" w:hAnsi="Arial"/>
          <w:sz w:val="16"/>
          <w:szCs w:val="16"/>
          <w:b w:val="1"/>
          <w:bCs w:val="1"/>
          <w:color w:val="auto"/>
        </w:rPr>
        <w:t xml:space="preserve"> </w:t>
      </w:r>
      <w:r>
        <w:rPr>
          <w:rFonts w:ascii="Arial" w:cs="Arial" w:eastAsia="Arial" w:hAnsi="Arial"/>
          <w:sz w:val="16"/>
          <w:szCs w:val="16"/>
          <w:color w:val="auto"/>
        </w:rPr>
        <w:t>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42" w:lineRule="exact"/>
        <w:rPr>
          <w:sz w:val="20"/>
          <w:szCs w:val="20"/>
          <w:color w:val="auto"/>
        </w:rPr>
      </w:pPr>
    </w:p>
    <w:p>
      <w:pPr>
        <w:ind w:right="180" w:firstLine="1297"/>
        <w:spacing w:after="0" w:line="298" w:lineRule="auto"/>
        <w:rPr>
          <w:sz w:val="20"/>
          <w:szCs w:val="20"/>
          <w:color w:val="auto"/>
        </w:rPr>
      </w:pPr>
      <w:r>
        <w:rPr>
          <w:rFonts w:ascii="Arial" w:cs="Arial" w:eastAsia="Arial" w:hAnsi="Arial"/>
          <w:sz w:val="16"/>
          <w:szCs w:val="16"/>
          <w:b w:val="1"/>
          <w:bCs w:val="1"/>
          <w:color w:val="auto"/>
        </w:rPr>
        <w:t xml:space="preserve">Section 6. Conditions of the Obligations of the Underwriters. </w:t>
      </w:r>
      <w:r>
        <w:rPr>
          <w:rFonts w:ascii="Arial" w:cs="Arial" w:eastAsia="Arial" w:hAnsi="Arial"/>
          <w:sz w:val="16"/>
          <w:szCs w:val="16"/>
          <w:color w:val="auto"/>
        </w:rPr>
        <w:t>The respective obligations of the several Underwriters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54" w:lineRule="exact"/>
        <w:rPr>
          <w:sz w:val="20"/>
          <w:szCs w:val="20"/>
          <w:color w:val="auto"/>
        </w:rPr>
      </w:pPr>
    </w:p>
    <w:p>
      <w:pPr>
        <w:ind w:right="520" w:firstLine="656"/>
        <w:spacing w:after="0" w:line="289" w:lineRule="auto"/>
        <w:tabs>
          <w:tab w:leader="none" w:pos="1304"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Comfort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date hereof, the Representatives shall have received from Ernst &amp; Young LLP, independent registered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accountants for the Company, a letter dated the date hereof addressed to the Underwriters, in form and substance satisfactory to the Representatives, containing statements and information of the type ordinarily included in accountant’s “comfort letters”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underwriters, delivered according to Statement of Auditing Standards No. 72 (or any successor bulletin), with respect to the audited and unaudited financial statements and certain financial information contained or incorporated by reference in the Registration Statement, the Time of Sale Prospectus, and each free writing prospectus, if any.</w:t>
      </w:r>
    </w:p>
    <w:p>
      <w:pPr>
        <w:spacing w:after="0" w:line="181" w:lineRule="exact"/>
        <w:rPr>
          <w:sz w:val="20"/>
          <w:szCs w:val="20"/>
          <w:color w:val="auto"/>
        </w:rPr>
      </w:pPr>
    </w:p>
    <w:p>
      <w:pPr>
        <w:ind w:left="1320" w:hanging="664"/>
        <w:spacing w:after="0"/>
        <w:tabs>
          <w:tab w:leader="none" w:pos="1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225" w:lineRule="exact"/>
        <w:rPr>
          <w:rFonts w:ascii="Arial" w:cs="Arial" w:eastAsia="Arial" w:hAnsi="Arial"/>
          <w:sz w:val="18"/>
          <w:szCs w:val="18"/>
          <w:b w:val="1"/>
          <w:bCs w:val="1"/>
          <w:color w:val="auto"/>
        </w:rPr>
      </w:pPr>
    </w:p>
    <w:p>
      <w:pPr>
        <w:ind w:right="20" w:firstLine="1305"/>
        <w:spacing w:after="0" w:line="279" w:lineRule="auto"/>
        <w:tabs>
          <w:tab w:leader="none" w:pos="1966"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spacing w:after="0" w:line="171" w:lineRule="exact"/>
        <w:rPr>
          <w:rFonts w:ascii="Arial" w:cs="Arial" w:eastAsia="Arial" w:hAnsi="Arial"/>
          <w:sz w:val="17"/>
          <w:szCs w:val="17"/>
          <w:color w:val="auto"/>
        </w:rPr>
      </w:pPr>
    </w:p>
    <w:p>
      <w:pPr>
        <w:ind w:right="400" w:firstLine="1305"/>
        <w:spacing w:after="0" w:line="308" w:lineRule="auto"/>
        <w:tabs>
          <w:tab w:leader="none" w:pos="1976" w:val="left"/>
        </w:tabs>
        <w:numPr>
          <w:ilvl w:val="1"/>
          <w:numId w:val="28"/>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46" w:lineRule="exact"/>
        <w:rPr>
          <w:rFonts w:ascii="Arial" w:cs="Arial" w:eastAsia="Arial" w:hAnsi="Arial"/>
          <w:sz w:val="17"/>
          <w:szCs w:val="17"/>
          <w:color w:val="auto"/>
        </w:rPr>
      </w:pPr>
    </w:p>
    <w:p>
      <w:pPr>
        <w:ind w:right="940" w:firstLine="1305"/>
        <w:spacing w:after="0" w:line="277" w:lineRule="auto"/>
        <w:tabs>
          <w:tab w:leader="none" w:pos="19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a filing has been made with FINRA, FINRA shall have raised no objection to the fairness and reasonableness of the underwriting terms and arrangements.</w:t>
      </w:r>
    </w:p>
    <w:p>
      <w:pPr>
        <w:spacing w:after="0" w:line="166" w:lineRule="exact"/>
        <w:rPr>
          <w:rFonts w:ascii="Arial" w:cs="Arial" w:eastAsia="Arial" w:hAnsi="Arial"/>
          <w:sz w:val="18"/>
          <w:szCs w:val="18"/>
          <w:color w:val="auto"/>
        </w:rPr>
      </w:pPr>
    </w:p>
    <w:p>
      <w:pPr>
        <w:ind w:right="500" w:firstLine="656"/>
        <w:spacing w:after="0" w:line="347" w:lineRule="auto"/>
        <w:tabs>
          <w:tab w:leader="none" w:pos="1307"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Adverse Change or Ratings Agency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period from and after the date of this Agreement and through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First Closing Date and, with respect to any Optional Shares purchased after the First Closing Date, each Option Closing Date:</w:t>
      </w:r>
    </w:p>
    <w:p>
      <w:pPr>
        <w:spacing w:after="0" w:line="120" w:lineRule="exact"/>
        <w:rPr>
          <w:rFonts w:ascii="Arial" w:cs="Arial" w:eastAsia="Arial" w:hAnsi="Arial"/>
          <w:sz w:val="16"/>
          <w:szCs w:val="16"/>
          <w:b w:val="1"/>
          <w:bCs w:val="1"/>
          <w:color w:val="auto"/>
        </w:rPr>
      </w:pPr>
    </w:p>
    <w:p>
      <w:pPr>
        <w:ind w:right="120" w:firstLine="1305"/>
        <w:spacing w:after="0" w:line="259" w:lineRule="auto"/>
        <w:tabs>
          <w:tab w:leader="none" w:pos="19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judgment of the Representatives there has been no material adverse change, or any development that could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w:t>
      </w:r>
      <w:r>
        <w:rPr>
          <w:rFonts w:ascii="Arial" w:cs="Arial" w:eastAsia="Arial" w:hAnsi="Arial"/>
          <w:sz w:val="18"/>
          <w:szCs w:val="18"/>
          <w:b w:val="1"/>
          <w:bCs w:val="1"/>
          <w:color w:val="auto"/>
        </w:rPr>
        <w:t>Material Adverse Change</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jc w:val="both"/>
        <w:ind w:right="100" w:firstLine="1305"/>
        <w:spacing w:after="0" w:line="312" w:lineRule="auto"/>
        <w:tabs>
          <w:tab w:leader="none" w:pos="1976"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142" w:lineRule="exact"/>
        <w:rPr>
          <w:rFonts w:ascii="Arial" w:cs="Arial" w:eastAsia="Arial" w:hAnsi="Arial"/>
          <w:sz w:val="16"/>
          <w:szCs w:val="16"/>
          <w:color w:val="auto"/>
        </w:rPr>
      </w:pPr>
    </w:p>
    <w:p>
      <w:pPr>
        <w:ind w:right="240" w:firstLine="656"/>
        <w:spacing w:after="0" w:line="266" w:lineRule="auto"/>
        <w:tabs>
          <w:tab w:leader="none" w:pos="131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Latham &amp; Watkins, LLP, counsel for the Company, dated as of such date, and addressed to the Underwriters, in form and substance reasonably satisfactory to the Representatives.</w:t>
      </w:r>
    </w:p>
    <w:p>
      <w:pPr>
        <w:sectPr>
          <w:pgSz w:w="11900" w:h="16838" w:orient="portrait"/>
          <w:cols w:equalWidth="0" w:num="1">
            <w:col w:w="11420"/>
          </w:cols>
          <w:pgMar w:left="240" w:top="584" w:right="239" w:bottom="28" w:gutter="0" w:footer="0" w:header="0"/>
        </w:sectPr>
      </w:pPr>
    </w:p>
    <w:bookmarkStart w:id="13" w:name="page14"/>
    <w:bookmarkEnd w:id="13"/>
    <w:p>
      <w:pPr>
        <w:spacing w:after="0" w:line="103" w:lineRule="exact"/>
        <w:rPr>
          <w:sz w:val="20"/>
          <w:szCs w:val="20"/>
          <w:color w:val="auto"/>
        </w:rPr>
      </w:pPr>
    </w:p>
    <w:p>
      <w:pPr>
        <w:ind w:right="100" w:firstLine="656"/>
        <w:spacing w:after="0" w:line="266" w:lineRule="auto"/>
        <w:tabs>
          <w:tab w:leader="none" w:pos="1307"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Davis Polk &amp; Wardwell, counsel for the Underwriters in connection with the offer and sale of the Offered Shares, in form and substance satisfactory to the Underwriters, dated as of such date.</w:t>
      </w:r>
    </w:p>
    <w:p>
      <w:pPr>
        <w:spacing w:after="0" w:line="176" w:lineRule="exact"/>
        <w:rPr>
          <w:rFonts w:ascii="Arial" w:cs="Arial" w:eastAsia="Arial" w:hAnsi="Arial"/>
          <w:sz w:val="18"/>
          <w:szCs w:val="18"/>
          <w:b w:val="1"/>
          <w:bCs w:val="1"/>
          <w:color w:val="auto"/>
        </w:rPr>
      </w:pPr>
    </w:p>
    <w:p>
      <w:pPr>
        <w:ind w:right="140" w:firstLine="656"/>
        <w:spacing w:after="0" w:line="282" w:lineRule="auto"/>
        <w:tabs>
          <w:tab w:leader="none" w:pos="1301"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IP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Cooley LLP, intellectual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property counsel for the Company, dated as of such date, and addressed to the Underwriters, in form and substance reasonably satisfactory to the Representatives.</w:t>
      </w:r>
    </w:p>
    <w:p>
      <w:pPr>
        <w:spacing w:after="0" w:line="166" w:lineRule="exact"/>
        <w:rPr>
          <w:sz w:val="20"/>
          <w:szCs w:val="20"/>
          <w:color w:val="auto"/>
        </w:rPr>
      </w:pPr>
    </w:p>
    <w:p>
      <w:pPr>
        <w:ind w:right="60" w:firstLine="656"/>
        <w:spacing w:after="0" w:line="266" w:lineRule="auto"/>
        <w:tabs>
          <w:tab w:leader="none" w:pos="130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180" w:lineRule="exact"/>
        <w:rPr>
          <w:rFonts w:ascii="Arial" w:cs="Arial" w:eastAsia="Arial" w:hAnsi="Arial"/>
          <w:sz w:val="18"/>
          <w:szCs w:val="18"/>
          <w:b w:val="1"/>
          <w:bCs w:val="1"/>
          <w:color w:val="auto"/>
        </w:rPr>
      </w:pPr>
    </w:p>
    <w:p>
      <w:pPr>
        <w:ind w:right="80" w:firstLine="1305"/>
        <w:spacing w:after="0" w:line="342" w:lineRule="auto"/>
        <w:tabs>
          <w:tab w:leader="none" w:pos="1966" w:val="left"/>
        </w:tabs>
        <w:numPr>
          <w:ilvl w:val="1"/>
          <w:numId w:val="30"/>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not occurred any Material Adverse Change, except as set forth in or contemplated in the Time of Sale Prospectus or the Prospectus (exclusive of any supplement thereto);</w:t>
      </w:r>
    </w:p>
    <w:p>
      <w:pPr>
        <w:spacing w:after="0" w:line="123" w:lineRule="exact"/>
        <w:rPr>
          <w:rFonts w:ascii="Arial" w:cs="Arial" w:eastAsia="Arial" w:hAnsi="Arial"/>
          <w:sz w:val="16"/>
          <w:szCs w:val="16"/>
          <w:color w:val="auto"/>
        </w:rPr>
      </w:pPr>
    </w:p>
    <w:p>
      <w:pPr>
        <w:ind w:firstLine="1305"/>
        <w:spacing w:after="0" w:line="277" w:lineRule="auto"/>
        <w:tabs>
          <w:tab w:leader="none" w:pos="197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right="580" w:firstLine="1305"/>
        <w:spacing w:after="0" w:line="277" w:lineRule="auto"/>
        <w:tabs>
          <w:tab w:leader="none" w:pos="198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66" w:lineRule="exact"/>
        <w:rPr>
          <w:rFonts w:ascii="Arial" w:cs="Arial" w:eastAsia="Arial" w:hAnsi="Arial"/>
          <w:sz w:val="18"/>
          <w:szCs w:val="18"/>
          <w:color w:val="auto"/>
        </w:rPr>
      </w:pPr>
    </w:p>
    <w:p>
      <w:pPr>
        <w:ind w:firstLine="656"/>
        <w:spacing w:after="0" w:line="277" w:lineRule="auto"/>
        <w:tabs>
          <w:tab w:leader="none" w:pos="1314"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Bring-down Comfort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Closing Date and each Option Closing Date the Representatives shall have received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Ernst &amp; Young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2" w:lineRule="exact"/>
        <w:rPr>
          <w:rFonts w:ascii="Arial" w:cs="Arial" w:eastAsia="Arial" w:hAnsi="Arial"/>
          <w:sz w:val="17"/>
          <w:szCs w:val="17"/>
          <w:b w:val="1"/>
          <w:bCs w:val="1"/>
          <w:color w:val="auto"/>
        </w:rPr>
      </w:pPr>
    </w:p>
    <w:p>
      <w:pPr>
        <w:ind w:right="60" w:firstLine="656"/>
        <w:spacing w:after="0" w:line="264" w:lineRule="auto"/>
        <w:tabs>
          <w:tab w:leader="none" w:pos="130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Exhibit A hereto from each of the persons listed on Exhibit B hereto, and each such agreement shall be in full force and effect on each of the First Closing Date and each Option Closing Date.</w:t>
      </w:r>
    </w:p>
    <w:p>
      <w:pPr>
        <w:spacing w:after="0" w:line="181" w:lineRule="exact"/>
        <w:rPr>
          <w:rFonts w:ascii="Arial" w:cs="Arial" w:eastAsia="Arial" w:hAnsi="Arial"/>
          <w:sz w:val="18"/>
          <w:szCs w:val="18"/>
          <w:b w:val="1"/>
          <w:bCs w:val="1"/>
          <w:color w:val="auto"/>
        </w:rPr>
      </w:pPr>
    </w:p>
    <w:p>
      <w:pPr>
        <w:ind w:right="60" w:firstLine="656"/>
        <w:spacing w:after="0" w:line="264" w:lineRule="auto"/>
        <w:tabs>
          <w:tab w:leader="none" w:pos="131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color w:val="auto"/>
        </w:rPr>
        <w:t>. 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81" w:lineRule="exact"/>
        <w:rPr>
          <w:rFonts w:ascii="Arial" w:cs="Arial" w:eastAsia="Arial" w:hAnsi="Arial"/>
          <w:sz w:val="18"/>
          <w:szCs w:val="18"/>
          <w:b w:val="1"/>
          <w:bCs w:val="1"/>
          <w:color w:val="auto"/>
        </w:rPr>
      </w:pPr>
    </w:p>
    <w:p>
      <w:pPr>
        <w:ind w:right="60" w:firstLine="656"/>
        <w:spacing w:after="0" w:line="273" w:lineRule="auto"/>
        <w:tabs>
          <w:tab w:leader="none" w:pos="1314"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Representatives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any condition specified in this Section 6 is not satisfied when and as required to be satisfied, this Agreement may be terminated by the Representatives by notice from Jefferies to the Company at any time on or prior to the First Closing Date and, with respect to the Optional Shares, at any time on or prior to the applicable Option Closing Date, which termination shall be without liability on the part of any party to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other party, except that Section 4, Section 7, Section 9 and Section 10 shall at all times be effective and shall survive such termination.</w:t>
      </w:r>
    </w:p>
    <w:p>
      <w:pPr>
        <w:spacing w:after="0" w:line="221"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b w:val="1"/>
          <w:bCs w:val="1"/>
          <w:color w:val="auto"/>
        </w:rPr>
        <w:t>Section 7. Reimbursement of Underwriters’ Expenses</w:t>
      </w:r>
      <w:r>
        <w:rPr>
          <w:rFonts w:ascii="Arial" w:cs="Arial" w:eastAsia="Arial" w:hAnsi="Arial"/>
          <w:sz w:val="17"/>
          <w:szCs w:val="17"/>
          <w:color w:val="auto"/>
        </w:rPr>
        <w:t>. If this Agreement is terminated by the Representatives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6 or Section 12, or if the sale to the Underwriters of the Offered Shares on the First Closing Date is not consummated because of any refusal, inability or failure on the part of the Company to perform any agreement herein or to comply with any provision hereof other than by reason of a default by any of the Underwriters,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72"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Effectiveness of this Agreement</w:t>
      </w:r>
      <w:r>
        <w:rPr>
          <w:rFonts w:ascii="Arial" w:cs="Arial" w:eastAsia="Arial" w:hAnsi="Arial"/>
          <w:sz w:val="16"/>
          <w:szCs w:val="16"/>
          <w:color w:val="auto"/>
        </w:rPr>
        <w:t>. This Agreement shall become effective upon the execution and delivery hereof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0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98" w:lineRule="auto"/>
        <w:tabs>
          <w:tab w:leader="none" w:pos="1304"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w:t>
      </w:r>
    </w:p>
    <w:p>
      <w:pPr>
        <w:sectPr>
          <w:pgSz w:w="11900" w:h="16941" w:orient="portrait"/>
          <w:cols w:equalWidth="0" w:num="1">
            <w:col w:w="11420"/>
          </w:cols>
          <w:pgMar w:left="240" w:top="121" w:right="239" w:bottom="0" w:gutter="0" w:footer="0" w:header="0"/>
        </w:sectPr>
      </w:pPr>
    </w:p>
    <w:bookmarkStart w:id="14" w:name="page15"/>
    <w:bookmarkEnd w:id="14"/>
    <w:p>
      <w:pPr>
        <w:spacing w:after="0" w:line="8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 xml:space="preserve">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paragraphs three, five, fifteen, sixteen, seventeen, eighteen, nineteen and twenty under the caption “Underwriting” in the Preliminary Prospectus Supplement and the Final Prospectus Supplement. The indemnity agreement set forth in this Section 9(b) shall be in addition to any liabilities that each Underwriter may otherwise have.</w:t>
      </w:r>
    </w:p>
    <w:p>
      <w:pPr>
        <w:spacing w:after="0" w:line="387" w:lineRule="exact"/>
        <w:rPr>
          <w:sz w:val="20"/>
          <w:szCs w:val="20"/>
          <w:color w:val="auto"/>
        </w:rPr>
      </w:pPr>
    </w:p>
    <w:p>
      <w:pPr>
        <w:ind w:right="80" w:firstLine="656"/>
        <w:spacing w:after="0" w:line="254" w:lineRule="auto"/>
        <w:tabs>
          <w:tab w:leader="none" w:pos="131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Notifications and Other Indemnification Procedures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Promptly after receipt by an indemnified party under this Section 9 of notice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commencement of any action, such indemnified party will, if a claim in respect thereof is to be made against an indemnifying party under this Section 9,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w:t>
      </w:r>
    </w:p>
    <w:p>
      <w:pPr>
        <w:sectPr>
          <w:pgSz w:w="11900" w:h="16927" w:orient="portrait"/>
          <w:cols w:equalWidth="0" w:num="1">
            <w:col w:w="11420"/>
          </w:cols>
          <w:pgMar w:left="240" w:top="125" w:right="239" w:bottom="0" w:gutter="0" w:footer="0" w:header="0"/>
        </w:sectPr>
      </w:pPr>
    </w:p>
    <w:bookmarkStart w:id="15" w:name="page16"/>
    <w:bookmarkEnd w:id="15"/>
    <w:p>
      <w:pPr>
        <w:spacing w:after="0" w:line="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indemnifying party, in each of which cases the fees and expenses of counsel shall be at the expense of the indemnifying party and shall be paid as they are incurred.</w:t>
      </w:r>
    </w:p>
    <w:p>
      <w:pPr>
        <w:spacing w:after="0" w:line="166" w:lineRule="exact"/>
        <w:rPr>
          <w:sz w:val="20"/>
          <w:szCs w:val="20"/>
          <w:color w:val="auto"/>
        </w:rPr>
      </w:pPr>
    </w:p>
    <w:p>
      <w:pPr>
        <w:ind w:right="20" w:firstLine="656"/>
        <w:spacing w:after="0" w:line="287" w:lineRule="auto"/>
        <w:tabs>
          <w:tab w:leader="none" w:pos="1307"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9 shall not be liable for any settlement of any proceeding effected without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(ii) such indemnifying party has not disputed in good faith and in writing such request for reimbursement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69" w:lineRule="exact"/>
        <w:rPr>
          <w:sz w:val="20"/>
          <w:szCs w:val="20"/>
          <w:color w:val="auto"/>
        </w:rPr>
      </w:pPr>
    </w:p>
    <w:p>
      <w:pPr>
        <w:ind w:right="40" w:firstLine="1297"/>
        <w:spacing w:after="0" w:line="256" w:lineRule="auto"/>
        <w:rPr>
          <w:sz w:val="20"/>
          <w:szCs w:val="20"/>
          <w:color w:val="auto"/>
        </w:rPr>
      </w:pPr>
      <w:r>
        <w:rPr>
          <w:rFonts w:ascii="Arial" w:cs="Arial" w:eastAsia="Arial" w:hAnsi="Arial"/>
          <w:sz w:val="18"/>
          <w:szCs w:val="18"/>
          <w:b w:val="1"/>
          <w:bCs w:val="1"/>
          <w:color w:val="auto"/>
        </w:rPr>
        <w:t>Section 10. Contribution</w:t>
      </w:r>
      <w:r>
        <w:rPr>
          <w:rFonts w:ascii="Arial" w:cs="Arial" w:eastAsia="Arial" w:hAnsi="Arial"/>
          <w:sz w:val="18"/>
          <w:szCs w:val="18"/>
          <w:color w:val="auto"/>
        </w:rPr>
        <w:t>. If the indemnification provided for in Section 9 is for any reason held to be unavailable to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 xml:space="preserve">is appropriate to reflect not only the relative benefits referred to in clause (i) above but also the relative </w:t>
      </w:r>
      <w:r>
        <w:rPr>
          <w:rFonts w:ascii="Arial" w:cs="Arial" w:eastAsia="Arial" w:hAnsi="Arial"/>
          <w:sz w:val="16"/>
          <w:szCs w:val="16"/>
          <w:color w:val="auto"/>
        </w:rPr>
        <w:t>fault of the Company, on the one hand, and the</w:t>
      </w:r>
      <w:r>
        <w:rPr>
          <w:rFonts w:ascii="Arial" w:cs="Arial" w:eastAsia="Arial" w:hAnsi="Arial"/>
          <w:sz w:val="17"/>
          <w:szCs w:val="17"/>
          <w:color w:val="auto"/>
        </w:rPr>
        <w:t xml:space="preserve"> </w:t>
      </w:r>
      <w:r>
        <w:rPr>
          <w:rFonts w:ascii="Arial" w:cs="Arial" w:eastAsia="Arial" w:hAnsi="Arial"/>
          <w:sz w:val="16"/>
          <w:szCs w:val="16"/>
          <w:color w:val="auto"/>
        </w:rPr>
        <w:t>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additional notice shall be required with respect to any action for which notice has been given under Section 9(c) for purposes of indemnification.</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8" w:lineRule="exact"/>
        <w:rPr>
          <w:sz w:val="20"/>
          <w:szCs w:val="20"/>
          <w:color w:val="auto"/>
        </w:rPr>
      </w:pPr>
    </w:p>
    <w:p>
      <w:pPr>
        <w:ind w:right="40" w:firstLine="1297"/>
        <w:spacing w:after="0" w:line="256" w:lineRule="auto"/>
        <w:rPr>
          <w:sz w:val="20"/>
          <w:szCs w:val="20"/>
          <w:color w:val="auto"/>
        </w:rPr>
      </w:pPr>
      <w:r>
        <w:rPr>
          <w:rFonts w:ascii="Arial" w:cs="Arial" w:eastAsia="Arial" w:hAnsi="Arial"/>
          <w:sz w:val="18"/>
          <w:szCs w:val="18"/>
          <w:b w:val="1"/>
          <w:bCs w:val="1"/>
          <w:color w:val="auto"/>
        </w:rPr>
        <w:t>Section 11. Default of One or More of the Several Underwriters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on the First Closing Date or any Option Closing Date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that the number of Firm Shares set forth opposite their respective names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b w:val="1"/>
          <w:bCs w:val="1"/>
          <w:color w:val="auto"/>
        </w:rPr>
        <w:t>A</w:t>
      </w:r>
      <w:r>
        <w:rPr>
          <w:rFonts w:ascii="Arial" w:cs="Arial" w:eastAsia="Arial" w:hAnsi="Arial"/>
          <w:sz w:val="16"/>
          <w:szCs w:val="16"/>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9 and Section 10 shall</w:t>
      </w:r>
    </w:p>
    <w:p>
      <w:pPr>
        <w:sectPr>
          <w:pgSz w:w="11900" w:h="16933" w:orient="portrait"/>
          <w:cols w:equalWidth="0" w:num="1">
            <w:col w:w="11420"/>
          </w:cols>
          <w:pgMar w:left="240" w:top="125" w:right="239" w:bottom="0" w:gutter="0" w:footer="0" w:header="0"/>
        </w:sectPr>
      </w:pPr>
    </w:p>
    <w:bookmarkStart w:id="16" w:name="page17"/>
    <w:bookmarkEnd w:id="16"/>
    <w:p>
      <w:pPr>
        <w:ind w:right="80"/>
        <w:spacing w:after="0" w:line="286" w:lineRule="auto"/>
        <w:rPr>
          <w:sz w:val="20"/>
          <w:szCs w:val="20"/>
          <w:color w:val="auto"/>
        </w:rPr>
      </w:pPr>
      <w:r>
        <w:rPr>
          <w:rFonts w:ascii="Arial" w:cs="Arial" w:eastAsia="Arial" w:hAnsi="Arial"/>
          <w:sz w:val="17"/>
          <w:szCs w:val="17"/>
          <w:color w:val="auto"/>
        </w:rPr>
        <w:t>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2"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6"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b w:val="1"/>
          <w:bCs w:val="1"/>
          <w:color w:val="auto"/>
        </w:rPr>
        <w:t>Section 12. Termination of this Agreement</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purchase of the Firm Shares by the Underwriters on the First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New York Stock Exchange shall have been suspended or limited, or minimum or maximum prices shall have been generally established on any of such stock exchanges; (ii) a general banking moratorium shall have been declared by any of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provisions of Section 9 and Section 10 shall at all times be effective and shall survive such termination.</w:t>
      </w:r>
    </w:p>
    <w:p>
      <w:pPr>
        <w:spacing w:after="0" w:line="183"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7"/>
          <w:szCs w:val="17"/>
          <w:b w:val="1"/>
          <w:bCs w:val="1"/>
          <w:color w:val="auto"/>
        </w:rPr>
        <w:t xml:space="preserve">Section 13. No Advisory or Fiduciary Relationship. </w:t>
      </w:r>
      <w:r>
        <w:rPr>
          <w:rFonts w:ascii="Arial" w:cs="Arial" w:eastAsia="Arial" w:hAnsi="Arial"/>
          <w:sz w:val="17"/>
          <w:szCs w:val="17"/>
          <w:color w:val="auto"/>
        </w:rPr>
        <w:t>The Company acknowledges and agrees that (a) the purchase and sale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or its creditors, employees or any other party,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8"/>
        <w:spacing w:after="0" w:line="299" w:lineRule="auto"/>
        <w:tabs>
          <w:tab w:leader="none" w:pos="2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no Underwriter has assumed or will assume an advisory or fiduciary responsibility in favor of the </w:t>
      </w:r>
      <w:r>
        <w:rPr>
          <w:rFonts w:ascii="Arial" w:cs="Arial" w:eastAsia="Arial" w:hAnsi="Arial"/>
          <w:sz w:val="15"/>
          <w:szCs w:val="15"/>
          <w:color w:val="auto"/>
        </w:rPr>
        <w:t>Company with respect to the offering contemplated</w:t>
      </w:r>
      <w:r>
        <w:rPr>
          <w:rFonts w:ascii="Arial" w:cs="Arial" w:eastAsia="Arial" w:hAnsi="Arial"/>
          <w:sz w:val="16"/>
          <w:szCs w:val="16"/>
          <w:color w:val="auto"/>
        </w:rPr>
        <w:t xml:space="preserve"> </w:t>
      </w:r>
      <w:r>
        <w:rPr>
          <w:rFonts w:ascii="Arial" w:cs="Arial" w:eastAsia="Arial" w:hAnsi="Arial"/>
          <w:sz w:val="15"/>
          <w:szCs w:val="15"/>
          <w:color w:val="auto"/>
        </w:rPr>
        <w:t>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w:t>
      </w:r>
    </w:p>
    <w:p>
      <w:pPr>
        <w:spacing w:after="0" w:line="1" w:lineRule="exact"/>
        <w:rPr>
          <w:rFonts w:ascii="Arial" w:cs="Arial" w:eastAsia="Arial" w:hAnsi="Arial"/>
          <w:sz w:val="16"/>
          <w:szCs w:val="16"/>
          <w:color w:val="auto"/>
        </w:rPr>
      </w:pPr>
    </w:p>
    <w:p>
      <w:pPr>
        <w:ind w:right="20" w:firstLine="8"/>
        <w:spacing w:after="0" w:line="302"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53"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b w:val="1"/>
          <w:bCs w:val="1"/>
          <w:color w:val="auto"/>
        </w:rPr>
        <w:t>Section 14. Representations and Indemnities to Survive Delivery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indemnities, agreements,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84" w:lineRule="exact"/>
        <w:rPr>
          <w:sz w:val="20"/>
          <w:szCs w:val="20"/>
          <w:color w:val="auto"/>
        </w:rPr>
      </w:pPr>
    </w:p>
    <w:p>
      <w:pPr>
        <w:ind w:right="620" w:firstLine="1297"/>
        <w:spacing w:after="0" w:line="282" w:lineRule="auto"/>
        <w:rPr>
          <w:sz w:val="20"/>
          <w:szCs w:val="20"/>
          <w:color w:val="auto"/>
        </w:rPr>
      </w:pPr>
      <w:r>
        <w:rPr>
          <w:rFonts w:ascii="Arial" w:cs="Arial" w:eastAsia="Arial" w:hAnsi="Arial"/>
          <w:sz w:val="18"/>
          <w:szCs w:val="18"/>
          <w:b w:val="1"/>
          <w:bCs w:val="1"/>
          <w:color w:val="auto"/>
        </w:rPr>
        <w:t>Section 15. Notices</w:t>
      </w:r>
      <w:r>
        <w:rPr>
          <w:rFonts w:ascii="Arial" w:cs="Arial" w:eastAsia="Arial" w:hAnsi="Arial"/>
          <w:sz w:val="18"/>
          <w:szCs w:val="18"/>
          <w:color w:val="auto"/>
        </w:rPr>
        <w:t>. All communications hereunder shall be in writing and shall be mailed, hand delivered or telecopied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to the parties hereto as follows:</w:t>
      </w:r>
    </w:p>
    <w:p>
      <w:pPr>
        <w:sectPr>
          <w:pgSz w:w="11900" w:h="16838" w:orient="portrait"/>
          <w:cols w:equalWidth="0" w:num="1">
            <w:col w:w="11380"/>
          </w:cols>
          <w:pgMar w:left="240" w:top="125" w:right="279" w:bottom="0" w:gutter="0" w:footer="0" w:header="0"/>
        </w:sectPr>
      </w:pPr>
    </w:p>
    <w:p>
      <w:pPr>
        <w:spacing w:after="0" w:line="16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(646) 619-4437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3280" w:space="720"/>
            <w:col w:w="7380"/>
          </w:cols>
          <w:pgMar w:left="240" w:top="125" w:right="279" w:bottom="0" w:gutter="0" w:footer="0" w:header="0"/>
          <w:type w:val="continuous"/>
        </w:sectPr>
      </w:pPr>
    </w:p>
    <w:p>
      <w:pPr>
        <w:spacing w:after="0" w:line="2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One Federal Street, 37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Facsimile: (617) 918-4664</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Attention: John I. Fitzgerald, Esq.</w:t>
      </w:r>
    </w:p>
    <w:p>
      <w:pPr>
        <w:sectPr>
          <w:pgSz w:w="11900" w:h="16838" w:orient="portrait"/>
          <w:cols w:equalWidth="0" w:num="1">
            <w:col w:w="11380"/>
          </w:cols>
          <w:pgMar w:left="240" w:top="125" w:right="279" w:bottom="0" w:gutter="0" w:footer="0" w:header="0"/>
          <w:type w:val="continuous"/>
        </w:sectPr>
      </w:pPr>
    </w:p>
    <w:p>
      <w:pPr>
        <w:spacing w:after="0" w:line="2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Davis Polk &amp; Wardwell LLP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1600 El Camino Real #100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(650) 752-2115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Bruce Dallas</w:t>
      </w:r>
    </w:p>
    <w:p>
      <w:pPr>
        <w:spacing w:after="0" w:line="200" w:lineRule="exact"/>
        <w:rPr>
          <w:sz w:val="20"/>
          <w:szCs w:val="20"/>
          <w:color w:val="auto"/>
        </w:rPr>
      </w:pPr>
    </w:p>
    <w:p>
      <w:pPr>
        <w:sectPr>
          <w:pgSz w:w="11900" w:h="16838" w:orient="portrait"/>
          <w:cols w:equalWidth="0" w:num="2">
            <w:col w:w="3280" w:space="720"/>
            <w:col w:w="7380"/>
          </w:cols>
          <w:pgMar w:left="240" w:top="125" w:right="279" w:bottom="0" w:gutter="0" w:footer="0" w:header="0"/>
          <w:type w:val="continuous"/>
        </w:sectPr>
      </w:pPr>
    </w:p>
    <w:p>
      <w:pPr>
        <w:spacing w:after="0" w:line="1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Ardelyx,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34175 Ardenwood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(510) 745-0493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Executive Officer and General Counsel</w:t>
      </w:r>
    </w:p>
    <w:p>
      <w:pPr>
        <w:spacing w:after="0" w:line="200" w:lineRule="exact"/>
        <w:rPr>
          <w:sz w:val="20"/>
          <w:szCs w:val="20"/>
          <w:color w:val="auto"/>
        </w:rPr>
      </w:pPr>
    </w:p>
    <w:p>
      <w:pPr>
        <w:sectPr>
          <w:pgSz w:w="11900" w:h="16838" w:orient="portrait"/>
          <w:cols w:equalWidth="0" w:num="2">
            <w:col w:w="3280" w:space="720"/>
            <w:col w:w="7380"/>
          </w:cols>
          <w:pgMar w:left="240" w:top="125" w:right="279" w:bottom="0" w:gutter="0" w:footer="0" w:header="0"/>
          <w:type w:val="continuous"/>
        </w:sectPr>
      </w:pPr>
    </w:p>
    <w:p>
      <w:pPr>
        <w:spacing w:after="0" w:line="250"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140 Scott Drive</w:t>
      </w:r>
    </w:p>
    <w:p>
      <w:pPr>
        <w:sectPr>
          <w:pgSz w:w="11900" w:h="16838" w:orient="portrait"/>
          <w:cols w:equalWidth="0" w:num="1">
            <w:col w:w="11380"/>
          </w:cols>
          <w:pgMar w:left="240" w:top="125" w:right="279" w:bottom="0" w:gutter="0" w:footer="0" w:header="0"/>
          <w:type w:val="continuous"/>
        </w:sectPr>
      </w:pPr>
    </w:p>
    <w:bookmarkStart w:id="17" w:name="page18"/>
    <w:bookmarkEnd w:id="17"/>
    <w:p>
      <w:pPr>
        <w:ind w:left="4000"/>
        <w:spacing w:after="0"/>
        <w:rPr>
          <w:sz w:val="20"/>
          <w:szCs w:val="20"/>
          <w:color w:val="auto"/>
        </w:rPr>
      </w:pPr>
      <w:r>
        <w:rPr>
          <w:rFonts w:ascii="Arial" w:cs="Arial" w:eastAsia="Arial" w:hAnsi="Arial"/>
          <w:sz w:val="18"/>
          <w:szCs w:val="18"/>
          <w:color w:val="auto"/>
        </w:rPr>
        <w:t>Menlo Park, CA 94025</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Email: mark.roeder@lw.com</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Attention: Mark Roeder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b w:val="1"/>
          <w:bCs w:val="1"/>
          <w:color w:val="auto"/>
        </w:rPr>
        <w:t>Section 16. Successors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inure to the benefit of and be binding upon the parties hereto, including any substitute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Arial" w:cs="Arial" w:eastAsia="Arial" w:hAnsi="Arial"/>
          <w:sz w:val="18"/>
          <w:szCs w:val="18"/>
          <w:b w:val="1"/>
          <w:bCs w:val="1"/>
          <w:color w:val="auto"/>
        </w:rPr>
        <w:t>successors</w:t>
      </w:r>
      <w:r>
        <w:rPr>
          <w:rFonts w:ascii="Arial" w:cs="Arial" w:eastAsia="Arial" w:hAnsi="Arial"/>
          <w:sz w:val="18"/>
          <w:szCs w:val="18"/>
          <w:color w:val="auto"/>
        </w:rPr>
        <w:t>” shall not include any purchaser of the Offered Shares as such from any of the Underwriters merely by reason of such purchase.</w:t>
      </w:r>
    </w:p>
    <w:p>
      <w:pPr>
        <w:spacing w:after="0" w:line="184"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b w:val="1"/>
          <w:bCs w:val="1"/>
          <w:color w:val="auto"/>
        </w:rPr>
        <w:t>Section 17. Partial Unenforceability</w:t>
      </w:r>
      <w:r>
        <w:rPr>
          <w:rFonts w:ascii="Arial" w:cs="Arial" w:eastAsia="Arial" w:hAnsi="Arial"/>
          <w:sz w:val="18"/>
          <w:szCs w:val="18"/>
          <w:color w:val="auto"/>
        </w:rPr>
        <w:t>. The invalidity or unenforceability of any section, paragraph or provision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b w:val="1"/>
          <w:bCs w:val="1"/>
          <w:color w:val="auto"/>
        </w:rPr>
        <w:t>Section 18. Governing Law Provisions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internal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1"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b w:val="1"/>
          <w:bCs w:val="1"/>
          <w:color w:val="auto"/>
        </w:rPr>
        <w:t xml:space="preserve">Section 19. General Provisions. </w:t>
      </w:r>
      <w:r>
        <w:rPr>
          <w:rFonts w:ascii="Arial" w:cs="Arial" w:eastAsia="Arial" w:hAnsi="Arial"/>
          <w:sz w:val="17"/>
          <w:szCs w:val="17"/>
          <w:color w:val="auto"/>
        </w:rPr>
        <w:t>This Agreement constitutes the entire agreement of the parties to this Agreement and supersedes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ARDELYX,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Mike Raab</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300" w:firstLine="1621"/>
        <w:spacing w:after="0" w:line="277" w:lineRule="auto"/>
        <w:rPr>
          <w:sz w:val="20"/>
          <w:szCs w:val="20"/>
          <w:color w:val="auto"/>
        </w:rPr>
      </w:pPr>
      <w:r>
        <w:rPr>
          <w:rFonts w:ascii="Arial" w:cs="Arial" w:eastAsia="Arial" w:hAnsi="Arial"/>
          <w:sz w:val="18"/>
          <w:szCs w:val="18"/>
          <w:color w:val="auto"/>
        </w:rPr>
        <w:t>The foregoing Underwriting Agreement is hereby confirmed and accepted by the Representatives in New York, New York as of the date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JEFFERIES </w:t>
      </w:r>
      <w:r>
        <w:rPr>
          <w:rFonts w:ascii="Arial" w:cs="Arial" w:eastAsia="Arial" w:hAnsi="Arial"/>
          <w:sz w:val="17"/>
          <w:szCs w:val="17"/>
          <w:b w:val="1"/>
          <w:bCs w:val="1"/>
          <w:color w:val="auto"/>
        </w:rPr>
        <w:t>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JEFFERIES </w:t>
      </w:r>
      <w:r>
        <w:rPr>
          <w:rFonts w:ascii="Arial" w:cs="Arial" w:eastAsia="Arial" w:hAnsi="Arial"/>
          <w:sz w:val="17"/>
          <w:szCs w:val="17"/>
          <w:b w:val="1"/>
          <w:bCs w:val="1"/>
          <w:color w:val="auto"/>
        </w:rPr>
        <w:t>LLC</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By:</w:t>
        <w:tab/>
        <w:t>/s/ Dustin Tyner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29210</wp:posOffset>
            </wp:positionV>
            <wp:extent cx="3319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8" w:name="page19"/>
    <w:bookmarkEnd w:id="18"/>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Dustin Tyner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PARTNERS LLC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John I. Fitzgerald, Esq</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John I. Fitzgerald,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Schedule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Firm Shares</w:t>
            </w: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160" w:type="dxa"/>
            <w:vAlign w:val="bottom"/>
            <w:gridSpan w:val="2"/>
            <w:vMerge w:val="continue"/>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be Purchased</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Jefferies </w:t>
            </w:r>
            <w:r>
              <w:rPr>
                <w:rFonts w:ascii="Arial" w:cs="Arial" w:eastAsia="Arial" w:hAnsi="Arial"/>
                <w:sz w:val="17"/>
                <w:szCs w:val="17"/>
                <w:color w:val="auto"/>
              </w:rPr>
              <w:t>LLC</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Leerink Partners LLC</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6,250,000</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40" w:type="dxa"/>
            <w:vAlign w:val="bottom"/>
            <w:tcBorders>
              <w:bottom w:val="single" w:sz="8" w:color="808080"/>
            </w:tcBorders>
          </w:tcPr>
          <w:p>
            <w:pPr>
              <w:spacing w:after="0"/>
              <w:rPr>
                <w:sz w:val="24"/>
                <w:szCs w:val="24"/>
                <w:color w:val="auto"/>
              </w:rPr>
            </w:pPr>
          </w:p>
        </w:tc>
        <w:tc>
          <w:tcPr>
            <w:tcW w:w="58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Free Writing Prospectuses Included in the Time of Sale Prospectus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A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18" w:lineRule="auto"/>
        <w:rPr>
          <w:sz w:val="20"/>
          <w:szCs w:val="20"/>
          <w:color w:val="auto"/>
        </w:rPr>
      </w:pPr>
      <w:r>
        <w:rPr>
          <w:rFonts w:ascii="Arial" w:cs="Arial" w:eastAsia="Arial" w:hAnsi="Arial"/>
          <w:sz w:val="18"/>
          <w:szCs w:val="18"/>
          <w:color w:val="auto"/>
        </w:rPr>
        <w:t>One Federal Street, 37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Ardelyx,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is an owner of shares of common stock, par value $0.0001 per share, of the Company (“</w:t>
      </w:r>
      <w:r>
        <w:rPr>
          <w:rFonts w:ascii="Arial" w:cs="Arial" w:eastAsia="Arial" w:hAnsi="Arial"/>
          <w:sz w:val="17"/>
          <w:szCs w:val="17"/>
          <w:b w:val="1"/>
          <w:bCs w:val="1"/>
          <w:color w:val="auto"/>
        </w:rPr>
        <w:t>Shares</w:t>
      </w:r>
      <w:r>
        <w:rPr>
          <w:rFonts w:ascii="Arial" w:cs="Arial" w:eastAsia="Arial" w:hAnsi="Arial"/>
          <w:sz w:val="17"/>
          <w:szCs w:val="17"/>
          <w:color w:val="auto"/>
        </w:rPr>
        <w:t>”) or of securities convertible into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exchangeable or exercisable for Shares. The Company proposes to conduct a public offering of Shares (the “</w:t>
      </w:r>
      <w:r>
        <w:rPr>
          <w:rFonts w:ascii="Arial" w:cs="Arial" w:eastAsia="Arial" w:hAnsi="Arial"/>
          <w:sz w:val="18"/>
          <w:szCs w:val="18"/>
          <w:b w:val="1"/>
          <w:bCs w:val="1"/>
          <w:color w:val="auto"/>
        </w:rPr>
        <w:t>Offering</w:t>
      </w:r>
      <w:r>
        <w:rPr>
          <w:rFonts w:ascii="Arial" w:cs="Arial" w:eastAsia="Arial" w:hAnsi="Arial"/>
          <w:sz w:val="18"/>
          <w:szCs w:val="18"/>
          <w:color w:val="auto"/>
        </w:rPr>
        <w:t>”) for which 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Jefferies</w:t>
      </w:r>
      <w:r>
        <w:rPr>
          <w:rFonts w:ascii="Arial" w:cs="Arial" w:eastAsia="Arial" w:hAnsi="Arial"/>
          <w:sz w:val="17"/>
          <w:szCs w:val="17"/>
          <w:color w:val="auto"/>
        </w:rPr>
        <w:t>”) and Leerink Partners LLC (“</w:t>
      </w:r>
      <w:r>
        <w:rPr>
          <w:rFonts w:ascii="Arial" w:cs="Arial" w:eastAsia="Arial" w:hAnsi="Arial"/>
          <w:sz w:val="17"/>
          <w:szCs w:val="17"/>
          <w:b w:val="1"/>
          <w:bCs w:val="1"/>
          <w:color w:val="auto"/>
        </w:rPr>
        <w:t>Leerink</w:t>
      </w:r>
      <w:r>
        <w:rPr>
          <w:rFonts w:ascii="Arial" w:cs="Arial" w:eastAsia="Arial" w:hAnsi="Arial"/>
          <w:sz w:val="17"/>
          <w:szCs w:val="17"/>
          <w:color w:val="auto"/>
        </w:rPr>
        <w:t>”) will act as the representatives of the underwriters. The undersigned recognizes that the Offering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benefit each of the Company and the undersigned. The undersigned acknowledges that the underwriters are relying on the representations and agreements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contained in this letter agreement in conducting the Offering and, at a subsequent date, in entering into an underwriting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the Company with respect to the Offering.</w:t>
      </w:r>
    </w:p>
    <w:p>
      <w:pPr>
        <w:sectPr>
          <w:pgSz w:w="11900" w:h="16902" w:orient="portrait"/>
          <w:cols w:equalWidth="0" w:num="1">
            <w:col w:w="11460"/>
          </w:cols>
          <w:pgMar w:left="240" w:top="125" w:right="199" w:bottom="0" w:gutter="0" w:footer="0" w:header="0"/>
        </w:sectPr>
      </w:pPr>
    </w:p>
    <w:bookmarkStart w:id="19" w:name="page20"/>
    <w:bookmarkEnd w:id="19"/>
    <w:p>
      <w:pPr>
        <w:ind w:right="26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subject to the exceptions set forth in this letter agreement, without the prior written consent of Jefferies and Leerink, which may withhold their consent in their sole discretion:</w:t>
      </w:r>
    </w:p>
    <w:p>
      <w:pPr>
        <w:spacing w:after="0" w:line="147" w:lineRule="exact"/>
        <w:rPr>
          <w:sz w:val="20"/>
          <w:szCs w:val="20"/>
          <w:color w:val="auto"/>
        </w:rPr>
      </w:pPr>
    </w:p>
    <w:p>
      <w:pPr>
        <w:ind w:left="980" w:right="2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980" w:hanging="324"/>
        <w:spacing w:after="0" w:line="312" w:lineRule="auto"/>
        <w:tabs>
          <w:tab w:leader="none" w:pos="9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 any demand for, or exercise any right with respect to, the registration under the Securities Act of the offer and sale of any Shares or Related Securities, currently or hereafter owned either of record or beneficially by the undersigned or such Family Member, or cause to be filed a registration statement, prospectus or prospectus supplement (or an amendment or supplement thereto) with respect to any such registration, or</w:t>
      </w:r>
    </w:p>
    <w:p>
      <w:pPr>
        <w:spacing w:after="0" w:line="146" w:lineRule="exact"/>
        <w:rPr>
          <w:rFonts w:ascii="Arial" w:cs="Arial" w:eastAsia="Arial" w:hAnsi="Arial"/>
          <w:sz w:val="16"/>
          <w:szCs w:val="16"/>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-1058545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restrictions will not apply to:</w:t>
      </w:r>
    </w:p>
    <w:p>
      <w:pPr>
        <w:spacing w:after="0" w:line="225" w:lineRule="exact"/>
        <w:rPr>
          <w:sz w:val="20"/>
          <w:szCs w:val="20"/>
          <w:color w:val="auto"/>
        </w:rPr>
      </w:pPr>
    </w:p>
    <w:p>
      <w:pPr>
        <w:ind w:left="660" w:right="640" w:hanging="328"/>
        <w:spacing w:after="0" w:line="277"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registration of the offer and sale of Shares in the Offering, and the sale of Shares to the underwriters, in each case as contemplated by the Underwriting Agreement;</w:t>
      </w:r>
    </w:p>
    <w:p>
      <w:pPr>
        <w:spacing w:after="0" w:line="170" w:lineRule="exact"/>
        <w:rPr>
          <w:rFonts w:ascii="Arial" w:cs="Arial" w:eastAsia="Arial" w:hAnsi="Arial"/>
          <w:sz w:val="18"/>
          <w:szCs w:val="18"/>
          <w:color w:val="auto"/>
        </w:rPr>
      </w:pPr>
    </w:p>
    <w:p>
      <w:pPr>
        <w:ind w:left="660" w:hanging="328"/>
        <w:spacing w:after="0" w:line="255" w:lineRule="auto"/>
        <w:tabs>
          <w:tab w:leader="none" w:pos="6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transfer of Shares or Related Securities: (a) by bona fide gift or gifts, will or intestacy; (b) to a Family Member of the undersigned or any trust or other entity formed for estate planning purposes for the direct or indirect benefit of the undersigned or a Family Member of the undersigned; (c) if the undersigned is a corporation, partnership or other business entity, (1) as a distribution to general and/or limited partners, stockholders or members of the undersigned or (2) to the undersigned’s affiliates or to any investment fund or other entity controlled or managed by the undersigned or as a part of a disposition, transfer or distribution without consideration by the undersigned to its equity holders; or (d) if the undersigned is a trust, to a trustor or beneficiary of the trust;</w:t>
      </w:r>
    </w:p>
    <w:p>
      <w:pPr>
        <w:spacing w:after="0" w:line="193" w:lineRule="exact"/>
        <w:rPr>
          <w:rFonts w:ascii="Arial" w:cs="Arial" w:eastAsia="Arial" w:hAnsi="Arial"/>
          <w:sz w:val="18"/>
          <w:szCs w:val="18"/>
          <w:color w:val="auto"/>
        </w:rPr>
      </w:pPr>
    </w:p>
    <w:p>
      <w:pPr>
        <w:ind w:left="660" w:right="180" w:hanging="328"/>
        <w:spacing w:after="0" w:line="264" w:lineRule="auto"/>
        <w:tabs>
          <w:tab w:leader="none" w:pos="6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transfer of Shares or Related Securities to the Company upon a vesting event of the Company’s securities or upon the exercise or conversion of options or warrants to purchase the Company’s securities, in each case, on a “cashless” or “net exercise” basis or to cover tax withholding obligations of the undersigned in connection with such vesting or exercise;</w:t>
      </w:r>
    </w:p>
    <w:p>
      <w:pPr>
        <w:spacing w:after="0" w:line="181"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transfer Shares or Related Securities by operation of law, including pursuant to a domestic order or a negotiated divorce settlement;</w:t>
      </w:r>
    </w:p>
    <w:p>
      <w:pPr>
        <w:spacing w:after="0" w:line="225" w:lineRule="exact"/>
        <w:rPr>
          <w:rFonts w:ascii="Arial" w:cs="Arial" w:eastAsia="Arial" w:hAnsi="Arial"/>
          <w:sz w:val="18"/>
          <w:szCs w:val="18"/>
          <w:color w:val="auto"/>
        </w:rPr>
      </w:pPr>
    </w:p>
    <w:p>
      <w:pPr>
        <w:ind w:left="660" w:right="740" w:hanging="328"/>
        <w:spacing w:after="0" w:line="30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transfer Shares or Related Securities pursuant to agreements under which the Company has the option to repurchase such Shares or Related Securities or the Company has a right of first refusal with respect to transfers of such Shares or Related Securities; or</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transfer Shares or Related Securities pursuant to a bona fide third party tender offer, merger, consolidation or other similar transaction made to all holders of Shares or Related Securities involving a change of control of the Company;</w:t>
      </w:r>
    </w:p>
    <w:p>
      <w:pPr>
        <w:spacing w:after="0" w:line="17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for clause (ii) above, (1) the Representatives receive a signed lock-up agreement in substantially the form of this letter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balance of the Lock-Up Period from each donee, trustee, distributee or transferee, as the case may be, (2) any such transfer shall not involve a disposition for value, (3) such transfers are not required to be reported, during the Lock-Up Period, with the SEC on Form 4 in accordance with Section 16 of the Exchange Act, and (4) the undersigned does not otherwise voluntarily effect any public filing or report regarding such transfers during the Lock-Up Period;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for clause (iii) above, other than in respect of warrants that will expire or automatically exercise by their terms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Offering (and in such case, the applicable Form 4 shall indicate in the footnotes thereto that the filing relates to the applicable circumstances described in clause (iii) above), (1) such transfers are not required to be reported, during the Lock-Up Period, with the SEC on Form 4 in accordance with Section 16 of the Exchange Act and (2) the undersigned does not otherwise voluntarily effect any public filing or report regarding such transfers during the Lock-Up Period;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clause (iv) above, any Shares or Related Securities received upon such transfer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subject to the terms of this letter agreement;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for clause (vi) above, in the event that the tender offer, merger, consolidation or other such transaction is not completed, the Shares or Related Securities owned by the undersigned shall remain subject to the restrictions contained in this letter agreement.</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Furthermore, during the Lock-Up Period, the undersigned may: (a) sell Shares of the Company purchased by the undersigned in the Offering or on the open market following the Offering if and only if (x) such sales are not required during the Lock-Up Period to be reported in any press release or public report or filing with the SEC, or otherwise, and (y) the undersigned does not otherwise voluntarily effect any press release, public filing or report regarding such sales during the Lock-Up Period; and (b) exercise any rights to purchase, exchange or convert any stock options granted pursuant to the Company’s equity incentive or employee stock plans existing as of the date of the Underwriting Agreement or warrants or any other securities existing as of the date of the Underwriting Agreement, which securities are convertible into or exchangeable or exercisable for Shares, if and only if (but subject to clause (iii), including the proviso related to such clause, in the immediately preceding paragraph) the Shares received upon such exercise, purchase, exchange or conversion shall remain subject to the terms of this letter agreement.</w:t>
      </w:r>
    </w:p>
    <w:p>
      <w:pPr>
        <w:spacing w:after="0" w:line="17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addition, the restrictions on transfer and disposition of the Shares or Related Securities during the Lock-Up Period shall not apply to the forfeiture or repurchase of Shares or Related Securities by the Company in connection with the termination of the undersigned’s employment or other service with the Company.</w:t>
      </w:r>
    </w:p>
    <w:p>
      <w:pPr>
        <w:sectPr>
          <w:pgSz w:w="11900" w:h="16838" w:orient="portrait"/>
          <w:cols w:equalWidth="0" w:num="1">
            <w:col w:w="11420"/>
          </w:cols>
          <w:pgMar w:left="240" w:top="341" w:right="239" w:bottom="0" w:gutter="0" w:footer="0" w:header="0"/>
        </w:sectPr>
      </w:pPr>
    </w:p>
    <w:bookmarkStart w:id="20" w:name="page21"/>
    <w:bookmarkEnd w:id="20"/>
    <w:p>
      <w:pPr>
        <w:jc w:val="both"/>
        <w:ind w:right="320"/>
        <w:spacing w:after="0" w:line="312" w:lineRule="auto"/>
        <w:rPr>
          <w:sz w:val="20"/>
          <w:szCs w:val="20"/>
          <w:color w:val="auto"/>
        </w:rPr>
      </w:pPr>
      <w:r>
        <w:rPr>
          <w:rFonts w:ascii="Arial" w:cs="Arial" w:eastAsia="Arial" w:hAnsi="Arial"/>
          <w:sz w:val="16"/>
          <w:szCs w:val="16"/>
          <w:color w:val="auto"/>
        </w:rPr>
        <w:t>Notwithstanding anything herein to the contrary, nothing herein shall prevent the undersigned from (A) selling Shares or Related Securities under a 10b5-l trading plan existing as of the date hereof that complies with Rule 10b5-l under the Exchange Act (a “10b5-1 Trading Plan”), or (B) establishing a 10b5-1 Trading Plan for the sale of Shares provided that such plan does not provide for any sales of Shares or Related Securities during the Lock-Up Period.</w:t>
      </w:r>
    </w:p>
    <w:p>
      <w:pPr>
        <w:spacing w:after="0" w:line="14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undersigned understands that, if the Underwriting Agreement does not become effective by June 30, 2018, or if the Underwriting Agreement (other than the provisions thereof which survive termination) shall terminate or be terminated prior to payment for and delivery of the Shares to be sold thereunder, the undersigned shall be released from, all obligations under this letter agreement. The undersigned understands that the Underwriters are entering into the Underwriting Agreement and proceeding with the Offering in reliance upon this letter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Very truly yours,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IF AN INDIVIDUAL:</w:t>
            </w:r>
          </w:p>
        </w:tc>
        <w:tc>
          <w:tcPr>
            <w:tcW w:w="28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IF AN ENTITY:</w:t>
            </w:r>
          </w:p>
        </w:tc>
        <w:tc>
          <w:tcPr>
            <w:tcW w:w="40" w:type="dxa"/>
            <w:vAlign w:val="bottom"/>
          </w:tcPr>
          <w:p>
            <w:pPr>
              <w:spacing w:after="0"/>
              <w:rPr>
                <w:sz w:val="24"/>
                <w:szCs w:val="24"/>
                <w:color w:val="auto"/>
              </w:rPr>
            </w:pPr>
          </w:p>
        </w:tc>
      </w:tr>
      <w:tr>
        <w:trPr>
          <w:trHeight w:val="432"/>
        </w:trPr>
        <w:tc>
          <w:tcPr>
            <w:tcW w:w="5540" w:type="dxa"/>
            <w:vAlign w:val="bottom"/>
            <w:gridSpan w:val="3"/>
          </w:tcPr>
          <w:p>
            <w:pPr>
              <w:ind w:left="36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880" w:type="dxa"/>
            <w:vAlign w:val="bottom"/>
          </w:tcPr>
          <w:p>
            <w:pPr>
              <w:spacing w:after="0"/>
              <w:rPr>
                <w:sz w:val="19"/>
                <w:szCs w:val="19"/>
                <w:color w:val="auto"/>
              </w:rPr>
            </w:pPr>
          </w:p>
        </w:tc>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(duly authorized signature)</w:t>
            </w:r>
          </w:p>
        </w:tc>
        <w:tc>
          <w:tcPr>
            <w:tcW w:w="280" w:type="dxa"/>
            <w:vAlign w:val="bottom"/>
          </w:tcPr>
          <w:p>
            <w:pPr>
              <w:spacing w:after="0"/>
              <w:rPr>
                <w:sz w:val="19"/>
                <w:szCs w:val="19"/>
                <w:color w:val="auto"/>
              </w:rPr>
            </w:pPr>
          </w:p>
        </w:tc>
        <w:tc>
          <w:tcPr>
            <w:tcW w:w="560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(please print complete name of entity)</w:t>
            </w:r>
          </w:p>
        </w:tc>
        <w:tc>
          <w:tcPr>
            <w:tcW w:w="40" w:type="dxa"/>
            <w:vAlign w:val="bottom"/>
          </w:tcPr>
          <w:p>
            <w:pPr>
              <w:spacing w:after="0"/>
              <w:rPr>
                <w:sz w:val="19"/>
                <w:szCs w:val="19"/>
                <w:color w:val="auto"/>
              </w:rPr>
            </w:pPr>
          </w:p>
        </w:tc>
      </w:tr>
      <w:tr>
        <w:trPr>
          <w:trHeight w:val="418"/>
        </w:trPr>
        <w:tc>
          <w:tcPr>
            <w:tcW w:w="5540" w:type="dxa"/>
            <w:vAlign w:val="bottom"/>
            <w:gridSpan w:val="3"/>
          </w:tcPr>
          <w:p>
            <w:pPr>
              <w:ind w:left="540"/>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rPr>
                <w:sz w:val="24"/>
                <w:szCs w:val="24"/>
                <w:color w:val="auto"/>
              </w:rPr>
            </w:pPr>
          </w:p>
        </w:tc>
        <w:tc>
          <w:tcPr>
            <w:tcW w:w="5600" w:type="dxa"/>
            <w:vAlign w:val="bottom"/>
            <w:gridSpan w:val="3"/>
          </w:tcPr>
          <w:p>
            <w:pPr>
              <w:ind w:left="3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80" w:type="dxa"/>
            <w:vAlign w:val="bottom"/>
            <w:tcBorders>
              <w:top w:val="single" w:sz="8" w:color="auto"/>
            </w:tcBorders>
          </w:tcPr>
          <w:p>
            <w:pPr>
              <w:ind w:left="180"/>
              <w:spacing w:after="0"/>
              <w:rPr>
                <w:sz w:val="20"/>
                <w:szCs w:val="20"/>
                <w:color w:val="auto"/>
              </w:rPr>
            </w:pPr>
            <w:r>
              <w:rPr>
                <w:rFonts w:ascii="Arial" w:cs="Arial" w:eastAsia="Arial" w:hAnsi="Arial"/>
                <w:sz w:val="18"/>
                <w:szCs w:val="18"/>
                <w:i w:val="1"/>
                <w:iCs w:val="1"/>
                <w:color w:val="auto"/>
              </w:rPr>
              <w:t>(please print full name)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i w:val="1"/>
                <w:iCs w:val="1"/>
                <w:color w:val="auto"/>
              </w:rPr>
              <w:t>(duly authorized signature)</w:t>
            </w:r>
          </w:p>
        </w:tc>
        <w:tc>
          <w:tcPr>
            <w:tcW w:w="40" w:type="dxa"/>
            <w:vAlign w:val="bottom"/>
          </w:tcPr>
          <w:p>
            <w:pPr>
              <w:spacing w:after="0"/>
              <w:rPr>
                <w:sz w:val="19"/>
                <w:szCs w:val="19"/>
                <w:color w:val="auto"/>
              </w:rPr>
            </w:pPr>
          </w:p>
        </w:tc>
      </w:tr>
      <w:tr>
        <w:trPr>
          <w:trHeight w:val="418"/>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0" w:type="dxa"/>
            <w:vAlign w:val="bottom"/>
            <w:gridSpan w:val="3"/>
          </w:tcPr>
          <w:p>
            <w:pPr>
              <w:ind w:left="540"/>
              <w:spacing w:after="0"/>
              <w:rPr>
                <w:sz w:val="20"/>
                <w:szCs w:val="20"/>
                <w:color w:val="auto"/>
              </w:rPr>
            </w:pPr>
            <w:r>
              <w:rPr>
                <w:rFonts w:ascii="Arial" w:cs="Arial" w:eastAsia="Arial" w:hAnsi="Arial"/>
                <w:sz w:val="18"/>
                <w:szCs w:val="18"/>
                <w:color w:val="auto"/>
              </w:rPr>
              <w:t>Name:</w:t>
            </w:r>
          </w:p>
        </w:tc>
        <w:tc>
          <w:tcPr>
            <w:tcW w:w="40" w:type="dxa"/>
            <w:vAlign w:val="bottom"/>
          </w:tcPr>
          <w:p>
            <w:pPr>
              <w:spacing w:after="0"/>
              <w:rPr>
                <w:sz w:val="24"/>
                <w:szCs w:val="24"/>
                <w:color w:val="auto"/>
              </w:rPr>
            </w:pPr>
          </w:p>
        </w:tc>
      </w:tr>
      <w:tr>
        <w:trPr>
          <w:trHeight w:val="224"/>
        </w:trPr>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60" w:type="dxa"/>
            <w:vAlign w:val="bottom"/>
            <w:tcBorders>
              <w:top w:val="single" w:sz="8" w:color="auto"/>
            </w:tcBorders>
          </w:tcPr>
          <w:p>
            <w:pPr>
              <w:ind w:left="360"/>
              <w:spacing w:after="0"/>
              <w:rPr>
                <w:sz w:val="20"/>
                <w:szCs w:val="20"/>
                <w:color w:val="auto"/>
              </w:rPr>
            </w:pPr>
            <w:r>
              <w:rPr>
                <w:rFonts w:ascii="Arial" w:cs="Arial" w:eastAsia="Arial" w:hAnsi="Arial"/>
                <w:sz w:val="18"/>
                <w:szCs w:val="18"/>
                <w:i w:val="1"/>
                <w:iCs w:val="1"/>
                <w:color w:val="auto"/>
              </w:rPr>
              <w:t>(please print full name)</w:t>
            </w:r>
          </w:p>
        </w:tc>
        <w:tc>
          <w:tcPr>
            <w:tcW w:w="40" w:type="dxa"/>
            <w:vAlign w:val="bottom"/>
          </w:tcPr>
          <w:p>
            <w:pPr>
              <w:spacing w:after="0"/>
              <w:rPr>
                <w:sz w:val="19"/>
                <w:szCs w:val="19"/>
                <w:color w:val="auto"/>
              </w:rPr>
            </w:pPr>
          </w:p>
        </w:tc>
      </w:tr>
      <w:tr>
        <w:trPr>
          <w:trHeight w:val="418"/>
        </w:trPr>
        <w:tc>
          <w:tcPr>
            <w:tcW w:w="554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28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0" w:type="dxa"/>
            <w:vAlign w:val="bottom"/>
          </w:tcPr>
          <w:p>
            <w:pPr>
              <w:spacing w:after="0"/>
              <w:rPr>
                <w:sz w:val="24"/>
                <w:szCs w:val="24"/>
                <w:color w:val="auto"/>
              </w:rPr>
            </w:pPr>
          </w:p>
        </w:tc>
      </w:tr>
      <w:tr>
        <w:trPr>
          <w:trHeight w:val="564"/>
        </w:trPr>
        <w:tc>
          <w:tcPr>
            <w:tcW w:w="8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Defined Terms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221"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left="980" w:right="140" w:hanging="324"/>
        <w:spacing w:after="0" w:line="258"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183" w:lineRule="exact"/>
        <w:rPr>
          <w:rFonts w:ascii="Arial" w:cs="Arial" w:eastAsia="Arial" w:hAnsi="Arial"/>
          <w:sz w:val="18"/>
          <w:szCs w:val="18"/>
          <w:color w:val="auto"/>
        </w:rPr>
      </w:pPr>
    </w:p>
    <w:p>
      <w:pPr>
        <w:ind w:left="980" w:right="380" w:hanging="324"/>
        <w:spacing w:after="0" w:line="282"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60 days after the date of the Prospectus (as defined in the Underwriting Agreement).</w:t>
      </w:r>
    </w:p>
    <w:p>
      <w:pPr>
        <w:spacing w:after="0" w:line="161"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225" w:lineRule="exact"/>
        <w:rPr>
          <w:rFonts w:ascii="Arial" w:cs="Arial" w:eastAsia="Arial" w:hAnsi="Arial"/>
          <w:sz w:val="18"/>
          <w:szCs w:val="18"/>
          <w:color w:val="auto"/>
        </w:rPr>
      </w:pPr>
    </w:p>
    <w:p>
      <w:pPr>
        <w:ind w:left="980" w:right="320" w:hanging="324"/>
        <w:spacing w:after="0" w:line="347" w:lineRule="auto"/>
        <w:tabs>
          <w:tab w:leader="none" w:pos="9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16" w:lineRule="exact"/>
        <w:rPr>
          <w:rFonts w:ascii="Arial" w:cs="Arial" w:eastAsia="Arial" w:hAnsi="Arial"/>
          <w:sz w:val="16"/>
          <w:szCs w:val="16"/>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229" w:lineRule="exact"/>
        <w:rPr>
          <w:rFonts w:ascii="Arial" w:cs="Arial" w:eastAsia="Arial" w:hAnsi="Arial"/>
          <w:sz w:val="18"/>
          <w:szCs w:val="18"/>
          <w:color w:val="auto"/>
        </w:rPr>
      </w:pPr>
    </w:p>
    <w:p>
      <w:pPr>
        <w:ind w:left="1600" w:hanging="295"/>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sell, offer to sell, contract to sell or lend,</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effect any short sale or establish or increase a Put Equivalent Position or liquidate or decrease any Call Equivalent Position</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or</w:t>
      </w:r>
    </w:p>
    <w:p>
      <w:pPr>
        <w:sectPr>
          <w:pgSz w:w="11900" w:h="16838" w:orient="portrait"/>
          <w:cols w:equalWidth="0" w:num="1">
            <w:col w:w="11460"/>
          </w:cols>
          <w:pgMar w:left="240" w:top="125" w:right="199" w:bottom="0" w:gutter="0" w:footer="0" w:header="0"/>
        </w:sectPr>
      </w:pPr>
    </w:p>
    <w:bookmarkStart w:id="21" w:name="page22"/>
    <w:bookmarkEnd w:id="21"/>
    <w:p>
      <w:pPr>
        <w:ind w:left="1600" w:hanging="295"/>
        <w:spacing w:after="0"/>
        <w:tabs>
          <w:tab w:leader="none" w:pos="1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any other way transfer or dispose 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whether effected directly or indirectly.</w:t>
      </w:r>
    </w:p>
    <w:p>
      <w:pPr>
        <w:spacing w:after="0" w:line="221" w:lineRule="exact"/>
        <w:rPr>
          <w:sz w:val="20"/>
          <w:szCs w:val="20"/>
          <w:color w:val="auto"/>
        </w:rPr>
      </w:pPr>
    </w:p>
    <w:p>
      <w:pPr>
        <w:ind w:left="980" w:right="240" w:hanging="324"/>
        <w:spacing w:after="0" w:line="347" w:lineRule="auto"/>
        <w:tabs>
          <w:tab w:leader="none" w:pos="9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680"/>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w w:val="93"/>
              </w:rPr>
              <w:t>List of Persons Signing Lock-Up Agreement</w:t>
            </w:r>
          </w:p>
        </w:tc>
        <w:tc>
          <w:tcPr>
            <w:tcW w:w="388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38"/>
        </w:trPr>
        <w:tc>
          <w:tcPr>
            <w:tcW w:w="2660" w:type="dxa"/>
            <w:vAlign w:val="bottom"/>
          </w:tcPr>
          <w:p>
            <w:pPr>
              <w:spacing w:after="0"/>
              <w:rPr>
                <w:sz w:val="20"/>
                <w:szCs w:val="20"/>
                <w:color w:val="auto"/>
              </w:rPr>
            </w:pPr>
            <w:r>
              <w:rPr>
                <w:rFonts w:ascii="Arial" w:cs="Arial" w:eastAsia="Arial" w:hAnsi="Arial"/>
                <w:sz w:val="18"/>
                <w:szCs w:val="18"/>
                <w:color w:val="auto"/>
              </w:rPr>
              <w:t>Michael Raab</w:t>
            </w:r>
          </w:p>
        </w:tc>
        <w:tc>
          <w:tcPr>
            <w:tcW w:w="4920" w:type="dxa"/>
            <w:vAlign w:val="bottom"/>
            <w:gridSpan w:val="3"/>
          </w:tcPr>
          <w:p>
            <w:pPr>
              <w:ind w:left="1240"/>
              <w:spacing w:after="0"/>
              <w:rPr>
                <w:sz w:val="20"/>
                <w:szCs w:val="20"/>
                <w:color w:val="auto"/>
              </w:rPr>
            </w:pPr>
            <w:r>
              <w:rPr>
                <w:rFonts w:ascii="Arial" w:cs="Arial" w:eastAsia="Arial" w:hAnsi="Arial"/>
                <w:sz w:val="18"/>
                <w:szCs w:val="18"/>
                <w:color w:val="auto"/>
              </w:rPr>
              <w:t>David Mott</w:t>
            </w:r>
          </w:p>
        </w:tc>
        <w:tc>
          <w:tcPr>
            <w:tcW w:w="3880" w:type="dxa"/>
            <w:vAlign w:val="bottom"/>
          </w:tcPr>
          <w:p>
            <w:pPr>
              <w:ind w:left="200"/>
              <w:spacing w:after="0"/>
              <w:rPr>
                <w:sz w:val="20"/>
                <w:szCs w:val="20"/>
                <w:color w:val="auto"/>
              </w:rPr>
            </w:pPr>
            <w:r>
              <w:rPr>
                <w:rFonts w:ascii="Arial" w:cs="Arial" w:eastAsia="Arial" w:hAnsi="Arial"/>
                <w:sz w:val="18"/>
                <w:szCs w:val="18"/>
                <w:color w:val="auto"/>
              </w:rPr>
              <w:t>Jan M. Lundberg</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Mark Kaufmann</w:t>
            </w:r>
          </w:p>
        </w:tc>
        <w:tc>
          <w:tcPr>
            <w:tcW w:w="4920" w:type="dxa"/>
            <w:vAlign w:val="bottom"/>
            <w:gridSpan w:val="3"/>
          </w:tcPr>
          <w:p>
            <w:pPr>
              <w:ind w:left="1240"/>
              <w:spacing w:after="0"/>
              <w:rPr>
                <w:sz w:val="20"/>
                <w:szCs w:val="20"/>
                <w:color w:val="auto"/>
              </w:rPr>
            </w:pPr>
            <w:r>
              <w:rPr>
                <w:rFonts w:ascii="Arial" w:cs="Arial" w:eastAsia="Arial" w:hAnsi="Arial"/>
                <w:sz w:val="18"/>
                <w:szCs w:val="18"/>
                <w:color w:val="auto"/>
              </w:rPr>
              <w:t>Annalisa Jenkins</w:t>
            </w:r>
          </w:p>
        </w:tc>
        <w:tc>
          <w:tcPr>
            <w:tcW w:w="3880" w:type="dxa"/>
            <w:vAlign w:val="bottom"/>
          </w:tcPr>
          <w:p>
            <w:pPr>
              <w:ind w:left="200"/>
              <w:spacing w:after="0"/>
              <w:rPr>
                <w:sz w:val="20"/>
                <w:szCs w:val="20"/>
                <w:color w:val="auto"/>
              </w:rPr>
            </w:pPr>
            <w:r>
              <w:rPr>
                <w:rFonts w:ascii="Arial" w:cs="Arial" w:eastAsia="Arial" w:hAnsi="Arial"/>
                <w:sz w:val="18"/>
                <w:szCs w:val="18"/>
                <w:color w:val="auto"/>
              </w:rPr>
              <w:t>William Bertrand</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David Rosenbaum</w:t>
            </w:r>
          </w:p>
        </w:tc>
        <w:tc>
          <w:tcPr>
            <w:tcW w:w="4920" w:type="dxa"/>
            <w:vAlign w:val="bottom"/>
            <w:gridSpan w:val="3"/>
          </w:tcPr>
          <w:p>
            <w:pPr>
              <w:ind w:left="1240"/>
              <w:spacing w:after="0"/>
              <w:rPr>
                <w:sz w:val="20"/>
                <w:szCs w:val="20"/>
                <w:color w:val="auto"/>
              </w:rPr>
            </w:pPr>
            <w:r>
              <w:rPr>
                <w:rFonts w:ascii="Arial" w:cs="Arial" w:eastAsia="Arial" w:hAnsi="Arial"/>
                <w:sz w:val="18"/>
                <w:szCs w:val="18"/>
                <w:color w:val="auto"/>
              </w:rPr>
              <w:t>Gordon Ringold</w:t>
            </w:r>
          </w:p>
        </w:tc>
        <w:tc>
          <w:tcPr>
            <w:tcW w:w="3880" w:type="dxa"/>
            <w:vAlign w:val="bottom"/>
          </w:tcPr>
          <w:p>
            <w:pPr>
              <w:ind w:left="200"/>
              <w:spacing w:after="0"/>
              <w:rPr>
                <w:sz w:val="20"/>
                <w:szCs w:val="20"/>
                <w:color w:val="auto"/>
              </w:rPr>
            </w:pPr>
            <w:r>
              <w:rPr>
                <w:rFonts w:ascii="Arial" w:cs="Arial" w:eastAsia="Arial" w:hAnsi="Arial"/>
                <w:sz w:val="18"/>
                <w:szCs w:val="18"/>
                <w:color w:val="auto"/>
              </w:rPr>
              <w:t>Robert Blanks</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Elizabeth Grammer</w:t>
            </w:r>
          </w:p>
        </w:tc>
        <w:tc>
          <w:tcPr>
            <w:tcW w:w="4920" w:type="dxa"/>
            <w:vAlign w:val="bottom"/>
            <w:gridSpan w:val="3"/>
          </w:tcPr>
          <w:p>
            <w:pPr>
              <w:ind w:left="1240"/>
              <w:spacing w:after="0"/>
              <w:rPr>
                <w:sz w:val="20"/>
                <w:szCs w:val="20"/>
                <w:color w:val="auto"/>
              </w:rPr>
            </w:pPr>
            <w:r>
              <w:rPr>
                <w:rFonts w:ascii="Arial" w:cs="Arial" w:eastAsia="Arial" w:hAnsi="Arial"/>
                <w:sz w:val="18"/>
                <w:szCs w:val="18"/>
                <w:color w:val="auto"/>
              </w:rPr>
              <w:t>Richard Rodgers</w:t>
            </w:r>
          </w:p>
        </w:tc>
        <w:tc>
          <w:tcPr>
            <w:tcW w:w="3880" w:type="dxa"/>
            <w:vAlign w:val="bottom"/>
          </w:tcPr>
          <w:p>
            <w:pPr>
              <w:ind w:left="200"/>
              <w:spacing w:after="0"/>
              <w:rPr>
                <w:sz w:val="20"/>
                <w:szCs w:val="20"/>
                <w:color w:val="auto"/>
              </w:rPr>
            </w:pPr>
            <w:r>
              <w:rPr>
                <w:rFonts w:ascii="Arial" w:cs="Arial" w:eastAsia="Arial" w:hAnsi="Arial"/>
                <w:sz w:val="18"/>
                <w:szCs w:val="18"/>
                <w:color w:val="auto"/>
              </w:rPr>
              <w:t>Jeffrey Jacobs</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Reginald Seeto</w:t>
            </w:r>
          </w:p>
        </w:tc>
        <w:tc>
          <w:tcPr>
            <w:tcW w:w="4920" w:type="dxa"/>
            <w:vAlign w:val="bottom"/>
            <w:gridSpan w:val="3"/>
          </w:tcPr>
          <w:p>
            <w:pPr>
              <w:ind w:left="1240"/>
              <w:spacing w:after="0"/>
              <w:rPr>
                <w:sz w:val="20"/>
                <w:szCs w:val="20"/>
                <w:color w:val="auto"/>
              </w:rPr>
            </w:pPr>
            <w:r>
              <w:rPr>
                <w:rFonts w:ascii="Arial" w:cs="Arial" w:eastAsia="Arial" w:hAnsi="Arial"/>
                <w:sz w:val="18"/>
                <w:szCs w:val="18"/>
                <w:color w:val="auto"/>
              </w:rPr>
              <w:t>Robert Bazemore</w:t>
            </w:r>
          </w:p>
        </w:tc>
        <w:tc>
          <w:tcPr>
            <w:tcW w:w="3880" w:type="dxa"/>
            <w:vAlign w:val="bottom"/>
          </w:tcPr>
          <w:p>
            <w:pPr>
              <w:ind w:left="200"/>
              <w:spacing w:after="0"/>
              <w:rPr>
                <w:sz w:val="20"/>
                <w:szCs w:val="20"/>
                <w:color w:val="auto"/>
              </w:rPr>
            </w:pPr>
            <w:r>
              <w:rPr>
                <w:rFonts w:ascii="Arial" w:cs="Arial" w:eastAsia="Arial" w:hAnsi="Arial"/>
                <w:sz w:val="18"/>
                <w:szCs w:val="18"/>
                <w:color w:val="auto"/>
              </w:rPr>
              <w:t>Barthold Family Foundation</w:t>
            </w:r>
          </w:p>
        </w:tc>
      </w:tr>
      <w:tr>
        <w:trPr>
          <w:trHeight w:val="348"/>
        </w:trPr>
        <w:tc>
          <w:tcPr>
            <w:tcW w:w="26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140 Scott Drive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Tel: +1.650.328.4600 Fax: +1.650.463.2600</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35839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58390" cy="2743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5140" w:type="dxa"/>
            <w:vAlign w:val="bottom"/>
            <w:gridSpan w:val="2"/>
          </w:tcPr>
          <w:p>
            <w:pPr>
              <w:ind w:left="2340"/>
              <w:spacing w:after="0"/>
              <w:rPr>
                <w:sz w:val="20"/>
                <w:szCs w:val="20"/>
                <w:color w:val="auto"/>
              </w:rPr>
            </w:pPr>
            <w:r>
              <w:rPr>
                <w:rFonts w:ascii="Arial" w:cs="Arial" w:eastAsia="Arial" w:hAnsi="Arial"/>
                <w:sz w:val="18"/>
                <w:szCs w:val="18"/>
                <w:color w:val="auto"/>
              </w:rPr>
              <w:t>FIRM / AFFILIATE OFFICES</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Beijing</w:t>
            </w:r>
          </w:p>
        </w:tc>
        <w:tc>
          <w:tcPr>
            <w:tcW w:w="1560" w:type="dxa"/>
            <w:vAlign w:val="bottom"/>
          </w:tcPr>
          <w:p>
            <w:pPr>
              <w:ind w:left="280"/>
              <w:spacing w:after="0"/>
              <w:rPr>
                <w:sz w:val="20"/>
                <w:szCs w:val="20"/>
                <w:color w:val="auto"/>
              </w:rPr>
            </w:pPr>
            <w:r>
              <w:rPr>
                <w:rFonts w:ascii="Arial" w:cs="Arial" w:eastAsia="Arial" w:hAnsi="Arial"/>
                <w:sz w:val="18"/>
                <w:szCs w:val="18"/>
                <w:color w:val="auto"/>
              </w:rPr>
              <w:t>Moscow</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Boston</w:t>
            </w:r>
          </w:p>
        </w:tc>
        <w:tc>
          <w:tcPr>
            <w:tcW w:w="1560" w:type="dxa"/>
            <w:vAlign w:val="bottom"/>
          </w:tcPr>
          <w:p>
            <w:pPr>
              <w:ind w:left="280"/>
              <w:spacing w:after="0"/>
              <w:rPr>
                <w:sz w:val="20"/>
                <w:szCs w:val="20"/>
                <w:color w:val="auto"/>
              </w:rPr>
            </w:pPr>
            <w:r>
              <w:rPr>
                <w:rFonts w:ascii="Arial" w:cs="Arial" w:eastAsia="Arial" w:hAnsi="Arial"/>
                <w:sz w:val="18"/>
                <w:szCs w:val="18"/>
                <w:color w:val="auto"/>
              </w:rPr>
              <w:t>Munich</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Brussels</w:t>
            </w:r>
          </w:p>
        </w:tc>
        <w:tc>
          <w:tcPr>
            <w:tcW w:w="1560" w:type="dxa"/>
            <w:vAlign w:val="bottom"/>
          </w:tcPr>
          <w:p>
            <w:pPr>
              <w:ind w:left="280"/>
              <w:spacing w:after="0"/>
              <w:rPr>
                <w:sz w:val="20"/>
                <w:szCs w:val="20"/>
                <w:color w:val="auto"/>
              </w:rPr>
            </w:pPr>
            <w:r>
              <w:rPr>
                <w:rFonts w:ascii="Arial" w:cs="Arial" w:eastAsia="Arial" w:hAnsi="Arial"/>
                <w:sz w:val="18"/>
                <w:szCs w:val="18"/>
                <w:color w:val="auto"/>
              </w:rPr>
              <w:t>New York</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Century City</w:t>
            </w:r>
          </w:p>
        </w:tc>
        <w:tc>
          <w:tcPr>
            <w:tcW w:w="1560" w:type="dxa"/>
            <w:vAlign w:val="bottom"/>
          </w:tcPr>
          <w:p>
            <w:pPr>
              <w:ind w:left="280"/>
              <w:spacing w:after="0"/>
              <w:rPr>
                <w:sz w:val="20"/>
                <w:szCs w:val="20"/>
                <w:color w:val="auto"/>
              </w:rPr>
            </w:pPr>
            <w:r>
              <w:rPr>
                <w:rFonts w:ascii="Arial" w:cs="Arial" w:eastAsia="Arial" w:hAnsi="Arial"/>
                <w:sz w:val="18"/>
                <w:szCs w:val="18"/>
                <w:color w:val="auto"/>
              </w:rPr>
              <w:t>Orange County</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Chicago</w:t>
            </w:r>
          </w:p>
        </w:tc>
        <w:tc>
          <w:tcPr>
            <w:tcW w:w="1560" w:type="dxa"/>
            <w:vAlign w:val="bottom"/>
          </w:tcPr>
          <w:p>
            <w:pPr>
              <w:ind w:left="280"/>
              <w:spacing w:after="0"/>
              <w:rPr>
                <w:sz w:val="20"/>
                <w:szCs w:val="20"/>
                <w:color w:val="auto"/>
              </w:rPr>
            </w:pPr>
            <w:r>
              <w:rPr>
                <w:rFonts w:ascii="Arial" w:cs="Arial" w:eastAsia="Arial" w:hAnsi="Arial"/>
                <w:sz w:val="18"/>
                <w:szCs w:val="18"/>
                <w:color w:val="auto"/>
              </w:rPr>
              <w:t>Paris</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Dubai</w:t>
            </w:r>
          </w:p>
        </w:tc>
        <w:tc>
          <w:tcPr>
            <w:tcW w:w="1560" w:type="dxa"/>
            <w:vAlign w:val="bottom"/>
          </w:tcPr>
          <w:p>
            <w:pPr>
              <w:ind w:left="280"/>
              <w:spacing w:after="0"/>
              <w:rPr>
                <w:sz w:val="20"/>
                <w:szCs w:val="20"/>
                <w:color w:val="auto"/>
              </w:rPr>
            </w:pPr>
            <w:r>
              <w:rPr>
                <w:rFonts w:ascii="Arial" w:cs="Arial" w:eastAsia="Arial" w:hAnsi="Arial"/>
                <w:sz w:val="18"/>
                <w:szCs w:val="18"/>
                <w:color w:val="auto"/>
              </w:rPr>
              <w:t>Riyadh</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May 29, 2018</w:t>
            </w:r>
          </w:p>
        </w:tc>
        <w:tc>
          <w:tcPr>
            <w:tcW w:w="3580" w:type="dxa"/>
            <w:vAlign w:val="bottom"/>
          </w:tcPr>
          <w:p>
            <w:pPr>
              <w:ind w:left="2340"/>
              <w:spacing w:after="0"/>
              <w:rPr>
                <w:sz w:val="20"/>
                <w:szCs w:val="20"/>
                <w:color w:val="auto"/>
              </w:rPr>
            </w:pPr>
            <w:r>
              <w:rPr>
                <w:rFonts w:ascii="Arial" w:cs="Arial" w:eastAsia="Arial" w:hAnsi="Arial"/>
                <w:sz w:val="18"/>
                <w:szCs w:val="18"/>
                <w:color w:val="auto"/>
              </w:rPr>
              <w:t>Düsseldorf</w:t>
            </w:r>
          </w:p>
        </w:tc>
        <w:tc>
          <w:tcPr>
            <w:tcW w:w="1560" w:type="dxa"/>
            <w:vAlign w:val="bottom"/>
          </w:tcPr>
          <w:p>
            <w:pPr>
              <w:ind w:left="280"/>
              <w:spacing w:after="0"/>
              <w:rPr>
                <w:sz w:val="20"/>
                <w:szCs w:val="20"/>
                <w:color w:val="auto"/>
              </w:rPr>
            </w:pPr>
            <w:r>
              <w:rPr>
                <w:rFonts w:ascii="Arial" w:cs="Arial" w:eastAsia="Arial" w:hAnsi="Arial"/>
                <w:sz w:val="18"/>
                <w:szCs w:val="18"/>
                <w:color w:val="auto"/>
              </w:rPr>
              <w:t>Rome</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Frankfurt</w:t>
            </w:r>
          </w:p>
        </w:tc>
        <w:tc>
          <w:tcPr>
            <w:tcW w:w="1560" w:type="dxa"/>
            <w:vAlign w:val="bottom"/>
          </w:tcPr>
          <w:p>
            <w:pPr>
              <w:ind w:left="280"/>
              <w:spacing w:after="0"/>
              <w:rPr>
                <w:sz w:val="20"/>
                <w:szCs w:val="20"/>
                <w:color w:val="auto"/>
              </w:rPr>
            </w:pPr>
            <w:r>
              <w:rPr>
                <w:rFonts w:ascii="Arial" w:cs="Arial" w:eastAsia="Arial" w:hAnsi="Arial"/>
                <w:sz w:val="18"/>
                <w:szCs w:val="18"/>
                <w:color w:val="auto"/>
              </w:rPr>
              <w:t>San Diego</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Hamburg</w:t>
            </w:r>
          </w:p>
        </w:tc>
        <w:tc>
          <w:tcPr>
            <w:tcW w:w="1560" w:type="dxa"/>
            <w:vAlign w:val="bottom"/>
          </w:tcPr>
          <w:p>
            <w:pPr>
              <w:ind w:left="280"/>
              <w:spacing w:after="0"/>
              <w:rPr>
                <w:sz w:val="20"/>
                <w:szCs w:val="20"/>
                <w:color w:val="auto"/>
              </w:rPr>
            </w:pPr>
            <w:r>
              <w:rPr>
                <w:rFonts w:ascii="Arial" w:cs="Arial" w:eastAsia="Arial" w:hAnsi="Arial"/>
                <w:sz w:val="18"/>
                <w:szCs w:val="18"/>
                <w:color w:val="auto"/>
              </w:rPr>
              <w:t>San Francisco</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Hong Kong</w:t>
            </w:r>
          </w:p>
        </w:tc>
        <w:tc>
          <w:tcPr>
            <w:tcW w:w="1560" w:type="dxa"/>
            <w:vAlign w:val="bottom"/>
          </w:tcPr>
          <w:p>
            <w:pPr>
              <w:ind w:left="280"/>
              <w:spacing w:after="0"/>
              <w:rPr>
                <w:sz w:val="20"/>
                <w:szCs w:val="20"/>
                <w:color w:val="auto"/>
              </w:rPr>
            </w:pPr>
            <w:r>
              <w:rPr>
                <w:rFonts w:ascii="Arial" w:cs="Arial" w:eastAsia="Arial" w:hAnsi="Arial"/>
                <w:sz w:val="18"/>
                <w:szCs w:val="18"/>
                <w:color w:val="auto"/>
              </w:rPr>
              <w:t>Seoul</w:t>
            </w:r>
          </w:p>
        </w:tc>
      </w:tr>
      <w:tr>
        <w:trPr>
          <w:trHeight w:val="216"/>
        </w:trPr>
        <w:tc>
          <w:tcPr>
            <w:tcW w:w="4900" w:type="dxa"/>
            <w:vAlign w:val="bottom"/>
          </w:tcPr>
          <w:p>
            <w:pPr>
              <w:spacing w:after="0"/>
              <w:rPr>
                <w:sz w:val="18"/>
                <w:szCs w:val="18"/>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Houston</w:t>
            </w:r>
          </w:p>
        </w:tc>
        <w:tc>
          <w:tcPr>
            <w:tcW w:w="1560" w:type="dxa"/>
            <w:vAlign w:val="bottom"/>
          </w:tcPr>
          <w:p>
            <w:pPr>
              <w:ind w:left="280"/>
              <w:spacing w:after="0"/>
              <w:rPr>
                <w:sz w:val="20"/>
                <w:szCs w:val="20"/>
                <w:color w:val="auto"/>
              </w:rPr>
            </w:pPr>
            <w:r>
              <w:rPr>
                <w:rFonts w:ascii="Arial" w:cs="Arial" w:eastAsia="Arial" w:hAnsi="Arial"/>
                <w:sz w:val="18"/>
                <w:szCs w:val="18"/>
                <w:color w:val="auto"/>
              </w:rPr>
              <w:t>Shanghai</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Ardelyx, Inc.</w:t>
            </w:r>
          </w:p>
        </w:tc>
        <w:tc>
          <w:tcPr>
            <w:tcW w:w="3580" w:type="dxa"/>
            <w:vAlign w:val="bottom"/>
          </w:tcPr>
          <w:p>
            <w:pPr>
              <w:ind w:left="2340"/>
              <w:spacing w:after="0"/>
              <w:rPr>
                <w:sz w:val="20"/>
                <w:szCs w:val="20"/>
                <w:color w:val="auto"/>
              </w:rPr>
            </w:pPr>
            <w:r>
              <w:rPr>
                <w:rFonts w:ascii="Arial" w:cs="Arial" w:eastAsia="Arial" w:hAnsi="Arial"/>
                <w:sz w:val="18"/>
                <w:szCs w:val="18"/>
                <w:color w:val="auto"/>
              </w:rPr>
              <w:t>London</w:t>
            </w:r>
          </w:p>
        </w:tc>
        <w:tc>
          <w:tcPr>
            <w:tcW w:w="1560" w:type="dxa"/>
            <w:vAlign w:val="bottom"/>
          </w:tcPr>
          <w:p>
            <w:pPr>
              <w:ind w:left="280"/>
              <w:spacing w:after="0"/>
              <w:rPr>
                <w:sz w:val="20"/>
                <w:szCs w:val="20"/>
                <w:color w:val="auto"/>
              </w:rPr>
            </w:pPr>
            <w:r>
              <w:rPr>
                <w:rFonts w:ascii="Arial" w:cs="Arial" w:eastAsia="Arial" w:hAnsi="Arial"/>
                <w:sz w:val="18"/>
                <w:szCs w:val="18"/>
                <w:color w:val="auto"/>
              </w:rPr>
              <w:t>Silicon Valley</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34175 Ardenwood Blvd., Suite 200</w:t>
            </w:r>
          </w:p>
        </w:tc>
        <w:tc>
          <w:tcPr>
            <w:tcW w:w="3580" w:type="dxa"/>
            <w:vAlign w:val="bottom"/>
          </w:tcPr>
          <w:p>
            <w:pPr>
              <w:ind w:left="2340"/>
              <w:spacing w:after="0"/>
              <w:rPr>
                <w:sz w:val="20"/>
                <w:szCs w:val="20"/>
                <w:color w:val="auto"/>
              </w:rPr>
            </w:pPr>
            <w:r>
              <w:rPr>
                <w:rFonts w:ascii="Arial" w:cs="Arial" w:eastAsia="Arial" w:hAnsi="Arial"/>
                <w:sz w:val="18"/>
                <w:szCs w:val="18"/>
                <w:color w:val="auto"/>
              </w:rPr>
              <w:t>Los Angeles</w:t>
            </w:r>
          </w:p>
        </w:tc>
        <w:tc>
          <w:tcPr>
            <w:tcW w:w="1560" w:type="dxa"/>
            <w:vAlign w:val="bottom"/>
          </w:tcPr>
          <w:p>
            <w:pPr>
              <w:ind w:left="280"/>
              <w:spacing w:after="0"/>
              <w:rPr>
                <w:sz w:val="20"/>
                <w:szCs w:val="20"/>
                <w:color w:val="auto"/>
              </w:rPr>
            </w:pPr>
            <w:r>
              <w:rPr>
                <w:rFonts w:ascii="Arial" w:cs="Arial" w:eastAsia="Arial" w:hAnsi="Arial"/>
                <w:sz w:val="18"/>
                <w:szCs w:val="18"/>
                <w:color w:val="auto"/>
              </w:rPr>
              <w:t>Singapore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Fremont, CA 94555</w:t>
            </w:r>
          </w:p>
        </w:tc>
        <w:tc>
          <w:tcPr>
            <w:tcW w:w="3580" w:type="dxa"/>
            <w:vAlign w:val="bottom"/>
          </w:tcPr>
          <w:p>
            <w:pPr>
              <w:ind w:left="2340"/>
              <w:spacing w:after="0"/>
              <w:rPr>
                <w:sz w:val="20"/>
                <w:szCs w:val="20"/>
                <w:color w:val="auto"/>
              </w:rPr>
            </w:pPr>
            <w:r>
              <w:rPr>
                <w:rFonts w:ascii="Arial" w:cs="Arial" w:eastAsia="Arial" w:hAnsi="Arial"/>
                <w:sz w:val="18"/>
                <w:szCs w:val="18"/>
                <w:color w:val="auto"/>
              </w:rPr>
              <w:t>Madrid</w:t>
            </w:r>
          </w:p>
        </w:tc>
        <w:tc>
          <w:tcPr>
            <w:tcW w:w="1560" w:type="dxa"/>
            <w:vAlign w:val="bottom"/>
          </w:tcPr>
          <w:p>
            <w:pPr>
              <w:ind w:left="280"/>
              <w:spacing w:after="0"/>
              <w:rPr>
                <w:sz w:val="20"/>
                <w:szCs w:val="20"/>
                <w:color w:val="auto"/>
              </w:rPr>
            </w:pPr>
            <w:r>
              <w:rPr>
                <w:rFonts w:ascii="Arial" w:cs="Arial" w:eastAsia="Arial" w:hAnsi="Arial"/>
                <w:sz w:val="18"/>
                <w:szCs w:val="18"/>
                <w:color w:val="auto"/>
              </w:rPr>
              <w:t>Tokyo</w:t>
            </w:r>
          </w:p>
        </w:tc>
      </w:tr>
      <w:tr>
        <w:trPr>
          <w:trHeight w:val="230"/>
        </w:trPr>
        <w:tc>
          <w:tcPr>
            <w:tcW w:w="4900" w:type="dxa"/>
            <w:vAlign w:val="bottom"/>
          </w:tcPr>
          <w:p>
            <w:pPr>
              <w:spacing w:after="0"/>
              <w:rPr>
                <w:sz w:val="20"/>
                <w:szCs w:val="20"/>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Milan</w:t>
            </w:r>
          </w:p>
        </w:tc>
        <w:tc>
          <w:tcPr>
            <w:tcW w:w="1560" w:type="dxa"/>
            <w:vAlign w:val="bottom"/>
          </w:tcPr>
          <w:p>
            <w:pPr>
              <w:ind w:left="280"/>
              <w:spacing w:after="0"/>
              <w:rPr>
                <w:sz w:val="20"/>
                <w:szCs w:val="20"/>
                <w:color w:val="auto"/>
              </w:rPr>
            </w:pPr>
            <w:r>
              <w:rPr>
                <w:rFonts w:ascii="Arial" w:cs="Arial" w:eastAsia="Arial" w:hAnsi="Arial"/>
                <w:sz w:val="18"/>
                <w:szCs w:val="18"/>
                <w:color w:val="auto"/>
                <w:w w:val="89"/>
              </w:rPr>
              <w:t>Washington, D.C.</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No. 333-205631 on Form S-3; Up to 14,375,000 shares of Common Stock, par value $0.0001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acted as special counsel to Ardelyx,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proposed issuance of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14,375,000 shares of common stock, $0.0001 par value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included in a registration statement on Form S-3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July 13, 2015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No. 333-205631) (as so filed and as amended,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a base prospectus dated July 20, 2015 (the “</w:t>
      </w:r>
      <w:r>
        <w:rPr>
          <w:rFonts w:ascii="Arial" w:cs="Arial" w:eastAsia="Arial" w:hAnsi="Arial"/>
          <w:sz w:val="15"/>
          <w:szCs w:val="15"/>
          <w:b w:val="1"/>
          <w:bCs w:val="1"/>
          <w:i w:val="1"/>
          <w:iCs w:val="1"/>
          <w:color w:val="auto"/>
        </w:rPr>
        <w:t>Base Prospectus</w:t>
      </w:r>
      <w:r>
        <w:rPr>
          <w:rFonts w:ascii="Arial" w:cs="Arial" w:eastAsia="Arial" w:hAnsi="Arial"/>
          <w:sz w:val="15"/>
          <w:szCs w:val="15"/>
          <w:color w:val="auto"/>
        </w:rPr>
        <w:t>”) and a prospectus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supplement dated May 22, 2018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an underwriting agreement dated May 22, 2018, by and among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Jefferies LLC and Leerink Partners LLC, as representatives of the several underwriters named in the underwriting agreement, and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the Shares have been duly authorized by all necessary corporate action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Company, and, when the Shares shall have been duly registered on the books of the transfer agent and registrar therefor in the name or on behalf of the purchasers, and have been issued by the Company against payment therefor in the circumstances contemplated by the Underwriting Agreement, the Shares will be validly issued, fully paid and nonassessable. In rendering the foregoing opinion, we have assumed that the Company will comply with all applicable notice requirements regarding uncertificated shares provided in the DGCL.</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This opinion is for your benefit in connection with the Registration Statement and the Prospectus and may be relied upon by you and by persons entitled to rely upon it pursuant to the applicable provisions of the Act. We consent to your filing this opinion as an exhibit to the Company’s Current Report on Form 8-K filed with the Commission on May 29, 2018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lowerLetter"/>
      <w:start w:val="3"/>
    </w:lvl>
  </w:abstractNum>
  <w:abstractNum w:abstractNumId="3">
    <w:nsid w:val="333AB105"/>
    <w:multiLevelType w:val="hybridMultilevel"/>
    <w:lvl w:ilvl="0">
      <w:lvlJc w:val="left"/>
      <w:lvlText w:val="(%1)"/>
      <w:numFmt w:val="lowerLetter"/>
      <w:start w:val="4"/>
    </w:lvl>
  </w:abstractNum>
  <w:abstractNum w:abstractNumId="4">
    <w:nsid w:val="721DA317"/>
    <w:multiLevelType w:val="hybridMultilevel"/>
    <w:lvl w:ilvl="0">
      <w:lvlJc w:val="left"/>
      <w:lvlText w:val="(%1)"/>
      <w:numFmt w:val="lowerLetter"/>
      <w:start w:val="9"/>
    </w:lvl>
  </w:abstractNum>
  <w:abstractNum w:abstractNumId="5">
    <w:nsid w:val="2443A858"/>
    <w:multiLevelType w:val="hybridMultilevel"/>
    <w:lvl w:ilvl="0">
      <w:lvlJc w:val="left"/>
      <w:lvlText w:val="(%1)"/>
      <w:numFmt w:val="lowerLetter"/>
      <w:start w:val="12"/>
    </w:lvl>
  </w:abstractNum>
  <w:abstractNum w:abstractNumId="6">
    <w:nsid w:val="2D1D5AE9"/>
    <w:multiLevelType w:val="hybridMultilevel"/>
    <w:lvl w:ilvl="0">
      <w:lvlJc w:val="left"/>
      <w:lvlText w:val="(%1)"/>
      <w:numFmt w:val="lowerLetter"/>
      <w:start w:val="15"/>
    </w:lvl>
  </w:abstractNum>
  <w:abstractNum w:abstractNumId="7">
    <w:nsid w:val="6763845E"/>
    <w:multiLevelType w:val="hybridMultilevel"/>
    <w:lvl w:ilvl="0">
      <w:lvlJc w:val="left"/>
      <w:lvlText w:val="(%1)"/>
      <w:numFmt w:val="lowerLetter"/>
      <w:start w:val="17"/>
    </w:lvl>
  </w:abstractNum>
  <w:abstractNum w:abstractNumId="8">
    <w:nsid w:val="75A2A8D4"/>
    <w:multiLevelType w:val="hybridMultilevel"/>
    <w:lvl w:ilvl="0">
      <w:lvlJc w:val="left"/>
      <w:lvlText w:val="(%1)"/>
      <w:numFmt w:val="lowerLetter"/>
      <w:start w:val="21"/>
    </w:lvl>
  </w:abstractNum>
  <w:abstractNum w:abstractNumId="9">
    <w:nsid w:val="8EDBDAB"/>
    <w:multiLevelType w:val="hybridMultilevel"/>
    <w:lvl w:ilvl="0">
      <w:lvlJc w:val="left"/>
      <w:lvlText w:val="(%1)"/>
      <w:numFmt w:val="lowerLetter"/>
      <w:start w:val="26"/>
    </w:lvl>
  </w:abstractNum>
  <w:abstractNum w:abstractNumId="10">
    <w:nsid w:val="79838CB2"/>
    <w:multiLevelType w:val="hybridMultilevel"/>
    <w:lvl w:ilvl="0">
      <w:lvlJc w:val="left"/>
      <w:lvlText w:val="(%1)"/>
      <w:numFmt w:val="lowerLetter"/>
      <w:start w:val="27"/>
    </w:lvl>
  </w:abstractNum>
  <w:abstractNum w:abstractNumId="11">
    <w:nsid w:val="4353D0CD"/>
    <w:multiLevelType w:val="hybridMultilevel"/>
    <w:lvl w:ilvl="0">
      <w:lvlJc w:val="left"/>
      <w:lvlText w:val="%1"/>
      <w:numFmt w:val="lowerLetter"/>
      <w:start w:val="1"/>
    </w:lvl>
    <w:lvl w:ilvl="1">
      <w:lvlJc w:val="left"/>
      <w:lvlText w:val="(%2)"/>
      <w:numFmt w:val="lowerLetter"/>
      <w:start w:val="29"/>
    </w:lvl>
  </w:abstractNum>
  <w:abstractNum w:abstractNumId="12">
    <w:nsid w:val="B03E0C6"/>
    <w:multiLevelType w:val="hybridMultilevel"/>
    <w:lvl w:ilvl="0">
      <w:lvlJc w:val="left"/>
      <w:lvlText w:val="(%1)"/>
      <w:numFmt w:val="lowerLetter"/>
      <w:start w:val="61"/>
    </w:lvl>
    <w:lvl w:ilvl="1">
      <w:lvlJc w:val="left"/>
      <w:lvlText w:val="(%2)"/>
      <w:numFmt w:val="lowerLetter"/>
      <w:start w:val="33"/>
    </w:lvl>
  </w:abstractNum>
  <w:abstractNum w:abstractNumId="13">
    <w:nsid w:val="189A769B"/>
    <w:multiLevelType w:val="hybridMultilevel"/>
    <w:lvl w:ilvl="0">
      <w:lvlJc w:val="left"/>
      <w:lvlText w:val="(%1)"/>
      <w:numFmt w:val="lowerLetter"/>
      <w:start w:val="35"/>
    </w:lvl>
  </w:abstractNum>
  <w:abstractNum w:abstractNumId="14">
    <w:nsid w:val="54E49EB4"/>
    <w:multiLevelType w:val="hybridMultilevel"/>
    <w:lvl w:ilvl="0">
      <w:lvlJc w:val="left"/>
      <w:lvlText w:val="(%1)"/>
      <w:numFmt w:val="lowerLetter"/>
      <w:start w:val="37"/>
    </w:lvl>
  </w:abstractNum>
  <w:abstractNum w:abstractNumId="15">
    <w:nsid w:val="71F32454"/>
    <w:multiLevelType w:val="hybridMultilevel"/>
    <w:lvl w:ilvl="0">
      <w:lvlJc w:val="left"/>
      <w:lvlText w:val="(%1)"/>
      <w:numFmt w:val="lowerLetter"/>
      <w:start w:val="38"/>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3"/>
    </w:lvl>
  </w:abstractNum>
  <w:abstractNum w:abstractNumId="18">
    <w:nsid w:val="2901D82"/>
    <w:multiLevelType w:val="hybridMultilevel"/>
    <w:lvl w:ilvl="0">
      <w:lvlJc w:val="left"/>
      <w:lvlText w:val="(%1)"/>
      <w:numFmt w:val="lowerLetter"/>
      <w:start w:val="5"/>
    </w:lvl>
    <w:lvl w:ilvl="1">
      <w:lvlJc w:val="left"/>
      <w:lvlText w:val="(%2)"/>
      <w:numFmt w:val="lowerLetter"/>
      <w:start w:val="35"/>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4"/>
    </w:lvl>
  </w:abstractNum>
  <w:abstractNum w:abstractNumId="21">
    <w:nsid w:val="1E7FF521"/>
    <w:multiLevelType w:val="hybridMultilevel"/>
    <w:lvl w:ilvl="0">
      <w:lvlJc w:val="left"/>
      <w:lvlText w:val="(%1)"/>
      <w:numFmt w:val="lowerLetter"/>
      <w:start w:val="5"/>
    </w:lvl>
  </w:abstractNum>
  <w:abstractNum w:abstractNumId="22">
    <w:nsid w:val="7C3DBD3D"/>
    <w:multiLevelType w:val="hybridMultilevel"/>
    <w:lvl w:ilvl="0">
      <w:lvlJc w:val="left"/>
      <w:lvlText w:val="(%1)"/>
      <w:numFmt w:val="lowerLetter"/>
      <w:start w:val="7"/>
    </w:lvl>
  </w:abstractNum>
  <w:abstractNum w:abstractNumId="23">
    <w:nsid w:val="737B8DDC"/>
    <w:multiLevelType w:val="hybridMultilevel"/>
    <w:lvl w:ilvl="0">
      <w:lvlJc w:val="left"/>
      <w:lvlText w:val="%1"/>
      <w:numFmt w:val="lowerRoman"/>
      <w:start w:val="1"/>
    </w:lvl>
    <w:lvl w:ilvl="1">
      <w:lvlJc w:val="left"/>
      <w:lvlText w:val="(%2)"/>
      <w:numFmt w:val="lowerLetter"/>
      <w:start w:val="14"/>
    </w:lvl>
  </w:abstractNum>
  <w:abstractNum w:abstractNumId="24">
    <w:nsid w:val="6CEAF087"/>
    <w:multiLevelType w:val="hybridMultilevel"/>
    <w:lvl w:ilvl="0">
      <w:lvlJc w:val="left"/>
      <w:lvlText w:val="(%1)"/>
      <w:numFmt w:val="lowerRoman"/>
      <w:start w:val="8"/>
    </w:lvl>
    <w:lvl w:ilvl="1">
      <w:lvlJc w:val="left"/>
      <w:lvlText w:val="%2"/>
      <w:numFmt w:val="lowerLetter"/>
      <w:start w:val="1"/>
    </w:lvl>
  </w:abstractNum>
  <w:abstractNum w:abstractNumId="25">
    <w:nsid w:val="22221A70"/>
    <w:multiLevelType w:val="hybridMultilevel"/>
    <w:lvl w:ilvl="0">
      <w:lvlJc w:val="left"/>
      <w:lvlText w:val="(%1)"/>
      <w:numFmt w:val="lowerLetter"/>
      <w:start w:val="15"/>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2"/>
    </w:lvl>
    <w:lvl w:ilvl="1">
      <w:lvlJc w:val="left"/>
      <w:lvlText w:val="(%2)"/>
      <w:numFmt w:val="lowerRoman"/>
      <w:start w:val="1"/>
    </w:lvl>
  </w:abstractNum>
  <w:abstractNum w:abstractNumId="28">
    <w:nsid w:val="614FD4A1"/>
    <w:multiLevelType w:val="hybridMultilevel"/>
    <w:lvl w:ilvl="0">
      <w:lvlJc w:val="left"/>
      <w:lvlText w:val="(%1)"/>
      <w:numFmt w:val="lowerLetter"/>
      <w:start w:val="5"/>
    </w:lvl>
  </w:abstractNum>
  <w:abstractNum w:abstractNumId="29">
    <w:nsid w:val="419AC241"/>
    <w:multiLevelType w:val="hybridMultilevel"/>
    <w:lvl w:ilvl="0">
      <w:lvlJc w:val="left"/>
      <w:lvlText w:val="(%1)"/>
      <w:numFmt w:val="lowerLetter"/>
      <w:start w:val="7"/>
    </w:lvl>
    <w:lvl w:ilvl="1">
      <w:lvlJc w:val="left"/>
      <w:lvlText w:val="(%2)"/>
      <w:numFmt w:val="lowerRoman"/>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3"/>
    </w:lvl>
  </w:abstractNum>
  <w:abstractNum w:abstractNumId="33">
    <w:nsid w:val="3804823E"/>
    <w:multiLevelType w:val="hybridMultilevel"/>
    <w:lvl w:ilvl="0">
      <w:lvlJc w:val="left"/>
      <w:lvlText w:val="(%1)"/>
      <w:numFmt w:val="lowerLetter"/>
      <w:start w:val="3"/>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lowerRoman"/>
      <w:start w:val="1"/>
    </w:lvl>
  </w:abstractNum>
  <w:abstractNum w:abstractNumId="36">
    <w:nsid w:val="5C482A97"/>
    <w:multiLevelType w:val="hybridMultilevel"/>
    <w:lvl w:ilvl="0">
      <w:lvlJc w:val="left"/>
      <w:lvlText w:val="·"/>
      <w:numFmt w:val="bullet"/>
      <w:start w:val="1"/>
    </w:lvl>
    <w:lvl w:ilvl="1">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2019-12-28T21:35:23Z</dcterms:created>
  <dcterms:modified xsi:type="dcterms:W3CDTF">2019-12-28T21:35:23Z</dcterms:modified>
</cp:coreProperties>
</file>