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NEA Partners 12, Limited Partnership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7"/>
          </w:tcPr>
          <w:p>
            <w:pPr>
              <w:ind w:left="160"/>
              <w:spacing w:after="0"/>
              <w:rPr>
                <w:sz w:val="20"/>
                <w:szCs w:val="20"/>
                <w:color w:val="auto"/>
              </w:rPr>
            </w:pPr>
            <w:r>
              <w:rPr>
                <w:rFonts w:ascii="Arial" w:cs="Arial" w:eastAsia="Arial" w:hAnsi="Arial"/>
                <w:sz w:val="18"/>
                <w:szCs w:val="18"/>
                <w:color w:val="0000FF"/>
              </w:rPr>
              <w:t>12/23/2014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5"/>
                <w:szCs w:val="5"/>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0"/>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tcPr>
          <w:p>
            <w:pPr>
              <w:ind w:left="80"/>
              <w:spacing w:after="0" w:line="121" w:lineRule="exact"/>
              <w:rPr>
                <w:sz w:val="20"/>
                <w:szCs w:val="20"/>
                <w:color w:val="auto"/>
              </w:rPr>
            </w:pPr>
            <w:r>
              <w:rPr>
                <w:rFonts w:ascii="Arial" w:cs="Arial" w:eastAsia="Arial" w:hAnsi="Arial"/>
                <w:sz w:val="14"/>
                <w:szCs w:val="14"/>
                <w:color w:val="auto"/>
              </w:rPr>
              <w:t>Line)</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780" w:type="dxa"/>
            <w:vAlign w:val="bottom"/>
          </w:tcPr>
          <w:p>
            <w:pPr>
              <w:spacing w:after="0"/>
              <w:rPr>
                <w:sz w:val="20"/>
                <w:szCs w:val="20"/>
                <w:color w:val="auto"/>
              </w:rPr>
            </w:pPr>
            <w:r>
              <w:rPr>
                <w:rFonts w:ascii="Arial" w:cs="Arial" w:eastAsia="Arial" w:hAnsi="Arial"/>
                <w:sz w:val="18"/>
                <w:szCs w:val="18"/>
                <w:color w:val="0000FF"/>
              </w:rPr>
              <w:t>21093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80" w:type="dxa"/>
            <w:vAlign w:val="bottom"/>
          </w:tcPr>
          <w:p>
            <w:pPr>
              <w:spacing w:after="0"/>
              <w:rPr>
                <w:sz w:val="15"/>
                <w:szCs w:val="15"/>
                <w:color w:val="auto"/>
              </w:rPr>
            </w:pP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880"/>
              <w:spacing w:after="0"/>
              <w:rPr>
                <w:sz w:val="20"/>
                <w:szCs w:val="20"/>
                <w:color w:val="auto"/>
              </w:rPr>
            </w:pPr>
            <w:r>
              <w:rPr>
                <w:rFonts w:ascii="Arial" w:cs="Arial" w:eastAsia="Arial" w:hAnsi="Arial"/>
                <w:sz w:val="18"/>
                <w:szCs w:val="18"/>
                <w:color w:val="0000FF"/>
                <w:w w:val="99"/>
              </w:rPr>
              <w:t>12/23/2014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10,000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557"/>
              <w:spacing w:after="0"/>
              <w:rPr>
                <w:sz w:val="20"/>
                <w:szCs w:val="20"/>
                <w:color w:val="auto"/>
              </w:rPr>
            </w:pPr>
            <w:r>
              <w:rPr>
                <w:rFonts w:ascii="Arial" w:cs="Arial" w:eastAsia="Arial" w:hAnsi="Arial"/>
                <w:sz w:val="18"/>
                <w:szCs w:val="18"/>
                <w:color w:val="0000FF"/>
              </w:rPr>
              <w:t>0</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right"/>
              <w:ind w:right="237"/>
              <w:spacing w:after="0"/>
              <w:rPr>
                <w:sz w:val="20"/>
                <w:szCs w:val="20"/>
                <w:color w:val="auto"/>
              </w:rPr>
            </w:pPr>
            <w:r>
              <w:rPr>
                <w:rFonts w:ascii="Arial" w:cs="Arial" w:eastAsia="Arial" w:hAnsi="Arial"/>
                <w:sz w:val="18"/>
                <w:szCs w:val="18"/>
                <w:color w:val="0000FF"/>
              </w:rPr>
              <w:t>5,619,734</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1"/>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8"/>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78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NEA Partners 12, Limited Partnership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600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MD</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NEA 12 GP, LLC</w:t>
              </w:r>
            </w:hyperlink>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600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MD</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BARRETT M JAMES</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BARRIS PETER J</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BASKETT FOREST</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DRANT RYAN D</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KERINS PATRICK J</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tcBorders>
              <w:bottom w:val="single" w:sz="8" w:color="0000EE"/>
            </w:tcBorders>
            <w:gridSpan w:val="6"/>
          </w:tcPr>
          <w:p>
            <w:pPr>
              <w:spacing w:after="0" w:line="224" w:lineRule="exact"/>
              <w:rPr>
                <w:rFonts w:ascii="Arial" w:cs="Arial" w:eastAsia="Arial" w:hAnsi="Arial"/>
                <w:sz w:val="22"/>
                <w:szCs w:val="22"/>
                <w:color w:val="0000EE"/>
                <w:w w:val="99"/>
              </w:rPr>
            </w:pPr>
            <w:hyperlink r:id="rId21">
              <w:r>
                <w:rPr>
                  <w:rFonts w:ascii="Arial" w:cs="Arial" w:eastAsia="Arial" w:hAnsi="Arial"/>
                  <w:sz w:val="22"/>
                  <w:szCs w:val="22"/>
                  <w:color w:val="0000EE"/>
                  <w:w w:val="99"/>
                </w:rPr>
                <w:t>KOLLURI KRISHNA KITTU</w:t>
              </w:r>
            </w:hyperlink>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0000FF"/>
              </w:rPr>
              <w:t>1954 GREENSPRING DRIVE</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480" w:type="dxa"/>
            <w:vAlign w:val="bottom"/>
            <w:gridSpan w:val="5"/>
          </w:tcPr>
          <w:p>
            <w:pPr>
              <w:ind w:left="260"/>
              <w:spacing w:after="0"/>
              <w:rPr>
                <w:sz w:val="20"/>
                <w:szCs w:val="20"/>
                <w:color w:val="auto"/>
              </w:rPr>
            </w:pPr>
            <w:r>
              <w:rPr>
                <w:rFonts w:ascii="Arial" w:cs="Arial" w:eastAsia="Arial" w:hAnsi="Arial"/>
                <w:sz w:val="18"/>
                <w:szCs w:val="18"/>
                <w:color w:val="0000FF"/>
              </w:rPr>
              <w:t>MD</w:t>
            </w:r>
          </w:p>
        </w:tc>
        <w:tc>
          <w:tcPr>
            <w:tcW w:w="1660" w:type="dxa"/>
            <w:vAlign w:val="bottom"/>
          </w:tcPr>
          <w:p>
            <w:pPr>
              <w:ind w:left="24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8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SANDELL SCOTT 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642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924175" cy="164211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NEA Partners 12, Limited Partnership ("NEA Partners 12") made a pro rata distribution for no consideration of an aggregate of 10,000 shares of Common Stock of the Issuer to its limited partners on December 23, 2013.</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NEA Partners 12 and indirectly held by NEA 12 GP, LLC ("NEA 12 GP"), the sole general partner of NEA Partners 12, and the Individual Managers of NEA 12 GP (NEA</w:t>
      </w:r>
    </w:p>
    <w:p>
      <w:pPr>
        <w:spacing w:after="0" w:line="22" w:lineRule="exact"/>
        <w:rPr>
          <w:rFonts w:ascii="Arial" w:cs="Arial" w:eastAsia="Arial" w:hAnsi="Arial"/>
          <w:sz w:val="12"/>
          <w:szCs w:val="12"/>
          <w:color w:val="008000"/>
        </w:rPr>
      </w:pPr>
    </w:p>
    <w:p>
      <w:pPr>
        <w:ind w:right="100" w:firstLine="9"/>
        <w:spacing w:after="0" w:line="27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GP and the Individual Managers of NEA 12 GP together, the "NEA Partners 12 Indirect Reporting Persons"). The individual managers of NEA 12 GP are M. James Barrett, Peter J. Barris, Forest Baskett, Ryan D. Drant, Patrick J. Kerins, Krishna "Kittu" Kolluri and Scott D. Sandell. The NEA Partners 12 Indirect Reporting Persons disclaim beneficial ownership within the meaning of Section 16 of the Securities Exchange Act of 1934, as amended, or otherwise of such portion of the NEA Partners 12 shares in which the NEA Partners 12 Indirect Reporting Persons have no pecuniary interest.</w:t>
      </w:r>
    </w:p>
    <w:p>
      <w:pPr>
        <w:spacing w:after="0" w:line="9" w:lineRule="exact"/>
        <w:rPr>
          <w:rFonts w:ascii="Arial" w:cs="Arial" w:eastAsia="Arial" w:hAnsi="Arial"/>
          <w:sz w:val="12"/>
          <w:szCs w:val="12"/>
          <w:color w:val="008000"/>
        </w:rPr>
      </w:pPr>
    </w:p>
    <w:p>
      <w:pPr>
        <w:ind w:firstLine="9"/>
        <w:spacing w:after="0" w:line="228"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securities are directly held by New Enterprise Associates 12, Limited Partnership ("NEA 12") and indirectly held by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M. James Barrett, Peter J. Barris, Forest Baskett, Ryan D. Drant, Patrick J. Kerins, Krishna "Kittu" Kolluri, and Scott D. Sandell. The Indirect Reporting Persons disclaim beneficial ownership within the meaning of Section 16 of the Securities Exchange Act of 1934, as amended, or otherwise of such portion of the NEA 12 shares in which the Indirect Reporting Persons have no pecuniary interest.</w:t>
      </w:r>
    </w:p>
    <w:p>
      <w:pPr>
        <w:spacing w:after="0" w:line="18"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12/29/2014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12" Type="http://schemas.openxmlformats.org/officeDocument/2006/relationships/hyperlink" Target="http://www.sec.gov/cgi-bin/browse-edgar?action=getcompany&amp;CIK=0001383390" TargetMode="External"/><Relationship Id="rId13" Type="http://schemas.openxmlformats.org/officeDocument/2006/relationships/hyperlink" Target="http://www.sec.gov/cgi-bin/browse-edgar?action=getcompany&amp;CIK=0001437402" TargetMode="External"/><Relationship Id="rId14" Type="http://schemas.openxmlformats.org/officeDocument/2006/relationships/hyperlink" Target="http://www.sec.gov/cgi-bin/browse-edgar?action=getcompany&amp;CIK=0001383389" TargetMode="External"/><Relationship Id="rId15" Type="http://schemas.openxmlformats.org/officeDocument/2006/relationships/hyperlink" Target="http://www.sec.gov/cgi-bin/browse-edgar?action=getcompany&amp;CIK=0001219855" TargetMode="External"/><Relationship Id="rId17" Type="http://schemas.openxmlformats.org/officeDocument/2006/relationships/hyperlink" Target="http://www.sec.gov/cgi-bin/browse-edgar?action=getcompany&amp;CIK=0001005561" TargetMode="External"/><Relationship Id="rId18" Type="http://schemas.openxmlformats.org/officeDocument/2006/relationships/hyperlink" Target="http://www.sec.gov/cgi-bin/browse-edgar?action=getcompany&amp;CIK=0001277631" TargetMode="External"/><Relationship Id="rId19" Type="http://schemas.openxmlformats.org/officeDocument/2006/relationships/hyperlink" Target="http://www.sec.gov/cgi-bin/browse-edgar?action=getcompany&amp;CIK=0001302106" TargetMode="External"/><Relationship Id="rId20" Type="http://schemas.openxmlformats.org/officeDocument/2006/relationships/hyperlink" Target="http://www.sec.gov/cgi-bin/browse-edgar?action=getcompany&amp;CIK=0001235112" TargetMode="External"/><Relationship Id="rId21" Type="http://schemas.openxmlformats.org/officeDocument/2006/relationships/hyperlink" Target="http://www.sec.gov/cgi-bin/browse-edgar?action=getcompany&amp;CIK=0001270521" TargetMode="External"/><Relationship Id="rId23" Type="http://schemas.openxmlformats.org/officeDocument/2006/relationships/hyperlink" Target="http://www.sec.gov/cgi-bin/browse-edgar?action=getcompany&amp;CIK=00012372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2019-12-17T17:25:11Z</dcterms:created>
  <dcterms:modified xsi:type="dcterms:W3CDTF">2019-12-17T17:25:11Z</dcterms:modified>
</cp:coreProperties>
</file>