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260350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2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SCHEDULE 13G</w:t>
      </w:r>
    </w:p>
    <w:p>
      <w:pPr>
        <w:spacing w:after="0" w:line="2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20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(Amendment No. 1)*</w:t>
      </w:r>
    </w:p>
    <w:p>
      <w:pPr>
        <w:spacing w:after="0" w:line="220" w:lineRule="exact"/>
        <w:rPr>
          <w:sz w:val="24"/>
          <w:szCs w:val="24"/>
          <w:color w:val="auto"/>
        </w:rPr>
      </w:pPr>
    </w:p>
    <w:p>
      <w:pPr>
        <w:jc w:val="center"/>
        <w:ind w:right="-39"/>
        <w:spacing w:after="0"/>
        <w:rPr>
          <w:sz w:val="20"/>
          <w:szCs w:val="20"/>
          <w:color w:val="auto"/>
        </w:rPr>
      </w:pPr>
      <w:r>
        <w:rPr>
          <w:rFonts w:ascii="Arial" w:cs="Arial" w:eastAsia="Arial" w:hAnsi="Arial"/>
          <w:sz w:val="25"/>
          <w:szCs w:val="25"/>
          <w:b w:val="1"/>
          <w:bCs w:val="1"/>
          <w:color w:val="auto"/>
        </w:rPr>
        <w:t>ARDELYX,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1"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(Name of Issuer)</w:t>
      </w:r>
    </w:p>
    <w:p>
      <w:pPr>
        <w:spacing w:after="0" w:line="212"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Common Stock, par value $0.0001 per share</w:t>
      </w:r>
    </w:p>
    <w:p>
      <w:pPr>
        <w:spacing w:after="0" w:line="40"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1"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039697107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7"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(CUSIP Number)</w:t>
      </w:r>
    </w:p>
    <w:p>
      <w:pPr>
        <w:spacing w:after="0" w:line="220"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December 31,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7"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(Date of Event Which Requires Filing of this Statement)</w:t>
      </w:r>
    </w:p>
    <w:p>
      <w:pPr>
        <w:spacing w:after="0" w:line="224"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25" w:lineRule="exact"/>
        <w:rPr>
          <w:sz w:val="24"/>
          <w:szCs w:val="24"/>
          <w:color w:val="auto"/>
        </w:rPr>
      </w:pPr>
    </w:p>
    <w:p>
      <w:pPr>
        <w:ind w:left="620" w:hanging="288"/>
        <w:spacing w:after="0"/>
        <w:tabs>
          <w:tab w:leader="none" w:pos="6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13d-1(b)</w:t>
      </w:r>
    </w:p>
    <w:p>
      <w:pPr>
        <w:spacing w:after="0" w:line="225" w:lineRule="exact"/>
        <w:rPr>
          <w:sz w:val="24"/>
          <w:szCs w:val="24"/>
          <w:color w:val="auto"/>
        </w:rPr>
      </w:pPr>
    </w:p>
    <w:p>
      <w:pPr>
        <w:ind w:left="620" w:hanging="288"/>
        <w:spacing w:after="0"/>
        <w:tabs>
          <w:tab w:leader="none" w:pos="62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Rule 13d-1(c)</w:t>
      </w:r>
    </w:p>
    <w:p>
      <w:pPr>
        <w:spacing w:after="0" w:line="225" w:lineRule="exact"/>
        <w:rPr>
          <w:rFonts w:ascii="MS PGothic" w:cs="MS PGothic" w:eastAsia="MS PGothic" w:hAnsi="MS PGothic"/>
          <w:sz w:val="18"/>
          <w:szCs w:val="18"/>
          <w:color w:val="auto"/>
        </w:rPr>
      </w:pPr>
    </w:p>
    <w:p>
      <w:pPr>
        <w:ind w:left="620" w:hanging="288"/>
        <w:spacing w:after="0"/>
        <w:tabs>
          <w:tab w:leader="none" w:pos="62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Rule 13d-1(d)</w:t>
      </w:r>
    </w:p>
    <w:p>
      <w:pPr>
        <w:spacing w:after="0" w:line="225"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70" w:lineRule="exact"/>
        <w:rPr>
          <w:sz w:val="24"/>
          <w:szCs w:val="24"/>
          <w:color w:val="auto"/>
        </w:rPr>
      </w:pPr>
    </w:p>
    <w:p>
      <w:pPr>
        <w:spacing w:after="0" w:line="263" w:lineRule="auto"/>
        <w:rPr>
          <w:sz w:val="20"/>
          <w:szCs w:val="20"/>
          <w:color w:val="auto"/>
        </w:rPr>
      </w:pPr>
      <w:r>
        <w:rPr>
          <w:rFonts w:ascii="Arial" w:cs="Arial" w:eastAsia="Arial" w:hAnsi="Arial"/>
          <w:sz w:val="18"/>
          <w:szCs w:val="18"/>
          <w:color w:val="auto"/>
        </w:rPr>
        <w:t>The information required in the remainder of this cover page shall not be deemed to be “filed” for the purpose of Section 18 of the Securities Exchange Act of 1934 (“</w:t>
      </w:r>
      <w:r>
        <w:rPr>
          <w:rFonts w:ascii="Arial" w:cs="Arial" w:eastAsia="Arial" w:hAnsi="Arial"/>
          <w:sz w:val="18"/>
          <w:szCs w:val="18"/>
          <w:b w:val="1"/>
          <w:bCs w:val="1"/>
          <w:i w:val="1"/>
          <w:iCs w:val="1"/>
          <w:color w:val="auto"/>
        </w:rPr>
        <w:t>Act</w:t>
      </w:r>
      <w:r>
        <w:rPr>
          <w:rFonts w:ascii="Arial" w:cs="Arial" w:eastAsia="Arial" w:hAnsi="Arial"/>
          <w:sz w:val="18"/>
          <w:szCs w:val="18"/>
          <w:color w:val="auto"/>
        </w:rPr>
        <w: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177165</wp:posOffset>
            </wp:positionV>
            <wp:extent cx="7132320" cy="254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777240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675" w:right="37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4980" w:type="dxa"/>
            <w:vAlign w:val="bottom"/>
          </w:tcPr>
          <w:p>
            <w:pPr>
              <w:spacing w:after="0"/>
              <w:rPr>
                <w:sz w:val="20"/>
                <w:szCs w:val="20"/>
                <w:color w:val="auto"/>
              </w:rPr>
            </w:pPr>
            <w:r>
              <w:rPr>
                <w:rFonts w:ascii="Arial" w:cs="Arial" w:eastAsia="Arial" w:hAnsi="Arial"/>
                <w:sz w:val="18"/>
                <w:szCs w:val="18"/>
                <w:color w:val="auto"/>
              </w:rPr>
              <w:t xml:space="preserve">CUSIP No. </w:t>
            </w:r>
            <w:r>
              <w:rPr>
                <w:rFonts w:ascii="Arial" w:cs="Arial" w:eastAsia="Arial" w:hAnsi="Arial"/>
                <w:sz w:val="18"/>
                <w:szCs w:val="18"/>
                <w:b w:val="1"/>
                <w:bCs w:val="1"/>
                <w:color w:val="auto"/>
              </w:rPr>
              <w:t>039697107</w:t>
            </w:r>
          </w:p>
        </w:tc>
        <w:tc>
          <w:tcPr>
            <w:tcW w:w="3620" w:type="dxa"/>
            <w:vAlign w:val="bottom"/>
          </w:tcPr>
          <w:p>
            <w:pPr>
              <w:ind w:left="3300"/>
              <w:spacing w:after="0"/>
              <w:rPr>
                <w:sz w:val="20"/>
                <w:szCs w:val="20"/>
                <w:color w:val="auto"/>
              </w:rPr>
            </w:pPr>
            <w:r>
              <w:rPr>
                <w:rFonts w:ascii="Arial" w:cs="Arial" w:eastAsia="Arial" w:hAnsi="Arial"/>
                <w:sz w:val="18"/>
                <w:szCs w:val="18"/>
                <w:b w:val="1"/>
                <w:bCs w:val="1"/>
                <w:color w:val="auto"/>
                <w:w w:val="88"/>
              </w:rPr>
              <w:t>13G</w:t>
            </w:r>
          </w:p>
        </w:tc>
      </w:tr>
    </w:tbl>
    <w:p>
      <w:pPr>
        <w:spacing w:after="0" w:line="215" w:lineRule="exact"/>
        <w:rPr>
          <w:sz w:val="20"/>
          <w:szCs w:val="20"/>
          <w:color w:val="auto"/>
        </w:rPr>
      </w:pPr>
    </w:p>
    <w:p>
      <w:pPr>
        <w:ind w:left="1020" w:hanging="756"/>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Names of Reporting Persons.</w:t>
      </w:r>
    </w:p>
    <w:p>
      <w:pPr>
        <w:spacing w:after="0" w:line="23" w:lineRule="exact"/>
        <w:rPr>
          <w:rFonts w:ascii="Arial" w:cs="Arial" w:eastAsia="Arial" w:hAnsi="Arial"/>
          <w:sz w:val="18"/>
          <w:szCs w:val="18"/>
          <w:color w:val="auto"/>
        </w:rPr>
      </w:pPr>
    </w:p>
    <w:p>
      <w:pPr>
        <w:ind w:left="1020"/>
        <w:spacing w:after="0"/>
        <w:rPr>
          <w:rFonts w:ascii="Arial" w:cs="Arial" w:eastAsia="Arial" w:hAnsi="Arial"/>
          <w:sz w:val="18"/>
          <w:szCs w:val="18"/>
          <w:color w:val="auto"/>
        </w:rPr>
      </w:pPr>
      <w:r>
        <w:rPr>
          <w:rFonts w:ascii="Arial" w:cs="Arial" w:eastAsia="Arial" w:hAnsi="Arial"/>
          <w:sz w:val="18"/>
          <w:szCs w:val="18"/>
          <w:color w:val="auto"/>
        </w:rPr>
        <w:t>I.R.S. Identification Nos. of above persons (entities only).</w:t>
      </w:r>
    </w:p>
    <w:p>
      <w:pPr>
        <w:spacing w:after="0" w:line="207" w:lineRule="exact"/>
        <w:rPr>
          <w:sz w:val="20"/>
          <w:szCs w:val="20"/>
          <w:color w:val="auto"/>
        </w:rPr>
      </w:pPr>
    </w:p>
    <w:p>
      <w:pPr>
        <w:ind w:left="1340"/>
        <w:spacing w:after="0"/>
        <w:rPr>
          <w:sz w:val="20"/>
          <w:szCs w:val="20"/>
          <w:color w:val="auto"/>
        </w:rPr>
      </w:pPr>
      <w:r>
        <w:rPr>
          <w:rFonts w:ascii="Arial" w:cs="Arial" w:eastAsia="Arial" w:hAnsi="Arial"/>
          <w:sz w:val="18"/>
          <w:szCs w:val="18"/>
          <w:b w:val="1"/>
          <w:bCs w:val="1"/>
          <w:color w:val="auto"/>
        </w:rPr>
        <w:t>RA Capital Management, L.P.</w:t>
      </w:r>
    </w:p>
    <w:p>
      <w:pPr>
        <w:spacing w:after="0" w:line="283" w:lineRule="exact"/>
        <w:rPr>
          <w:sz w:val="20"/>
          <w:szCs w:val="20"/>
          <w:color w:val="auto"/>
        </w:rPr>
      </w:pPr>
    </w:p>
    <w:p>
      <w:pPr>
        <w:ind w:left="1020" w:hanging="756"/>
        <w:spacing w:after="0"/>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23" w:lineRule="exact"/>
        <w:rPr>
          <w:rFonts w:ascii="Arial" w:cs="Arial" w:eastAsia="Arial" w:hAnsi="Arial"/>
          <w:sz w:val="18"/>
          <w:szCs w:val="18"/>
          <w:color w:val="auto"/>
        </w:rPr>
      </w:pPr>
    </w:p>
    <w:p>
      <w:pPr>
        <w:ind w:left="1440" w:hanging="420"/>
        <w:spacing w:after="0" w:line="207" w:lineRule="exact"/>
        <w:tabs>
          <w:tab w:leader="none" w:pos="1440" w:val="left"/>
        </w:tabs>
        <w:numPr>
          <w:ilvl w:val="1"/>
          <w:numId w:val="4"/>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37" w:lineRule="exact"/>
        <w:rPr>
          <w:rFonts w:ascii="Arial" w:cs="Arial" w:eastAsia="Arial" w:hAnsi="Arial"/>
          <w:sz w:val="18"/>
          <w:szCs w:val="18"/>
          <w:color w:val="auto"/>
        </w:rPr>
      </w:pPr>
    </w:p>
    <w:p>
      <w:pPr>
        <w:ind w:left="1460" w:hanging="440"/>
        <w:spacing w:after="0" w:line="207" w:lineRule="exact"/>
        <w:tabs>
          <w:tab w:leader="none" w:pos="1460" w:val="left"/>
        </w:tabs>
        <w:numPr>
          <w:ilvl w:val="1"/>
          <w:numId w:val="4"/>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249" w:lineRule="exact"/>
        <w:rPr>
          <w:rFonts w:ascii="Arial" w:cs="Arial" w:eastAsia="Arial" w:hAnsi="Arial"/>
          <w:sz w:val="18"/>
          <w:szCs w:val="18"/>
          <w:color w:val="auto"/>
        </w:rPr>
      </w:pPr>
    </w:p>
    <w:p>
      <w:pPr>
        <w:ind w:left="1020" w:hanging="756"/>
        <w:spacing w:after="0"/>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62"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920" w:type="dxa"/>
            <w:vAlign w:val="bottom"/>
          </w:tcPr>
          <w:p>
            <w:pPr>
              <w:ind w:left="200"/>
              <w:spacing w:after="0"/>
              <w:rPr>
                <w:sz w:val="20"/>
                <w:szCs w:val="20"/>
                <w:color w:val="auto"/>
              </w:rPr>
            </w:pPr>
            <w:r>
              <w:rPr>
                <w:rFonts w:ascii="Arial" w:cs="Arial" w:eastAsia="Arial" w:hAnsi="Arial"/>
                <w:sz w:val="18"/>
                <w:szCs w:val="18"/>
                <w:color w:val="auto"/>
              </w:rPr>
              <w:t>4.</w:t>
            </w:r>
          </w:p>
        </w:tc>
        <w:tc>
          <w:tcPr>
            <w:tcW w:w="3660" w:type="dxa"/>
            <w:vAlign w:val="bottom"/>
            <w:gridSpan w:val="3"/>
          </w:tcPr>
          <w:p>
            <w:pPr>
              <w:jc w:val="center"/>
              <w:ind w:right="870"/>
              <w:spacing w:after="0"/>
              <w:rPr>
                <w:sz w:val="20"/>
                <w:szCs w:val="20"/>
                <w:color w:val="auto"/>
              </w:rPr>
            </w:pPr>
            <w:r>
              <w:rPr>
                <w:rFonts w:ascii="Arial" w:cs="Arial" w:eastAsia="Arial" w:hAnsi="Arial"/>
                <w:sz w:val="18"/>
                <w:szCs w:val="18"/>
                <w:color w:val="auto"/>
                <w:w w:val="91"/>
              </w:rPr>
              <w:t>Citizenship or Place of Organization</w:t>
            </w:r>
          </w:p>
        </w:tc>
        <w:tc>
          <w:tcPr>
            <w:tcW w:w="1680" w:type="dxa"/>
            <w:vAlign w:val="bottom"/>
            <w:gridSpan w:val="2"/>
          </w:tcPr>
          <w:p>
            <w:pPr>
              <w:ind w:left="220"/>
              <w:spacing w:after="0"/>
              <w:rPr>
                <w:sz w:val="20"/>
                <w:szCs w:val="20"/>
                <w:color w:val="auto"/>
              </w:rPr>
            </w:pPr>
            <w:r>
              <w:rPr>
                <w:rFonts w:ascii="Arial" w:cs="Arial" w:eastAsia="Arial" w:hAnsi="Arial"/>
                <w:sz w:val="18"/>
                <w:szCs w:val="18"/>
                <w:b w:val="1"/>
                <w:bCs w:val="1"/>
                <w:color w:val="auto"/>
              </w:rPr>
              <w:t>Delaware</w:t>
            </w:r>
          </w:p>
        </w:tc>
        <w:tc>
          <w:tcPr>
            <w:tcW w:w="0" w:type="dxa"/>
            <w:vAlign w:val="bottom"/>
          </w:tcPr>
          <w:p>
            <w:pPr>
              <w:spacing w:after="0"/>
              <w:rPr>
                <w:sz w:val="1"/>
                <w:szCs w:val="1"/>
                <w:color w:val="auto"/>
              </w:rPr>
            </w:pPr>
          </w:p>
        </w:tc>
      </w:tr>
      <w:tr>
        <w:trPr>
          <w:trHeight w:val="446"/>
        </w:trPr>
        <w:tc>
          <w:tcPr>
            <w:tcW w:w="920" w:type="dxa"/>
            <w:vAlign w:val="bottom"/>
            <w:vMerge w:val="restart"/>
          </w:tcPr>
          <w:p>
            <w:pPr>
              <w:spacing w:after="0"/>
              <w:rPr>
                <w:sz w:val="20"/>
                <w:szCs w:val="20"/>
                <w:color w:val="auto"/>
              </w:rPr>
            </w:pPr>
            <w:r>
              <w:rPr>
                <w:rFonts w:ascii="Arial" w:cs="Arial" w:eastAsia="Arial" w:hAnsi="Arial"/>
                <w:sz w:val="18"/>
                <w:szCs w:val="18"/>
                <w:color w:val="auto"/>
              </w:rPr>
              <w:t>Number of</w:t>
            </w:r>
          </w:p>
        </w:tc>
        <w:tc>
          <w:tcPr>
            <w:tcW w:w="480" w:type="dxa"/>
            <w:vAlign w:val="bottom"/>
          </w:tcPr>
          <w:p>
            <w:pPr>
              <w:spacing w:after="0"/>
              <w:rPr>
                <w:sz w:val="24"/>
                <w:szCs w:val="24"/>
                <w:color w:val="auto"/>
              </w:rPr>
            </w:pPr>
          </w:p>
        </w:tc>
        <w:tc>
          <w:tcPr>
            <w:tcW w:w="760" w:type="dxa"/>
            <w:vAlign w:val="bottom"/>
          </w:tcPr>
          <w:p>
            <w:pPr>
              <w:jc w:val="right"/>
              <w:ind w:right="250"/>
              <w:spacing w:after="0"/>
              <w:rPr>
                <w:sz w:val="20"/>
                <w:szCs w:val="20"/>
                <w:color w:val="auto"/>
              </w:rPr>
            </w:pPr>
            <w:r>
              <w:rPr>
                <w:rFonts w:ascii="Arial" w:cs="Arial" w:eastAsia="Arial" w:hAnsi="Arial"/>
                <w:sz w:val="18"/>
                <w:szCs w:val="18"/>
                <w:color w:val="auto"/>
              </w:rPr>
              <w:t>5.</w:t>
            </w:r>
          </w:p>
        </w:tc>
        <w:tc>
          <w:tcPr>
            <w:tcW w:w="2420" w:type="dxa"/>
            <w:vAlign w:val="bottom"/>
          </w:tcPr>
          <w:p>
            <w:pPr>
              <w:ind w:left="320"/>
              <w:spacing w:after="0"/>
              <w:rPr>
                <w:sz w:val="20"/>
                <w:szCs w:val="20"/>
                <w:color w:val="auto"/>
              </w:rPr>
            </w:pPr>
            <w:r>
              <w:rPr>
                <w:rFonts w:ascii="Arial" w:cs="Arial" w:eastAsia="Arial" w:hAnsi="Arial"/>
                <w:sz w:val="18"/>
                <w:szCs w:val="18"/>
                <w:color w:val="auto"/>
              </w:rPr>
              <w:t>Sole Voting Power</w:t>
            </w:r>
          </w:p>
        </w:tc>
        <w:tc>
          <w:tcPr>
            <w:tcW w:w="340" w:type="dxa"/>
            <w:vAlign w:val="bottom"/>
          </w:tcPr>
          <w:p>
            <w:pPr>
              <w:spacing w:after="0"/>
              <w:rPr>
                <w:sz w:val="24"/>
                <w:szCs w:val="24"/>
                <w:color w:val="auto"/>
              </w:rPr>
            </w:pPr>
          </w:p>
        </w:tc>
        <w:tc>
          <w:tcPr>
            <w:tcW w:w="1340" w:type="dxa"/>
            <w:vAlign w:val="bottom"/>
          </w:tcPr>
          <w:p>
            <w:pPr>
              <w:ind w:left="80"/>
              <w:spacing w:after="0"/>
              <w:rPr>
                <w:sz w:val="20"/>
                <w:szCs w:val="20"/>
                <w:color w:val="auto"/>
              </w:rPr>
            </w:pPr>
            <w:r>
              <w:rPr>
                <w:rFonts w:ascii="Arial" w:cs="Arial" w:eastAsia="Arial" w:hAnsi="Arial"/>
                <w:sz w:val="18"/>
                <w:szCs w:val="18"/>
                <w:b w:val="1"/>
                <w:bCs w:val="1"/>
                <w:color w:val="auto"/>
              </w:rPr>
              <w:t>0 shares</w:t>
            </w:r>
          </w:p>
        </w:tc>
        <w:tc>
          <w:tcPr>
            <w:tcW w:w="0" w:type="dxa"/>
            <w:vAlign w:val="bottom"/>
          </w:tcPr>
          <w:p>
            <w:pPr>
              <w:spacing w:after="0"/>
              <w:rPr>
                <w:sz w:val="1"/>
                <w:szCs w:val="1"/>
                <w:color w:val="auto"/>
              </w:rPr>
            </w:pPr>
          </w:p>
        </w:tc>
      </w:tr>
      <w:tr>
        <w:trPr>
          <w:trHeight w:val="148"/>
        </w:trPr>
        <w:tc>
          <w:tcPr>
            <w:tcW w:w="920" w:type="dxa"/>
            <w:vAlign w:val="bottom"/>
            <w:vMerge w:val="continue"/>
          </w:tcPr>
          <w:p>
            <w:pPr>
              <w:spacing w:after="0"/>
              <w:rPr>
                <w:sz w:val="12"/>
                <w:szCs w:val="12"/>
                <w:color w:val="auto"/>
              </w:rPr>
            </w:pPr>
          </w:p>
        </w:tc>
        <w:tc>
          <w:tcPr>
            <w:tcW w:w="4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Shares</w:t>
            </w:r>
          </w:p>
        </w:tc>
        <w:tc>
          <w:tcPr>
            <w:tcW w:w="480" w:type="dxa"/>
            <w:vAlign w:val="bottom"/>
          </w:tcPr>
          <w:p>
            <w:pPr>
              <w:spacing w:after="0"/>
              <w:rPr>
                <w:sz w:val="18"/>
                <w:szCs w:val="18"/>
                <w:color w:val="auto"/>
              </w:rPr>
            </w:pPr>
          </w:p>
        </w:tc>
        <w:tc>
          <w:tcPr>
            <w:tcW w:w="760" w:type="dxa"/>
            <w:vAlign w:val="bottom"/>
            <w:vMerge w:val="restart"/>
          </w:tcPr>
          <w:p>
            <w:pPr>
              <w:jc w:val="right"/>
              <w:ind w:right="250"/>
              <w:spacing w:after="0"/>
              <w:rPr>
                <w:sz w:val="20"/>
                <w:szCs w:val="20"/>
                <w:color w:val="auto"/>
              </w:rPr>
            </w:pPr>
            <w:r>
              <w:rPr>
                <w:rFonts w:ascii="Arial" w:cs="Arial" w:eastAsia="Arial" w:hAnsi="Arial"/>
                <w:sz w:val="18"/>
                <w:szCs w:val="18"/>
                <w:color w:val="auto"/>
              </w:rPr>
              <w:t>6.</w:t>
            </w:r>
          </w:p>
        </w:tc>
        <w:tc>
          <w:tcPr>
            <w:tcW w:w="2420" w:type="dxa"/>
            <w:vAlign w:val="bottom"/>
            <w:vMerge w:val="restart"/>
          </w:tcPr>
          <w:p>
            <w:pPr>
              <w:ind w:left="320"/>
              <w:spacing w:after="0"/>
              <w:rPr>
                <w:sz w:val="20"/>
                <w:szCs w:val="20"/>
                <w:color w:val="auto"/>
              </w:rPr>
            </w:pPr>
            <w:r>
              <w:rPr>
                <w:rFonts w:ascii="Arial" w:cs="Arial" w:eastAsia="Arial" w:hAnsi="Arial"/>
                <w:sz w:val="18"/>
                <w:szCs w:val="18"/>
                <w:color w:val="auto"/>
              </w:rPr>
              <w:t>Shared Voting Power</w:t>
            </w:r>
          </w:p>
        </w:tc>
        <w:tc>
          <w:tcPr>
            <w:tcW w:w="340" w:type="dxa"/>
            <w:vAlign w:val="bottom"/>
          </w:tcPr>
          <w:p>
            <w:pPr>
              <w:spacing w:after="0"/>
              <w:rPr>
                <w:sz w:val="18"/>
                <w:szCs w:val="18"/>
                <w:color w:val="auto"/>
              </w:rPr>
            </w:pPr>
          </w:p>
        </w:tc>
        <w:tc>
          <w:tcPr>
            <w:tcW w:w="1340" w:type="dxa"/>
            <w:vAlign w:val="bottom"/>
            <w:vMerge w:val="restart"/>
          </w:tcPr>
          <w:p>
            <w:pPr>
              <w:ind w:left="80"/>
              <w:spacing w:after="0"/>
              <w:rPr>
                <w:sz w:val="20"/>
                <w:szCs w:val="20"/>
                <w:color w:val="auto"/>
              </w:rPr>
            </w:pPr>
            <w:r>
              <w:rPr>
                <w:rFonts w:ascii="Arial" w:cs="Arial" w:eastAsia="Arial" w:hAnsi="Arial"/>
                <w:sz w:val="18"/>
                <w:szCs w:val="18"/>
                <w:b w:val="1"/>
                <w:bCs w:val="1"/>
                <w:color w:val="auto"/>
                <w:w w:val="86"/>
              </w:rPr>
              <w:t>6,163,086 shares</w:t>
            </w:r>
          </w:p>
        </w:tc>
        <w:tc>
          <w:tcPr>
            <w:tcW w:w="0" w:type="dxa"/>
            <w:vAlign w:val="bottom"/>
          </w:tcPr>
          <w:p>
            <w:pPr>
              <w:spacing w:after="0"/>
              <w:rPr>
                <w:sz w:val="1"/>
                <w:szCs w:val="1"/>
                <w:color w:val="auto"/>
              </w:rPr>
            </w:pPr>
          </w:p>
        </w:tc>
      </w:tr>
      <w:tr>
        <w:trPr>
          <w:trHeight w:val="109"/>
        </w:trPr>
        <w:tc>
          <w:tcPr>
            <w:tcW w:w="920" w:type="dxa"/>
            <w:vAlign w:val="bottom"/>
            <w:vMerge w:val="restart"/>
          </w:tcPr>
          <w:p>
            <w:pPr>
              <w:spacing w:after="0"/>
              <w:rPr>
                <w:sz w:val="20"/>
                <w:szCs w:val="20"/>
                <w:color w:val="auto"/>
              </w:rPr>
            </w:pPr>
            <w:r>
              <w:rPr>
                <w:rFonts w:ascii="Arial" w:cs="Arial" w:eastAsia="Arial" w:hAnsi="Arial"/>
                <w:sz w:val="18"/>
                <w:szCs w:val="18"/>
                <w:color w:val="auto"/>
                <w:w w:val="98"/>
              </w:rPr>
              <w:t>Beneficially</w:t>
            </w:r>
          </w:p>
        </w:tc>
        <w:tc>
          <w:tcPr>
            <w:tcW w:w="480" w:type="dxa"/>
            <w:vAlign w:val="bottom"/>
          </w:tcPr>
          <w:p>
            <w:pPr>
              <w:spacing w:after="0"/>
              <w:rPr>
                <w:sz w:val="9"/>
                <w:szCs w:val="9"/>
                <w:color w:val="auto"/>
              </w:rPr>
            </w:pPr>
          </w:p>
        </w:tc>
        <w:tc>
          <w:tcPr>
            <w:tcW w:w="760" w:type="dxa"/>
            <w:vAlign w:val="bottom"/>
            <w:vMerge w:val="continue"/>
          </w:tcPr>
          <w:p>
            <w:pPr>
              <w:spacing w:after="0"/>
              <w:rPr>
                <w:sz w:val="9"/>
                <w:szCs w:val="9"/>
                <w:color w:val="auto"/>
              </w:rPr>
            </w:pPr>
          </w:p>
        </w:tc>
        <w:tc>
          <w:tcPr>
            <w:tcW w:w="2420" w:type="dxa"/>
            <w:vAlign w:val="bottom"/>
            <w:vMerge w:val="continue"/>
          </w:tcPr>
          <w:p>
            <w:pPr>
              <w:spacing w:after="0"/>
              <w:rPr>
                <w:sz w:val="9"/>
                <w:szCs w:val="9"/>
                <w:color w:val="auto"/>
              </w:rPr>
            </w:pPr>
          </w:p>
        </w:tc>
        <w:tc>
          <w:tcPr>
            <w:tcW w:w="340" w:type="dxa"/>
            <w:vAlign w:val="bottom"/>
          </w:tcPr>
          <w:p>
            <w:pPr>
              <w:spacing w:after="0"/>
              <w:rPr>
                <w:sz w:val="9"/>
                <w:szCs w:val="9"/>
                <w:color w:val="auto"/>
              </w:rPr>
            </w:pPr>
          </w:p>
        </w:tc>
        <w:tc>
          <w:tcPr>
            <w:tcW w:w="13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920" w:type="dxa"/>
            <w:vAlign w:val="bottom"/>
            <w:vMerge w:val="continue"/>
          </w:tcPr>
          <w:p>
            <w:pPr>
              <w:spacing w:after="0"/>
              <w:rPr>
                <w:sz w:val="9"/>
                <w:szCs w:val="9"/>
                <w:color w:val="auto"/>
              </w:rPr>
            </w:pPr>
          </w:p>
        </w:tc>
        <w:tc>
          <w:tcPr>
            <w:tcW w:w="480" w:type="dxa"/>
            <w:vAlign w:val="bottom"/>
          </w:tcPr>
          <w:p>
            <w:pPr>
              <w:spacing w:after="0"/>
              <w:rPr>
                <w:sz w:val="9"/>
                <w:szCs w:val="9"/>
                <w:color w:val="auto"/>
              </w:rPr>
            </w:pPr>
          </w:p>
        </w:tc>
        <w:tc>
          <w:tcPr>
            <w:tcW w:w="760" w:type="dxa"/>
            <w:vAlign w:val="bottom"/>
          </w:tcPr>
          <w:p>
            <w:pPr>
              <w:spacing w:after="0"/>
              <w:rPr>
                <w:sz w:val="9"/>
                <w:szCs w:val="9"/>
                <w:color w:val="auto"/>
              </w:rPr>
            </w:pPr>
          </w:p>
        </w:tc>
        <w:tc>
          <w:tcPr>
            <w:tcW w:w="2420" w:type="dxa"/>
            <w:vAlign w:val="bottom"/>
          </w:tcPr>
          <w:p>
            <w:pPr>
              <w:spacing w:after="0"/>
              <w:rPr>
                <w:sz w:val="9"/>
                <w:szCs w:val="9"/>
                <w:color w:val="auto"/>
              </w:rPr>
            </w:pPr>
          </w:p>
        </w:tc>
        <w:tc>
          <w:tcPr>
            <w:tcW w:w="340" w:type="dxa"/>
            <w:vAlign w:val="bottom"/>
          </w:tcPr>
          <w:p>
            <w:pPr>
              <w:spacing w:after="0"/>
              <w:rPr>
                <w:sz w:val="9"/>
                <w:szCs w:val="9"/>
                <w:color w:val="auto"/>
              </w:rPr>
            </w:pPr>
          </w:p>
        </w:tc>
        <w:tc>
          <w:tcPr>
            <w:tcW w:w="13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Owned by</w:t>
            </w:r>
          </w:p>
        </w:tc>
        <w:tc>
          <w:tcPr>
            <w:tcW w:w="480" w:type="dxa"/>
            <w:vAlign w:val="bottom"/>
          </w:tcPr>
          <w:p>
            <w:pPr>
              <w:spacing w:after="0"/>
              <w:rPr>
                <w:sz w:val="18"/>
                <w:szCs w:val="18"/>
                <w:color w:val="auto"/>
              </w:rPr>
            </w:pPr>
          </w:p>
        </w:tc>
        <w:tc>
          <w:tcPr>
            <w:tcW w:w="760" w:type="dxa"/>
            <w:vAlign w:val="bottom"/>
            <w:vMerge w:val="restart"/>
          </w:tcPr>
          <w:p>
            <w:pPr>
              <w:jc w:val="right"/>
              <w:ind w:right="250"/>
              <w:spacing w:after="0"/>
              <w:rPr>
                <w:sz w:val="20"/>
                <w:szCs w:val="20"/>
                <w:color w:val="auto"/>
              </w:rPr>
            </w:pPr>
            <w:r>
              <w:rPr>
                <w:rFonts w:ascii="Arial" w:cs="Arial" w:eastAsia="Arial" w:hAnsi="Arial"/>
                <w:sz w:val="18"/>
                <w:szCs w:val="18"/>
                <w:color w:val="auto"/>
              </w:rPr>
              <w:t>7.</w:t>
            </w:r>
          </w:p>
        </w:tc>
        <w:tc>
          <w:tcPr>
            <w:tcW w:w="2420" w:type="dxa"/>
            <w:vAlign w:val="bottom"/>
            <w:vMerge w:val="restart"/>
          </w:tcPr>
          <w:p>
            <w:pPr>
              <w:ind w:left="320"/>
              <w:spacing w:after="0"/>
              <w:rPr>
                <w:sz w:val="20"/>
                <w:szCs w:val="20"/>
                <w:color w:val="auto"/>
              </w:rPr>
            </w:pPr>
            <w:r>
              <w:rPr>
                <w:rFonts w:ascii="Arial" w:cs="Arial" w:eastAsia="Arial" w:hAnsi="Arial"/>
                <w:sz w:val="18"/>
                <w:szCs w:val="18"/>
                <w:color w:val="auto"/>
              </w:rPr>
              <w:t>Sole Dispositive Power</w:t>
            </w:r>
          </w:p>
        </w:tc>
        <w:tc>
          <w:tcPr>
            <w:tcW w:w="340" w:type="dxa"/>
            <w:vAlign w:val="bottom"/>
          </w:tcPr>
          <w:p>
            <w:pPr>
              <w:spacing w:after="0"/>
              <w:rPr>
                <w:sz w:val="18"/>
                <w:szCs w:val="18"/>
                <w:color w:val="auto"/>
              </w:rPr>
            </w:pPr>
          </w:p>
        </w:tc>
        <w:tc>
          <w:tcPr>
            <w:tcW w:w="1340" w:type="dxa"/>
            <w:vAlign w:val="bottom"/>
            <w:vMerge w:val="restart"/>
          </w:tcPr>
          <w:p>
            <w:pPr>
              <w:ind w:left="60"/>
              <w:spacing w:after="0"/>
              <w:rPr>
                <w:sz w:val="20"/>
                <w:szCs w:val="20"/>
                <w:color w:val="auto"/>
              </w:rPr>
            </w:pPr>
            <w:r>
              <w:rPr>
                <w:rFonts w:ascii="Arial" w:cs="Arial" w:eastAsia="Arial" w:hAnsi="Arial"/>
                <w:sz w:val="18"/>
                <w:szCs w:val="18"/>
                <w:b w:val="1"/>
                <w:bCs w:val="1"/>
                <w:color w:val="auto"/>
              </w:rPr>
              <w:t>0 shares</w:t>
            </w:r>
          </w:p>
        </w:tc>
        <w:tc>
          <w:tcPr>
            <w:tcW w:w="0" w:type="dxa"/>
            <w:vAlign w:val="bottom"/>
          </w:tcPr>
          <w:p>
            <w:pPr>
              <w:spacing w:after="0"/>
              <w:rPr>
                <w:sz w:val="1"/>
                <w:szCs w:val="1"/>
                <w:color w:val="auto"/>
              </w:rPr>
            </w:pPr>
          </w:p>
        </w:tc>
      </w:tr>
      <w:tr>
        <w:trPr>
          <w:trHeight w:val="149"/>
        </w:trPr>
        <w:tc>
          <w:tcPr>
            <w:tcW w:w="1400" w:type="dxa"/>
            <w:vAlign w:val="bottom"/>
            <w:gridSpan w:val="2"/>
            <w:vMerge w:val="restart"/>
          </w:tcPr>
          <w:p>
            <w:pPr>
              <w:spacing w:after="0"/>
              <w:rPr>
                <w:sz w:val="20"/>
                <w:szCs w:val="20"/>
                <w:color w:val="auto"/>
              </w:rPr>
            </w:pPr>
            <w:r>
              <w:rPr>
                <w:rFonts w:ascii="Arial" w:cs="Arial" w:eastAsia="Arial" w:hAnsi="Arial"/>
                <w:sz w:val="18"/>
                <w:szCs w:val="18"/>
                <w:color w:val="auto"/>
              </w:rPr>
              <w:t>Each Reporting</w:t>
            </w:r>
          </w:p>
        </w:tc>
        <w:tc>
          <w:tcPr>
            <w:tcW w:w="760" w:type="dxa"/>
            <w:vAlign w:val="bottom"/>
            <w:vMerge w:val="continue"/>
          </w:tcPr>
          <w:p>
            <w:pPr>
              <w:spacing w:after="0"/>
              <w:rPr>
                <w:sz w:val="12"/>
                <w:szCs w:val="12"/>
                <w:color w:val="auto"/>
              </w:rPr>
            </w:pPr>
          </w:p>
        </w:tc>
        <w:tc>
          <w:tcPr>
            <w:tcW w:w="2420" w:type="dxa"/>
            <w:vAlign w:val="bottom"/>
            <w:vMerge w:val="continue"/>
          </w:tcPr>
          <w:p>
            <w:pPr>
              <w:spacing w:after="0"/>
              <w:rPr>
                <w:sz w:val="12"/>
                <w:szCs w:val="12"/>
                <w:color w:val="auto"/>
              </w:rPr>
            </w:pPr>
          </w:p>
        </w:tc>
        <w:tc>
          <w:tcPr>
            <w:tcW w:w="340" w:type="dxa"/>
            <w:vAlign w:val="bottom"/>
          </w:tcPr>
          <w:p>
            <w:pPr>
              <w:spacing w:after="0"/>
              <w:rPr>
                <w:sz w:val="12"/>
                <w:szCs w:val="12"/>
                <w:color w:val="auto"/>
              </w:rPr>
            </w:pPr>
          </w:p>
        </w:tc>
        <w:tc>
          <w:tcPr>
            <w:tcW w:w="13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67"/>
        </w:trPr>
        <w:tc>
          <w:tcPr>
            <w:tcW w:w="1400" w:type="dxa"/>
            <w:vAlign w:val="bottom"/>
            <w:gridSpan w:val="2"/>
            <w:vMerge w:val="continue"/>
          </w:tcPr>
          <w:p>
            <w:pPr>
              <w:spacing w:after="0"/>
              <w:rPr>
                <w:sz w:val="5"/>
                <w:szCs w:val="5"/>
                <w:color w:val="auto"/>
              </w:rPr>
            </w:pPr>
          </w:p>
        </w:tc>
        <w:tc>
          <w:tcPr>
            <w:tcW w:w="760" w:type="dxa"/>
            <w:vAlign w:val="bottom"/>
          </w:tcPr>
          <w:p>
            <w:pPr>
              <w:spacing w:after="0"/>
              <w:rPr>
                <w:sz w:val="5"/>
                <w:szCs w:val="5"/>
                <w:color w:val="auto"/>
              </w:rPr>
            </w:pPr>
          </w:p>
        </w:tc>
        <w:tc>
          <w:tcPr>
            <w:tcW w:w="2420" w:type="dxa"/>
            <w:vAlign w:val="bottom"/>
          </w:tcPr>
          <w:p>
            <w:pPr>
              <w:spacing w:after="0"/>
              <w:rPr>
                <w:sz w:val="5"/>
                <w:szCs w:val="5"/>
                <w:color w:val="auto"/>
              </w:rPr>
            </w:pPr>
          </w:p>
        </w:tc>
        <w:tc>
          <w:tcPr>
            <w:tcW w:w="340" w:type="dxa"/>
            <w:vAlign w:val="bottom"/>
          </w:tcPr>
          <w:p>
            <w:pPr>
              <w:spacing w:after="0"/>
              <w:rPr>
                <w:sz w:val="5"/>
                <w:szCs w:val="5"/>
                <w:color w:val="auto"/>
              </w:rPr>
            </w:pPr>
          </w:p>
        </w:tc>
        <w:tc>
          <w:tcPr>
            <w:tcW w:w="13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30"/>
        </w:trPr>
        <w:tc>
          <w:tcPr>
            <w:tcW w:w="920" w:type="dxa"/>
            <w:vAlign w:val="bottom"/>
          </w:tcPr>
          <w:p>
            <w:pPr>
              <w:spacing w:after="0"/>
              <w:rPr>
                <w:sz w:val="20"/>
                <w:szCs w:val="20"/>
                <w:color w:val="auto"/>
              </w:rPr>
            </w:pPr>
            <w:r>
              <w:rPr>
                <w:rFonts w:ascii="Arial" w:cs="Arial" w:eastAsia="Arial" w:hAnsi="Arial"/>
                <w:sz w:val="18"/>
                <w:szCs w:val="18"/>
                <w:color w:val="auto"/>
                <w:w w:val="91"/>
              </w:rPr>
              <w:t>Person With</w:t>
            </w:r>
          </w:p>
        </w:tc>
        <w:tc>
          <w:tcPr>
            <w:tcW w:w="480" w:type="dxa"/>
            <w:vAlign w:val="bottom"/>
          </w:tcPr>
          <w:p>
            <w:pPr>
              <w:spacing w:after="0"/>
              <w:rPr>
                <w:sz w:val="20"/>
                <w:szCs w:val="20"/>
                <w:color w:val="auto"/>
              </w:rPr>
            </w:pPr>
          </w:p>
        </w:tc>
        <w:tc>
          <w:tcPr>
            <w:tcW w:w="760" w:type="dxa"/>
            <w:vAlign w:val="bottom"/>
            <w:vMerge w:val="restart"/>
          </w:tcPr>
          <w:p>
            <w:pPr>
              <w:jc w:val="right"/>
              <w:ind w:right="250"/>
              <w:spacing w:after="0"/>
              <w:rPr>
                <w:sz w:val="20"/>
                <w:szCs w:val="20"/>
                <w:color w:val="auto"/>
              </w:rPr>
            </w:pPr>
            <w:r>
              <w:rPr>
                <w:rFonts w:ascii="Arial" w:cs="Arial" w:eastAsia="Arial" w:hAnsi="Arial"/>
                <w:sz w:val="18"/>
                <w:szCs w:val="18"/>
                <w:color w:val="auto"/>
              </w:rPr>
              <w:t>8.</w:t>
            </w:r>
          </w:p>
        </w:tc>
        <w:tc>
          <w:tcPr>
            <w:tcW w:w="2420" w:type="dxa"/>
            <w:vAlign w:val="bottom"/>
            <w:vMerge w:val="restart"/>
          </w:tcPr>
          <w:p>
            <w:pPr>
              <w:ind w:left="320"/>
              <w:spacing w:after="0"/>
              <w:rPr>
                <w:sz w:val="20"/>
                <w:szCs w:val="20"/>
                <w:color w:val="auto"/>
              </w:rPr>
            </w:pPr>
            <w:r>
              <w:rPr>
                <w:rFonts w:ascii="Arial" w:cs="Arial" w:eastAsia="Arial" w:hAnsi="Arial"/>
                <w:sz w:val="18"/>
                <w:szCs w:val="18"/>
                <w:color w:val="auto"/>
              </w:rPr>
              <w:t>Shared Dispositive Power</w:t>
            </w:r>
          </w:p>
        </w:tc>
        <w:tc>
          <w:tcPr>
            <w:tcW w:w="340" w:type="dxa"/>
            <w:vAlign w:val="bottom"/>
          </w:tcPr>
          <w:p>
            <w:pPr>
              <w:spacing w:after="0"/>
              <w:rPr>
                <w:sz w:val="20"/>
                <w:szCs w:val="20"/>
                <w:color w:val="auto"/>
              </w:rPr>
            </w:pPr>
          </w:p>
        </w:tc>
        <w:tc>
          <w:tcPr>
            <w:tcW w:w="1340" w:type="dxa"/>
            <w:vAlign w:val="bottom"/>
            <w:vMerge w:val="restart"/>
          </w:tcPr>
          <w:p>
            <w:pPr>
              <w:ind w:left="60"/>
              <w:spacing w:after="0"/>
              <w:rPr>
                <w:sz w:val="20"/>
                <w:szCs w:val="20"/>
                <w:color w:val="auto"/>
              </w:rPr>
            </w:pPr>
            <w:r>
              <w:rPr>
                <w:rFonts w:ascii="Arial" w:cs="Arial" w:eastAsia="Arial" w:hAnsi="Arial"/>
                <w:sz w:val="18"/>
                <w:szCs w:val="18"/>
                <w:b w:val="1"/>
                <w:bCs w:val="1"/>
                <w:color w:val="auto"/>
                <w:w w:val="88"/>
              </w:rPr>
              <w:t>6,163,086 shares</w:t>
            </w:r>
          </w:p>
        </w:tc>
        <w:tc>
          <w:tcPr>
            <w:tcW w:w="0" w:type="dxa"/>
            <w:vAlign w:val="bottom"/>
          </w:tcPr>
          <w:p>
            <w:pPr>
              <w:spacing w:after="0"/>
              <w:rPr>
                <w:sz w:val="1"/>
                <w:szCs w:val="1"/>
                <w:color w:val="auto"/>
              </w:rPr>
            </w:pPr>
          </w:p>
        </w:tc>
      </w:tr>
      <w:tr>
        <w:trPr>
          <w:trHeight w:val="176"/>
        </w:trPr>
        <w:tc>
          <w:tcPr>
            <w:tcW w:w="9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2420" w:type="dxa"/>
            <w:vAlign w:val="bottom"/>
            <w:vMerge w:val="continue"/>
          </w:tcPr>
          <w:p>
            <w:pPr>
              <w:spacing w:after="0"/>
              <w:rPr>
                <w:sz w:val="15"/>
                <w:szCs w:val="15"/>
                <w:color w:val="auto"/>
              </w:rPr>
            </w:pPr>
          </w:p>
        </w:tc>
        <w:tc>
          <w:tcPr>
            <w:tcW w:w="340" w:type="dxa"/>
            <w:vAlign w:val="bottom"/>
          </w:tcPr>
          <w:p>
            <w:pPr>
              <w:spacing w:after="0"/>
              <w:rPr>
                <w:sz w:val="15"/>
                <w:szCs w:val="15"/>
                <w:color w:val="auto"/>
              </w:rPr>
            </w:pPr>
          </w:p>
        </w:tc>
        <w:tc>
          <w:tcPr>
            <w:tcW w:w="13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445"/>
        </w:trPr>
        <w:tc>
          <w:tcPr>
            <w:tcW w:w="920" w:type="dxa"/>
            <w:vAlign w:val="bottom"/>
            <w:vMerge w:val="restart"/>
          </w:tcPr>
          <w:p>
            <w:pPr>
              <w:ind w:left="240"/>
              <w:spacing w:after="0"/>
              <w:rPr>
                <w:sz w:val="20"/>
                <w:szCs w:val="20"/>
                <w:color w:val="auto"/>
              </w:rPr>
            </w:pPr>
            <w:r>
              <w:rPr>
                <w:rFonts w:ascii="Arial" w:cs="Arial" w:eastAsia="Arial" w:hAnsi="Arial"/>
                <w:sz w:val="18"/>
                <w:szCs w:val="18"/>
                <w:color w:val="auto"/>
              </w:rPr>
              <w:t>9.</w:t>
            </w:r>
          </w:p>
        </w:tc>
        <w:tc>
          <w:tcPr>
            <w:tcW w:w="5340" w:type="dxa"/>
            <w:vAlign w:val="bottom"/>
            <w:gridSpan w:val="5"/>
          </w:tcPr>
          <w:p>
            <w:pPr>
              <w:ind w:left="100"/>
              <w:spacing w:after="0"/>
              <w:rPr>
                <w:sz w:val="20"/>
                <w:szCs w:val="20"/>
                <w:color w:val="auto"/>
              </w:rPr>
            </w:pPr>
            <w:r>
              <w:rPr>
                <w:rFonts w:ascii="Arial" w:cs="Arial" w:eastAsia="Arial" w:hAnsi="Arial"/>
                <w:sz w:val="18"/>
                <w:szCs w:val="18"/>
                <w:color w:val="auto"/>
                <w:w w:val="99"/>
              </w:rPr>
              <w:t>Aggregate Amount Beneficially Owned by Each Reporting Person</w:t>
            </w:r>
          </w:p>
        </w:tc>
        <w:tc>
          <w:tcPr>
            <w:tcW w:w="0" w:type="dxa"/>
            <w:vAlign w:val="bottom"/>
          </w:tcPr>
          <w:p>
            <w:pPr>
              <w:spacing w:after="0"/>
              <w:rPr>
                <w:sz w:val="1"/>
                <w:szCs w:val="1"/>
                <w:color w:val="auto"/>
              </w:rPr>
            </w:pPr>
          </w:p>
        </w:tc>
      </w:tr>
      <w:tr>
        <w:trPr>
          <w:trHeight w:val="216"/>
        </w:trPr>
        <w:tc>
          <w:tcPr>
            <w:tcW w:w="920" w:type="dxa"/>
            <w:vAlign w:val="bottom"/>
            <w:vMerge w:val="continue"/>
          </w:tcPr>
          <w:p>
            <w:pPr>
              <w:spacing w:after="0"/>
              <w:rPr>
                <w:sz w:val="18"/>
                <w:szCs w:val="18"/>
                <w:color w:val="auto"/>
              </w:rPr>
            </w:pPr>
          </w:p>
        </w:tc>
        <w:tc>
          <w:tcPr>
            <w:tcW w:w="480" w:type="dxa"/>
            <w:vAlign w:val="bottom"/>
          </w:tcPr>
          <w:p>
            <w:pPr>
              <w:spacing w:after="0"/>
              <w:rPr>
                <w:sz w:val="18"/>
                <w:szCs w:val="18"/>
                <w:color w:val="auto"/>
              </w:rPr>
            </w:pPr>
          </w:p>
        </w:tc>
        <w:tc>
          <w:tcPr>
            <w:tcW w:w="3180" w:type="dxa"/>
            <w:vAlign w:val="bottom"/>
            <w:gridSpan w:val="2"/>
            <w:vMerge w:val="restart"/>
          </w:tcPr>
          <w:p>
            <w:pPr>
              <w:jc w:val="center"/>
              <w:ind w:right="1310"/>
              <w:spacing w:after="0"/>
              <w:rPr>
                <w:sz w:val="20"/>
                <w:szCs w:val="20"/>
                <w:color w:val="auto"/>
              </w:rPr>
            </w:pPr>
            <w:r>
              <w:rPr>
                <w:rFonts w:ascii="Arial" w:cs="Arial" w:eastAsia="Arial" w:hAnsi="Arial"/>
                <w:sz w:val="18"/>
                <w:szCs w:val="18"/>
                <w:b w:val="1"/>
                <w:bCs w:val="1"/>
                <w:color w:val="auto"/>
                <w:w w:val="88"/>
              </w:rPr>
              <w:t>6,163,086 shares</w:t>
            </w:r>
          </w:p>
        </w:tc>
        <w:tc>
          <w:tcPr>
            <w:tcW w:w="3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180" w:type="dxa"/>
            <w:vAlign w:val="bottom"/>
            <w:gridSpan w:val="2"/>
            <w:vMerge w:val="continue"/>
          </w:tcPr>
          <w:p>
            <w:pPr>
              <w:spacing w:after="0"/>
              <w:rPr>
                <w:sz w:val="18"/>
                <w:szCs w:val="18"/>
                <w:color w:val="auto"/>
              </w:rPr>
            </w:pPr>
          </w:p>
        </w:tc>
        <w:tc>
          <w:tcPr>
            <w:tcW w:w="3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88"/>
        </w:trPr>
        <w:tc>
          <w:tcPr>
            <w:tcW w:w="920" w:type="dxa"/>
            <w:vAlign w:val="bottom"/>
          </w:tcPr>
          <w:p>
            <w:pPr>
              <w:spacing w:after="0"/>
              <w:rPr>
                <w:sz w:val="24"/>
                <w:szCs w:val="24"/>
                <w:color w:val="auto"/>
              </w:rPr>
            </w:pPr>
          </w:p>
        </w:tc>
        <w:tc>
          <w:tcPr>
            <w:tcW w:w="4000" w:type="dxa"/>
            <w:vAlign w:val="bottom"/>
            <w:gridSpan w:val="4"/>
          </w:tcPr>
          <w:p>
            <w:pPr>
              <w:ind w:left="100"/>
              <w:spacing w:after="0"/>
              <w:rPr>
                <w:sz w:val="20"/>
                <w:szCs w:val="20"/>
                <w:color w:val="auto"/>
              </w:rPr>
            </w:pPr>
            <w:r>
              <w:rPr>
                <w:rFonts w:ascii="Arial" w:cs="Arial" w:eastAsia="Arial" w:hAnsi="Arial"/>
                <w:sz w:val="18"/>
                <w:szCs w:val="18"/>
                <w:color w:val="auto"/>
                <w:w w:val="93"/>
              </w:rPr>
              <w:t>Check if the Aggregate Amount in Row (9) Excludes</w:t>
            </w:r>
          </w:p>
        </w:tc>
        <w:tc>
          <w:tcPr>
            <w:tcW w:w="1340" w:type="dxa"/>
            <w:vAlign w:val="bottom"/>
          </w:tcPr>
          <w:p>
            <w:pPr>
              <w:ind w:left="96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bl>
    <w:p>
      <w:pPr>
        <w:ind w:left="1080" w:hanging="789"/>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Certain Shares (See Instructions)</w:t>
      </w:r>
    </w:p>
    <w:p>
      <w:pPr>
        <w:spacing w:after="0" w:line="180" w:lineRule="exact"/>
        <w:rPr>
          <w:rFonts w:ascii="Arial" w:cs="Arial" w:eastAsia="Arial" w:hAnsi="Arial"/>
          <w:sz w:val="18"/>
          <w:szCs w:val="18"/>
          <w:color w:val="auto"/>
        </w:rPr>
      </w:pPr>
    </w:p>
    <w:p>
      <w:pPr>
        <w:ind w:left="1080"/>
        <w:spacing w:after="0"/>
        <w:rPr>
          <w:rFonts w:ascii="Arial" w:cs="Arial" w:eastAsia="Arial" w:hAnsi="Arial"/>
          <w:sz w:val="18"/>
          <w:szCs w:val="18"/>
          <w:color w:val="auto"/>
        </w:rPr>
      </w:pPr>
      <w:r>
        <w:rPr>
          <w:rFonts w:ascii="Arial" w:cs="Arial" w:eastAsia="Arial" w:hAnsi="Arial"/>
          <w:sz w:val="18"/>
          <w:szCs w:val="18"/>
          <w:color w:val="auto"/>
        </w:rPr>
        <w:t>Percent of Class Represented by Amount in Row (9)</w:t>
      </w:r>
    </w:p>
    <w:p>
      <w:pPr>
        <w:ind w:left="1080" w:hanging="789"/>
        <w:spacing w:after="0" w:line="194" w:lineRule="auto"/>
        <w:tabs>
          <w:tab w:leader="none" w:pos="1080" w:val="left"/>
        </w:tabs>
        <w:numPr>
          <w:ilvl w:val="0"/>
          <w:numId w:val="5"/>
        </w:numPr>
        <w:rPr>
          <w:rFonts w:ascii="Arial" w:cs="Arial" w:eastAsia="Arial" w:hAnsi="Arial"/>
          <w:sz w:val="36"/>
          <w:szCs w:val="36"/>
          <w:color w:val="auto"/>
          <w:vertAlign w:val="superscript"/>
        </w:rPr>
      </w:pPr>
      <w:r>
        <w:rPr>
          <w:rFonts w:ascii="Arial" w:cs="Arial" w:eastAsia="Arial" w:hAnsi="Arial"/>
          <w:sz w:val="35"/>
          <w:szCs w:val="35"/>
          <w:b w:val="1"/>
          <w:bCs w:val="1"/>
          <w:color w:val="auto"/>
          <w:vertAlign w:val="subscript"/>
        </w:rPr>
        <w:t>6.8%</w:t>
      </w:r>
      <w:r>
        <w:rPr>
          <w:rFonts w:ascii="Arial" w:cs="Arial" w:eastAsia="Arial" w:hAnsi="Arial"/>
          <w:sz w:val="15"/>
          <w:szCs w:val="15"/>
          <w:b w:val="1"/>
          <w:bCs w:val="1"/>
          <w:color w:val="auto"/>
        </w:rPr>
        <w:t>1</w:t>
      </w:r>
    </w:p>
    <w:p>
      <w:pPr>
        <w:spacing w:after="0" w:line="120" w:lineRule="exact"/>
        <w:rPr>
          <w:rFonts w:ascii="Arial" w:cs="Arial" w:eastAsia="Arial" w:hAnsi="Arial"/>
          <w:sz w:val="36"/>
          <w:szCs w:val="36"/>
          <w:color w:val="auto"/>
          <w:vertAlign w:val="superscript"/>
        </w:rPr>
      </w:pPr>
    </w:p>
    <w:p>
      <w:pPr>
        <w:ind w:left="1080" w:hanging="789"/>
        <w:spacing w:after="0" w:line="197" w:lineRule="auto"/>
        <w:tabs>
          <w:tab w:leader="none" w:pos="1080" w:val="left"/>
        </w:tabs>
        <w:numPr>
          <w:ilvl w:val="0"/>
          <w:numId w:val="5"/>
        </w:numPr>
        <w:rPr>
          <w:rFonts w:ascii="Arial" w:cs="Arial" w:eastAsia="Arial" w:hAnsi="Arial"/>
          <w:sz w:val="36"/>
          <w:szCs w:val="36"/>
          <w:color w:val="auto"/>
          <w:vertAlign w:val="subscript"/>
        </w:rPr>
      </w:pPr>
      <w:r>
        <w:rPr>
          <w:rFonts w:ascii="Arial" w:cs="Arial" w:eastAsia="Arial" w:hAnsi="Arial"/>
          <w:sz w:val="18"/>
          <w:szCs w:val="18"/>
          <w:color w:val="auto"/>
        </w:rPr>
        <w:t>Type of Reporting Person (See Instructions)</w:t>
      </w:r>
    </w:p>
    <w:p>
      <w:pPr>
        <w:spacing w:after="0" w:line="1" w:lineRule="exact"/>
        <w:rPr>
          <w:rFonts w:ascii="Arial" w:cs="Arial" w:eastAsia="Arial" w:hAnsi="Arial"/>
          <w:sz w:val="36"/>
          <w:szCs w:val="36"/>
          <w:color w:val="auto"/>
          <w:vertAlign w:val="subscript"/>
        </w:rPr>
      </w:pPr>
    </w:p>
    <w:p>
      <w:pPr>
        <w:ind w:left="1080"/>
        <w:spacing w:after="0"/>
        <w:rPr>
          <w:rFonts w:ascii="Arial" w:cs="Arial" w:eastAsia="Arial" w:hAnsi="Arial"/>
          <w:sz w:val="36"/>
          <w:szCs w:val="36"/>
          <w:color w:val="auto"/>
          <w:vertAlign w:val="subscript"/>
        </w:rPr>
      </w:pPr>
      <w:r>
        <w:rPr>
          <w:rFonts w:ascii="Arial" w:cs="Arial" w:eastAsia="Arial" w:hAnsi="Arial"/>
          <w:sz w:val="18"/>
          <w:szCs w:val="18"/>
          <w:b w:val="1"/>
          <w:bCs w:val="1"/>
          <w:color w:val="auto"/>
        </w:rPr>
        <w:t>IA, PN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321945</wp:posOffset>
            </wp:positionV>
            <wp:extent cx="178308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0"/>
          <w:szCs w:val="20"/>
          <w:color w:val="auto"/>
        </w:rPr>
      </w:pPr>
    </w:p>
    <w:p>
      <w:pPr>
        <w:spacing w:after="0" w:line="394" w:lineRule="exact"/>
        <w:rPr>
          <w:sz w:val="20"/>
          <w:szCs w:val="20"/>
          <w:color w:val="auto"/>
        </w:rPr>
      </w:pPr>
    </w:p>
    <w:p>
      <w:pPr>
        <w:ind w:firstLine="8"/>
        <w:spacing w:after="0" w:line="194" w:lineRule="auto"/>
        <w:tabs>
          <w:tab w:leader="none" w:pos="120" w:val="left"/>
        </w:tabs>
        <w:numPr>
          <w:ilvl w:val="0"/>
          <w:numId w:val="6"/>
        </w:numPr>
        <w:rPr>
          <w:rFonts w:ascii="Arial" w:cs="Arial" w:eastAsia="Arial" w:hAnsi="Arial"/>
          <w:sz w:val="30"/>
          <w:szCs w:val="30"/>
          <w:color w:val="auto"/>
          <w:vertAlign w:val="superscript"/>
        </w:rPr>
      </w:pPr>
      <w:r>
        <w:rPr>
          <w:rFonts w:ascii="Arial" w:cs="Arial" w:eastAsia="Arial" w:hAnsi="Arial"/>
          <w:sz w:val="18"/>
          <w:szCs w:val="18"/>
          <w:color w:val="auto"/>
        </w:rPr>
        <w:t>The percentage calculation assumes that there are currently 90,248,465 outstanding shares of Common Stock of the Issuer, based on the Issuer’s Form 10-Q as filed with the Securities and Exchange Commission (“SEC”) on November 5,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437515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4980" w:type="dxa"/>
            <w:vAlign w:val="bottom"/>
          </w:tcPr>
          <w:p>
            <w:pPr>
              <w:spacing w:after="0"/>
              <w:rPr>
                <w:sz w:val="20"/>
                <w:szCs w:val="20"/>
                <w:color w:val="auto"/>
              </w:rPr>
            </w:pPr>
            <w:r>
              <w:rPr>
                <w:rFonts w:ascii="Arial" w:cs="Arial" w:eastAsia="Arial" w:hAnsi="Arial"/>
                <w:sz w:val="18"/>
                <w:szCs w:val="18"/>
                <w:color w:val="auto"/>
              </w:rPr>
              <w:t xml:space="preserve">CUSIP No. </w:t>
            </w:r>
            <w:r>
              <w:rPr>
                <w:rFonts w:ascii="Arial" w:cs="Arial" w:eastAsia="Arial" w:hAnsi="Arial"/>
                <w:sz w:val="18"/>
                <w:szCs w:val="18"/>
                <w:b w:val="1"/>
                <w:bCs w:val="1"/>
                <w:color w:val="auto"/>
              </w:rPr>
              <w:t>039697107</w:t>
            </w:r>
          </w:p>
        </w:tc>
        <w:tc>
          <w:tcPr>
            <w:tcW w:w="3620" w:type="dxa"/>
            <w:vAlign w:val="bottom"/>
          </w:tcPr>
          <w:p>
            <w:pPr>
              <w:ind w:left="3300"/>
              <w:spacing w:after="0"/>
              <w:rPr>
                <w:sz w:val="20"/>
                <w:szCs w:val="20"/>
                <w:color w:val="auto"/>
              </w:rPr>
            </w:pPr>
            <w:r>
              <w:rPr>
                <w:rFonts w:ascii="Arial" w:cs="Arial" w:eastAsia="Arial" w:hAnsi="Arial"/>
                <w:sz w:val="18"/>
                <w:szCs w:val="18"/>
                <w:b w:val="1"/>
                <w:bCs w:val="1"/>
                <w:color w:val="auto"/>
                <w:w w:val="88"/>
              </w:rPr>
              <w:t>13G</w:t>
            </w:r>
          </w:p>
        </w:tc>
      </w:tr>
    </w:tbl>
    <w:p>
      <w:pPr>
        <w:spacing w:after="0" w:line="215" w:lineRule="exact"/>
        <w:rPr>
          <w:sz w:val="20"/>
          <w:szCs w:val="20"/>
          <w:color w:val="auto"/>
        </w:rPr>
      </w:pPr>
    </w:p>
    <w:p>
      <w:pPr>
        <w:ind w:left="1020" w:hanging="756"/>
        <w:spacing w:after="0"/>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Names of Reporting Persons.</w:t>
      </w:r>
    </w:p>
    <w:p>
      <w:pPr>
        <w:spacing w:after="0" w:line="23" w:lineRule="exact"/>
        <w:rPr>
          <w:rFonts w:ascii="Arial" w:cs="Arial" w:eastAsia="Arial" w:hAnsi="Arial"/>
          <w:sz w:val="18"/>
          <w:szCs w:val="18"/>
          <w:color w:val="auto"/>
        </w:rPr>
      </w:pPr>
    </w:p>
    <w:p>
      <w:pPr>
        <w:ind w:left="1020"/>
        <w:spacing w:after="0"/>
        <w:rPr>
          <w:rFonts w:ascii="Arial" w:cs="Arial" w:eastAsia="Arial" w:hAnsi="Arial"/>
          <w:sz w:val="18"/>
          <w:szCs w:val="18"/>
          <w:color w:val="auto"/>
        </w:rPr>
      </w:pPr>
      <w:r>
        <w:rPr>
          <w:rFonts w:ascii="Arial" w:cs="Arial" w:eastAsia="Arial" w:hAnsi="Arial"/>
          <w:sz w:val="18"/>
          <w:szCs w:val="18"/>
          <w:color w:val="auto"/>
        </w:rPr>
        <w:t>I.R.S. Identification Nos. of above persons (entities only).</w:t>
      </w:r>
    </w:p>
    <w:p>
      <w:pPr>
        <w:spacing w:after="0" w:line="207" w:lineRule="exact"/>
        <w:rPr>
          <w:sz w:val="20"/>
          <w:szCs w:val="20"/>
          <w:color w:val="auto"/>
        </w:rPr>
      </w:pPr>
    </w:p>
    <w:p>
      <w:pPr>
        <w:ind w:left="1340"/>
        <w:spacing w:after="0"/>
        <w:rPr>
          <w:sz w:val="20"/>
          <w:szCs w:val="20"/>
          <w:color w:val="auto"/>
        </w:rPr>
      </w:pPr>
      <w:r>
        <w:rPr>
          <w:rFonts w:ascii="Arial" w:cs="Arial" w:eastAsia="Arial" w:hAnsi="Arial"/>
          <w:sz w:val="18"/>
          <w:szCs w:val="18"/>
          <w:b w:val="1"/>
          <w:bCs w:val="1"/>
          <w:color w:val="auto"/>
        </w:rPr>
        <w:t>Peter Kolchinsky</w:t>
      </w:r>
    </w:p>
    <w:p>
      <w:pPr>
        <w:spacing w:after="0" w:line="283" w:lineRule="exact"/>
        <w:rPr>
          <w:sz w:val="20"/>
          <w:szCs w:val="20"/>
          <w:color w:val="auto"/>
        </w:rPr>
      </w:pPr>
    </w:p>
    <w:p>
      <w:pPr>
        <w:ind w:left="1020" w:hanging="756"/>
        <w:spacing w:after="0"/>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23" w:lineRule="exact"/>
        <w:rPr>
          <w:rFonts w:ascii="Arial" w:cs="Arial" w:eastAsia="Arial" w:hAnsi="Arial"/>
          <w:sz w:val="18"/>
          <w:szCs w:val="18"/>
          <w:color w:val="auto"/>
        </w:rPr>
      </w:pPr>
    </w:p>
    <w:p>
      <w:pPr>
        <w:ind w:left="1440" w:hanging="420"/>
        <w:spacing w:after="0" w:line="207" w:lineRule="exact"/>
        <w:tabs>
          <w:tab w:leader="none" w:pos="1440" w:val="left"/>
        </w:tabs>
        <w:numPr>
          <w:ilvl w:val="1"/>
          <w:numId w:val="8"/>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37" w:lineRule="exact"/>
        <w:rPr>
          <w:rFonts w:ascii="Arial" w:cs="Arial" w:eastAsia="Arial" w:hAnsi="Arial"/>
          <w:sz w:val="18"/>
          <w:szCs w:val="18"/>
          <w:color w:val="auto"/>
        </w:rPr>
      </w:pPr>
    </w:p>
    <w:p>
      <w:pPr>
        <w:ind w:left="1460" w:hanging="440"/>
        <w:spacing w:after="0" w:line="207" w:lineRule="exact"/>
        <w:tabs>
          <w:tab w:leader="none" w:pos="1460" w:val="left"/>
        </w:tabs>
        <w:numPr>
          <w:ilvl w:val="1"/>
          <w:numId w:val="8"/>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249" w:lineRule="exact"/>
        <w:rPr>
          <w:rFonts w:ascii="Arial" w:cs="Arial" w:eastAsia="Arial" w:hAnsi="Arial"/>
          <w:sz w:val="18"/>
          <w:szCs w:val="18"/>
          <w:color w:val="auto"/>
        </w:rPr>
      </w:pPr>
    </w:p>
    <w:p>
      <w:pPr>
        <w:ind w:left="1020" w:hanging="756"/>
        <w:spacing w:after="0"/>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62"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920" w:type="dxa"/>
            <w:vAlign w:val="bottom"/>
          </w:tcPr>
          <w:p>
            <w:pPr>
              <w:ind w:left="200"/>
              <w:spacing w:after="0"/>
              <w:rPr>
                <w:sz w:val="20"/>
                <w:szCs w:val="20"/>
                <w:color w:val="auto"/>
              </w:rPr>
            </w:pPr>
            <w:r>
              <w:rPr>
                <w:rFonts w:ascii="Arial" w:cs="Arial" w:eastAsia="Arial" w:hAnsi="Arial"/>
                <w:sz w:val="18"/>
                <w:szCs w:val="18"/>
                <w:color w:val="auto"/>
              </w:rPr>
              <w:t>4.</w:t>
            </w:r>
          </w:p>
        </w:tc>
        <w:tc>
          <w:tcPr>
            <w:tcW w:w="3960" w:type="dxa"/>
            <w:vAlign w:val="bottom"/>
            <w:gridSpan w:val="3"/>
          </w:tcPr>
          <w:p>
            <w:pPr>
              <w:jc w:val="center"/>
              <w:ind w:right="1170"/>
              <w:spacing w:after="0"/>
              <w:rPr>
                <w:sz w:val="20"/>
                <w:szCs w:val="20"/>
                <w:color w:val="auto"/>
              </w:rPr>
            </w:pPr>
            <w:r>
              <w:rPr>
                <w:rFonts w:ascii="Arial" w:cs="Arial" w:eastAsia="Arial" w:hAnsi="Arial"/>
                <w:sz w:val="18"/>
                <w:szCs w:val="18"/>
                <w:color w:val="auto"/>
                <w:w w:val="91"/>
              </w:rPr>
              <w:t>Citizenship or Place of Organization</w:t>
            </w:r>
          </w:p>
        </w:tc>
        <w:tc>
          <w:tcPr>
            <w:tcW w:w="1380" w:type="dxa"/>
            <w:vAlign w:val="bottom"/>
          </w:tcPr>
          <w:p>
            <w:pPr>
              <w:spacing w:after="0"/>
              <w:rPr>
                <w:sz w:val="20"/>
                <w:szCs w:val="20"/>
                <w:color w:val="auto"/>
              </w:rPr>
            </w:pPr>
            <w:r>
              <w:rPr>
                <w:rFonts w:ascii="Arial" w:cs="Arial" w:eastAsia="Arial" w:hAnsi="Arial"/>
                <w:sz w:val="18"/>
                <w:szCs w:val="18"/>
                <w:b w:val="1"/>
                <w:bCs w:val="1"/>
                <w:color w:val="auto"/>
              </w:rPr>
              <w:t>United States</w:t>
            </w:r>
          </w:p>
        </w:tc>
        <w:tc>
          <w:tcPr>
            <w:tcW w:w="0" w:type="dxa"/>
            <w:vAlign w:val="bottom"/>
          </w:tcPr>
          <w:p>
            <w:pPr>
              <w:spacing w:after="0"/>
              <w:rPr>
                <w:sz w:val="1"/>
                <w:szCs w:val="1"/>
                <w:color w:val="auto"/>
              </w:rPr>
            </w:pPr>
          </w:p>
        </w:tc>
      </w:tr>
      <w:tr>
        <w:trPr>
          <w:trHeight w:val="446"/>
        </w:trPr>
        <w:tc>
          <w:tcPr>
            <w:tcW w:w="920" w:type="dxa"/>
            <w:vAlign w:val="bottom"/>
            <w:vMerge w:val="restart"/>
          </w:tcPr>
          <w:p>
            <w:pPr>
              <w:spacing w:after="0"/>
              <w:rPr>
                <w:sz w:val="20"/>
                <w:szCs w:val="20"/>
                <w:color w:val="auto"/>
              </w:rPr>
            </w:pPr>
            <w:r>
              <w:rPr>
                <w:rFonts w:ascii="Arial" w:cs="Arial" w:eastAsia="Arial" w:hAnsi="Arial"/>
                <w:sz w:val="18"/>
                <w:szCs w:val="18"/>
                <w:color w:val="auto"/>
              </w:rPr>
              <w:t>Number of</w:t>
            </w:r>
          </w:p>
        </w:tc>
        <w:tc>
          <w:tcPr>
            <w:tcW w:w="480" w:type="dxa"/>
            <w:vAlign w:val="bottom"/>
          </w:tcPr>
          <w:p>
            <w:pPr>
              <w:spacing w:after="0"/>
              <w:rPr>
                <w:sz w:val="24"/>
                <w:szCs w:val="24"/>
                <w:color w:val="auto"/>
              </w:rPr>
            </w:pPr>
          </w:p>
        </w:tc>
        <w:tc>
          <w:tcPr>
            <w:tcW w:w="760" w:type="dxa"/>
            <w:vAlign w:val="bottom"/>
          </w:tcPr>
          <w:p>
            <w:pPr>
              <w:jc w:val="right"/>
              <w:ind w:right="250"/>
              <w:spacing w:after="0"/>
              <w:rPr>
                <w:sz w:val="20"/>
                <w:szCs w:val="20"/>
                <w:color w:val="auto"/>
              </w:rPr>
            </w:pPr>
            <w:r>
              <w:rPr>
                <w:rFonts w:ascii="Arial" w:cs="Arial" w:eastAsia="Arial" w:hAnsi="Arial"/>
                <w:sz w:val="18"/>
                <w:szCs w:val="18"/>
                <w:color w:val="auto"/>
              </w:rPr>
              <w:t>5.</w:t>
            </w:r>
          </w:p>
        </w:tc>
        <w:tc>
          <w:tcPr>
            <w:tcW w:w="2720" w:type="dxa"/>
            <w:vAlign w:val="bottom"/>
          </w:tcPr>
          <w:p>
            <w:pPr>
              <w:ind w:left="320"/>
              <w:spacing w:after="0"/>
              <w:rPr>
                <w:sz w:val="20"/>
                <w:szCs w:val="20"/>
                <w:color w:val="auto"/>
              </w:rPr>
            </w:pPr>
            <w:r>
              <w:rPr>
                <w:rFonts w:ascii="Arial" w:cs="Arial" w:eastAsia="Arial" w:hAnsi="Arial"/>
                <w:sz w:val="18"/>
                <w:szCs w:val="18"/>
                <w:color w:val="auto"/>
              </w:rPr>
              <w:t>Sole Voting Power</w:t>
            </w:r>
          </w:p>
        </w:tc>
        <w:tc>
          <w:tcPr>
            <w:tcW w:w="1380" w:type="dxa"/>
            <w:vAlign w:val="bottom"/>
          </w:tcPr>
          <w:p>
            <w:pPr>
              <w:ind w:left="120"/>
              <w:spacing w:after="0"/>
              <w:rPr>
                <w:sz w:val="20"/>
                <w:szCs w:val="20"/>
                <w:color w:val="auto"/>
              </w:rPr>
            </w:pPr>
            <w:r>
              <w:rPr>
                <w:rFonts w:ascii="Arial" w:cs="Arial" w:eastAsia="Arial" w:hAnsi="Arial"/>
                <w:sz w:val="18"/>
                <w:szCs w:val="18"/>
                <w:b w:val="1"/>
                <w:bCs w:val="1"/>
                <w:color w:val="auto"/>
              </w:rPr>
              <w:t>0 shares</w:t>
            </w:r>
          </w:p>
        </w:tc>
        <w:tc>
          <w:tcPr>
            <w:tcW w:w="0" w:type="dxa"/>
            <w:vAlign w:val="bottom"/>
          </w:tcPr>
          <w:p>
            <w:pPr>
              <w:spacing w:after="0"/>
              <w:rPr>
                <w:sz w:val="1"/>
                <w:szCs w:val="1"/>
                <w:color w:val="auto"/>
              </w:rPr>
            </w:pPr>
          </w:p>
        </w:tc>
      </w:tr>
      <w:tr>
        <w:trPr>
          <w:trHeight w:val="148"/>
        </w:trPr>
        <w:tc>
          <w:tcPr>
            <w:tcW w:w="920" w:type="dxa"/>
            <w:vAlign w:val="bottom"/>
            <w:vMerge w:val="continue"/>
          </w:tcPr>
          <w:p>
            <w:pPr>
              <w:spacing w:after="0"/>
              <w:rPr>
                <w:sz w:val="12"/>
                <w:szCs w:val="12"/>
                <w:color w:val="auto"/>
              </w:rPr>
            </w:pPr>
          </w:p>
        </w:tc>
        <w:tc>
          <w:tcPr>
            <w:tcW w:w="4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Shares</w:t>
            </w:r>
          </w:p>
        </w:tc>
        <w:tc>
          <w:tcPr>
            <w:tcW w:w="480" w:type="dxa"/>
            <w:vAlign w:val="bottom"/>
          </w:tcPr>
          <w:p>
            <w:pPr>
              <w:spacing w:after="0"/>
              <w:rPr>
                <w:sz w:val="18"/>
                <w:szCs w:val="18"/>
                <w:color w:val="auto"/>
              </w:rPr>
            </w:pPr>
          </w:p>
        </w:tc>
        <w:tc>
          <w:tcPr>
            <w:tcW w:w="760" w:type="dxa"/>
            <w:vAlign w:val="bottom"/>
            <w:vMerge w:val="restart"/>
          </w:tcPr>
          <w:p>
            <w:pPr>
              <w:jc w:val="right"/>
              <w:ind w:right="250"/>
              <w:spacing w:after="0"/>
              <w:rPr>
                <w:sz w:val="20"/>
                <w:szCs w:val="20"/>
                <w:color w:val="auto"/>
              </w:rPr>
            </w:pPr>
            <w:r>
              <w:rPr>
                <w:rFonts w:ascii="Arial" w:cs="Arial" w:eastAsia="Arial" w:hAnsi="Arial"/>
                <w:sz w:val="18"/>
                <w:szCs w:val="18"/>
                <w:color w:val="auto"/>
              </w:rPr>
              <w:t>6.</w:t>
            </w:r>
          </w:p>
        </w:tc>
        <w:tc>
          <w:tcPr>
            <w:tcW w:w="2720" w:type="dxa"/>
            <w:vAlign w:val="bottom"/>
            <w:vMerge w:val="restart"/>
          </w:tcPr>
          <w:p>
            <w:pPr>
              <w:ind w:left="320"/>
              <w:spacing w:after="0"/>
              <w:rPr>
                <w:sz w:val="20"/>
                <w:szCs w:val="20"/>
                <w:color w:val="auto"/>
              </w:rPr>
            </w:pPr>
            <w:r>
              <w:rPr>
                <w:rFonts w:ascii="Arial" w:cs="Arial" w:eastAsia="Arial" w:hAnsi="Arial"/>
                <w:sz w:val="18"/>
                <w:szCs w:val="18"/>
                <w:color w:val="auto"/>
              </w:rPr>
              <w:t>Shared Voting Power</w:t>
            </w:r>
          </w:p>
        </w:tc>
        <w:tc>
          <w:tcPr>
            <w:tcW w:w="1380" w:type="dxa"/>
            <w:vAlign w:val="bottom"/>
            <w:vMerge w:val="restart"/>
          </w:tcPr>
          <w:p>
            <w:pPr>
              <w:ind w:left="120"/>
              <w:spacing w:after="0"/>
              <w:rPr>
                <w:sz w:val="20"/>
                <w:szCs w:val="20"/>
                <w:color w:val="auto"/>
              </w:rPr>
            </w:pPr>
            <w:r>
              <w:rPr>
                <w:rFonts w:ascii="Arial" w:cs="Arial" w:eastAsia="Arial" w:hAnsi="Arial"/>
                <w:sz w:val="18"/>
                <w:szCs w:val="18"/>
                <w:b w:val="1"/>
                <w:bCs w:val="1"/>
                <w:color w:val="auto"/>
                <w:w w:val="86"/>
              </w:rPr>
              <w:t>6,163,086 shares</w:t>
            </w:r>
          </w:p>
        </w:tc>
        <w:tc>
          <w:tcPr>
            <w:tcW w:w="0" w:type="dxa"/>
            <w:vAlign w:val="bottom"/>
          </w:tcPr>
          <w:p>
            <w:pPr>
              <w:spacing w:after="0"/>
              <w:rPr>
                <w:sz w:val="1"/>
                <w:szCs w:val="1"/>
                <w:color w:val="auto"/>
              </w:rPr>
            </w:pPr>
          </w:p>
        </w:tc>
      </w:tr>
      <w:tr>
        <w:trPr>
          <w:trHeight w:val="109"/>
        </w:trPr>
        <w:tc>
          <w:tcPr>
            <w:tcW w:w="920" w:type="dxa"/>
            <w:vAlign w:val="bottom"/>
            <w:vMerge w:val="restart"/>
          </w:tcPr>
          <w:p>
            <w:pPr>
              <w:spacing w:after="0"/>
              <w:rPr>
                <w:sz w:val="20"/>
                <w:szCs w:val="20"/>
                <w:color w:val="auto"/>
              </w:rPr>
            </w:pPr>
            <w:r>
              <w:rPr>
                <w:rFonts w:ascii="Arial" w:cs="Arial" w:eastAsia="Arial" w:hAnsi="Arial"/>
                <w:sz w:val="18"/>
                <w:szCs w:val="18"/>
                <w:color w:val="auto"/>
                <w:w w:val="98"/>
              </w:rPr>
              <w:t>Beneficially</w:t>
            </w:r>
          </w:p>
        </w:tc>
        <w:tc>
          <w:tcPr>
            <w:tcW w:w="480" w:type="dxa"/>
            <w:vAlign w:val="bottom"/>
          </w:tcPr>
          <w:p>
            <w:pPr>
              <w:spacing w:after="0"/>
              <w:rPr>
                <w:sz w:val="9"/>
                <w:szCs w:val="9"/>
                <w:color w:val="auto"/>
              </w:rPr>
            </w:pPr>
          </w:p>
        </w:tc>
        <w:tc>
          <w:tcPr>
            <w:tcW w:w="760" w:type="dxa"/>
            <w:vAlign w:val="bottom"/>
            <w:vMerge w:val="continue"/>
          </w:tcPr>
          <w:p>
            <w:pPr>
              <w:spacing w:after="0"/>
              <w:rPr>
                <w:sz w:val="9"/>
                <w:szCs w:val="9"/>
                <w:color w:val="auto"/>
              </w:rPr>
            </w:pPr>
          </w:p>
        </w:tc>
        <w:tc>
          <w:tcPr>
            <w:tcW w:w="2720" w:type="dxa"/>
            <w:vAlign w:val="bottom"/>
            <w:vMerge w:val="continue"/>
          </w:tcPr>
          <w:p>
            <w:pPr>
              <w:spacing w:after="0"/>
              <w:rPr>
                <w:sz w:val="9"/>
                <w:szCs w:val="9"/>
                <w:color w:val="auto"/>
              </w:rPr>
            </w:pPr>
          </w:p>
        </w:tc>
        <w:tc>
          <w:tcPr>
            <w:tcW w:w="13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920" w:type="dxa"/>
            <w:vAlign w:val="bottom"/>
            <w:vMerge w:val="continue"/>
          </w:tcPr>
          <w:p>
            <w:pPr>
              <w:spacing w:after="0"/>
              <w:rPr>
                <w:sz w:val="9"/>
                <w:szCs w:val="9"/>
                <w:color w:val="auto"/>
              </w:rPr>
            </w:pPr>
          </w:p>
        </w:tc>
        <w:tc>
          <w:tcPr>
            <w:tcW w:w="480" w:type="dxa"/>
            <w:vAlign w:val="bottom"/>
          </w:tcPr>
          <w:p>
            <w:pPr>
              <w:spacing w:after="0"/>
              <w:rPr>
                <w:sz w:val="9"/>
                <w:szCs w:val="9"/>
                <w:color w:val="auto"/>
              </w:rPr>
            </w:pPr>
          </w:p>
        </w:tc>
        <w:tc>
          <w:tcPr>
            <w:tcW w:w="760" w:type="dxa"/>
            <w:vAlign w:val="bottom"/>
          </w:tcPr>
          <w:p>
            <w:pPr>
              <w:spacing w:after="0"/>
              <w:rPr>
                <w:sz w:val="9"/>
                <w:szCs w:val="9"/>
                <w:color w:val="auto"/>
              </w:rPr>
            </w:pPr>
          </w:p>
        </w:tc>
        <w:tc>
          <w:tcPr>
            <w:tcW w:w="2720" w:type="dxa"/>
            <w:vAlign w:val="bottom"/>
          </w:tcPr>
          <w:p>
            <w:pPr>
              <w:spacing w:after="0"/>
              <w:rPr>
                <w:sz w:val="9"/>
                <w:szCs w:val="9"/>
                <w:color w:val="auto"/>
              </w:rPr>
            </w:pPr>
          </w:p>
        </w:tc>
        <w:tc>
          <w:tcPr>
            <w:tcW w:w="13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Owned by</w:t>
            </w:r>
          </w:p>
        </w:tc>
        <w:tc>
          <w:tcPr>
            <w:tcW w:w="480" w:type="dxa"/>
            <w:vAlign w:val="bottom"/>
          </w:tcPr>
          <w:p>
            <w:pPr>
              <w:spacing w:after="0"/>
              <w:rPr>
                <w:sz w:val="18"/>
                <w:szCs w:val="18"/>
                <w:color w:val="auto"/>
              </w:rPr>
            </w:pPr>
          </w:p>
        </w:tc>
        <w:tc>
          <w:tcPr>
            <w:tcW w:w="760" w:type="dxa"/>
            <w:vAlign w:val="bottom"/>
            <w:vMerge w:val="restart"/>
          </w:tcPr>
          <w:p>
            <w:pPr>
              <w:jc w:val="right"/>
              <w:ind w:right="250"/>
              <w:spacing w:after="0"/>
              <w:rPr>
                <w:sz w:val="20"/>
                <w:szCs w:val="20"/>
                <w:color w:val="auto"/>
              </w:rPr>
            </w:pPr>
            <w:r>
              <w:rPr>
                <w:rFonts w:ascii="Arial" w:cs="Arial" w:eastAsia="Arial" w:hAnsi="Arial"/>
                <w:sz w:val="18"/>
                <w:szCs w:val="18"/>
                <w:color w:val="auto"/>
              </w:rPr>
              <w:t>7.</w:t>
            </w:r>
          </w:p>
        </w:tc>
        <w:tc>
          <w:tcPr>
            <w:tcW w:w="2720" w:type="dxa"/>
            <w:vAlign w:val="bottom"/>
            <w:vMerge w:val="restart"/>
          </w:tcPr>
          <w:p>
            <w:pPr>
              <w:ind w:left="320"/>
              <w:spacing w:after="0"/>
              <w:rPr>
                <w:sz w:val="20"/>
                <w:szCs w:val="20"/>
                <w:color w:val="auto"/>
              </w:rPr>
            </w:pPr>
            <w:r>
              <w:rPr>
                <w:rFonts w:ascii="Arial" w:cs="Arial" w:eastAsia="Arial" w:hAnsi="Arial"/>
                <w:sz w:val="18"/>
                <w:szCs w:val="18"/>
                <w:color w:val="auto"/>
              </w:rPr>
              <w:t>Sole Dispositive Power</w:t>
            </w:r>
          </w:p>
        </w:tc>
        <w:tc>
          <w:tcPr>
            <w:tcW w:w="1380" w:type="dxa"/>
            <w:vAlign w:val="bottom"/>
            <w:vMerge w:val="restart"/>
          </w:tcPr>
          <w:p>
            <w:pPr>
              <w:ind w:left="100"/>
              <w:spacing w:after="0"/>
              <w:rPr>
                <w:sz w:val="20"/>
                <w:szCs w:val="20"/>
                <w:color w:val="auto"/>
              </w:rPr>
            </w:pPr>
            <w:r>
              <w:rPr>
                <w:rFonts w:ascii="Arial" w:cs="Arial" w:eastAsia="Arial" w:hAnsi="Arial"/>
                <w:sz w:val="18"/>
                <w:szCs w:val="18"/>
                <w:b w:val="1"/>
                <w:bCs w:val="1"/>
                <w:color w:val="auto"/>
              </w:rPr>
              <w:t>0 shares</w:t>
            </w:r>
          </w:p>
        </w:tc>
        <w:tc>
          <w:tcPr>
            <w:tcW w:w="0" w:type="dxa"/>
            <w:vAlign w:val="bottom"/>
          </w:tcPr>
          <w:p>
            <w:pPr>
              <w:spacing w:after="0"/>
              <w:rPr>
                <w:sz w:val="1"/>
                <w:szCs w:val="1"/>
                <w:color w:val="auto"/>
              </w:rPr>
            </w:pPr>
          </w:p>
        </w:tc>
      </w:tr>
      <w:tr>
        <w:trPr>
          <w:trHeight w:val="149"/>
        </w:trPr>
        <w:tc>
          <w:tcPr>
            <w:tcW w:w="1400" w:type="dxa"/>
            <w:vAlign w:val="bottom"/>
            <w:gridSpan w:val="2"/>
            <w:vMerge w:val="restart"/>
          </w:tcPr>
          <w:p>
            <w:pPr>
              <w:spacing w:after="0"/>
              <w:rPr>
                <w:sz w:val="20"/>
                <w:szCs w:val="20"/>
                <w:color w:val="auto"/>
              </w:rPr>
            </w:pPr>
            <w:r>
              <w:rPr>
                <w:rFonts w:ascii="Arial" w:cs="Arial" w:eastAsia="Arial" w:hAnsi="Arial"/>
                <w:sz w:val="18"/>
                <w:szCs w:val="18"/>
                <w:color w:val="auto"/>
              </w:rPr>
              <w:t>Each Reporting</w:t>
            </w:r>
          </w:p>
        </w:tc>
        <w:tc>
          <w:tcPr>
            <w:tcW w:w="760" w:type="dxa"/>
            <w:vAlign w:val="bottom"/>
            <w:vMerge w:val="continue"/>
          </w:tcPr>
          <w:p>
            <w:pPr>
              <w:spacing w:after="0"/>
              <w:rPr>
                <w:sz w:val="12"/>
                <w:szCs w:val="12"/>
                <w:color w:val="auto"/>
              </w:rPr>
            </w:pPr>
          </w:p>
        </w:tc>
        <w:tc>
          <w:tcPr>
            <w:tcW w:w="2720" w:type="dxa"/>
            <w:vAlign w:val="bottom"/>
            <w:vMerge w:val="continue"/>
          </w:tcPr>
          <w:p>
            <w:pPr>
              <w:spacing w:after="0"/>
              <w:rPr>
                <w:sz w:val="12"/>
                <w:szCs w:val="12"/>
                <w:color w:val="auto"/>
              </w:rPr>
            </w:pPr>
          </w:p>
        </w:tc>
        <w:tc>
          <w:tcPr>
            <w:tcW w:w="13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67"/>
        </w:trPr>
        <w:tc>
          <w:tcPr>
            <w:tcW w:w="1400" w:type="dxa"/>
            <w:vAlign w:val="bottom"/>
            <w:gridSpan w:val="2"/>
            <w:vMerge w:val="continue"/>
          </w:tcPr>
          <w:p>
            <w:pPr>
              <w:spacing w:after="0"/>
              <w:rPr>
                <w:sz w:val="5"/>
                <w:szCs w:val="5"/>
                <w:color w:val="auto"/>
              </w:rPr>
            </w:pPr>
          </w:p>
        </w:tc>
        <w:tc>
          <w:tcPr>
            <w:tcW w:w="760" w:type="dxa"/>
            <w:vAlign w:val="bottom"/>
          </w:tcPr>
          <w:p>
            <w:pPr>
              <w:spacing w:after="0"/>
              <w:rPr>
                <w:sz w:val="5"/>
                <w:szCs w:val="5"/>
                <w:color w:val="auto"/>
              </w:rPr>
            </w:pPr>
          </w:p>
        </w:tc>
        <w:tc>
          <w:tcPr>
            <w:tcW w:w="2720" w:type="dxa"/>
            <w:vAlign w:val="bottom"/>
          </w:tcPr>
          <w:p>
            <w:pPr>
              <w:spacing w:after="0"/>
              <w:rPr>
                <w:sz w:val="5"/>
                <w:szCs w:val="5"/>
                <w:color w:val="auto"/>
              </w:rPr>
            </w:pPr>
          </w:p>
        </w:tc>
        <w:tc>
          <w:tcPr>
            <w:tcW w:w="13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30"/>
        </w:trPr>
        <w:tc>
          <w:tcPr>
            <w:tcW w:w="920" w:type="dxa"/>
            <w:vAlign w:val="bottom"/>
          </w:tcPr>
          <w:p>
            <w:pPr>
              <w:spacing w:after="0"/>
              <w:rPr>
                <w:sz w:val="20"/>
                <w:szCs w:val="20"/>
                <w:color w:val="auto"/>
              </w:rPr>
            </w:pPr>
            <w:r>
              <w:rPr>
                <w:rFonts w:ascii="Arial" w:cs="Arial" w:eastAsia="Arial" w:hAnsi="Arial"/>
                <w:sz w:val="18"/>
                <w:szCs w:val="18"/>
                <w:color w:val="auto"/>
                <w:w w:val="91"/>
              </w:rPr>
              <w:t>Person With</w:t>
            </w:r>
          </w:p>
        </w:tc>
        <w:tc>
          <w:tcPr>
            <w:tcW w:w="480" w:type="dxa"/>
            <w:vAlign w:val="bottom"/>
          </w:tcPr>
          <w:p>
            <w:pPr>
              <w:spacing w:after="0"/>
              <w:rPr>
                <w:sz w:val="20"/>
                <w:szCs w:val="20"/>
                <w:color w:val="auto"/>
              </w:rPr>
            </w:pPr>
          </w:p>
        </w:tc>
        <w:tc>
          <w:tcPr>
            <w:tcW w:w="760" w:type="dxa"/>
            <w:vAlign w:val="bottom"/>
            <w:vMerge w:val="restart"/>
          </w:tcPr>
          <w:p>
            <w:pPr>
              <w:jc w:val="right"/>
              <w:ind w:right="250"/>
              <w:spacing w:after="0"/>
              <w:rPr>
                <w:sz w:val="20"/>
                <w:szCs w:val="20"/>
                <w:color w:val="auto"/>
              </w:rPr>
            </w:pPr>
            <w:r>
              <w:rPr>
                <w:rFonts w:ascii="Arial" w:cs="Arial" w:eastAsia="Arial" w:hAnsi="Arial"/>
                <w:sz w:val="18"/>
                <w:szCs w:val="18"/>
                <w:color w:val="auto"/>
              </w:rPr>
              <w:t>8.</w:t>
            </w:r>
          </w:p>
        </w:tc>
        <w:tc>
          <w:tcPr>
            <w:tcW w:w="2720" w:type="dxa"/>
            <w:vAlign w:val="bottom"/>
            <w:vMerge w:val="restart"/>
          </w:tcPr>
          <w:p>
            <w:pPr>
              <w:ind w:left="320"/>
              <w:spacing w:after="0"/>
              <w:rPr>
                <w:sz w:val="20"/>
                <w:szCs w:val="20"/>
                <w:color w:val="auto"/>
              </w:rPr>
            </w:pPr>
            <w:r>
              <w:rPr>
                <w:rFonts w:ascii="Arial" w:cs="Arial" w:eastAsia="Arial" w:hAnsi="Arial"/>
                <w:sz w:val="18"/>
                <w:szCs w:val="18"/>
                <w:color w:val="auto"/>
              </w:rPr>
              <w:t>Shared Dispositive Power</w:t>
            </w:r>
          </w:p>
        </w:tc>
        <w:tc>
          <w:tcPr>
            <w:tcW w:w="1380" w:type="dxa"/>
            <w:vAlign w:val="bottom"/>
            <w:vMerge w:val="restart"/>
          </w:tcPr>
          <w:p>
            <w:pPr>
              <w:ind w:left="100"/>
              <w:spacing w:after="0"/>
              <w:rPr>
                <w:sz w:val="20"/>
                <w:szCs w:val="20"/>
                <w:color w:val="auto"/>
              </w:rPr>
            </w:pPr>
            <w:r>
              <w:rPr>
                <w:rFonts w:ascii="Arial" w:cs="Arial" w:eastAsia="Arial" w:hAnsi="Arial"/>
                <w:sz w:val="18"/>
                <w:szCs w:val="18"/>
                <w:b w:val="1"/>
                <w:bCs w:val="1"/>
                <w:color w:val="auto"/>
                <w:w w:val="88"/>
              </w:rPr>
              <w:t>6,163,086 shares</w:t>
            </w:r>
          </w:p>
        </w:tc>
        <w:tc>
          <w:tcPr>
            <w:tcW w:w="0" w:type="dxa"/>
            <w:vAlign w:val="bottom"/>
          </w:tcPr>
          <w:p>
            <w:pPr>
              <w:spacing w:after="0"/>
              <w:rPr>
                <w:sz w:val="1"/>
                <w:szCs w:val="1"/>
                <w:color w:val="auto"/>
              </w:rPr>
            </w:pPr>
          </w:p>
        </w:tc>
      </w:tr>
      <w:tr>
        <w:trPr>
          <w:trHeight w:val="176"/>
        </w:trPr>
        <w:tc>
          <w:tcPr>
            <w:tcW w:w="9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2720" w:type="dxa"/>
            <w:vAlign w:val="bottom"/>
            <w:vMerge w:val="continue"/>
          </w:tcPr>
          <w:p>
            <w:pPr>
              <w:spacing w:after="0"/>
              <w:rPr>
                <w:sz w:val="15"/>
                <w:szCs w:val="15"/>
                <w:color w:val="auto"/>
              </w:rPr>
            </w:pPr>
          </w:p>
        </w:tc>
        <w:tc>
          <w:tcPr>
            <w:tcW w:w="13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445"/>
        </w:trPr>
        <w:tc>
          <w:tcPr>
            <w:tcW w:w="920" w:type="dxa"/>
            <w:vAlign w:val="bottom"/>
            <w:vMerge w:val="restart"/>
          </w:tcPr>
          <w:p>
            <w:pPr>
              <w:ind w:left="240"/>
              <w:spacing w:after="0"/>
              <w:rPr>
                <w:sz w:val="20"/>
                <w:szCs w:val="20"/>
                <w:color w:val="auto"/>
              </w:rPr>
            </w:pPr>
            <w:r>
              <w:rPr>
                <w:rFonts w:ascii="Arial" w:cs="Arial" w:eastAsia="Arial" w:hAnsi="Arial"/>
                <w:sz w:val="18"/>
                <w:szCs w:val="18"/>
                <w:color w:val="auto"/>
              </w:rPr>
              <w:t>9.</w:t>
            </w:r>
          </w:p>
        </w:tc>
        <w:tc>
          <w:tcPr>
            <w:tcW w:w="5340" w:type="dxa"/>
            <w:vAlign w:val="bottom"/>
            <w:gridSpan w:val="4"/>
          </w:tcPr>
          <w:p>
            <w:pPr>
              <w:ind w:left="100"/>
              <w:spacing w:after="0"/>
              <w:rPr>
                <w:sz w:val="20"/>
                <w:szCs w:val="20"/>
                <w:color w:val="auto"/>
              </w:rPr>
            </w:pPr>
            <w:r>
              <w:rPr>
                <w:rFonts w:ascii="Arial" w:cs="Arial" w:eastAsia="Arial" w:hAnsi="Arial"/>
                <w:sz w:val="18"/>
                <w:szCs w:val="18"/>
                <w:color w:val="auto"/>
                <w:w w:val="99"/>
              </w:rPr>
              <w:t>Aggregate Amount Beneficially Owned by Each Reporting Person</w:t>
            </w:r>
          </w:p>
        </w:tc>
        <w:tc>
          <w:tcPr>
            <w:tcW w:w="0" w:type="dxa"/>
            <w:vAlign w:val="bottom"/>
          </w:tcPr>
          <w:p>
            <w:pPr>
              <w:spacing w:after="0"/>
              <w:rPr>
                <w:sz w:val="1"/>
                <w:szCs w:val="1"/>
                <w:color w:val="auto"/>
              </w:rPr>
            </w:pPr>
          </w:p>
        </w:tc>
      </w:tr>
      <w:tr>
        <w:trPr>
          <w:trHeight w:val="216"/>
        </w:trPr>
        <w:tc>
          <w:tcPr>
            <w:tcW w:w="920" w:type="dxa"/>
            <w:vAlign w:val="bottom"/>
            <w:vMerge w:val="continue"/>
          </w:tcPr>
          <w:p>
            <w:pPr>
              <w:spacing w:after="0"/>
              <w:rPr>
                <w:sz w:val="18"/>
                <w:szCs w:val="18"/>
                <w:color w:val="auto"/>
              </w:rPr>
            </w:pPr>
          </w:p>
        </w:tc>
        <w:tc>
          <w:tcPr>
            <w:tcW w:w="480" w:type="dxa"/>
            <w:vAlign w:val="bottom"/>
          </w:tcPr>
          <w:p>
            <w:pPr>
              <w:spacing w:after="0"/>
              <w:rPr>
                <w:sz w:val="18"/>
                <w:szCs w:val="18"/>
                <w:color w:val="auto"/>
              </w:rPr>
            </w:pPr>
          </w:p>
        </w:tc>
        <w:tc>
          <w:tcPr>
            <w:tcW w:w="3480" w:type="dxa"/>
            <w:vAlign w:val="bottom"/>
            <w:gridSpan w:val="2"/>
            <w:vMerge w:val="restart"/>
          </w:tcPr>
          <w:p>
            <w:pPr>
              <w:jc w:val="center"/>
              <w:ind w:right="1610"/>
              <w:spacing w:after="0"/>
              <w:rPr>
                <w:sz w:val="20"/>
                <w:szCs w:val="20"/>
                <w:color w:val="auto"/>
              </w:rPr>
            </w:pPr>
            <w:r>
              <w:rPr>
                <w:rFonts w:ascii="Arial" w:cs="Arial" w:eastAsia="Arial" w:hAnsi="Arial"/>
                <w:sz w:val="18"/>
                <w:szCs w:val="18"/>
                <w:b w:val="1"/>
                <w:bCs w:val="1"/>
                <w:color w:val="auto"/>
                <w:w w:val="88"/>
              </w:rPr>
              <w:t>6,163,086 shares</w:t>
            </w: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480" w:type="dxa"/>
            <w:vAlign w:val="bottom"/>
            <w:gridSpan w:val="2"/>
            <w:vMerge w:val="continue"/>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88"/>
        </w:trPr>
        <w:tc>
          <w:tcPr>
            <w:tcW w:w="920" w:type="dxa"/>
            <w:vAlign w:val="bottom"/>
          </w:tcPr>
          <w:p>
            <w:pPr>
              <w:spacing w:after="0"/>
              <w:rPr>
                <w:sz w:val="24"/>
                <w:szCs w:val="24"/>
                <w:color w:val="auto"/>
              </w:rPr>
            </w:pPr>
          </w:p>
        </w:tc>
        <w:tc>
          <w:tcPr>
            <w:tcW w:w="3960" w:type="dxa"/>
            <w:vAlign w:val="bottom"/>
            <w:gridSpan w:val="3"/>
          </w:tcPr>
          <w:p>
            <w:pPr>
              <w:ind w:left="100"/>
              <w:spacing w:after="0"/>
              <w:rPr>
                <w:sz w:val="20"/>
                <w:szCs w:val="20"/>
                <w:color w:val="auto"/>
              </w:rPr>
            </w:pPr>
            <w:r>
              <w:rPr>
                <w:rFonts w:ascii="Arial" w:cs="Arial" w:eastAsia="Arial" w:hAnsi="Arial"/>
                <w:sz w:val="18"/>
                <w:szCs w:val="18"/>
                <w:color w:val="auto"/>
                <w:w w:val="92"/>
              </w:rPr>
              <w:t>Check if the Aggregate Amount in Row (9) Excludes</w:t>
            </w:r>
          </w:p>
        </w:tc>
        <w:tc>
          <w:tcPr>
            <w:tcW w:w="1380" w:type="dxa"/>
            <w:vAlign w:val="bottom"/>
          </w:tcPr>
          <w:p>
            <w:pPr>
              <w:ind w:left="100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bl>
    <w:p>
      <w:pPr>
        <w:ind w:left="1080" w:hanging="789"/>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Certain Shares (See Instructions)</w:t>
      </w:r>
    </w:p>
    <w:p>
      <w:pPr>
        <w:spacing w:after="0" w:line="180" w:lineRule="exact"/>
        <w:rPr>
          <w:rFonts w:ascii="Arial" w:cs="Arial" w:eastAsia="Arial" w:hAnsi="Arial"/>
          <w:sz w:val="18"/>
          <w:szCs w:val="18"/>
          <w:color w:val="auto"/>
        </w:rPr>
      </w:pPr>
    </w:p>
    <w:p>
      <w:pPr>
        <w:ind w:left="1080"/>
        <w:spacing w:after="0"/>
        <w:rPr>
          <w:rFonts w:ascii="Arial" w:cs="Arial" w:eastAsia="Arial" w:hAnsi="Arial"/>
          <w:sz w:val="18"/>
          <w:szCs w:val="18"/>
          <w:color w:val="auto"/>
        </w:rPr>
      </w:pPr>
      <w:r>
        <w:rPr>
          <w:rFonts w:ascii="Arial" w:cs="Arial" w:eastAsia="Arial" w:hAnsi="Arial"/>
          <w:sz w:val="18"/>
          <w:szCs w:val="18"/>
          <w:color w:val="auto"/>
        </w:rPr>
        <w:t>Percent of Class Represented by Amount in Row (9)</w:t>
      </w:r>
    </w:p>
    <w:p>
      <w:pPr>
        <w:ind w:left="1080" w:hanging="789"/>
        <w:spacing w:after="0" w:line="194" w:lineRule="auto"/>
        <w:tabs>
          <w:tab w:leader="none" w:pos="1080" w:val="left"/>
        </w:tabs>
        <w:numPr>
          <w:ilvl w:val="0"/>
          <w:numId w:val="9"/>
        </w:numPr>
        <w:rPr>
          <w:rFonts w:ascii="Arial" w:cs="Arial" w:eastAsia="Arial" w:hAnsi="Arial"/>
          <w:sz w:val="36"/>
          <w:szCs w:val="36"/>
          <w:color w:val="auto"/>
          <w:vertAlign w:val="superscript"/>
        </w:rPr>
      </w:pPr>
      <w:r>
        <w:rPr>
          <w:rFonts w:ascii="Arial" w:cs="Arial" w:eastAsia="Arial" w:hAnsi="Arial"/>
          <w:sz w:val="35"/>
          <w:szCs w:val="35"/>
          <w:b w:val="1"/>
          <w:bCs w:val="1"/>
          <w:color w:val="auto"/>
          <w:vertAlign w:val="subscript"/>
        </w:rPr>
        <w:t>6.8%</w:t>
      </w:r>
      <w:r>
        <w:rPr>
          <w:rFonts w:ascii="Arial" w:cs="Arial" w:eastAsia="Arial" w:hAnsi="Arial"/>
          <w:sz w:val="15"/>
          <w:szCs w:val="15"/>
          <w:b w:val="1"/>
          <w:bCs w:val="1"/>
          <w:color w:val="auto"/>
        </w:rPr>
        <w:t>1</w:t>
      </w:r>
    </w:p>
    <w:p>
      <w:pPr>
        <w:spacing w:after="0" w:line="120" w:lineRule="exact"/>
        <w:rPr>
          <w:rFonts w:ascii="Arial" w:cs="Arial" w:eastAsia="Arial" w:hAnsi="Arial"/>
          <w:sz w:val="36"/>
          <w:szCs w:val="36"/>
          <w:color w:val="auto"/>
          <w:vertAlign w:val="superscript"/>
        </w:rPr>
      </w:pPr>
    </w:p>
    <w:p>
      <w:pPr>
        <w:ind w:left="1080" w:hanging="789"/>
        <w:spacing w:after="0" w:line="197" w:lineRule="auto"/>
        <w:tabs>
          <w:tab w:leader="none" w:pos="1080" w:val="left"/>
        </w:tabs>
        <w:numPr>
          <w:ilvl w:val="0"/>
          <w:numId w:val="9"/>
        </w:numPr>
        <w:rPr>
          <w:rFonts w:ascii="Arial" w:cs="Arial" w:eastAsia="Arial" w:hAnsi="Arial"/>
          <w:sz w:val="36"/>
          <w:szCs w:val="36"/>
          <w:color w:val="auto"/>
          <w:vertAlign w:val="subscript"/>
        </w:rPr>
      </w:pPr>
      <w:r>
        <w:rPr>
          <w:rFonts w:ascii="Arial" w:cs="Arial" w:eastAsia="Arial" w:hAnsi="Arial"/>
          <w:sz w:val="18"/>
          <w:szCs w:val="18"/>
          <w:color w:val="auto"/>
        </w:rPr>
        <w:t>Type of Reporting Person (See Instructions)</w:t>
      </w:r>
    </w:p>
    <w:p>
      <w:pPr>
        <w:spacing w:after="0" w:line="1" w:lineRule="exact"/>
        <w:rPr>
          <w:rFonts w:ascii="Arial" w:cs="Arial" w:eastAsia="Arial" w:hAnsi="Arial"/>
          <w:sz w:val="36"/>
          <w:szCs w:val="36"/>
          <w:color w:val="auto"/>
          <w:vertAlign w:val="subscript"/>
        </w:rPr>
      </w:pPr>
    </w:p>
    <w:p>
      <w:pPr>
        <w:ind w:left="1080"/>
        <w:spacing w:after="0"/>
        <w:rPr>
          <w:rFonts w:ascii="Arial" w:cs="Arial" w:eastAsia="Arial" w:hAnsi="Arial"/>
          <w:sz w:val="36"/>
          <w:szCs w:val="36"/>
          <w:color w:val="auto"/>
          <w:vertAlign w:val="subscript"/>
        </w:rPr>
      </w:pPr>
      <w:r>
        <w:rPr>
          <w:rFonts w:ascii="Arial" w:cs="Arial" w:eastAsia="Arial" w:hAnsi="Arial"/>
          <w:sz w:val="18"/>
          <w:szCs w:val="18"/>
          <w:b w:val="1"/>
          <w:bCs w:val="1"/>
          <w:color w:val="auto"/>
        </w:rPr>
        <w:t>HC,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321945</wp:posOffset>
            </wp:positionV>
            <wp:extent cx="178308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0" w:lineRule="exact"/>
        <w:rPr>
          <w:sz w:val="20"/>
          <w:szCs w:val="20"/>
          <w:color w:val="auto"/>
        </w:rPr>
      </w:pPr>
    </w:p>
    <w:p>
      <w:pPr>
        <w:spacing w:after="0" w:line="394" w:lineRule="exact"/>
        <w:rPr>
          <w:sz w:val="20"/>
          <w:szCs w:val="20"/>
          <w:color w:val="auto"/>
        </w:rPr>
      </w:pPr>
    </w:p>
    <w:p>
      <w:pPr>
        <w:ind w:firstLine="8"/>
        <w:spacing w:after="0" w:line="194" w:lineRule="auto"/>
        <w:tabs>
          <w:tab w:leader="none" w:pos="120" w:val="left"/>
        </w:tabs>
        <w:numPr>
          <w:ilvl w:val="0"/>
          <w:numId w:val="10"/>
        </w:numPr>
        <w:rPr>
          <w:rFonts w:ascii="Arial" w:cs="Arial" w:eastAsia="Arial" w:hAnsi="Arial"/>
          <w:sz w:val="30"/>
          <w:szCs w:val="30"/>
          <w:color w:val="auto"/>
          <w:vertAlign w:val="superscript"/>
        </w:rPr>
      </w:pPr>
      <w:r>
        <w:rPr>
          <w:rFonts w:ascii="Arial" w:cs="Arial" w:eastAsia="Arial" w:hAnsi="Arial"/>
          <w:sz w:val="18"/>
          <w:szCs w:val="18"/>
          <w:color w:val="auto"/>
        </w:rPr>
        <w:t>The percentage calculation assumes that there are currently 90,248,465 outstanding shares of Common Stock of the Issuer, based on the Issuer’s Form 10-Q as filed with the Securities and Exchange Commission (“SEC”) on November 5,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437515</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4"/>
        </w:trPr>
        <w:tc>
          <w:tcPr>
            <w:tcW w:w="4980" w:type="dxa"/>
            <w:vAlign w:val="bottom"/>
          </w:tcPr>
          <w:p>
            <w:pPr>
              <w:spacing w:after="0"/>
              <w:rPr>
                <w:sz w:val="20"/>
                <w:szCs w:val="20"/>
                <w:color w:val="auto"/>
              </w:rPr>
            </w:pPr>
            <w:r>
              <w:rPr>
                <w:rFonts w:ascii="Arial" w:cs="Arial" w:eastAsia="Arial" w:hAnsi="Arial"/>
                <w:sz w:val="18"/>
                <w:szCs w:val="18"/>
                <w:color w:val="auto"/>
              </w:rPr>
              <w:t xml:space="preserve">CUSIP No. </w:t>
            </w:r>
            <w:r>
              <w:rPr>
                <w:rFonts w:ascii="Arial" w:cs="Arial" w:eastAsia="Arial" w:hAnsi="Arial"/>
                <w:sz w:val="18"/>
                <w:szCs w:val="18"/>
                <w:b w:val="1"/>
                <w:bCs w:val="1"/>
                <w:color w:val="auto"/>
              </w:rPr>
              <w:t>039697107</w:t>
            </w:r>
          </w:p>
        </w:tc>
        <w:tc>
          <w:tcPr>
            <w:tcW w:w="3620" w:type="dxa"/>
            <w:vAlign w:val="bottom"/>
          </w:tcPr>
          <w:p>
            <w:pPr>
              <w:ind w:left="3300"/>
              <w:spacing w:after="0"/>
              <w:rPr>
                <w:sz w:val="20"/>
                <w:szCs w:val="20"/>
                <w:color w:val="auto"/>
              </w:rPr>
            </w:pPr>
            <w:r>
              <w:rPr>
                <w:rFonts w:ascii="Arial" w:cs="Arial" w:eastAsia="Arial" w:hAnsi="Arial"/>
                <w:sz w:val="18"/>
                <w:szCs w:val="18"/>
                <w:b w:val="1"/>
                <w:bCs w:val="1"/>
                <w:color w:val="auto"/>
                <w:w w:val="88"/>
              </w:rPr>
              <w:t>13G</w:t>
            </w:r>
          </w:p>
        </w:tc>
      </w:tr>
    </w:tbl>
    <w:p>
      <w:pPr>
        <w:spacing w:after="0" w:line="215" w:lineRule="exact"/>
        <w:rPr>
          <w:sz w:val="20"/>
          <w:szCs w:val="20"/>
          <w:color w:val="auto"/>
        </w:rPr>
      </w:pPr>
    </w:p>
    <w:p>
      <w:pPr>
        <w:ind w:left="1020" w:hanging="756"/>
        <w:spacing w:after="0"/>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Names of Reporting Persons.</w:t>
      </w:r>
    </w:p>
    <w:p>
      <w:pPr>
        <w:spacing w:after="0" w:line="23" w:lineRule="exact"/>
        <w:rPr>
          <w:rFonts w:ascii="Arial" w:cs="Arial" w:eastAsia="Arial" w:hAnsi="Arial"/>
          <w:sz w:val="18"/>
          <w:szCs w:val="18"/>
          <w:color w:val="auto"/>
        </w:rPr>
      </w:pPr>
    </w:p>
    <w:p>
      <w:pPr>
        <w:ind w:left="1020"/>
        <w:spacing w:after="0"/>
        <w:rPr>
          <w:rFonts w:ascii="Arial" w:cs="Arial" w:eastAsia="Arial" w:hAnsi="Arial"/>
          <w:sz w:val="18"/>
          <w:szCs w:val="18"/>
          <w:color w:val="auto"/>
        </w:rPr>
      </w:pPr>
      <w:r>
        <w:rPr>
          <w:rFonts w:ascii="Arial" w:cs="Arial" w:eastAsia="Arial" w:hAnsi="Arial"/>
          <w:sz w:val="18"/>
          <w:szCs w:val="18"/>
          <w:color w:val="auto"/>
        </w:rPr>
        <w:t>I.R.S. Identification Nos. of above persons (entities only).</w:t>
      </w:r>
    </w:p>
    <w:p>
      <w:pPr>
        <w:spacing w:after="0" w:line="207" w:lineRule="exact"/>
        <w:rPr>
          <w:sz w:val="20"/>
          <w:szCs w:val="20"/>
          <w:color w:val="auto"/>
        </w:rPr>
      </w:pPr>
    </w:p>
    <w:p>
      <w:pPr>
        <w:ind w:left="1340"/>
        <w:spacing w:after="0"/>
        <w:rPr>
          <w:sz w:val="20"/>
          <w:szCs w:val="20"/>
          <w:color w:val="auto"/>
        </w:rPr>
      </w:pPr>
      <w:r>
        <w:rPr>
          <w:rFonts w:ascii="Arial" w:cs="Arial" w:eastAsia="Arial" w:hAnsi="Arial"/>
          <w:sz w:val="18"/>
          <w:szCs w:val="18"/>
          <w:b w:val="1"/>
          <w:bCs w:val="1"/>
          <w:color w:val="auto"/>
        </w:rPr>
        <w:t>Rajeev Shah</w:t>
      </w:r>
    </w:p>
    <w:p>
      <w:pPr>
        <w:spacing w:after="0" w:line="283" w:lineRule="exact"/>
        <w:rPr>
          <w:sz w:val="20"/>
          <w:szCs w:val="20"/>
          <w:color w:val="auto"/>
        </w:rPr>
      </w:pPr>
    </w:p>
    <w:p>
      <w:pPr>
        <w:ind w:left="1020" w:hanging="756"/>
        <w:spacing w:after="0"/>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23" w:lineRule="exact"/>
        <w:rPr>
          <w:rFonts w:ascii="Arial" w:cs="Arial" w:eastAsia="Arial" w:hAnsi="Arial"/>
          <w:sz w:val="18"/>
          <w:szCs w:val="18"/>
          <w:color w:val="auto"/>
        </w:rPr>
      </w:pPr>
    </w:p>
    <w:p>
      <w:pPr>
        <w:ind w:left="1440" w:hanging="420"/>
        <w:spacing w:after="0" w:line="207" w:lineRule="exact"/>
        <w:tabs>
          <w:tab w:leader="none" w:pos="1440" w:val="left"/>
        </w:tabs>
        <w:numPr>
          <w:ilvl w:val="1"/>
          <w:numId w:val="12"/>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37" w:lineRule="exact"/>
        <w:rPr>
          <w:rFonts w:ascii="Arial" w:cs="Arial" w:eastAsia="Arial" w:hAnsi="Arial"/>
          <w:sz w:val="18"/>
          <w:szCs w:val="18"/>
          <w:color w:val="auto"/>
        </w:rPr>
      </w:pPr>
    </w:p>
    <w:p>
      <w:pPr>
        <w:ind w:left="1460" w:hanging="440"/>
        <w:spacing w:after="0" w:line="207" w:lineRule="exact"/>
        <w:tabs>
          <w:tab w:leader="none" w:pos="1460" w:val="left"/>
        </w:tabs>
        <w:numPr>
          <w:ilvl w:val="1"/>
          <w:numId w:val="12"/>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249" w:lineRule="exact"/>
        <w:rPr>
          <w:rFonts w:ascii="Arial" w:cs="Arial" w:eastAsia="Arial" w:hAnsi="Arial"/>
          <w:sz w:val="18"/>
          <w:szCs w:val="18"/>
          <w:color w:val="auto"/>
        </w:rPr>
      </w:pPr>
    </w:p>
    <w:p>
      <w:pPr>
        <w:ind w:left="1020" w:hanging="756"/>
        <w:spacing w:after="0"/>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62"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920" w:type="dxa"/>
            <w:vAlign w:val="bottom"/>
          </w:tcPr>
          <w:p>
            <w:pPr>
              <w:ind w:left="200"/>
              <w:spacing w:after="0"/>
              <w:rPr>
                <w:sz w:val="20"/>
                <w:szCs w:val="20"/>
                <w:color w:val="auto"/>
              </w:rPr>
            </w:pPr>
            <w:r>
              <w:rPr>
                <w:rFonts w:ascii="Arial" w:cs="Arial" w:eastAsia="Arial" w:hAnsi="Arial"/>
                <w:sz w:val="18"/>
                <w:szCs w:val="18"/>
                <w:color w:val="auto"/>
              </w:rPr>
              <w:t>4.</w:t>
            </w:r>
          </w:p>
        </w:tc>
        <w:tc>
          <w:tcPr>
            <w:tcW w:w="3960" w:type="dxa"/>
            <w:vAlign w:val="bottom"/>
            <w:gridSpan w:val="3"/>
          </w:tcPr>
          <w:p>
            <w:pPr>
              <w:jc w:val="center"/>
              <w:ind w:right="1170"/>
              <w:spacing w:after="0"/>
              <w:rPr>
                <w:sz w:val="20"/>
                <w:szCs w:val="20"/>
                <w:color w:val="auto"/>
              </w:rPr>
            </w:pPr>
            <w:r>
              <w:rPr>
                <w:rFonts w:ascii="Arial" w:cs="Arial" w:eastAsia="Arial" w:hAnsi="Arial"/>
                <w:sz w:val="18"/>
                <w:szCs w:val="18"/>
                <w:color w:val="auto"/>
                <w:w w:val="91"/>
              </w:rPr>
              <w:t>Citizenship or Place of Organization</w:t>
            </w:r>
          </w:p>
        </w:tc>
        <w:tc>
          <w:tcPr>
            <w:tcW w:w="1420" w:type="dxa"/>
            <w:vAlign w:val="bottom"/>
          </w:tcPr>
          <w:p>
            <w:pPr>
              <w:spacing w:after="0"/>
              <w:rPr>
                <w:sz w:val="20"/>
                <w:szCs w:val="20"/>
                <w:color w:val="auto"/>
              </w:rPr>
            </w:pPr>
            <w:r>
              <w:rPr>
                <w:rFonts w:ascii="Arial" w:cs="Arial" w:eastAsia="Arial" w:hAnsi="Arial"/>
                <w:sz w:val="18"/>
                <w:szCs w:val="18"/>
                <w:b w:val="1"/>
                <w:bCs w:val="1"/>
                <w:color w:val="auto"/>
              </w:rPr>
              <w:t>United States</w:t>
            </w:r>
          </w:p>
        </w:tc>
        <w:tc>
          <w:tcPr>
            <w:tcW w:w="0" w:type="dxa"/>
            <w:vAlign w:val="bottom"/>
          </w:tcPr>
          <w:p>
            <w:pPr>
              <w:spacing w:after="0"/>
              <w:rPr>
                <w:sz w:val="1"/>
                <w:szCs w:val="1"/>
                <w:color w:val="auto"/>
              </w:rPr>
            </w:pPr>
          </w:p>
        </w:tc>
      </w:tr>
      <w:tr>
        <w:trPr>
          <w:trHeight w:val="446"/>
        </w:trPr>
        <w:tc>
          <w:tcPr>
            <w:tcW w:w="920" w:type="dxa"/>
            <w:vAlign w:val="bottom"/>
            <w:vMerge w:val="restart"/>
          </w:tcPr>
          <w:p>
            <w:pPr>
              <w:spacing w:after="0"/>
              <w:rPr>
                <w:sz w:val="20"/>
                <w:szCs w:val="20"/>
                <w:color w:val="auto"/>
              </w:rPr>
            </w:pPr>
            <w:r>
              <w:rPr>
                <w:rFonts w:ascii="Arial" w:cs="Arial" w:eastAsia="Arial" w:hAnsi="Arial"/>
                <w:sz w:val="18"/>
                <w:szCs w:val="18"/>
                <w:color w:val="auto"/>
              </w:rPr>
              <w:t>Number of</w:t>
            </w:r>
          </w:p>
        </w:tc>
        <w:tc>
          <w:tcPr>
            <w:tcW w:w="480" w:type="dxa"/>
            <w:vAlign w:val="bottom"/>
          </w:tcPr>
          <w:p>
            <w:pPr>
              <w:spacing w:after="0"/>
              <w:rPr>
                <w:sz w:val="24"/>
                <w:szCs w:val="24"/>
                <w:color w:val="auto"/>
              </w:rPr>
            </w:pPr>
          </w:p>
        </w:tc>
        <w:tc>
          <w:tcPr>
            <w:tcW w:w="760" w:type="dxa"/>
            <w:vAlign w:val="bottom"/>
          </w:tcPr>
          <w:p>
            <w:pPr>
              <w:jc w:val="right"/>
              <w:ind w:right="250"/>
              <w:spacing w:after="0"/>
              <w:rPr>
                <w:sz w:val="20"/>
                <w:szCs w:val="20"/>
                <w:color w:val="auto"/>
              </w:rPr>
            </w:pPr>
            <w:r>
              <w:rPr>
                <w:rFonts w:ascii="Arial" w:cs="Arial" w:eastAsia="Arial" w:hAnsi="Arial"/>
                <w:sz w:val="18"/>
                <w:szCs w:val="18"/>
                <w:color w:val="auto"/>
              </w:rPr>
              <w:t>5.</w:t>
            </w:r>
          </w:p>
        </w:tc>
        <w:tc>
          <w:tcPr>
            <w:tcW w:w="2720" w:type="dxa"/>
            <w:vAlign w:val="bottom"/>
          </w:tcPr>
          <w:p>
            <w:pPr>
              <w:ind w:left="320"/>
              <w:spacing w:after="0"/>
              <w:rPr>
                <w:sz w:val="20"/>
                <w:szCs w:val="20"/>
                <w:color w:val="auto"/>
              </w:rPr>
            </w:pPr>
            <w:r>
              <w:rPr>
                <w:rFonts w:ascii="Arial" w:cs="Arial" w:eastAsia="Arial" w:hAnsi="Arial"/>
                <w:sz w:val="18"/>
                <w:szCs w:val="18"/>
                <w:color w:val="auto"/>
              </w:rPr>
              <w:t>Sole Voting Power</w:t>
            </w:r>
          </w:p>
        </w:tc>
        <w:tc>
          <w:tcPr>
            <w:tcW w:w="1420" w:type="dxa"/>
            <w:vAlign w:val="bottom"/>
          </w:tcPr>
          <w:p>
            <w:pPr>
              <w:ind w:left="160"/>
              <w:spacing w:after="0"/>
              <w:rPr>
                <w:sz w:val="20"/>
                <w:szCs w:val="20"/>
                <w:color w:val="auto"/>
              </w:rPr>
            </w:pPr>
            <w:r>
              <w:rPr>
                <w:rFonts w:ascii="Arial" w:cs="Arial" w:eastAsia="Arial" w:hAnsi="Arial"/>
                <w:sz w:val="18"/>
                <w:szCs w:val="18"/>
                <w:b w:val="1"/>
                <w:bCs w:val="1"/>
                <w:color w:val="auto"/>
              </w:rPr>
              <w:t>0 shares</w:t>
            </w:r>
          </w:p>
        </w:tc>
        <w:tc>
          <w:tcPr>
            <w:tcW w:w="0" w:type="dxa"/>
            <w:vAlign w:val="bottom"/>
          </w:tcPr>
          <w:p>
            <w:pPr>
              <w:spacing w:after="0"/>
              <w:rPr>
                <w:sz w:val="1"/>
                <w:szCs w:val="1"/>
                <w:color w:val="auto"/>
              </w:rPr>
            </w:pPr>
          </w:p>
        </w:tc>
      </w:tr>
      <w:tr>
        <w:trPr>
          <w:trHeight w:val="148"/>
        </w:trPr>
        <w:tc>
          <w:tcPr>
            <w:tcW w:w="920" w:type="dxa"/>
            <w:vAlign w:val="bottom"/>
            <w:vMerge w:val="continue"/>
          </w:tcPr>
          <w:p>
            <w:pPr>
              <w:spacing w:after="0"/>
              <w:rPr>
                <w:sz w:val="12"/>
                <w:szCs w:val="12"/>
                <w:color w:val="auto"/>
              </w:rPr>
            </w:pPr>
          </w:p>
        </w:tc>
        <w:tc>
          <w:tcPr>
            <w:tcW w:w="4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Shares</w:t>
            </w:r>
          </w:p>
        </w:tc>
        <w:tc>
          <w:tcPr>
            <w:tcW w:w="480" w:type="dxa"/>
            <w:vAlign w:val="bottom"/>
          </w:tcPr>
          <w:p>
            <w:pPr>
              <w:spacing w:after="0"/>
              <w:rPr>
                <w:sz w:val="18"/>
                <w:szCs w:val="18"/>
                <w:color w:val="auto"/>
              </w:rPr>
            </w:pPr>
          </w:p>
        </w:tc>
        <w:tc>
          <w:tcPr>
            <w:tcW w:w="760" w:type="dxa"/>
            <w:vAlign w:val="bottom"/>
            <w:vMerge w:val="restart"/>
          </w:tcPr>
          <w:p>
            <w:pPr>
              <w:jc w:val="right"/>
              <w:ind w:right="250"/>
              <w:spacing w:after="0"/>
              <w:rPr>
                <w:sz w:val="20"/>
                <w:szCs w:val="20"/>
                <w:color w:val="auto"/>
              </w:rPr>
            </w:pPr>
            <w:r>
              <w:rPr>
                <w:rFonts w:ascii="Arial" w:cs="Arial" w:eastAsia="Arial" w:hAnsi="Arial"/>
                <w:sz w:val="18"/>
                <w:szCs w:val="18"/>
                <w:color w:val="auto"/>
              </w:rPr>
              <w:t>6.</w:t>
            </w:r>
          </w:p>
        </w:tc>
        <w:tc>
          <w:tcPr>
            <w:tcW w:w="2720" w:type="dxa"/>
            <w:vAlign w:val="bottom"/>
            <w:vMerge w:val="restart"/>
          </w:tcPr>
          <w:p>
            <w:pPr>
              <w:ind w:left="320"/>
              <w:spacing w:after="0"/>
              <w:rPr>
                <w:sz w:val="20"/>
                <w:szCs w:val="20"/>
                <w:color w:val="auto"/>
              </w:rPr>
            </w:pPr>
            <w:r>
              <w:rPr>
                <w:rFonts w:ascii="Arial" w:cs="Arial" w:eastAsia="Arial" w:hAnsi="Arial"/>
                <w:sz w:val="18"/>
                <w:szCs w:val="18"/>
                <w:color w:val="auto"/>
              </w:rPr>
              <w:t>Shared Voting Power</w:t>
            </w:r>
          </w:p>
        </w:tc>
        <w:tc>
          <w:tcPr>
            <w:tcW w:w="1420" w:type="dxa"/>
            <w:vAlign w:val="bottom"/>
            <w:vMerge w:val="restart"/>
          </w:tcPr>
          <w:p>
            <w:pPr>
              <w:ind w:left="160"/>
              <w:spacing w:after="0"/>
              <w:rPr>
                <w:sz w:val="20"/>
                <w:szCs w:val="20"/>
                <w:color w:val="auto"/>
              </w:rPr>
            </w:pPr>
            <w:r>
              <w:rPr>
                <w:rFonts w:ascii="Arial" w:cs="Arial" w:eastAsia="Arial" w:hAnsi="Arial"/>
                <w:sz w:val="18"/>
                <w:szCs w:val="18"/>
                <w:b w:val="1"/>
                <w:bCs w:val="1"/>
                <w:color w:val="auto"/>
                <w:w w:val="86"/>
              </w:rPr>
              <w:t>6,163,086 shares</w:t>
            </w:r>
          </w:p>
        </w:tc>
        <w:tc>
          <w:tcPr>
            <w:tcW w:w="0" w:type="dxa"/>
            <w:vAlign w:val="bottom"/>
          </w:tcPr>
          <w:p>
            <w:pPr>
              <w:spacing w:after="0"/>
              <w:rPr>
                <w:sz w:val="1"/>
                <w:szCs w:val="1"/>
                <w:color w:val="auto"/>
              </w:rPr>
            </w:pPr>
          </w:p>
        </w:tc>
      </w:tr>
      <w:tr>
        <w:trPr>
          <w:trHeight w:val="109"/>
        </w:trPr>
        <w:tc>
          <w:tcPr>
            <w:tcW w:w="920" w:type="dxa"/>
            <w:vAlign w:val="bottom"/>
            <w:vMerge w:val="restart"/>
          </w:tcPr>
          <w:p>
            <w:pPr>
              <w:spacing w:after="0"/>
              <w:rPr>
                <w:sz w:val="20"/>
                <w:szCs w:val="20"/>
                <w:color w:val="auto"/>
              </w:rPr>
            </w:pPr>
            <w:r>
              <w:rPr>
                <w:rFonts w:ascii="Arial" w:cs="Arial" w:eastAsia="Arial" w:hAnsi="Arial"/>
                <w:sz w:val="18"/>
                <w:szCs w:val="18"/>
                <w:color w:val="auto"/>
                <w:w w:val="98"/>
              </w:rPr>
              <w:t>Beneficially</w:t>
            </w:r>
          </w:p>
        </w:tc>
        <w:tc>
          <w:tcPr>
            <w:tcW w:w="480" w:type="dxa"/>
            <w:vAlign w:val="bottom"/>
          </w:tcPr>
          <w:p>
            <w:pPr>
              <w:spacing w:after="0"/>
              <w:rPr>
                <w:sz w:val="9"/>
                <w:szCs w:val="9"/>
                <w:color w:val="auto"/>
              </w:rPr>
            </w:pPr>
          </w:p>
        </w:tc>
        <w:tc>
          <w:tcPr>
            <w:tcW w:w="760" w:type="dxa"/>
            <w:vAlign w:val="bottom"/>
            <w:vMerge w:val="continue"/>
          </w:tcPr>
          <w:p>
            <w:pPr>
              <w:spacing w:after="0"/>
              <w:rPr>
                <w:sz w:val="9"/>
                <w:szCs w:val="9"/>
                <w:color w:val="auto"/>
              </w:rPr>
            </w:pPr>
          </w:p>
        </w:tc>
        <w:tc>
          <w:tcPr>
            <w:tcW w:w="2720" w:type="dxa"/>
            <w:vAlign w:val="bottom"/>
            <w:vMerge w:val="continue"/>
          </w:tcPr>
          <w:p>
            <w:pPr>
              <w:spacing w:after="0"/>
              <w:rPr>
                <w:sz w:val="9"/>
                <w:szCs w:val="9"/>
                <w:color w:val="auto"/>
              </w:rPr>
            </w:pPr>
          </w:p>
        </w:tc>
        <w:tc>
          <w:tcPr>
            <w:tcW w:w="14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920" w:type="dxa"/>
            <w:vAlign w:val="bottom"/>
            <w:vMerge w:val="continue"/>
          </w:tcPr>
          <w:p>
            <w:pPr>
              <w:spacing w:after="0"/>
              <w:rPr>
                <w:sz w:val="9"/>
                <w:szCs w:val="9"/>
                <w:color w:val="auto"/>
              </w:rPr>
            </w:pPr>
          </w:p>
        </w:tc>
        <w:tc>
          <w:tcPr>
            <w:tcW w:w="480" w:type="dxa"/>
            <w:vAlign w:val="bottom"/>
          </w:tcPr>
          <w:p>
            <w:pPr>
              <w:spacing w:after="0"/>
              <w:rPr>
                <w:sz w:val="9"/>
                <w:szCs w:val="9"/>
                <w:color w:val="auto"/>
              </w:rPr>
            </w:pPr>
          </w:p>
        </w:tc>
        <w:tc>
          <w:tcPr>
            <w:tcW w:w="760" w:type="dxa"/>
            <w:vAlign w:val="bottom"/>
          </w:tcPr>
          <w:p>
            <w:pPr>
              <w:spacing w:after="0"/>
              <w:rPr>
                <w:sz w:val="9"/>
                <w:szCs w:val="9"/>
                <w:color w:val="auto"/>
              </w:rPr>
            </w:pPr>
          </w:p>
        </w:tc>
        <w:tc>
          <w:tcPr>
            <w:tcW w:w="2720" w:type="dxa"/>
            <w:vAlign w:val="bottom"/>
          </w:tcPr>
          <w:p>
            <w:pPr>
              <w:spacing w:after="0"/>
              <w:rPr>
                <w:sz w:val="9"/>
                <w:szCs w:val="9"/>
                <w:color w:val="auto"/>
              </w:rPr>
            </w:pPr>
          </w:p>
        </w:tc>
        <w:tc>
          <w:tcPr>
            <w:tcW w:w="14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Owned by</w:t>
            </w:r>
          </w:p>
        </w:tc>
        <w:tc>
          <w:tcPr>
            <w:tcW w:w="480" w:type="dxa"/>
            <w:vAlign w:val="bottom"/>
          </w:tcPr>
          <w:p>
            <w:pPr>
              <w:spacing w:after="0"/>
              <w:rPr>
                <w:sz w:val="18"/>
                <w:szCs w:val="18"/>
                <w:color w:val="auto"/>
              </w:rPr>
            </w:pPr>
          </w:p>
        </w:tc>
        <w:tc>
          <w:tcPr>
            <w:tcW w:w="760" w:type="dxa"/>
            <w:vAlign w:val="bottom"/>
            <w:vMerge w:val="restart"/>
          </w:tcPr>
          <w:p>
            <w:pPr>
              <w:jc w:val="right"/>
              <w:ind w:right="250"/>
              <w:spacing w:after="0"/>
              <w:rPr>
                <w:sz w:val="20"/>
                <w:szCs w:val="20"/>
                <w:color w:val="auto"/>
              </w:rPr>
            </w:pPr>
            <w:r>
              <w:rPr>
                <w:rFonts w:ascii="Arial" w:cs="Arial" w:eastAsia="Arial" w:hAnsi="Arial"/>
                <w:sz w:val="18"/>
                <w:szCs w:val="18"/>
                <w:color w:val="auto"/>
              </w:rPr>
              <w:t>7.</w:t>
            </w:r>
          </w:p>
        </w:tc>
        <w:tc>
          <w:tcPr>
            <w:tcW w:w="2720" w:type="dxa"/>
            <w:vAlign w:val="bottom"/>
            <w:vMerge w:val="restart"/>
          </w:tcPr>
          <w:p>
            <w:pPr>
              <w:ind w:left="320"/>
              <w:spacing w:after="0"/>
              <w:rPr>
                <w:sz w:val="20"/>
                <w:szCs w:val="20"/>
                <w:color w:val="auto"/>
              </w:rPr>
            </w:pPr>
            <w:r>
              <w:rPr>
                <w:rFonts w:ascii="Arial" w:cs="Arial" w:eastAsia="Arial" w:hAnsi="Arial"/>
                <w:sz w:val="18"/>
                <w:szCs w:val="18"/>
                <w:color w:val="auto"/>
              </w:rPr>
              <w:t>Sole Dispositive Power</w:t>
            </w:r>
          </w:p>
        </w:tc>
        <w:tc>
          <w:tcPr>
            <w:tcW w:w="1420" w:type="dxa"/>
            <w:vAlign w:val="bottom"/>
            <w:vMerge w:val="restart"/>
          </w:tcPr>
          <w:p>
            <w:pPr>
              <w:ind w:left="160"/>
              <w:spacing w:after="0"/>
              <w:rPr>
                <w:sz w:val="20"/>
                <w:szCs w:val="20"/>
                <w:color w:val="auto"/>
              </w:rPr>
            </w:pPr>
            <w:r>
              <w:rPr>
                <w:rFonts w:ascii="Arial" w:cs="Arial" w:eastAsia="Arial" w:hAnsi="Arial"/>
                <w:sz w:val="18"/>
                <w:szCs w:val="18"/>
                <w:b w:val="1"/>
                <w:bCs w:val="1"/>
                <w:color w:val="auto"/>
              </w:rPr>
              <w:t>0 shares</w:t>
            </w:r>
          </w:p>
        </w:tc>
        <w:tc>
          <w:tcPr>
            <w:tcW w:w="0" w:type="dxa"/>
            <w:vAlign w:val="bottom"/>
          </w:tcPr>
          <w:p>
            <w:pPr>
              <w:spacing w:after="0"/>
              <w:rPr>
                <w:sz w:val="1"/>
                <w:szCs w:val="1"/>
                <w:color w:val="auto"/>
              </w:rPr>
            </w:pPr>
          </w:p>
        </w:tc>
      </w:tr>
      <w:tr>
        <w:trPr>
          <w:trHeight w:val="149"/>
        </w:trPr>
        <w:tc>
          <w:tcPr>
            <w:tcW w:w="1400" w:type="dxa"/>
            <w:vAlign w:val="bottom"/>
            <w:gridSpan w:val="2"/>
            <w:vMerge w:val="restart"/>
          </w:tcPr>
          <w:p>
            <w:pPr>
              <w:spacing w:after="0"/>
              <w:rPr>
                <w:sz w:val="20"/>
                <w:szCs w:val="20"/>
                <w:color w:val="auto"/>
              </w:rPr>
            </w:pPr>
            <w:r>
              <w:rPr>
                <w:rFonts w:ascii="Arial" w:cs="Arial" w:eastAsia="Arial" w:hAnsi="Arial"/>
                <w:sz w:val="18"/>
                <w:szCs w:val="18"/>
                <w:color w:val="auto"/>
              </w:rPr>
              <w:t>Each Reporting</w:t>
            </w:r>
          </w:p>
        </w:tc>
        <w:tc>
          <w:tcPr>
            <w:tcW w:w="760" w:type="dxa"/>
            <w:vAlign w:val="bottom"/>
            <w:vMerge w:val="continue"/>
          </w:tcPr>
          <w:p>
            <w:pPr>
              <w:spacing w:after="0"/>
              <w:rPr>
                <w:sz w:val="12"/>
                <w:szCs w:val="12"/>
                <w:color w:val="auto"/>
              </w:rPr>
            </w:pPr>
          </w:p>
        </w:tc>
        <w:tc>
          <w:tcPr>
            <w:tcW w:w="2720" w:type="dxa"/>
            <w:vAlign w:val="bottom"/>
            <w:vMerge w:val="continue"/>
          </w:tcPr>
          <w:p>
            <w:pPr>
              <w:spacing w:after="0"/>
              <w:rPr>
                <w:sz w:val="12"/>
                <w:szCs w:val="12"/>
                <w:color w:val="auto"/>
              </w:rPr>
            </w:pPr>
          </w:p>
        </w:tc>
        <w:tc>
          <w:tcPr>
            <w:tcW w:w="14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67"/>
        </w:trPr>
        <w:tc>
          <w:tcPr>
            <w:tcW w:w="1400" w:type="dxa"/>
            <w:vAlign w:val="bottom"/>
            <w:gridSpan w:val="2"/>
            <w:vMerge w:val="continue"/>
          </w:tcPr>
          <w:p>
            <w:pPr>
              <w:spacing w:after="0"/>
              <w:rPr>
                <w:sz w:val="5"/>
                <w:szCs w:val="5"/>
                <w:color w:val="auto"/>
              </w:rPr>
            </w:pPr>
          </w:p>
        </w:tc>
        <w:tc>
          <w:tcPr>
            <w:tcW w:w="760" w:type="dxa"/>
            <w:vAlign w:val="bottom"/>
          </w:tcPr>
          <w:p>
            <w:pPr>
              <w:spacing w:after="0"/>
              <w:rPr>
                <w:sz w:val="5"/>
                <w:szCs w:val="5"/>
                <w:color w:val="auto"/>
              </w:rPr>
            </w:pPr>
          </w:p>
        </w:tc>
        <w:tc>
          <w:tcPr>
            <w:tcW w:w="2720" w:type="dxa"/>
            <w:vAlign w:val="bottom"/>
          </w:tcPr>
          <w:p>
            <w:pPr>
              <w:spacing w:after="0"/>
              <w:rPr>
                <w:sz w:val="5"/>
                <w:szCs w:val="5"/>
                <w:color w:val="auto"/>
              </w:rPr>
            </w:pPr>
          </w:p>
        </w:tc>
        <w:tc>
          <w:tcPr>
            <w:tcW w:w="14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30"/>
        </w:trPr>
        <w:tc>
          <w:tcPr>
            <w:tcW w:w="920" w:type="dxa"/>
            <w:vAlign w:val="bottom"/>
          </w:tcPr>
          <w:p>
            <w:pPr>
              <w:spacing w:after="0"/>
              <w:rPr>
                <w:sz w:val="20"/>
                <w:szCs w:val="20"/>
                <w:color w:val="auto"/>
              </w:rPr>
            </w:pPr>
            <w:r>
              <w:rPr>
                <w:rFonts w:ascii="Arial" w:cs="Arial" w:eastAsia="Arial" w:hAnsi="Arial"/>
                <w:sz w:val="18"/>
                <w:szCs w:val="18"/>
                <w:color w:val="auto"/>
                <w:w w:val="91"/>
              </w:rPr>
              <w:t>Person With</w:t>
            </w:r>
          </w:p>
        </w:tc>
        <w:tc>
          <w:tcPr>
            <w:tcW w:w="480" w:type="dxa"/>
            <w:vAlign w:val="bottom"/>
          </w:tcPr>
          <w:p>
            <w:pPr>
              <w:spacing w:after="0"/>
              <w:rPr>
                <w:sz w:val="20"/>
                <w:szCs w:val="20"/>
                <w:color w:val="auto"/>
              </w:rPr>
            </w:pPr>
          </w:p>
        </w:tc>
        <w:tc>
          <w:tcPr>
            <w:tcW w:w="760" w:type="dxa"/>
            <w:vAlign w:val="bottom"/>
            <w:vMerge w:val="restart"/>
          </w:tcPr>
          <w:p>
            <w:pPr>
              <w:jc w:val="right"/>
              <w:ind w:right="250"/>
              <w:spacing w:after="0"/>
              <w:rPr>
                <w:sz w:val="20"/>
                <w:szCs w:val="20"/>
                <w:color w:val="auto"/>
              </w:rPr>
            </w:pPr>
            <w:r>
              <w:rPr>
                <w:rFonts w:ascii="Arial" w:cs="Arial" w:eastAsia="Arial" w:hAnsi="Arial"/>
                <w:sz w:val="18"/>
                <w:szCs w:val="18"/>
                <w:color w:val="auto"/>
              </w:rPr>
              <w:t>8.</w:t>
            </w:r>
          </w:p>
        </w:tc>
        <w:tc>
          <w:tcPr>
            <w:tcW w:w="2720" w:type="dxa"/>
            <w:vAlign w:val="bottom"/>
            <w:vMerge w:val="restart"/>
          </w:tcPr>
          <w:p>
            <w:pPr>
              <w:ind w:left="320"/>
              <w:spacing w:after="0"/>
              <w:rPr>
                <w:sz w:val="20"/>
                <w:szCs w:val="20"/>
                <w:color w:val="auto"/>
              </w:rPr>
            </w:pPr>
            <w:r>
              <w:rPr>
                <w:rFonts w:ascii="Arial" w:cs="Arial" w:eastAsia="Arial" w:hAnsi="Arial"/>
                <w:sz w:val="18"/>
                <w:szCs w:val="18"/>
                <w:color w:val="auto"/>
              </w:rPr>
              <w:t>Shared Dispositive Power</w:t>
            </w:r>
          </w:p>
        </w:tc>
        <w:tc>
          <w:tcPr>
            <w:tcW w:w="1420" w:type="dxa"/>
            <w:vAlign w:val="bottom"/>
            <w:vMerge w:val="restart"/>
          </w:tcPr>
          <w:p>
            <w:pPr>
              <w:ind w:left="140"/>
              <w:spacing w:after="0"/>
              <w:rPr>
                <w:sz w:val="20"/>
                <w:szCs w:val="20"/>
                <w:color w:val="auto"/>
              </w:rPr>
            </w:pPr>
            <w:r>
              <w:rPr>
                <w:rFonts w:ascii="Arial" w:cs="Arial" w:eastAsia="Arial" w:hAnsi="Arial"/>
                <w:sz w:val="18"/>
                <w:szCs w:val="18"/>
                <w:b w:val="1"/>
                <w:bCs w:val="1"/>
                <w:color w:val="auto"/>
                <w:w w:val="88"/>
              </w:rPr>
              <w:t>6,163,086 shares</w:t>
            </w:r>
          </w:p>
        </w:tc>
        <w:tc>
          <w:tcPr>
            <w:tcW w:w="0" w:type="dxa"/>
            <w:vAlign w:val="bottom"/>
          </w:tcPr>
          <w:p>
            <w:pPr>
              <w:spacing w:after="0"/>
              <w:rPr>
                <w:sz w:val="1"/>
                <w:szCs w:val="1"/>
                <w:color w:val="auto"/>
              </w:rPr>
            </w:pPr>
          </w:p>
        </w:tc>
      </w:tr>
      <w:tr>
        <w:trPr>
          <w:trHeight w:val="176"/>
        </w:trPr>
        <w:tc>
          <w:tcPr>
            <w:tcW w:w="9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2720" w:type="dxa"/>
            <w:vAlign w:val="bottom"/>
            <w:vMerge w:val="continue"/>
          </w:tcPr>
          <w:p>
            <w:pPr>
              <w:spacing w:after="0"/>
              <w:rPr>
                <w:sz w:val="15"/>
                <w:szCs w:val="15"/>
                <w:color w:val="auto"/>
              </w:rPr>
            </w:pPr>
          </w:p>
        </w:tc>
        <w:tc>
          <w:tcPr>
            <w:tcW w:w="14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445"/>
        </w:trPr>
        <w:tc>
          <w:tcPr>
            <w:tcW w:w="920" w:type="dxa"/>
            <w:vAlign w:val="bottom"/>
            <w:vMerge w:val="restart"/>
          </w:tcPr>
          <w:p>
            <w:pPr>
              <w:ind w:left="240"/>
              <w:spacing w:after="0"/>
              <w:rPr>
                <w:sz w:val="20"/>
                <w:szCs w:val="20"/>
                <w:color w:val="auto"/>
              </w:rPr>
            </w:pPr>
            <w:r>
              <w:rPr>
                <w:rFonts w:ascii="Arial" w:cs="Arial" w:eastAsia="Arial" w:hAnsi="Arial"/>
                <w:sz w:val="18"/>
                <w:szCs w:val="18"/>
                <w:color w:val="auto"/>
              </w:rPr>
              <w:t>9.</w:t>
            </w:r>
          </w:p>
        </w:tc>
        <w:tc>
          <w:tcPr>
            <w:tcW w:w="5380" w:type="dxa"/>
            <w:vAlign w:val="bottom"/>
            <w:gridSpan w:val="4"/>
          </w:tcPr>
          <w:p>
            <w:pPr>
              <w:ind w:left="100"/>
              <w:spacing w:after="0"/>
              <w:rPr>
                <w:sz w:val="20"/>
                <w:szCs w:val="20"/>
                <w:color w:val="auto"/>
              </w:rPr>
            </w:pPr>
            <w:r>
              <w:rPr>
                <w:rFonts w:ascii="Arial" w:cs="Arial" w:eastAsia="Arial" w:hAnsi="Arial"/>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216"/>
        </w:trPr>
        <w:tc>
          <w:tcPr>
            <w:tcW w:w="920" w:type="dxa"/>
            <w:vAlign w:val="bottom"/>
            <w:vMerge w:val="continue"/>
          </w:tcPr>
          <w:p>
            <w:pPr>
              <w:spacing w:after="0"/>
              <w:rPr>
                <w:sz w:val="18"/>
                <w:szCs w:val="18"/>
                <w:color w:val="auto"/>
              </w:rPr>
            </w:pPr>
          </w:p>
        </w:tc>
        <w:tc>
          <w:tcPr>
            <w:tcW w:w="480" w:type="dxa"/>
            <w:vAlign w:val="bottom"/>
          </w:tcPr>
          <w:p>
            <w:pPr>
              <w:spacing w:after="0"/>
              <w:rPr>
                <w:sz w:val="18"/>
                <w:szCs w:val="18"/>
                <w:color w:val="auto"/>
              </w:rPr>
            </w:pPr>
          </w:p>
        </w:tc>
        <w:tc>
          <w:tcPr>
            <w:tcW w:w="3480" w:type="dxa"/>
            <w:vAlign w:val="bottom"/>
            <w:gridSpan w:val="2"/>
            <w:vMerge w:val="restart"/>
          </w:tcPr>
          <w:p>
            <w:pPr>
              <w:jc w:val="center"/>
              <w:ind w:right="1610"/>
              <w:spacing w:after="0"/>
              <w:rPr>
                <w:sz w:val="20"/>
                <w:szCs w:val="20"/>
                <w:color w:val="auto"/>
              </w:rPr>
            </w:pPr>
            <w:r>
              <w:rPr>
                <w:rFonts w:ascii="Arial" w:cs="Arial" w:eastAsia="Arial" w:hAnsi="Arial"/>
                <w:sz w:val="18"/>
                <w:szCs w:val="18"/>
                <w:b w:val="1"/>
                <w:bCs w:val="1"/>
                <w:color w:val="auto"/>
                <w:w w:val="88"/>
              </w:rPr>
              <w:t>6,163,086 shares</w:t>
            </w: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480" w:type="dxa"/>
            <w:vAlign w:val="bottom"/>
            <w:gridSpan w:val="2"/>
            <w:vMerge w:val="continue"/>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88"/>
        </w:trPr>
        <w:tc>
          <w:tcPr>
            <w:tcW w:w="920" w:type="dxa"/>
            <w:vAlign w:val="bottom"/>
          </w:tcPr>
          <w:p>
            <w:pPr>
              <w:spacing w:after="0"/>
              <w:rPr>
                <w:sz w:val="24"/>
                <w:szCs w:val="24"/>
                <w:color w:val="auto"/>
              </w:rPr>
            </w:pPr>
          </w:p>
        </w:tc>
        <w:tc>
          <w:tcPr>
            <w:tcW w:w="3960" w:type="dxa"/>
            <w:vAlign w:val="bottom"/>
            <w:gridSpan w:val="3"/>
          </w:tcPr>
          <w:p>
            <w:pPr>
              <w:ind w:left="100"/>
              <w:spacing w:after="0"/>
              <w:rPr>
                <w:sz w:val="20"/>
                <w:szCs w:val="20"/>
                <w:color w:val="auto"/>
              </w:rPr>
            </w:pPr>
            <w:r>
              <w:rPr>
                <w:rFonts w:ascii="Arial" w:cs="Arial" w:eastAsia="Arial" w:hAnsi="Arial"/>
                <w:sz w:val="18"/>
                <w:szCs w:val="18"/>
                <w:color w:val="auto"/>
                <w:w w:val="92"/>
              </w:rPr>
              <w:t>Check if the Aggregate Amount in Row (9) Excludes</w:t>
            </w:r>
          </w:p>
        </w:tc>
        <w:tc>
          <w:tcPr>
            <w:tcW w:w="1420" w:type="dxa"/>
            <w:vAlign w:val="bottom"/>
          </w:tcPr>
          <w:p>
            <w:pPr>
              <w:ind w:left="100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bl>
    <w:p>
      <w:pPr>
        <w:ind w:left="1080" w:hanging="789"/>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Certain Shares (See Instructions)</w:t>
      </w:r>
    </w:p>
    <w:p>
      <w:pPr>
        <w:spacing w:after="0" w:line="180" w:lineRule="exact"/>
        <w:rPr>
          <w:rFonts w:ascii="Arial" w:cs="Arial" w:eastAsia="Arial" w:hAnsi="Arial"/>
          <w:sz w:val="18"/>
          <w:szCs w:val="18"/>
          <w:color w:val="auto"/>
        </w:rPr>
      </w:pPr>
    </w:p>
    <w:p>
      <w:pPr>
        <w:ind w:left="1080"/>
        <w:spacing w:after="0"/>
        <w:rPr>
          <w:rFonts w:ascii="Arial" w:cs="Arial" w:eastAsia="Arial" w:hAnsi="Arial"/>
          <w:sz w:val="18"/>
          <w:szCs w:val="18"/>
          <w:color w:val="auto"/>
        </w:rPr>
      </w:pPr>
      <w:r>
        <w:rPr>
          <w:rFonts w:ascii="Arial" w:cs="Arial" w:eastAsia="Arial" w:hAnsi="Arial"/>
          <w:sz w:val="18"/>
          <w:szCs w:val="18"/>
          <w:color w:val="auto"/>
        </w:rPr>
        <w:t>Percent of Class Represented by Amount in Row (9)</w:t>
      </w:r>
    </w:p>
    <w:p>
      <w:pPr>
        <w:ind w:left="1080" w:hanging="789"/>
        <w:spacing w:after="0" w:line="194" w:lineRule="auto"/>
        <w:tabs>
          <w:tab w:leader="none" w:pos="1080" w:val="left"/>
        </w:tabs>
        <w:numPr>
          <w:ilvl w:val="0"/>
          <w:numId w:val="13"/>
        </w:numPr>
        <w:rPr>
          <w:rFonts w:ascii="Arial" w:cs="Arial" w:eastAsia="Arial" w:hAnsi="Arial"/>
          <w:sz w:val="36"/>
          <w:szCs w:val="36"/>
          <w:color w:val="auto"/>
          <w:vertAlign w:val="superscript"/>
        </w:rPr>
      </w:pPr>
      <w:r>
        <w:rPr>
          <w:rFonts w:ascii="Arial" w:cs="Arial" w:eastAsia="Arial" w:hAnsi="Arial"/>
          <w:sz w:val="35"/>
          <w:szCs w:val="35"/>
          <w:b w:val="1"/>
          <w:bCs w:val="1"/>
          <w:color w:val="auto"/>
          <w:vertAlign w:val="subscript"/>
        </w:rPr>
        <w:t>6.8%</w:t>
      </w:r>
      <w:r>
        <w:rPr>
          <w:rFonts w:ascii="Arial" w:cs="Arial" w:eastAsia="Arial" w:hAnsi="Arial"/>
          <w:sz w:val="15"/>
          <w:szCs w:val="15"/>
          <w:b w:val="1"/>
          <w:bCs w:val="1"/>
          <w:color w:val="auto"/>
        </w:rPr>
        <w:t>1</w:t>
      </w:r>
    </w:p>
    <w:p>
      <w:pPr>
        <w:spacing w:after="0" w:line="120" w:lineRule="exact"/>
        <w:rPr>
          <w:rFonts w:ascii="Arial" w:cs="Arial" w:eastAsia="Arial" w:hAnsi="Arial"/>
          <w:sz w:val="36"/>
          <w:szCs w:val="36"/>
          <w:color w:val="auto"/>
          <w:vertAlign w:val="superscript"/>
        </w:rPr>
      </w:pPr>
    </w:p>
    <w:p>
      <w:pPr>
        <w:ind w:left="1080" w:hanging="789"/>
        <w:spacing w:after="0" w:line="197" w:lineRule="auto"/>
        <w:tabs>
          <w:tab w:leader="none" w:pos="1080" w:val="left"/>
        </w:tabs>
        <w:numPr>
          <w:ilvl w:val="0"/>
          <w:numId w:val="13"/>
        </w:numPr>
        <w:rPr>
          <w:rFonts w:ascii="Arial" w:cs="Arial" w:eastAsia="Arial" w:hAnsi="Arial"/>
          <w:sz w:val="36"/>
          <w:szCs w:val="36"/>
          <w:color w:val="auto"/>
          <w:vertAlign w:val="subscript"/>
        </w:rPr>
      </w:pPr>
      <w:r>
        <w:rPr>
          <w:rFonts w:ascii="Arial" w:cs="Arial" w:eastAsia="Arial" w:hAnsi="Arial"/>
          <w:sz w:val="18"/>
          <w:szCs w:val="18"/>
          <w:color w:val="auto"/>
        </w:rPr>
        <w:t>Type of Reporting Person (See Instructions)</w:t>
      </w:r>
    </w:p>
    <w:p>
      <w:pPr>
        <w:spacing w:after="0" w:line="1" w:lineRule="exact"/>
        <w:rPr>
          <w:rFonts w:ascii="Arial" w:cs="Arial" w:eastAsia="Arial" w:hAnsi="Arial"/>
          <w:sz w:val="36"/>
          <w:szCs w:val="36"/>
          <w:color w:val="auto"/>
          <w:vertAlign w:val="subscript"/>
        </w:rPr>
      </w:pPr>
    </w:p>
    <w:p>
      <w:pPr>
        <w:ind w:left="1080"/>
        <w:spacing w:after="0"/>
        <w:rPr>
          <w:rFonts w:ascii="Arial" w:cs="Arial" w:eastAsia="Arial" w:hAnsi="Arial"/>
          <w:sz w:val="36"/>
          <w:szCs w:val="36"/>
          <w:color w:val="auto"/>
          <w:vertAlign w:val="subscript"/>
        </w:rPr>
      </w:pPr>
      <w:r>
        <w:rPr>
          <w:rFonts w:ascii="Arial" w:cs="Arial" w:eastAsia="Arial" w:hAnsi="Arial"/>
          <w:sz w:val="18"/>
          <w:szCs w:val="18"/>
          <w:b w:val="1"/>
          <w:bCs w:val="1"/>
          <w:color w:val="auto"/>
        </w:rPr>
        <w:t>HC,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287655</wp:posOffset>
            </wp:positionV>
            <wp:extent cx="178308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0" w:lineRule="exact"/>
        <w:rPr>
          <w:sz w:val="20"/>
          <w:szCs w:val="20"/>
          <w:color w:val="auto"/>
        </w:rPr>
      </w:pPr>
    </w:p>
    <w:p>
      <w:pPr>
        <w:spacing w:after="0" w:line="300" w:lineRule="exact"/>
        <w:rPr>
          <w:sz w:val="20"/>
          <w:szCs w:val="20"/>
          <w:color w:val="auto"/>
        </w:rPr>
      </w:pPr>
    </w:p>
    <w:p>
      <w:pPr>
        <w:ind w:firstLine="8"/>
        <w:spacing w:after="0" w:line="194" w:lineRule="auto"/>
        <w:tabs>
          <w:tab w:leader="none" w:pos="120" w:val="left"/>
        </w:tabs>
        <w:numPr>
          <w:ilvl w:val="0"/>
          <w:numId w:val="14"/>
        </w:numPr>
        <w:rPr>
          <w:rFonts w:ascii="Arial" w:cs="Arial" w:eastAsia="Arial" w:hAnsi="Arial"/>
          <w:sz w:val="30"/>
          <w:szCs w:val="30"/>
          <w:color w:val="auto"/>
          <w:vertAlign w:val="superscript"/>
        </w:rPr>
      </w:pPr>
      <w:r>
        <w:rPr>
          <w:rFonts w:ascii="Arial" w:cs="Arial" w:eastAsia="Arial" w:hAnsi="Arial"/>
          <w:sz w:val="18"/>
          <w:szCs w:val="18"/>
          <w:color w:val="auto"/>
        </w:rPr>
        <w:t>The percentage calculation assumes that there are currently 90,248,465 outstanding shares of Common Stock of the Issuer, based on the Issuer's Form 10-Q as filed with the Securities and Exchange Commission ("SEC") on November 5,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437515</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904" w:right="37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4"/>
        </w:trPr>
        <w:tc>
          <w:tcPr>
            <w:tcW w:w="4980" w:type="dxa"/>
            <w:vAlign w:val="bottom"/>
          </w:tcPr>
          <w:p>
            <w:pPr>
              <w:spacing w:after="0"/>
              <w:rPr>
                <w:sz w:val="20"/>
                <w:szCs w:val="20"/>
                <w:color w:val="auto"/>
              </w:rPr>
            </w:pPr>
            <w:r>
              <w:rPr>
                <w:rFonts w:ascii="Arial" w:cs="Arial" w:eastAsia="Arial" w:hAnsi="Arial"/>
                <w:sz w:val="18"/>
                <w:szCs w:val="18"/>
                <w:color w:val="auto"/>
              </w:rPr>
              <w:t xml:space="preserve">CUSIP No. </w:t>
            </w:r>
            <w:r>
              <w:rPr>
                <w:rFonts w:ascii="Arial" w:cs="Arial" w:eastAsia="Arial" w:hAnsi="Arial"/>
                <w:sz w:val="18"/>
                <w:szCs w:val="18"/>
                <w:b w:val="1"/>
                <w:bCs w:val="1"/>
                <w:color w:val="auto"/>
              </w:rPr>
              <w:t>039697107</w:t>
            </w:r>
          </w:p>
        </w:tc>
        <w:tc>
          <w:tcPr>
            <w:tcW w:w="3620" w:type="dxa"/>
            <w:vAlign w:val="bottom"/>
          </w:tcPr>
          <w:p>
            <w:pPr>
              <w:ind w:left="3300"/>
              <w:spacing w:after="0"/>
              <w:rPr>
                <w:sz w:val="20"/>
                <w:szCs w:val="20"/>
                <w:color w:val="auto"/>
              </w:rPr>
            </w:pPr>
            <w:r>
              <w:rPr>
                <w:rFonts w:ascii="Arial" w:cs="Arial" w:eastAsia="Arial" w:hAnsi="Arial"/>
                <w:sz w:val="18"/>
                <w:szCs w:val="18"/>
                <w:b w:val="1"/>
                <w:bCs w:val="1"/>
                <w:color w:val="auto"/>
                <w:w w:val="88"/>
              </w:rPr>
              <w:t>13G</w:t>
            </w:r>
          </w:p>
        </w:tc>
      </w:tr>
    </w:tbl>
    <w:p>
      <w:pPr>
        <w:spacing w:after="0" w:line="215" w:lineRule="exact"/>
        <w:rPr>
          <w:sz w:val="20"/>
          <w:szCs w:val="20"/>
          <w:color w:val="auto"/>
        </w:rPr>
      </w:pPr>
    </w:p>
    <w:p>
      <w:pPr>
        <w:ind w:left="1020" w:hanging="756"/>
        <w:spacing w:after="0"/>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Names of Reporting Persons.</w:t>
      </w:r>
    </w:p>
    <w:p>
      <w:pPr>
        <w:spacing w:after="0" w:line="23" w:lineRule="exact"/>
        <w:rPr>
          <w:rFonts w:ascii="Arial" w:cs="Arial" w:eastAsia="Arial" w:hAnsi="Arial"/>
          <w:sz w:val="18"/>
          <w:szCs w:val="18"/>
          <w:color w:val="auto"/>
        </w:rPr>
      </w:pPr>
    </w:p>
    <w:p>
      <w:pPr>
        <w:ind w:left="1020"/>
        <w:spacing w:after="0"/>
        <w:rPr>
          <w:rFonts w:ascii="Arial" w:cs="Arial" w:eastAsia="Arial" w:hAnsi="Arial"/>
          <w:sz w:val="18"/>
          <w:szCs w:val="18"/>
          <w:color w:val="auto"/>
        </w:rPr>
      </w:pPr>
      <w:r>
        <w:rPr>
          <w:rFonts w:ascii="Arial" w:cs="Arial" w:eastAsia="Arial" w:hAnsi="Arial"/>
          <w:sz w:val="18"/>
          <w:szCs w:val="18"/>
          <w:color w:val="auto"/>
        </w:rPr>
        <w:t>I.R.S. Identification Nos. of above persons (entities only).</w:t>
      </w:r>
    </w:p>
    <w:p>
      <w:pPr>
        <w:spacing w:after="0" w:line="207" w:lineRule="exact"/>
        <w:rPr>
          <w:sz w:val="20"/>
          <w:szCs w:val="20"/>
          <w:color w:val="auto"/>
        </w:rPr>
      </w:pPr>
    </w:p>
    <w:p>
      <w:pPr>
        <w:ind w:left="1340"/>
        <w:spacing w:after="0"/>
        <w:rPr>
          <w:sz w:val="20"/>
          <w:szCs w:val="20"/>
          <w:color w:val="auto"/>
        </w:rPr>
      </w:pPr>
      <w:r>
        <w:rPr>
          <w:rFonts w:ascii="Arial" w:cs="Arial" w:eastAsia="Arial" w:hAnsi="Arial"/>
          <w:sz w:val="18"/>
          <w:szCs w:val="18"/>
          <w:b w:val="1"/>
          <w:bCs w:val="1"/>
          <w:color w:val="auto"/>
        </w:rPr>
        <w:t>RA Capital Healthcare Fund, L.P.</w:t>
      </w:r>
    </w:p>
    <w:p>
      <w:pPr>
        <w:spacing w:after="0" w:line="283" w:lineRule="exact"/>
        <w:rPr>
          <w:sz w:val="20"/>
          <w:szCs w:val="20"/>
          <w:color w:val="auto"/>
        </w:rPr>
      </w:pPr>
    </w:p>
    <w:p>
      <w:pPr>
        <w:ind w:left="1020" w:hanging="756"/>
        <w:spacing w:after="0"/>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23" w:lineRule="exact"/>
        <w:rPr>
          <w:rFonts w:ascii="Arial" w:cs="Arial" w:eastAsia="Arial" w:hAnsi="Arial"/>
          <w:sz w:val="18"/>
          <w:szCs w:val="18"/>
          <w:color w:val="auto"/>
        </w:rPr>
      </w:pPr>
    </w:p>
    <w:p>
      <w:pPr>
        <w:ind w:left="1440" w:hanging="420"/>
        <w:spacing w:after="0" w:line="207" w:lineRule="exact"/>
        <w:tabs>
          <w:tab w:leader="none" w:pos="1440" w:val="left"/>
        </w:tabs>
        <w:numPr>
          <w:ilvl w:val="1"/>
          <w:numId w:val="16"/>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37" w:lineRule="exact"/>
        <w:rPr>
          <w:rFonts w:ascii="Arial" w:cs="Arial" w:eastAsia="Arial" w:hAnsi="Arial"/>
          <w:sz w:val="18"/>
          <w:szCs w:val="18"/>
          <w:color w:val="auto"/>
        </w:rPr>
      </w:pPr>
    </w:p>
    <w:p>
      <w:pPr>
        <w:ind w:left="1460" w:hanging="440"/>
        <w:spacing w:after="0" w:line="207" w:lineRule="exact"/>
        <w:tabs>
          <w:tab w:leader="none" w:pos="1460" w:val="left"/>
        </w:tabs>
        <w:numPr>
          <w:ilvl w:val="1"/>
          <w:numId w:val="16"/>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249" w:lineRule="exact"/>
        <w:rPr>
          <w:rFonts w:ascii="Arial" w:cs="Arial" w:eastAsia="Arial" w:hAnsi="Arial"/>
          <w:sz w:val="18"/>
          <w:szCs w:val="18"/>
          <w:color w:val="auto"/>
        </w:rPr>
      </w:pPr>
    </w:p>
    <w:p>
      <w:pPr>
        <w:ind w:left="1020" w:hanging="756"/>
        <w:spacing w:after="0"/>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62"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920" w:type="dxa"/>
            <w:vAlign w:val="bottom"/>
          </w:tcPr>
          <w:p>
            <w:pPr>
              <w:ind w:left="200"/>
              <w:spacing w:after="0"/>
              <w:rPr>
                <w:sz w:val="20"/>
                <w:szCs w:val="20"/>
                <w:color w:val="auto"/>
              </w:rPr>
            </w:pPr>
            <w:r>
              <w:rPr>
                <w:rFonts w:ascii="Arial" w:cs="Arial" w:eastAsia="Arial" w:hAnsi="Arial"/>
                <w:sz w:val="18"/>
                <w:szCs w:val="18"/>
                <w:color w:val="auto"/>
              </w:rPr>
              <w:t>4.</w:t>
            </w:r>
          </w:p>
        </w:tc>
        <w:tc>
          <w:tcPr>
            <w:tcW w:w="3960" w:type="dxa"/>
            <w:vAlign w:val="bottom"/>
            <w:gridSpan w:val="3"/>
          </w:tcPr>
          <w:p>
            <w:pPr>
              <w:jc w:val="center"/>
              <w:ind w:right="1170"/>
              <w:spacing w:after="0"/>
              <w:rPr>
                <w:sz w:val="20"/>
                <w:szCs w:val="20"/>
                <w:color w:val="auto"/>
              </w:rPr>
            </w:pPr>
            <w:r>
              <w:rPr>
                <w:rFonts w:ascii="Arial" w:cs="Arial" w:eastAsia="Arial" w:hAnsi="Arial"/>
                <w:sz w:val="18"/>
                <w:szCs w:val="18"/>
                <w:color w:val="auto"/>
                <w:w w:val="91"/>
              </w:rPr>
              <w:t>Citizenship or Place of Organization</w:t>
            </w:r>
          </w:p>
        </w:tc>
        <w:tc>
          <w:tcPr>
            <w:tcW w:w="1400" w:type="dxa"/>
            <w:vAlign w:val="bottom"/>
          </w:tcPr>
          <w:p>
            <w:pPr>
              <w:spacing w:after="0"/>
              <w:rPr>
                <w:sz w:val="20"/>
                <w:szCs w:val="20"/>
                <w:color w:val="auto"/>
              </w:rPr>
            </w:pPr>
            <w:r>
              <w:rPr>
                <w:rFonts w:ascii="Arial" w:cs="Arial" w:eastAsia="Arial" w:hAnsi="Arial"/>
                <w:sz w:val="18"/>
                <w:szCs w:val="18"/>
                <w:b w:val="1"/>
                <w:bCs w:val="1"/>
                <w:color w:val="auto"/>
              </w:rPr>
              <w:t>Delaware</w:t>
            </w:r>
          </w:p>
        </w:tc>
        <w:tc>
          <w:tcPr>
            <w:tcW w:w="0" w:type="dxa"/>
            <w:vAlign w:val="bottom"/>
          </w:tcPr>
          <w:p>
            <w:pPr>
              <w:spacing w:after="0"/>
              <w:rPr>
                <w:sz w:val="1"/>
                <w:szCs w:val="1"/>
                <w:color w:val="auto"/>
              </w:rPr>
            </w:pPr>
          </w:p>
        </w:tc>
      </w:tr>
      <w:tr>
        <w:trPr>
          <w:trHeight w:val="446"/>
        </w:trPr>
        <w:tc>
          <w:tcPr>
            <w:tcW w:w="920" w:type="dxa"/>
            <w:vAlign w:val="bottom"/>
            <w:vMerge w:val="restart"/>
          </w:tcPr>
          <w:p>
            <w:pPr>
              <w:spacing w:after="0"/>
              <w:rPr>
                <w:sz w:val="20"/>
                <w:szCs w:val="20"/>
                <w:color w:val="auto"/>
              </w:rPr>
            </w:pPr>
            <w:r>
              <w:rPr>
                <w:rFonts w:ascii="Arial" w:cs="Arial" w:eastAsia="Arial" w:hAnsi="Arial"/>
                <w:sz w:val="18"/>
                <w:szCs w:val="18"/>
                <w:color w:val="auto"/>
              </w:rPr>
              <w:t>Number of</w:t>
            </w:r>
          </w:p>
        </w:tc>
        <w:tc>
          <w:tcPr>
            <w:tcW w:w="480" w:type="dxa"/>
            <w:vAlign w:val="bottom"/>
          </w:tcPr>
          <w:p>
            <w:pPr>
              <w:spacing w:after="0"/>
              <w:rPr>
                <w:sz w:val="24"/>
                <w:szCs w:val="24"/>
                <w:color w:val="auto"/>
              </w:rPr>
            </w:pPr>
          </w:p>
        </w:tc>
        <w:tc>
          <w:tcPr>
            <w:tcW w:w="760" w:type="dxa"/>
            <w:vAlign w:val="bottom"/>
          </w:tcPr>
          <w:p>
            <w:pPr>
              <w:jc w:val="right"/>
              <w:ind w:right="250"/>
              <w:spacing w:after="0"/>
              <w:rPr>
                <w:sz w:val="20"/>
                <w:szCs w:val="20"/>
                <w:color w:val="auto"/>
              </w:rPr>
            </w:pPr>
            <w:r>
              <w:rPr>
                <w:rFonts w:ascii="Arial" w:cs="Arial" w:eastAsia="Arial" w:hAnsi="Arial"/>
                <w:sz w:val="18"/>
                <w:szCs w:val="18"/>
                <w:color w:val="auto"/>
              </w:rPr>
              <w:t>5.</w:t>
            </w:r>
          </w:p>
        </w:tc>
        <w:tc>
          <w:tcPr>
            <w:tcW w:w="2720" w:type="dxa"/>
            <w:vAlign w:val="bottom"/>
          </w:tcPr>
          <w:p>
            <w:pPr>
              <w:ind w:left="320"/>
              <w:spacing w:after="0"/>
              <w:rPr>
                <w:sz w:val="20"/>
                <w:szCs w:val="20"/>
                <w:color w:val="auto"/>
              </w:rPr>
            </w:pPr>
            <w:r>
              <w:rPr>
                <w:rFonts w:ascii="Arial" w:cs="Arial" w:eastAsia="Arial" w:hAnsi="Arial"/>
                <w:sz w:val="18"/>
                <w:szCs w:val="18"/>
                <w:color w:val="auto"/>
              </w:rPr>
              <w:t>Sole Voting Power</w:t>
            </w:r>
          </w:p>
        </w:tc>
        <w:tc>
          <w:tcPr>
            <w:tcW w:w="1400" w:type="dxa"/>
            <w:vAlign w:val="bottom"/>
          </w:tcPr>
          <w:p>
            <w:pPr>
              <w:ind w:left="120"/>
              <w:spacing w:after="0"/>
              <w:rPr>
                <w:sz w:val="20"/>
                <w:szCs w:val="20"/>
                <w:color w:val="auto"/>
              </w:rPr>
            </w:pPr>
            <w:r>
              <w:rPr>
                <w:rFonts w:ascii="Arial" w:cs="Arial" w:eastAsia="Arial" w:hAnsi="Arial"/>
                <w:sz w:val="18"/>
                <w:szCs w:val="18"/>
                <w:b w:val="1"/>
                <w:bCs w:val="1"/>
                <w:color w:val="auto"/>
              </w:rPr>
              <w:t>0 shares</w:t>
            </w:r>
          </w:p>
        </w:tc>
        <w:tc>
          <w:tcPr>
            <w:tcW w:w="0" w:type="dxa"/>
            <w:vAlign w:val="bottom"/>
          </w:tcPr>
          <w:p>
            <w:pPr>
              <w:spacing w:after="0"/>
              <w:rPr>
                <w:sz w:val="1"/>
                <w:szCs w:val="1"/>
                <w:color w:val="auto"/>
              </w:rPr>
            </w:pPr>
          </w:p>
        </w:tc>
      </w:tr>
      <w:tr>
        <w:trPr>
          <w:trHeight w:val="148"/>
        </w:trPr>
        <w:tc>
          <w:tcPr>
            <w:tcW w:w="920" w:type="dxa"/>
            <w:vAlign w:val="bottom"/>
            <w:vMerge w:val="continue"/>
          </w:tcPr>
          <w:p>
            <w:pPr>
              <w:spacing w:after="0"/>
              <w:rPr>
                <w:sz w:val="12"/>
                <w:szCs w:val="12"/>
                <w:color w:val="auto"/>
              </w:rPr>
            </w:pPr>
          </w:p>
        </w:tc>
        <w:tc>
          <w:tcPr>
            <w:tcW w:w="4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Shares</w:t>
            </w:r>
          </w:p>
        </w:tc>
        <w:tc>
          <w:tcPr>
            <w:tcW w:w="480" w:type="dxa"/>
            <w:vAlign w:val="bottom"/>
          </w:tcPr>
          <w:p>
            <w:pPr>
              <w:spacing w:after="0"/>
              <w:rPr>
                <w:sz w:val="18"/>
                <w:szCs w:val="18"/>
                <w:color w:val="auto"/>
              </w:rPr>
            </w:pPr>
          </w:p>
        </w:tc>
        <w:tc>
          <w:tcPr>
            <w:tcW w:w="760" w:type="dxa"/>
            <w:vAlign w:val="bottom"/>
            <w:vMerge w:val="restart"/>
          </w:tcPr>
          <w:p>
            <w:pPr>
              <w:jc w:val="right"/>
              <w:ind w:right="250"/>
              <w:spacing w:after="0"/>
              <w:rPr>
                <w:sz w:val="20"/>
                <w:szCs w:val="20"/>
                <w:color w:val="auto"/>
              </w:rPr>
            </w:pPr>
            <w:r>
              <w:rPr>
                <w:rFonts w:ascii="Arial" w:cs="Arial" w:eastAsia="Arial" w:hAnsi="Arial"/>
                <w:sz w:val="18"/>
                <w:szCs w:val="18"/>
                <w:color w:val="auto"/>
              </w:rPr>
              <w:t>6.</w:t>
            </w:r>
          </w:p>
        </w:tc>
        <w:tc>
          <w:tcPr>
            <w:tcW w:w="2720" w:type="dxa"/>
            <w:vAlign w:val="bottom"/>
            <w:vMerge w:val="restart"/>
          </w:tcPr>
          <w:p>
            <w:pPr>
              <w:ind w:left="320"/>
              <w:spacing w:after="0"/>
              <w:rPr>
                <w:sz w:val="20"/>
                <w:szCs w:val="20"/>
                <w:color w:val="auto"/>
              </w:rPr>
            </w:pPr>
            <w:r>
              <w:rPr>
                <w:rFonts w:ascii="Arial" w:cs="Arial" w:eastAsia="Arial" w:hAnsi="Arial"/>
                <w:sz w:val="18"/>
                <w:szCs w:val="18"/>
                <w:color w:val="auto"/>
              </w:rPr>
              <w:t>Shared Voting Power</w:t>
            </w:r>
          </w:p>
        </w:tc>
        <w:tc>
          <w:tcPr>
            <w:tcW w:w="1400" w:type="dxa"/>
            <w:vAlign w:val="bottom"/>
            <w:vMerge w:val="restart"/>
          </w:tcPr>
          <w:p>
            <w:pPr>
              <w:ind w:left="120"/>
              <w:spacing w:after="0"/>
              <w:rPr>
                <w:sz w:val="20"/>
                <w:szCs w:val="20"/>
                <w:color w:val="auto"/>
              </w:rPr>
            </w:pPr>
            <w:r>
              <w:rPr>
                <w:rFonts w:ascii="Arial" w:cs="Arial" w:eastAsia="Arial" w:hAnsi="Arial"/>
                <w:sz w:val="18"/>
                <w:szCs w:val="18"/>
                <w:b w:val="1"/>
                <w:bCs w:val="1"/>
                <w:color w:val="auto"/>
                <w:w w:val="88"/>
              </w:rPr>
              <w:t>5,593,698 shares</w:t>
            </w:r>
          </w:p>
        </w:tc>
        <w:tc>
          <w:tcPr>
            <w:tcW w:w="0" w:type="dxa"/>
            <w:vAlign w:val="bottom"/>
          </w:tcPr>
          <w:p>
            <w:pPr>
              <w:spacing w:after="0"/>
              <w:rPr>
                <w:sz w:val="1"/>
                <w:szCs w:val="1"/>
                <w:color w:val="auto"/>
              </w:rPr>
            </w:pPr>
          </w:p>
        </w:tc>
      </w:tr>
      <w:tr>
        <w:trPr>
          <w:trHeight w:val="109"/>
        </w:trPr>
        <w:tc>
          <w:tcPr>
            <w:tcW w:w="920" w:type="dxa"/>
            <w:vAlign w:val="bottom"/>
            <w:vMerge w:val="restart"/>
          </w:tcPr>
          <w:p>
            <w:pPr>
              <w:spacing w:after="0"/>
              <w:rPr>
                <w:sz w:val="20"/>
                <w:szCs w:val="20"/>
                <w:color w:val="auto"/>
              </w:rPr>
            </w:pPr>
            <w:r>
              <w:rPr>
                <w:rFonts w:ascii="Arial" w:cs="Arial" w:eastAsia="Arial" w:hAnsi="Arial"/>
                <w:sz w:val="18"/>
                <w:szCs w:val="18"/>
                <w:color w:val="auto"/>
                <w:w w:val="98"/>
              </w:rPr>
              <w:t>Beneficially</w:t>
            </w:r>
          </w:p>
        </w:tc>
        <w:tc>
          <w:tcPr>
            <w:tcW w:w="480" w:type="dxa"/>
            <w:vAlign w:val="bottom"/>
          </w:tcPr>
          <w:p>
            <w:pPr>
              <w:spacing w:after="0"/>
              <w:rPr>
                <w:sz w:val="9"/>
                <w:szCs w:val="9"/>
                <w:color w:val="auto"/>
              </w:rPr>
            </w:pPr>
          </w:p>
        </w:tc>
        <w:tc>
          <w:tcPr>
            <w:tcW w:w="760" w:type="dxa"/>
            <w:vAlign w:val="bottom"/>
            <w:vMerge w:val="continue"/>
          </w:tcPr>
          <w:p>
            <w:pPr>
              <w:spacing w:after="0"/>
              <w:rPr>
                <w:sz w:val="9"/>
                <w:szCs w:val="9"/>
                <w:color w:val="auto"/>
              </w:rPr>
            </w:pPr>
          </w:p>
        </w:tc>
        <w:tc>
          <w:tcPr>
            <w:tcW w:w="2720" w:type="dxa"/>
            <w:vAlign w:val="bottom"/>
            <w:vMerge w:val="continue"/>
          </w:tcPr>
          <w:p>
            <w:pPr>
              <w:spacing w:after="0"/>
              <w:rPr>
                <w:sz w:val="9"/>
                <w:szCs w:val="9"/>
                <w:color w:val="auto"/>
              </w:rPr>
            </w:pPr>
          </w:p>
        </w:tc>
        <w:tc>
          <w:tcPr>
            <w:tcW w:w="14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920" w:type="dxa"/>
            <w:vAlign w:val="bottom"/>
            <w:vMerge w:val="continue"/>
          </w:tcPr>
          <w:p>
            <w:pPr>
              <w:spacing w:after="0"/>
              <w:rPr>
                <w:sz w:val="9"/>
                <w:szCs w:val="9"/>
                <w:color w:val="auto"/>
              </w:rPr>
            </w:pPr>
          </w:p>
        </w:tc>
        <w:tc>
          <w:tcPr>
            <w:tcW w:w="480" w:type="dxa"/>
            <w:vAlign w:val="bottom"/>
          </w:tcPr>
          <w:p>
            <w:pPr>
              <w:spacing w:after="0"/>
              <w:rPr>
                <w:sz w:val="9"/>
                <w:szCs w:val="9"/>
                <w:color w:val="auto"/>
              </w:rPr>
            </w:pPr>
          </w:p>
        </w:tc>
        <w:tc>
          <w:tcPr>
            <w:tcW w:w="760" w:type="dxa"/>
            <w:vAlign w:val="bottom"/>
          </w:tcPr>
          <w:p>
            <w:pPr>
              <w:spacing w:after="0"/>
              <w:rPr>
                <w:sz w:val="9"/>
                <w:szCs w:val="9"/>
                <w:color w:val="auto"/>
              </w:rPr>
            </w:pPr>
          </w:p>
        </w:tc>
        <w:tc>
          <w:tcPr>
            <w:tcW w:w="2720" w:type="dxa"/>
            <w:vAlign w:val="bottom"/>
          </w:tcPr>
          <w:p>
            <w:pPr>
              <w:spacing w:after="0"/>
              <w:rPr>
                <w:sz w:val="9"/>
                <w:szCs w:val="9"/>
                <w:color w:val="auto"/>
              </w:rPr>
            </w:pPr>
          </w:p>
        </w:tc>
        <w:tc>
          <w:tcPr>
            <w:tcW w:w="14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Owned by</w:t>
            </w:r>
          </w:p>
        </w:tc>
        <w:tc>
          <w:tcPr>
            <w:tcW w:w="480" w:type="dxa"/>
            <w:vAlign w:val="bottom"/>
          </w:tcPr>
          <w:p>
            <w:pPr>
              <w:spacing w:after="0"/>
              <w:rPr>
                <w:sz w:val="18"/>
                <w:szCs w:val="18"/>
                <w:color w:val="auto"/>
              </w:rPr>
            </w:pPr>
          </w:p>
        </w:tc>
        <w:tc>
          <w:tcPr>
            <w:tcW w:w="760" w:type="dxa"/>
            <w:vAlign w:val="bottom"/>
            <w:vMerge w:val="restart"/>
          </w:tcPr>
          <w:p>
            <w:pPr>
              <w:jc w:val="right"/>
              <w:ind w:right="250"/>
              <w:spacing w:after="0"/>
              <w:rPr>
                <w:sz w:val="20"/>
                <w:szCs w:val="20"/>
                <w:color w:val="auto"/>
              </w:rPr>
            </w:pPr>
            <w:r>
              <w:rPr>
                <w:rFonts w:ascii="Arial" w:cs="Arial" w:eastAsia="Arial" w:hAnsi="Arial"/>
                <w:sz w:val="18"/>
                <w:szCs w:val="18"/>
                <w:color w:val="auto"/>
              </w:rPr>
              <w:t>7.</w:t>
            </w:r>
          </w:p>
        </w:tc>
        <w:tc>
          <w:tcPr>
            <w:tcW w:w="2720" w:type="dxa"/>
            <w:vAlign w:val="bottom"/>
            <w:vMerge w:val="restart"/>
          </w:tcPr>
          <w:p>
            <w:pPr>
              <w:ind w:left="320"/>
              <w:spacing w:after="0"/>
              <w:rPr>
                <w:sz w:val="20"/>
                <w:szCs w:val="20"/>
                <w:color w:val="auto"/>
              </w:rPr>
            </w:pPr>
            <w:r>
              <w:rPr>
                <w:rFonts w:ascii="Arial" w:cs="Arial" w:eastAsia="Arial" w:hAnsi="Arial"/>
                <w:sz w:val="18"/>
                <w:szCs w:val="18"/>
                <w:color w:val="auto"/>
              </w:rPr>
              <w:t>Sole Dispositive Power</w:t>
            </w:r>
          </w:p>
        </w:tc>
        <w:tc>
          <w:tcPr>
            <w:tcW w:w="1400" w:type="dxa"/>
            <w:vAlign w:val="bottom"/>
            <w:vMerge w:val="restart"/>
          </w:tcPr>
          <w:p>
            <w:pPr>
              <w:ind w:left="160"/>
              <w:spacing w:after="0"/>
              <w:rPr>
                <w:sz w:val="20"/>
                <w:szCs w:val="20"/>
                <w:color w:val="auto"/>
              </w:rPr>
            </w:pPr>
            <w:r>
              <w:rPr>
                <w:rFonts w:ascii="Arial" w:cs="Arial" w:eastAsia="Arial" w:hAnsi="Arial"/>
                <w:sz w:val="18"/>
                <w:szCs w:val="18"/>
                <w:b w:val="1"/>
                <w:bCs w:val="1"/>
                <w:color w:val="auto"/>
              </w:rPr>
              <w:t>0 shares</w:t>
            </w:r>
          </w:p>
        </w:tc>
        <w:tc>
          <w:tcPr>
            <w:tcW w:w="0" w:type="dxa"/>
            <w:vAlign w:val="bottom"/>
          </w:tcPr>
          <w:p>
            <w:pPr>
              <w:spacing w:after="0"/>
              <w:rPr>
                <w:sz w:val="1"/>
                <w:szCs w:val="1"/>
                <w:color w:val="auto"/>
              </w:rPr>
            </w:pPr>
          </w:p>
        </w:tc>
      </w:tr>
      <w:tr>
        <w:trPr>
          <w:trHeight w:val="149"/>
        </w:trPr>
        <w:tc>
          <w:tcPr>
            <w:tcW w:w="1400" w:type="dxa"/>
            <w:vAlign w:val="bottom"/>
            <w:gridSpan w:val="2"/>
            <w:vMerge w:val="restart"/>
          </w:tcPr>
          <w:p>
            <w:pPr>
              <w:spacing w:after="0"/>
              <w:rPr>
                <w:sz w:val="20"/>
                <w:szCs w:val="20"/>
                <w:color w:val="auto"/>
              </w:rPr>
            </w:pPr>
            <w:r>
              <w:rPr>
                <w:rFonts w:ascii="Arial" w:cs="Arial" w:eastAsia="Arial" w:hAnsi="Arial"/>
                <w:sz w:val="18"/>
                <w:szCs w:val="18"/>
                <w:color w:val="auto"/>
              </w:rPr>
              <w:t>Each Reporting</w:t>
            </w:r>
          </w:p>
        </w:tc>
        <w:tc>
          <w:tcPr>
            <w:tcW w:w="760" w:type="dxa"/>
            <w:vAlign w:val="bottom"/>
            <w:vMerge w:val="continue"/>
          </w:tcPr>
          <w:p>
            <w:pPr>
              <w:spacing w:after="0"/>
              <w:rPr>
                <w:sz w:val="12"/>
                <w:szCs w:val="12"/>
                <w:color w:val="auto"/>
              </w:rPr>
            </w:pPr>
          </w:p>
        </w:tc>
        <w:tc>
          <w:tcPr>
            <w:tcW w:w="2720" w:type="dxa"/>
            <w:vAlign w:val="bottom"/>
            <w:vMerge w:val="continue"/>
          </w:tcPr>
          <w:p>
            <w:pPr>
              <w:spacing w:after="0"/>
              <w:rPr>
                <w:sz w:val="12"/>
                <w:szCs w:val="12"/>
                <w:color w:val="auto"/>
              </w:rPr>
            </w:pPr>
          </w:p>
        </w:tc>
        <w:tc>
          <w:tcPr>
            <w:tcW w:w="14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67"/>
        </w:trPr>
        <w:tc>
          <w:tcPr>
            <w:tcW w:w="1400" w:type="dxa"/>
            <w:vAlign w:val="bottom"/>
            <w:gridSpan w:val="2"/>
            <w:vMerge w:val="continue"/>
          </w:tcPr>
          <w:p>
            <w:pPr>
              <w:spacing w:after="0"/>
              <w:rPr>
                <w:sz w:val="5"/>
                <w:szCs w:val="5"/>
                <w:color w:val="auto"/>
              </w:rPr>
            </w:pPr>
          </w:p>
        </w:tc>
        <w:tc>
          <w:tcPr>
            <w:tcW w:w="760" w:type="dxa"/>
            <w:vAlign w:val="bottom"/>
          </w:tcPr>
          <w:p>
            <w:pPr>
              <w:spacing w:after="0"/>
              <w:rPr>
                <w:sz w:val="5"/>
                <w:szCs w:val="5"/>
                <w:color w:val="auto"/>
              </w:rPr>
            </w:pPr>
          </w:p>
        </w:tc>
        <w:tc>
          <w:tcPr>
            <w:tcW w:w="2720" w:type="dxa"/>
            <w:vAlign w:val="bottom"/>
          </w:tcPr>
          <w:p>
            <w:pPr>
              <w:spacing w:after="0"/>
              <w:rPr>
                <w:sz w:val="5"/>
                <w:szCs w:val="5"/>
                <w:color w:val="auto"/>
              </w:rPr>
            </w:pPr>
          </w:p>
        </w:tc>
        <w:tc>
          <w:tcPr>
            <w:tcW w:w="14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30"/>
        </w:trPr>
        <w:tc>
          <w:tcPr>
            <w:tcW w:w="920" w:type="dxa"/>
            <w:vAlign w:val="bottom"/>
          </w:tcPr>
          <w:p>
            <w:pPr>
              <w:spacing w:after="0"/>
              <w:rPr>
                <w:sz w:val="20"/>
                <w:szCs w:val="20"/>
                <w:color w:val="auto"/>
              </w:rPr>
            </w:pPr>
            <w:r>
              <w:rPr>
                <w:rFonts w:ascii="Arial" w:cs="Arial" w:eastAsia="Arial" w:hAnsi="Arial"/>
                <w:sz w:val="18"/>
                <w:szCs w:val="18"/>
                <w:color w:val="auto"/>
                <w:w w:val="91"/>
              </w:rPr>
              <w:t>Person With</w:t>
            </w:r>
          </w:p>
        </w:tc>
        <w:tc>
          <w:tcPr>
            <w:tcW w:w="480" w:type="dxa"/>
            <w:vAlign w:val="bottom"/>
          </w:tcPr>
          <w:p>
            <w:pPr>
              <w:spacing w:after="0"/>
              <w:rPr>
                <w:sz w:val="20"/>
                <w:szCs w:val="20"/>
                <w:color w:val="auto"/>
              </w:rPr>
            </w:pPr>
          </w:p>
        </w:tc>
        <w:tc>
          <w:tcPr>
            <w:tcW w:w="760" w:type="dxa"/>
            <w:vAlign w:val="bottom"/>
            <w:vMerge w:val="restart"/>
          </w:tcPr>
          <w:p>
            <w:pPr>
              <w:jc w:val="right"/>
              <w:ind w:right="250"/>
              <w:spacing w:after="0"/>
              <w:rPr>
                <w:sz w:val="20"/>
                <w:szCs w:val="20"/>
                <w:color w:val="auto"/>
              </w:rPr>
            </w:pPr>
            <w:r>
              <w:rPr>
                <w:rFonts w:ascii="Arial" w:cs="Arial" w:eastAsia="Arial" w:hAnsi="Arial"/>
                <w:sz w:val="18"/>
                <w:szCs w:val="18"/>
                <w:color w:val="auto"/>
              </w:rPr>
              <w:t>8.</w:t>
            </w:r>
          </w:p>
        </w:tc>
        <w:tc>
          <w:tcPr>
            <w:tcW w:w="2720" w:type="dxa"/>
            <w:vAlign w:val="bottom"/>
            <w:vMerge w:val="restart"/>
          </w:tcPr>
          <w:p>
            <w:pPr>
              <w:ind w:left="320"/>
              <w:spacing w:after="0"/>
              <w:rPr>
                <w:sz w:val="20"/>
                <w:szCs w:val="20"/>
                <w:color w:val="auto"/>
              </w:rPr>
            </w:pPr>
            <w:r>
              <w:rPr>
                <w:rFonts w:ascii="Arial" w:cs="Arial" w:eastAsia="Arial" w:hAnsi="Arial"/>
                <w:sz w:val="18"/>
                <w:szCs w:val="18"/>
                <w:color w:val="auto"/>
              </w:rPr>
              <w:t>Shared Dispositive Power</w:t>
            </w:r>
          </w:p>
        </w:tc>
        <w:tc>
          <w:tcPr>
            <w:tcW w:w="1400" w:type="dxa"/>
            <w:vAlign w:val="bottom"/>
            <w:vMerge w:val="restart"/>
          </w:tcPr>
          <w:p>
            <w:pPr>
              <w:ind w:left="140"/>
              <w:spacing w:after="0"/>
              <w:rPr>
                <w:sz w:val="20"/>
                <w:szCs w:val="20"/>
                <w:color w:val="auto"/>
              </w:rPr>
            </w:pPr>
            <w:r>
              <w:rPr>
                <w:rFonts w:ascii="Arial" w:cs="Arial" w:eastAsia="Arial" w:hAnsi="Arial"/>
                <w:sz w:val="18"/>
                <w:szCs w:val="18"/>
                <w:b w:val="1"/>
                <w:bCs w:val="1"/>
                <w:color w:val="auto"/>
                <w:w w:val="86"/>
              </w:rPr>
              <w:t>5,593,698 shares</w:t>
            </w:r>
          </w:p>
        </w:tc>
        <w:tc>
          <w:tcPr>
            <w:tcW w:w="0" w:type="dxa"/>
            <w:vAlign w:val="bottom"/>
          </w:tcPr>
          <w:p>
            <w:pPr>
              <w:spacing w:after="0"/>
              <w:rPr>
                <w:sz w:val="1"/>
                <w:szCs w:val="1"/>
                <w:color w:val="auto"/>
              </w:rPr>
            </w:pPr>
          </w:p>
        </w:tc>
      </w:tr>
      <w:tr>
        <w:trPr>
          <w:trHeight w:val="176"/>
        </w:trPr>
        <w:tc>
          <w:tcPr>
            <w:tcW w:w="9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2720" w:type="dxa"/>
            <w:vAlign w:val="bottom"/>
            <w:vMerge w:val="continue"/>
          </w:tcPr>
          <w:p>
            <w:pPr>
              <w:spacing w:after="0"/>
              <w:rPr>
                <w:sz w:val="15"/>
                <w:szCs w:val="15"/>
                <w:color w:val="auto"/>
              </w:rPr>
            </w:pPr>
          </w:p>
        </w:tc>
        <w:tc>
          <w:tcPr>
            <w:tcW w:w="14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445"/>
        </w:trPr>
        <w:tc>
          <w:tcPr>
            <w:tcW w:w="920" w:type="dxa"/>
            <w:vAlign w:val="bottom"/>
            <w:vMerge w:val="restart"/>
          </w:tcPr>
          <w:p>
            <w:pPr>
              <w:ind w:left="240"/>
              <w:spacing w:after="0"/>
              <w:rPr>
                <w:sz w:val="20"/>
                <w:szCs w:val="20"/>
                <w:color w:val="auto"/>
              </w:rPr>
            </w:pPr>
            <w:r>
              <w:rPr>
                <w:rFonts w:ascii="Arial" w:cs="Arial" w:eastAsia="Arial" w:hAnsi="Arial"/>
                <w:sz w:val="18"/>
                <w:szCs w:val="18"/>
                <w:color w:val="auto"/>
              </w:rPr>
              <w:t>9.</w:t>
            </w:r>
          </w:p>
        </w:tc>
        <w:tc>
          <w:tcPr>
            <w:tcW w:w="5360" w:type="dxa"/>
            <w:vAlign w:val="bottom"/>
            <w:gridSpan w:val="4"/>
          </w:tcPr>
          <w:p>
            <w:pPr>
              <w:ind w:left="100"/>
              <w:spacing w:after="0"/>
              <w:rPr>
                <w:sz w:val="20"/>
                <w:szCs w:val="20"/>
                <w:color w:val="auto"/>
              </w:rPr>
            </w:pPr>
            <w:r>
              <w:rPr>
                <w:rFonts w:ascii="Arial" w:cs="Arial" w:eastAsia="Arial" w:hAnsi="Arial"/>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216"/>
        </w:trPr>
        <w:tc>
          <w:tcPr>
            <w:tcW w:w="920" w:type="dxa"/>
            <w:vAlign w:val="bottom"/>
            <w:vMerge w:val="continue"/>
          </w:tcPr>
          <w:p>
            <w:pPr>
              <w:spacing w:after="0"/>
              <w:rPr>
                <w:sz w:val="18"/>
                <w:szCs w:val="18"/>
                <w:color w:val="auto"/>
              </w:rPr>
            </w:pPr>
          </w:p>
        </w:tc>
        <w:tc>
          <w:tcPr>
            <w:tcW w:w="480" w:type="dxa"/>
            <w:vAlign w:val="bottom"/>
          </w:tcPr>
          <w:p>
            <w:pPr>
              <w:spacing w:after="0"/>
              <w:rPr>
                <w:sz w:val="18"/>
                <w:szCs w:val="18"/>
                <w:color w:val="auto"/>
              </w:rPr>
            </w:pPr>
          </w:p>
        </w:tc>
        <w:tc>
          <w:tcPr>
            <w:tcW w:w="3480" w:type="dxa"/>
            <w:vAlign w:val="bottom"/>
            <w:gridSpan w:val="2"/>
            <w:vMerge w:val="restart"/>
          </w:tcPr>
          <w:p>
            <w:pPr>
              <w:jc w:val="center"/>
              <w:ind w:right="1610"/>
              <w:spacing w:after="0"/>
              <w:rPr>
                <w:sz w:val="20"/>
                <w:szCs w:val="20"/>
                <w:color w:val="auto"/>
              </w:rPr>
            </w:pPr>
            <w:r>
              <w:rPr>
                <w:rFonts w:ascii="Arial" w:cs="Arial" w:eastAsia="Arial" w:hAnsi="Arial"/>
                <w:sz w:val="18"/>
                <w:szCs w:val="18"/>
                <w:b w:val="1"/>
                <w:bCs w:val="1"/>
                <w:color w:val="auto"/>
                <w:w w:val="88"/>
              </w:rPr>
              <w:t>5,593,698 shares</w:t>
            </w: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480" w:type="dxa"/>
            <w:vAlign w:val="bottom"/>
            <w:gridSpan w:val="2"/>
            <w:vMerge w:val="continue"/>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88"/>
        </w:trPr>
        <w:tc>
          <w:tcPr>
            <w:tcW w:w="920" w:type="dxa"/>
            <w:vAlign w:val="bottom"/>
          </w:tcPr>
          <w:p>
            <w:pPr>
              <w:spacing w:after="0"/>
              <w:rPr>
                <w:sz w:val="24"/>
                <w:szCs w:val="24"/>
                <w:color w:val="auto"/>
              </w:rPr>
            </w:pPr>
          </w:p>
        </w:tc>
        <w:tc>
          <w:tcPr>
            <w:tcW w:w="3960" w:type="dxa"/>
            <w:vAlign w:val="bottom"/>
            <w:gridSpan w:val="3"/>
          </w:tcPr>
          <w:p>
            <w:pPr>
              <w:ind w:left="100"/>
              <w:spacing w:after="0"/>
              <w:rPr>
                <w:sz w:val="20"/>
                <w:szCs w:val="20"/>
                <w:color w:val="auto"/>
              </w:rPr>
            </w:pPr>
            <w:r>
              <w:rPr>
                <w:rFonts w:ascii="Arial" w:cs="Arial" w:eastAsia="Arial" w:hAnsi="Arial"/>
                <w:sz w:val="18"/>
                <w:szCs w:val="18"/>
                <w:color w:val="auto"/>
                <w:w w:val="92"/>
              </w:rPr>
              <w:t>Check if the Aggregate Amount in Row (9) Excludes</w:t>
            </w:r>
          </w:p>
        </w:tc>
        <w:tc>
          <w:tcPr>
            <w:tcW w:w="1400" w:type="dxa"/>
            <w:vAlign w:val="bottom"/>
          </w:tcPr>
          <w:p>
            <w:pPr>
              <w:ind w:left="100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bl>
    <w:p>
      <w:pPr>
        <w:ind w:left="1080" w:hanging="789"/>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Certain Shares (See Instructions)</w:t>
      </w:r>
    </w:p>
    <w:p>
      <w:pPr>
        <w:spacing w:after="0" w:line="180" w:lineRule="exact"/>
        <w:rPr>
          <w:rFonts w:ascii="Arial" w:cs="Arial" w:eastAsia="Arial" w:hAnsi="Arial"/>
          <w:sz w:val="18"/>
          <w:szCs w:val="18"/>
          <w:color w:val="auto"/>
        </w:rPr>
      </w:pPr>
    </w:p>
    <w:p>
      <w:pPr>
        <w:ind w:left="1080"/>
        <w:spacing w:after="0"/>
        <w:rPr>
          <w:rFonts w:ascii="Arial" w:cs="Arial" w:eastAsia="Arial" w:hAnsi="Arial"/>
          <w:sz w:val="18"/>
          <w:szCs w:val="18"/>
          <w:color w:val="auto"/>
        </w:rPr>
      </w:pPr>
      <w:r>
        <w:rPr>
          <w:rFonts w:ascii="Arial" w:cs="Arial" w:eastAsia="Arial" w:hAnsi="Arial"/>
          <w:sz w:val="18"/>
          <w:szCs w:val="18"/>
          <w:color w:val="auto"/>
        </w:rPr>
        <w:t>Percent of Class Represented by Amount in Row (9)</w:t>
      </w:r>
    </w:p>
    <w:p>
      <w:pPr>
        <w:ind w:left="1080" w:hanging="789"/>
        <w:spacing w:after="0" w:line="194" w:lineRule="auto"/>
        <w:tabs>
          <w:tab w:leader="none" w:pos="1080" w:val="left"/>
        </w:tabs>
        <w:numPr>
          <w:ilvl w:val="0"/>
          <w:numId w:val="17"/>
        </w:numPr>
        <w:rPr>
          <w:rFonts w:ascii="Arial" w:cs="Arial" w:eastAsia="Arial" w:hAnsi="Arial"/>
          <w:sz w:val="36"/>
          <w:szCs w:val="36"/>
          <w:color w:val="auto"/>
          <w:vertAlign w:val="superscript"/>
        </w:rPr>
      </w:pPr>
      <w:r>
        <w:rPr>
          <w:rFonts w:ascii="Arial" w:cs="Arial" w:eastAsia="Arial" w:hAnsi="Arial"/>
          <w:sz w:val="35"/>
          <w:szCs w:val="35"/>
          <w:b w:val="1"/>
          <w:bCs w:val="1"/>
          <w:color w:val="auto"/>
          <w:vertAlign w:val="subscript"/>
        </w:rPr>
        <w:t>6.2%</w:t>
      </w:r>
      <w:r>
        <w:rPr>
          <w:rFonts w:ascii="Arial" w:cs="Arial" w:eastAsia="Arial" w:hAnsi="Arial"/>
          <w:sz w:val="15"/>
          <w:szCs w:val="15"/>
          <w:b w:val="1"/>
          <w:bCs w:val="1"/>
          <w:color w:val="auto"/>
        </w:rPr>
        <w:t>1</w:t>
      </w:r>
    </w:p>
    <w:p>
      <w:pPr>
        <w:spacing w:after="0" w:line="120" w:lineRule="exact"/>
        <w:rPr>
          <w:rFonts w:ascii="Arial" w:cs="Arial" w:eastAsia="Arial" w:hAnsi="Arial"/>
          <w:sz w:val="36"/>
          <w:szCs w:val="36"/>
          <w:color w:val="auto"/>
          <w:vertAlign w:val="superscript"/>
        </w:rPr>
      </w:pPr>
    </w:p>
    <w:p>
      <w:pPr>
        <w:ind w:left="1080" w:hanging="789"/>
        <w:spacing w:after="0" w:line="197" w:lineRule="auto"/>
        <w:tabs>
          <w:tab w:leader="none" w:pos="1080" w:val="left"/>
        </w:tabs>
        <w:numPr>
          <w:ilvl w:val="0"/>
          <w:numId w:val="17"/>
        </w:numPr>
        <w:rPr>
          <w:rFonts w:ascii="Arial" w:cs="Arial" w:eastAsia="Arial" w:hAnsi="Arial"/>
          <w:sz w:val="36"/>
          <w:szCs w:val="36"/>
          <w:color w:val="auto"/>
          <w:vertAlign w:val="subscript"/>
        </w:rPr>
      </w:pPr>
      <w:r>
        <w:rPr>
          <w:rFonts w:ascii="Arial" w:cs="Arial" w:eastAsia="Arial" w:hAnsi="Arial"/>
          <w:sz w:val="18"/>
          <w:szCs w:val="18"/>
          <w:color w:val="auto"/>
        </w:rPr>
        <w:t>Type of Reporting Person (See Instructions)</w:t>
      </w:r>
    </w:p>
    <w:p>
      <w:pPr>
        <w:spacing w:after="0" w:line="1" w:lineRule="exact"/>
        <w:rPr>
          <w:rFonts w:ascii="Arial" w:cs="Arial" w:eastAsia="Arial" w:hAnsi="Arial"/>
          <w:sz w:val="36"/>
          <w:szCs w:val="36"/>
          <w:color w:val="auto"/>
          <w:vertAlign w:val="subscript"/>
        </w:rPr>
      </w:pPr>
    </w:p>
    <w:p>
      <w:pPr>
        <w:ind w:left="1080"/>
        <w:spacing w:after="0"/>
        <w:rPr>
          <w:rFonts w:ascii="Arial" w:cs="Arial" w:eastAsia="Arial" w:hAnsi="Arial"/>
          <w:sz w:val="36"/>
          <w:szCs w:val="36"/>
          <w:color w:val="auto"/>
          <w:vertAlign w:val="subscript"/>
        </w:rPr>
      </w:pPr>
      <w:r>
        <w:rPr>
          <w:rFonts w:ascii="Arial" w:cs="Arial" w:eastAsia="Arial" w:hAnsi="Arial"/>
          <w:sz w:val="18"/>
          <w:szCs w:val="18"/>
          <w:b w:val="1"/>
          <w:bCs w:val="1"/>
          <w:color w:val="auto"/>
        </w:rPr>
        <w:t>PN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321945</wp:posOffset>
            </wp:positionV>
            <wp:extent cx="178308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0" w:lineRule="exact"/>
        <w:rPr>
          <w:sz w:val="20"/>
          <w:szCs w:val="20"/>
          <w:color w:val="auto"/>
        </w:rPr>
      </w:pPr>
    </w:p>
    <w:p>
      <w:pPr>
        <w:spacing w:after="0" w:line="394" w:lineRule="exact"/>
        <w:rPr>
          <w:sz w:val="20"/>
          <w:szCs w:val="20"/>
          <w:color w:val="auto"/>
        </w:rPr>
      </w:pPr>
    </w:p>
    <w:p>
      <w:pPr>
        <w:ind w:firstLine="8"/>
        <w:spacing w:after="0" w:line="194" w:lineRule="auto"/>
        <w:tabs>
          <w:tab w:leader="none" w:pos="120" w:val="left"/>
        </w:tabs>
        <w:numPr>
          <w:ilvl w:val="0"/>
          <w:numId w:val="18"/>
        </w:numPr>
        <w:rPr>
          <w:rFonts w:ascii="Arial" w:cs="Arial" w:eastAsia="Arial" w:hAnsi="Arial"/>
          <w:sz w:val="30"/>
          <w:szCs w:val="30"/>
          <w:color w:val="auto"/>
          <w:vertAlign w:val="superscript"/>
        </w:rPr>
      </w:pPr>
      <w:r>
        <w:rPr>
          <w:rFonts w:ascii="Arial" w:cs="Arial" w:eastAsia="Arial" w:hAnsi="Arial"/>
          <w:sz w:val="18"/>
          <w:szCs w:val="18"/>
          <w:color w:val="auto"/>
        </w:rPr>
        <w:t>The percentage calculation assumes that there are currently 90,248,465 outstanding shares of Common Stock of the Issuer, based on the Issuer’s Form 10-Q as filed with the Securities and Exchange Commission (“SEC”) on November 5,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437515</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34"/>
        </w:trPr>
        <w:tc>
          <w:tcPr>
            <w:tcW w:w="4500" w:type="dxa"/>
            <w:vAlign w:val="bottom"/>
          </w:tcPr>
          <w:p>
            <w:pPr>
              <w:spacing w:after="0"/>
              <w:rPr>
                <w:sz w:val="20"/>
                <w:szCs w:val="20"/>
                <w:color w:val="auto"/>
              </w:rPr>
            </w:pPr>
            <w:r>
              <w:rPr>
                <w:rFonts w:ascii="Arial" w:cs="Arial" w:eastAsia="Arial" w:hAnsi="Arial"/>
                <w:sz w:val="18"/>
                <w:szCs w:val="18"/>
                <w:color w:val="auto"/>
              </w:rPr>
              <w:t xml:space="preserve">CUSIP No. </w:t>
            </w:r>
            <w:r>
              <w:rPr>
                <w:rFonts w:ascii="Arial" w:cs="Arial" w:eastAsia="Arial" w:hAnsi="Arial"/>
                <w:sz w:val="18"/>
                <w:szCs w:val="18"/>
                <w:b w:val="1"/>
                <w:bCs w:val="1"/>
                <w:color w:val="auto"/>
              </w:rPr>
              <w:t>039697107</w:t>
            </w:r>
          </w:p>
        </w:tc>
        <w:tc>
          <w:tcPr>
            <w:tcW w:w="3140" w:type="dxa"/>
            <w:vAlign w:val="bottom"/>
          </w:tcPr>
          <w:p>
            <w:pPr>
              <w:ind w:left="2820"/>
              <w:spacing w:after="0"/>
              <w:rPr>
                <w:sz w:val="20"/>
                <w:szCs w:val="20"/>
                <w:color w:val="auto"/>
              </w:rPr>
            </w:pPr>
            <w:r>
              <w:rPr>
                <w:rFonts w:ascii="Arial" w:cs="Arial" w:eastAsia="Arial" w:hAnsi="Arial"/>
                <w:sz w:val="18"/>
                <w:szCs w:val="18"/>
                <w:b w:val="1"/>
                <w:bCs w:val="1"/>
                <w:color w:val="auto"/>
                <w:w w:val="88"/>
              </w:rPr>
              <w:t>13G</w:t>
            </w:r>
          </w:p>
        </w:tc>
      </w:tr>
      <w:tr>
        <w:trPr>
          <w:trHeight w:val="432"/>
        </w:trPr>
        <w:tc>
          <w:tcPr>
            <w:tcW w:w="4500" w:type="dxa"/>
            <w:vAlign w:val="bottom"/>
          </w:tcPr>
          <w:p>
            <w:pPr>
              <w:spacing w:after="0"/>
              <w:rPr>
                <w:sz w:val="20"/>
                <w:szCs w:val="20"/>
                <w:color w:val="auto"/>
              </w:rPr>
            </w:pPr>
            <w:r>
              <w:rPr>
                <w:rFonts w:ascii="Arial" w:cs="Arial" w:eastAsia="Arial" w:hAnsi="Arial"/>
                <w:sz w:val="18"/>
                <w:szCs w:val="18"/>
                <w:b w:val="1"/>
                <w:bCs w:val="1"/>
                <w:color w:val="auto"/>
              </w:rPr>
              <w:t>Item 1.</w:t>
            </w:r>
          </w:p>
        </w:tc>
        <w:tc>
          <w:tcPr>
            <w:tcW w:w="3140" w:type="dxa"/>
            <w:vAlign w:val="bottom"/>
          </w:tcPr>
          <w:p>
            <w:pPr>
              <w:spacing w:after="0"/>
              <w:rPr>
                <w:sz w:val="24"/>
                <w:szCs w:val="24"/>
                <w:color w:val="auto"/>
              </w:rPr>
            </w:pPr>
          </w:p>
        </w:tc>
      </w:tr>
    </w:tbl>
    <w:p>
      <w:pPr>
        <w:spacing w:after="0" w:line="198" w:lineRule="exact"/>
        <w:rPr>
          <w:sz w:val="20"/>
          <w:szCs w:val="20"/>
          <w:color w:val="auto"/>
        </w:rPr>
      </w:pPr>
    </w:p>
    <w:p>
      <w:pPr>
        <w:ind w:left="520" w:hanging="512"/>
        <w:spacing w:after="0"/>
        <w:tabs>
          <w:tab w:leader="none" w:pos="520" w:val="left"/>
        </w:tabs>
        <w:numPr>
          <w:ilvl w:val="0"/>
          <w:numId w:val="19"/>
        </w:numPr>
        <w:rPr>
          <w:rFonts w:ascii="Arial" w:cs="Arial" w:eastAsia="Arial" w:hAnsi="Arial"/>
          <w:sz w:val="18"/>
          <w:szCs w:val="18"/>
          <w:color w:val="auto"/>
        </w:rPr>
      </w:pPr>
      <w:r>
        <w:rPr>
          <w:rFonts w:ascii="Arial" w:cs="Arial" w:eastAsia="Arial" w:hAnsi="Arial"/>
          <w:sz w:val="18"/>
          <w:szCs w:val="18"/>
          <w:b w:val="1"/>
          <w:bCs w:val="1"/>
          <w:color w:val="auto"/>
        </w:rPr>
        <w:t xml:space="preserve">Name of Issuer: </w:t>
      </w:r>
      <w:r>
        <w:rPr>
          <w:rFonts w:ascii="Arial" w:cs="Arial" w:eastAsia="Arial" w:hAnsi="Arial"/>
          <w:sz w:val="18"/>
          <w:szCs w:val="18"/>
          <w:color w:val="auto"/>
        </w:rPr>
        <w:t>Ardelyx, Inc. (the “Issuer”).</w:t>
      </w:r>
    </w:p>
    <w:p>
      <w:pPr>
        <w:spacing w:after="0" w:line="225" w:lineRule="exact"/>
        <w:rPr>
          <w:rFonts w:ascii="Arial" w:cs="Arial" w:eastAsia="Arial" w:hAnsi="Arial"/>
          <w:sz w:val="18"/>
          <w:szCs w:val="18"/>
          <w:color w:val="auto"/>
        </w:rPr>
      </w:pPr>
    </w:p>
    <w:p>
      <w:pPr>
        <w:ind w:left="540" w:hanging="532"/>
        <w:spacing w:after="0"/>
        <w:tabs>
          <w:tab w:leader="none" w:pos="540" w:val="left"/>
        </w:tabs>
        <w:numPr>
          <w:ilvl w:val="0"/>
          <w:numId w:val="19"/>
        </w:numPr>
        <w:rPr>
          <w:rFonts w:ascii="Arial" w:cs="Arial" w:eastAsia="Arial" w:hAnsi="Arial"/>
          <w:sz w:val="18"/>
          <w:szCs w:val="18"/>
          <w:color w:val="auto"/>
        </w:rPr>
      </w:pPr>
      <w:r>
        <w:rPr>
          <w:rFonts w:ascii="Arial" w:cs="Arial" w:eastAsia="Arial" w:hAnsi="Arial"/>
          <w:sz w:val="18"/>
          <w:szCs w:val="18"/>
          <w:b w:val="1"/>
          <w:bCs w:val="1"/>
          <w:color w:val="auto"/>
        </w:rPr>
        <w:t xml:space="preserve">Address of the Issuer’s Principal Executive Offices: </w:t>
      </w:r>
      <w:r>
        <w:rPr>
          <w:rFonts w:ascii="Arial" w:cs="Arial" w:eastAsia="Arial" w:hAnsi="Arial"/>
          <w:sz w:val="18"/>
          <w:szCs w:val="18"/>
          <w:color w:val="auto"/>
        </w:rPr>
        <w:t>34175 Ardenwood Blvd., Fremont, CA 94555.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w:t>
      </w:r>
    </w:p>
    <w:p>
      <w:pPr>
        <w:spacing w:after="0" w:line="225" w:lineRule="exact"/>
        <w:rPr>
          <w:sz w:val="20"/>
          <w:szCs w:val="20"/>
          <w:color w:val="auto"/>
        </w:rPr>
      </w:pPr>
    </w:p>
    <w:p>
      <w:pPr>
        <w:ind w:right="680" w:firstLine="8"/>
        <w:spacing w:after="0" w:line="312" w:lineRule="auto"/>
        <w:tabs>
          <w:tab w:leader="none" w:pos="514" w:val="left"/>
        </w:tabs>
        <w:numPr>
          <w:ilvl w:val="0"/>
          <w:numId w:val="20"/>
        </w:numPr>
        <w:rPr>
          <w:rFonts w:ascii="Arial" w:cs="Arial" w:eastAsia="Arial" w:hAnsi="Arial"/>
          <w:sz w:val="17"/>
          <w:szCs w:val="17"/>
          <w:color w:val="auto"/>
        </w:rPr>
      </w:pPr>
      <w:r>
        <w:rPr>
          <w:rFonts w:ascii="Arial" w:cs="Arial" w:eastAsia="Arial" w:hAnsi="Arial"/>
          <w:sz w:val="17"/>
          <w:szCs w:val="17"/>
          <w:b w:val="1"/>
          <w:bCs w:val="1"/>
          <w:color w:val="auto"/>
        </w:rPr>
        <w:t xml:space="preserve">Name of Person Filing: </w:t>
      </w:r>
      <w:r>
        <w:rPr>
          <w:rFonts w:ascii="Arial" w:cs="Arial" w:eastAsia="Arial" w:hAnsi="Arial"/>
          <w:sz w:val="17"/>
          <w:szCs w:val="17"/>
          <w:color w:val="auto"/>
        </w:rPr>
        <w:t>This Amendment No. 1 to Schedule 13G amends and restates the Statement on Schedule 13G filed by RA Capital</w:t>
      </w:r>
      <w:r>
        <w:rPr>
          <w:rFonts w:ascii="Arial" w:cs="Arial" w:eastAsia="Arial" w:hAnsi="Arial"/>
          <w:sz w:val="17"/>
          <w:szCs w:val="17"/>
          <w:b w:val="1"/>
          <w:bCs w:val="1"/>
          <w:color w:val="auto"/>
        </w:rPr>
        <w:t xml:space="preserve"> </w:t>
      </w:r>
      <w:r>
        <w:rPr>
          <w:rFonts w:ascii="Arial" w:cs="Arial" w:eastAsia="Arial" w:hAnsi="Arial"/>
          <w:sz w:val="17"/>
          <w:szCs w:val="17"/>
          <w:color w:val="auto"/>
        </w:rPr>
        <w:t>Management, L.P. (“RA Capital”), Peter Kolchinsky, and Rajeev Shah (collectively, the “Reporting Persons”) on February 14, 2020.</w:t>
      </w:r>
    </w:p>
    <w:p>
      <w:pPr>
        <w:spacing w:after="0" w:line="144"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The Common Stock reported herein includes 5,593,698 shares held by RA Capital Healthcare Fund, L.P. (the “Fund”) and 569,388 shares held in a separately managed account (the “Account”). RA Capital Healthcare Fund GP, LLC is the general partner of the Fund. The general partner of RA Capital is RA Capital Management GP, LLC, of which Dr. Kolchinsky and Mr. Shah are the controlling persons. RA Capital serves as investment adviser for the Fund and the Account and may be deemed a beneficial owner, for purposes of Section 13(d) of the Securities Exchange Act of 1934 (the “Act”), of any securities of the Issuer held by the Fund and the Account. The Fund has delegated to RA Capital the sole power to vote and the sole power to dispose of all securities held in the Fund’s portfolio, including the shares of the Issuer’s Common Stock reported herein. Because the Fund has divested voting and investment power over the reported securities it holds and may not revoke that delegation on less than 61 days’ notice, the Fund disclaims beneficial ownership of the securities it holds for purposes of Section 13(d) of the Act and therefore disclaim any obligation to report ownership of the reported securities under Section 13(d) of the Act. As managers of RA Capital, Dr. Kolchinsky and Mr. Shah may be deemed beneficial owners, for purposes of Section 13(d) of the Act, of any securities of the Issuer beneficially owned by RA Capital. RA Capital, Dr. Kolchinsky, and Mr. Shah disclaim beneficial ownership of the securities reported in this Schedule 13G Statement (the “Statement”) other than for the purpose of determining their obligations under Section 13(d) of the Act, and the filing of the Statement shall not be deemed an admission that either RA Capital, Dr. Kolchinsky, or Mr. Shah is the beneficial owner of such securities for any other purpose.</w:t>
      </w:r>
    </w:p>
    <w:p>
      <w:pPr>
        <w:spacing w:after="0" w:line="182" w:lineRule="exact"/>
        <w:rPr>
          <w:sz w:val="20"/>
          <w:szCs w:val="20"/>
          <w:color w:val="auto"/>
        </w:rPr>
      </w:pPr>
    </w:p>
    <w:p>
      <w:pPr>
        <w:ind w:right="180" w:firstLine="8"/>
        <w:spacing w:after="0" w:line="292" w:lineRule="auto"/>
        <w:tabs>
          <w:tab w:leader="none" w:pos="525" w:val="left"/>
        </w:tabs>
        <w:numPr>
          <w:ilvl w:val="0"/>
          <w:numId w:val="21"/>
        </w:numPr>
        <w:rPr>
          <w:rFonts w:ascii="Arial" w:cs="Arial" w:eastAsia="Arial" w:hAnsi="Arial"/>
          <w:sz w:val="18"/>
          <w:szCs w:val="18"/>
          <w:color w:val="auto"/>
        </w:rPr>
      </w:pPr>
      <w:r>
        <w:rPr>
          <w:rFonts w:ascii="Arial" w:cs="Arial" w:eastAsia="Arial" w:hAnsi="Arial"/>
          <w:sz w:val="18"/>
          <w:szCs w:val="18"/>
          <w:b w:val="1"/>
          <w:bCs w:val="1"/>
          <w:color w:val="auto"/>
        </w:rPr>
        <w:t xml:space="preserve">Address of Principal Business Office: </w:t>
      </w:r>
      <w:r>
        <w:rPr>
          <w:rFonts w:ascii="Arial" w:cs="Arial" w:eastAsia="Arial" w:hAnsi="Arial"/>
          <w:sz w:val="18"/>
          <w:szCs w:val="18"/>
          <w:color w:val="auto"/>
        </w:rPr>
        <w:t>The principal business office of the Reporting Persons is c/o RA Capital Management, L.P., 200 Berkeley</w:t>
      </w:r>
      <w:r>
        <w:rPr>
          <w:rFonts w:ascii="Arial" w:cs="Arial" w:eastAsia="Arial" w:hAnsi="Arial"/>
          <w:sz w:val="18"/>
          <w:szCs w:val="18"/>
          <w:b w:val="1"/>
          <w:bCs w:val="1"/>
          <w:color w:val="auto"/>
        </w:rPr>
        <w:t xml:space="preserve"> </w:t>
      </w:r>
      <w:r>
        <w:rPr>
          <w:rFonts w:ascii="Arial" w:cs="Arial" w:eastAsia="Arial" w:hAnsi="Arial"/>
          <w:sz w:val="18"/>
          <w:szCs w:val="18"/>
          <w:color w:val="auto"/>
        </w:rPr>
        <w:t>Street, 18</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Floor, Boston, MA 02116.</w:t>
      </w:r>
    </w:p>
    <w:p>
      <w:pPr>
        <w:spacing w:after="0" w:line="30" w:lineRule="exact"/>
        <w:rPr>
          <w:rFonts w:ascii="Arial" w:cs="Arial" w:eastAsia="Arial" w:hAnsi="Arial"/>
          <w:sz w:val="18"/>
          <w:szCs w:val="18"/>
          <w:color w:val="auto"/>
        </w:rPr>
      </w:pPr>
    </w:p>
    <w:p>
      <w:pPr>
        <w:ind w:left="520" w:hanging="512"/>
        <w:spacing w:after="0"/>
        <w:tabs>
          <w:tab w:leader="none" w:pos="520" w:val="left"/>
        </w:tabs>
        <w:numPr>
          <w:ilvl w:val="0"/>
          <w:numId w:val="21"/>
        </w:numPr>
        <w:rPr>
          <w:rFonts w:ascii="Arial" w:cs="Arial" w:eastAsia="Arial" w:hAnsi="Arial"/>
          <w:sz w:val="18"/>
          <w:szCs w:val="18"/>
          <w:color w:val="auto"/>
        </w:rPr>
      </w:pPr>
      <w:r>
        <w:rPr>
          <w:rFonts w:ascii="Arial" w:cs="Arial" w:eastAsia="Arial" w:hAnsi="Arial"/>
          <w:sz w:val="18"/>
          <w:szCs w:val="18"/>
          <w:b w:val="1"/>
          <w:bCs w:val="1"/>
          <w:color w:val="auto"/>
        </w:rPr>
        <w:t xml:space="preserve">Citizenship: </w:t>
      </w:r>
      <w:r>
        <w:rPr>
          <w:rFonts w:ascii="Arial" w:cs="Arial" w:eastAsia="Arial" w:hAnsi="Arial"/>
          <w:sz w:val="18"/>
          <w:szCs w:val="18"/>
          <w:color w:val="auto"/>
        </w:rPr>
        <w:t>RA Capital and the Fund are Delaware limited partnerships. Dr. Kolchinsky and Mr. Shah are United States citizens.</w:t>
      </w:r>
    </w:p>
    <w:p>
      <w:pPr>
        <w:spacing w:after="0" w:line="225" w:lineRule="exact"/>
        <w:rPr>
          <w:rFonts w:ascii="Arial" w:cs="Arial" w:eastAsia="Arial" w:hAnsi="Arial"/>
          <w:sz w:val="18"/>
          <w:szCs w:val="18"/>
          <w:color w:val="auto"/>
        </w:rPr>
      </w:pPr>
    </w:p>
    <w:p>
      <w:pPr>
        <w:ind w:left="480" w:hanging="472"/>
        <w:spacing w:after="0"/>
        <w:tabs>
          <w:tab w:leader="none" w:pos="480" w:val="left"/>
        </w:tabs>
        <w:numPr>
          <w:ilvl w:val="0"/>
          <w:numId w:val="21"/>
        </w:numPr>
        <w:rPr>
          <w:rFonts w:ascii="Arial" w:cs="Arial" w:eastAsia="Arial" w:hAnsi="Arial"/>
          <w:sz w:val="18"/>
          <w:szCs w:val="18"/>
          <w:color w:val="auto"/>
        </w:rPr>
      </w:pPr>
      <w:r>
        <w:rPr>
          <w:rFonts w:ascii="Arial" w:cs="Arial" w:eastAsia="Arial" w:hAnsi="Arial"/>
          <w:sz w:val="18"/>
          <w:szCs w:val="18"/>
          <w:b w:val="1"/>
          <w:bCs w:val="1"/>
          <w:color w:val="auto"/>
        </w:rPr>
        <w:t xml:space="preserve">Title and Class of Securities: </w:t>
      </w:r>
      <w:r>
        <w:rPr>
          <w:rFonts w:ascii="Arial" w:cs="Arial" w:eastAsia="Arial" w:hAnsi="Arial"/>
          <w:sz w:val="18"/>
          <w:szCs w:val="18"/>
          <w:color w:val="auto"/>
        </w:rPr>
        <w:t>Common stock (“Common Stock”)</w:t>
      </w:r>
    </w:p>
    <w:p>
      <w:pPr>
        <w:spacing w:after="0" w:line="225" w:lineRule="exact"/>
        <w:rPr>
          <w:rFonts w:ascii="Arial" w:cs="Arial" w:eastAsia="Arial" w:hAnsi="Arial"/>
          <w:sz w:val="18"/>
          <w:szCs w:val="18"/>
          <w:color w:val="auto"/>
        </w:rPr>
      </w:pPr>
    </w:p>
    <w:p>
      <w:pPr>
        <w:ind w:left="520" w:hanging="512"/>
        <w:spacing w:after="0"/>
        <w:tabs>
          <w:tab w:leader="none" w:pos="520" w:val="left"/>
        </w:tabs>
        <w:numPr>
          <w:ilvl w:val="0"/>
          <w:numId w:val="21"/>
        </w:numPr>
        <w:rPr>
          <w:rFonts w:ascii="Arial" w:cs="Arial" w:eastAsia="Arial" w:hAnsi="Arial"/>
          <w:sz w:val="18"/>
          <w:szCs w:val="18"/>
          <w:color w:val="auto"/>
        </w:rPr>
      </w:pPr>
      <w:r>
        <w:rPr>
          <w:rFonts w:ascii="Arial" w:cs="Arial" w:eastAsia="Arial" w:hAnsi="Arial"/>
          <w:sz w:val="18"/>
          <w:szCs w:val="18"/>
          <w:b w:val="1"/>
          <w:bCs w:val="1"/>
          <w:color w:val="auto"/>
        </w:rPr>
        <w:t xml:space="preserve">CUSIP Number: </w:t>
      </w:r>
      <w:r>
        <w:rPr>
          <w:rFonts w:ascii="Arial" w:cs="Arial" w:eastAsia="Arial" w:hAnsi="Arial"/>
          <w:sz w:val="18"/>
          <w:szCs w:val="18"/>
          <w:color w:val="auto"/>
        </w:rPr>
        <w:t>039697107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34"/>
        </w:trPr>
        <w:tc>
          <w:tcPr>
            <w:tcW w:w="4500" w:type="dxa"/>
            <w:vAlign w:val="bottom"/>
          </w:tcPr>
          <w:p>
            <w:pPr>
              <w:spacing w:after="0"/>
              <w:rPr>
                <w:sz w:val="20"/>
                <w:szCs w:val="20"/>
                <w:color w:val="auto"/>
              </w:rPr>
            </w:pPr>
            <w:r>
              <w:rPr>
                <w:rFonts w:ascii="Arial" w:cs="Arial" w:eastAsia="Arial" w:hAnsi="Arial"/>
                <w:sz w:val="18"/>
                <w:szCs w:val="18"/>
                <w:color w:val="auto"/>
              </w:rPr>
              <w:t xml:space="preserve">CUSIP No. </w:t>
            </w:r>
            <w:r>
              <w:rPr>
                <w:rFonts w:ascii="Arial" w:cs="Arial" w:eastAsia="Arial" w:hAnsi="Arial"/>
                <w:sz w:val="18"/>
                <w:szCs w:val="18"/>
                <w:b w:val="1"/>
                <w:bCs w:val="1"/>
                <w:color w:val="auto"/>
              </w:rPr>
              <w:t>039697107</w:t>
            </w:r>
          </w:p>
        </w:tc>
        <w:tc>
          <w:tcPr>
            <w:tcW w:w="3140" w:type="dxa"/>
            <w:vAlign w:val="bottom"/>
          </w:tcPr>
          <w:p>
            <w:pPr>
              <w:ind w:left="2820"/>
              <w:spacing w:after="0"/>
              <w:rPr>
                <w:sz w:val="20"/>
                <w:szCs w:val="20"/>
                <w:color w:val="auto"/>
              </w:rPr>
            </w:pPr>
            <w:r>
              <w:rPr>
                <w:rFonts w:ascii="Arial" w:cs="Arial" w:eastAsia="Arial" w:hAnsi="Arial"/>
                <w:sz w:val="18"/>
                <w:szCs w:val="18"/>
                <w:b w:val="1"/>
                <w:bCs w:val="1"/>
                <w:color w:val="auto"/>
                <w:w w:val="88"/>
              </w:rPr>
              <w:t>13G</w:t>
            </w:r>
          </w:p>
        </w:tc>
      </w:tr>
    </w:tbl>
    <w:p>
      <w:pPr>
        <w:spacing w:after="0" w:line="198"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If this statement is filed pursuant to §§240.13d-1(b) or 240.13d-2(b) or (c), check whether the person filing is a:</w:t>
      </w:r>
    </w:p>
    <w:p>
      <w:pPr>
        <w:spacing w:after="0" w:line="229" w:lineRule="exact"/>
        <w:rPr>
          <w:sz w:val="20"/>
          <w:szCs w:val="20"/>
          <w:color w:val="auto"/>
        </w:rPr>
      </w:pPr>
    </w:p>
    <w:p>
      <w:pPr>
        <w:ind w:left="260" w:hanging="252"/>
        <w:spacing w:after="0"/>
        <w:tabs>
          <w:tab w:leader="none" w:pos="2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RA Capital Management, L.P. is a registered investment adviser and is filing this statement in accordance with §240.13d-1(b)(1)(ii)(E);</w:t>
      </w:r>
    </w:p>
    <w:p>
      <w:pPr>
        <w:spacing w:after="0" w:line="248" w:lineRule="exact"/>
        <w:rPr>
          <w:rFonts w:ascii="Arial" w:cs="Arial" w:eastAsia="Arial" w:hAnsi="Arial"/>
          <w:sz w:val="16"/>
          <w:szCs w:val="16"/>
          <w:color w:val="auto"/>
        </w:rPr>
      </w:pPr>
    </w:p>
    <w:p>
      <w:pPr>
        <w:ind w:left="260" w:hanging="252"/>
        <w:spacing w:after="0"/>
        <w:tabs>
          <w:tab w:leader="none" w:pos="2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Peter Kolchinsky and Rajeev Shah are control persons and are filing this statement in accordance with §240.13d-1(b)(1)(ii)(G).</w:t>
      </w:r>
    </w:p>
    <w:p>
      <w:pPr>
        <w:spacing w:after="0" w:line="233"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Ownership:</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Provide the following information regarding the aggregate number and percentage of the class of securities of the issuer identified in Item 1.</w:t>
      </w:r>
    </w:p>
    <w:p>
      <w:pPr>
        <w:spacing w:after="0" w:line="248" w:lineRule="exact"/>
        <w:rPr>
          <w:sz w:val="20"/>
          <w:szCs w:val="20"/>
          <w:color w:val="auto"/>
        </w:rPr>
      </w:pPr>
    </w:p>
    <w:p>
      <w:pPr>
        <w:ind w:left="740" w:hanging="683"/>
        <w:spacing w:after="0"/>
        <w:tabs>
          <w:tab w:leader="none" w:pos="7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Amount Beneficially Owned:</w:t>
      </w:r>
    </w:p>
    <w:p>
      <w:pPr>
        <w:spacing w:after="0" w:line="23" w:lineRule="exact"/>
        <w:rPr>
          <w:rFonts w:ascii="Arial" w:cs="Arial" w:eastAsia="Arial" w:hAnsi="Arial"/>
          <w:sz w:val="18"/>
          <w:szCs w:val="18"/>
          <w:color w:val="auto"/>
        </w:rPr>
      </w:pPr>
    </w:p>
    <w:p>
      <w:pPr>
        <w:ind w:left="740"/>
        <w:spacing w:after="0"/>
        <w:rPr>
          <w:rFonts w:ascii="Arial" w:cs="Arial" w:eastAsia="Arial" w:hAnsi="Arial"/>
          <w:sz w:val="18"/>
          <w:szCs w:val="18"/>
          <w:color w:val="auto"/>
        </w:rPr>
      </w:pPr>
      <w:r>
        <w:rPr>
          <w:rFonts w:ascii="Arial" w:cs="Arial" w:eastAsia="Arial" w:hAnsi="Arial"/>
          <w:sz w:val="18"/>
          <w:szCs w:val="18"/>
          <w:color w:val="auto"/>
        </w:rPr>
        <w:t>See the response(s) to Item 9 on the attached cover page(s).</w:t>
      </w:r>
    </w:p>
    <w:p>
      <w:pPr>
        <w:spacing w:after="0" w:line="200" w:lineRule="exact"/>
        <w:rPr>
          <w:rFonts w:ascii="Arial" w:cs="Arial" w:eastAsia="Arial" w:hAnsi="Arial"/>
          <w:sz w:val="18"/>
          <w:szCs w:val="18"/>
          <w:color w:val="auto"/>
        </w:rPr>
      </w:pPr>
    </w:p>
    <w:p>
      <w:pPr>
        <w:spacing w:after="0" w:line="226" w:lineRule="exact"/>
        <w:rPr>
          <w:rFonts w:ascii="Arial" w:cs="Arial" w:eastAsia="Arial" w:hAnsi="Arial"/>
          <w:sz w:val="18"/>
          <w:szCs w:val="18"/>
          <w:color w:val="auto"/>
        </w:rPr>
      </w:pPr>
    </w:p>
    <w:p>
      <w:pPr>
        <w:ind w:left="740" w:hanging="683"/>
        <w:spacing w:after="0"/>
        <w:tabs>
          <w:tab w:leader="none" w:pos="7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Percent of Class:</w:t>
      </w:r>
    </w:p>
    <w:p>
      <w:pPr>
        <w:spacing w:after="0" w:line="23" w:lineRule="exact"/>
        <w:rPr>
          <w:rFonts w:ascii="Arial" w:cs="Arial" w:eastAsia="Arial" w:hAnsi="Arial"/>
          <w:sz w:val="18"/>
          <w:szCs w:val="18"/>
          <w:color w:val="auto"/>
        </w:rPr>
      </w:pPr>
    </w:p>
    <w:p>
      <w:pPr>
        <w:ind w:left="740"/>
        <w:spacing w:after="0"/>
        <w:rPr>
          <w:rFonts w:ascii="Arial" w:cs="Arial" w:eastAsia="Arial" w:hAnsi="Arial"/>
          <w:sz w:val="18"/>
          <w:szCs w:val="18"/>
          <w:color w:val="auto"/>
        </w:rPr>
      </w:pPr>
      <w:r>
        <w:rPr>
          <w:rFonts w:ascii="Arial" w:cs="Arial" w:eastAsia="Arial" w:hAnsi="Arial"/>
          <w:sz w:val="18"/>
          <w:szCs w:val="18"/>
          <w:color w:val="auto"/>
        </w:rPr>
        <w:t>See the response(s) to Item 11 on the attached cover page(s).</w:t>
      </w:r>
    </w:p>
    <w:p>
      <w:pPr>
        <w:spacing w:after="0" w:line="200" w:lineRule="exact"/>
        <w:rPr>
          <w:rFonts w:ascii="Arial" w:cs="Arial" w:eastAsia="Arial" w:hAnsi="Arial"/>
          <w:sz w:val="18"/>
          <w:szCs w:val="18"/>
          <w:color w:val="auto"/>
        </w:rPr>
      </w:pPr>
    </w:p>
    <w:p>
      <w:pPr>
        <w:spacing w:after="0" w:line="226" w:lineRule="exact"/>
        <w:rPr>
          <w:rFonts w:ascii="Arial" w:cs="Arial" w:eastAsia="Arial" w:hAnsi="Arial"/>
          <w:sz w:val="18"/>
          <w:szCs w:val="18"/>
          <w:color w:val="auto"/>
        </w:rPr>
      </w:pPr>
    </w:p>
    <w:p>
      <w:pPr>
        <w:ind w:left="740" w:hanging="683"/>
        <w:spacing w:after="0"/>
        <w:tabs>
          <w:tab w:leader="none" w:pos="7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Number of shares as to which such person has:</w:t>
      </w:r>
    </w:p>
    <w:p>
      <w:pPr>
        <w:spacing w:after="0" w:line="225" w:lineRule="exact"/>
        <w:rPr>
          <w:rFonts w:ascii="Arial" w:cs="Arial" w:eastAsia="Arial" w:hAnsi="Arial"/>
          <w:sz w:val="18"/>
          <w:szCs w:val="18"/>
          <w:color w:val="auto"/>
        </w:rPr>
      </w:pPr>
    </w:p>
    <w:p>
      <w:pPr>
        <w:ind w:left="1400" w:hanging="668"/>
        <w:spacing w:after="0"/>
        <w:tabs>
          <w:tab w:leader="none" w:pos="1400" w:val="left"/>
        </w:tabs>
        <w:numPr>
          <w:ilvl w:val="1"/>
          <w:numId w:val="24"/>
        </w:numPr>
        <w:rPr>
          <w:rFonts w:ascii="Arial" w:cs="Arial" w:eastAsia="Arial" w:hAnsi="Arial"/>
          <w:sz w:val="18"/>
          <w:szCs w:val="18"/>
          <w:color w:val="auto"/>
        </w:rPr>
      </w:pPr>
      <w:r>
        <w:rPr>
          <w:rFonts w:ascii="Arial" w:cs="Arial" w:eastAsia="Arial" w:hAnsi="Arial"/>
          <w:sz w:val="18"/>
          <w:szCs w:val="18"/>
          <w:color w:val="auto"/>
        </w:rPr>
        <w:t>sole power to vote or to direct the vote:</w:t>
      </w:r>
    </w:p>
    <w:p>
      <w:pPr>
        <w:spacing w:after="0" w:line="23" w:lineRule="exact"/>
        <w:rPr>
          <w:rFonts w:ascii="Arial" w:cs="Arial" w:eastAsia="Arial" w:hAnsi="Arial"/>
          <w:sz w:val="18"/>
          <w:szCs w:val="18"/>
          <w:color w:val="auto"/>
        </w:rPr>
      </w:pPr>
    </w:p>
    <w:p>
      <w:pPr>
        <w:ind w:left="1400"/>
        <w:spacing w:after="0"/>
        <w:rPr>
          <w:rFonts w:ascii="Arial" w:cs="Arial" w:eastAsia="Arial" w:hAnsi="Arial"/>
          <w:sz w:val="18"/>
          <w:szCs w:val="18"/>
          <w:color w:val="auto"/>
        </w:rPr>
      </w:pPr>
      <w:r>
        <w:rPr>
          <w:rFonts w:ascii="Arial" w:cs="Arial" w:eastAsia="Arial" w:hAnsi="Arial"/>
          <w:sz w:val="18"/>
          <w:szCs w:val="18"/>
          <w:color w:val="auto"/>
        </w:rPr>
        <w:t>See the response(s) to Item 5 on the attached cover page(s).</w:t>
      </w:r>
    </w:p>
    <w:p>
      <w:pPr>
        <w:spacing w:after="0" w:line="200" w:lineRule="exact"/>
        <w:rPr>
          <w:rFonts w:ascii="Arial" w:cs="Arial" w:eastAsia="Arial" w:hAnsi="Arial"/>
          <w:sz w:val="18"/>
          <w:szCs w:val="18"/>
          <w:color w:val="auto"/>
        </w:rPr>
      </w:pPr>
    </w:p>
    <w:p>
      <w:pPr>
        <w:spacing w:after="0" w:line="226" w:lineRule="exact"/>
        <w:rPr>
          <w:rFonts w:ascii="Arial" w:cs="Arial" w:eastAsia="Arial" w:hAnsi="Arial"/>
          <w:sz w:val="18"/>
          <w:szCs w:val="18"/>
          <w:color w:val="auto"/>
        </w:rPr>
      </w:pPr>
    </w:p>
    <w:p>
      <w:pPr>
        <w:ind w:left="1400" w:hanging="668"/>
        <w:spacing w:after="0"/>
        <w:tabs>
          <w:tab w:leader="none" w:pos="1400" w:val="left"/>
        </w:tabs>
        <w:numPr>
          <w:ilvl w:val="1"/>
          <w:numId w:val="24"/>
        </w:numPr>
        <w:rPr>
          <w:rFonts w:ascii="Arial" w:cs="Arial" w:eastAsia="Arial" w:hAnsi="Arial"/>
          <w:sz w:val="18"/>
          <w:szCs w:val="18"/>
          <w:color w:val="auto"/>
        </w:rPr>
      </w:pPr>
      <w:r>
        <w:rPr>
          <w:rFonts w:ascii="Arial" w:cs="Arial" w:eastAsia="Arial" w:hAnsi="Arial"/>
          <w:sz w:val="18"/>
          <w:szCs w:val="18"/>
          <w:color w:val="auto"/>
        </w:rPr>
        <w:t>shared power to vote or to direct the vote</w:t>
      </w:r>
    </w:p>
    <w:p>
      <w:pPr>
        <w:spacing w:after="0" w:line="23" w:lineRule="exact"/>
        <w:rPr>
          <w:rFonts w:ascii="Arial" w:cs="Arial" w:eastAsia="Arial" w:hAnsi="Arial"/>
          <w:sz w:val="18"/>
          <w:szCs w:val="18"/>
          <w:color w:val="auto"/>
        </w:rPr>
      </w:pPr>
    </w:p>
    <w:p>
      <w:pPr>
        <w:ind w:left="1400"/>
        <w:spacing w:after="0"/>
        <w:rPr>
          <w:rFonts w:ascii="Arial" w:cs="Arial" w:eastAsia="Arial" w:hAnsi="Arial"/>
          <w:sz w:val="18"/>
          <w:szCs w:val="18"/>
          <w:color w:val="auto"/>
        </w:rPr>
      </w:pPr>
      <w:r>
        <w:rPr>
          <w:rFonts w:ascii="Arial" w:cs="Arial" w:eastAsia="Arial" w:hAnsi="Arial"/>
          <w:sz w:val="18"/>
          <w:szCs w:val="18"/>
          <w:color w:val="auto"/>
        </w:rPr>
        <w:t>See the response(s) to Item 6 on the attached cover page(s).</w:t>
      </w:r>
    </w:p>
    <w:p>
      <w:pPr>
        <w:spacing w:after="0" w:line="200" w:lineRule="exact"/>
        <w:rPr>
          <w:rFonts w:ascii="Arial" w:cs="Arial" w:eastAsia="Arial" w:hAnsi="Arial"/>
          <w:sz w:val="18"/>
          <w:szCs w:val="18"/>
          <w:color w:val="auto"/>
        </w:rPr>
      </w:pPr>
    </w:p>
    <w:p>
      <w:pPr>
        <w:spacing w:after="0" w:line="226" w:lineRule="exact"/>
        <w:rPr>
          <w:rFonts w:ascii="Arial" w:cs="Arial" w:eastAsia="Arial" w:hAnsi="Arial"/>
          <w:sz w:val="18"/>
          <w:szCs w:val="18"/>
          <w:color w:val="auto"/>
        </w:rPr>
      </w:pPr>
    </w:p>
    <w:p>
      <w:pPr>
        <w:ind w:left="1400" w:hanging="668"/>
        <w:spacing w:after="0"/>
        <w:tabs>
          <w:tab w:leader="none" w:pos="1400" w:val="left"/>
        </w:tabs>
        <w:numPr>
          <w:ilvl w:val="1"/>
          <w:numId w:val="24"/>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w:t>
      </w:r>
    </w:p>
    <w:p>
      <w:pPr>
        <w:spacing w:after="0" w:line="23" w:lineRule="exact"/>
        <w:rPr>
          <w:rFonts w:ascii="Arial" w:cs="Arial" w:eastAsia="Arial" w:hAnsi="Arial"/>
          <w:sz w:val="18"/>
          <w:szCs w:val="18"/>
          <w:color w:val="auto"/>
        </w:rPr>
      </w:pPr>
    </w:p>
    <w:p>
      <w:pPr>
        <w:ind w:left="1400"/>
        <w:spacing w:after="0"/>
        <w:rPr>
          <w:rFonts w:ascii="Arial" w:cs="Arial" w:eastAsia="Arial" w:hAnsi="Arial"/>
          <w:sz w:val="18"/>
          <w:szCs w:val="18"/>
          <w:color w:val="auto"/>
        </w:rPr>
      </w:pPr>
      <w:r>
        <w:rPr>
          <w:rFonts w:ascii="Arial" w:cs="Arial" w:eastAsia="Arial" w:hAnsi="Arial"/>
          <w:sz w:val="18"/>
          <w:szCs w:val="18"/>
          <w:color w:val="auto"/>
        </w:rPr>
        <w:t>See the response(s) to Item 7 on the attached cover page(s).</w:t>
      </w:r>
    </w:p>
    <w:p>
      <w:pPr>
        <w:spacing w:after="0" w:line="200" w:lineRule="exact"/>
        <w:rPr>
          <w:rFonts w:ascii="Arial" w:cs="Arial" w:eastAsia="Arial" w:hAnsi="Arial"/>
          <w:sz w:val="18"/>
          <w:szCs w:val="18"/>
          <w:color w:val="auto"/>
        </w:rPr>
      </w:pPr>
    </w:p>
    <w:p>
      <w:pPr>
        <w:spacing w:after="0" w:line="226" w:lineRule="exact"/>
        <w:rPr>
          <w:rFonts w:ascii="Arial" w:cs="Arial" w:eastAsia="Arial" w:hAnsi="Arial"/>
          <w:sz w:val="18"/>
          <w:szCs w:val="18"/>
          <w:color w:val="auto"/>
        </w:rPr>
      </w:pPr>
    </w:p>
    <w:p>
      <w:pPr>
        <w:ind w:left="1400" w:hanging="668"/>
        <w:spacing w:after="0"/>
        <w:tabs>
          <w:tab w:leader="none" w:pos="1400" w:val="left"/>
        </w:tabs>
        <w:numPr>
          <w:ilvl w:val="1"/>
          <w:numId w:val="24"/>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w:t>
      </w:r>
    </w:p>
    <w:p>
      <w:pPr>
        <w:spacing w:after="0" w:line="23" w:lineRule="exact"/>
        <w:rPr>
          <w:rFonts w:ascii="Arial" w:cs="Arial" w:eastAsia="Arial" w:hAnsi="Arial"/>
          <w:sz w:val="18"/>
          <w:szCs w:val="18"/>
          <w:color w:val="auto"/>
        </w:rPr>
      </w:pPr>
    </w:p>
    <w:p>
      <w:pPr>
        <w:ind w:left="1400"/>
        <w:spacing w:after="0"/>
        <w:rPr>
          <w:rFonts w:ascii="Arial" w:cs="Arial" w:eastAsia="Arial" w:hAnsi="Arial"/>
          <w:sz w:val="18"/>
          <w:szCs w:val="18"/>
          <w:color w:val="auto"/>
        </w:rPr>
      </w:pPr>
      <w:r>
        <w:rPr>
          <w:rFonts w:ascii="Arial" w:cs="Arial" w:eastAsia="Arial" w:hAnsi="Arial"/>
          <w:sz w:val="18"/>
          <w:szCs w:val="18"/>
          <w:color w:val="auto"/>
        </w:rPr>
        <w:t>See the response(s) to Item 8 on the attached cover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904" w:right="1440" w:bottom="1440" w:gutter="0" w:footer="0" w:header="0"/>
        </w:sectPr>
      </w:pPr>
    </w:p>
    <w:bookmarkStart w:id="7" w:name="page8"/>
    <w:bookmarkEnd w:id="7"/>
    <w:p>
      <w:pPr>
        <w:spacing w:after="0"/>
        <w:rPr>
          <w:sz w:val="20"/>
          <w:szCs w:val="20"/>
          <w:color w:val="auto"/>
        </w:rPr>
      </w:pPr>
      <w:r>
        <w:rPr>
          <w:rFonts w:ascii="Arial" w:cs="Arial" w:eastAsia="Arial" w:hAnsi="Arial"/>
          <w:sz w:val="18"/>
          <w:szCs w:val="18"/>
          <w:color w:val="auto"/>
        </w:rPr>
        <w:t xml:space="preserve">CUSIP No. </w:t>
      </w:r>
      <w:r>
        <w:rPr>
          <w:rFonts w:ascii="Arial" w:cs="Arial" w:eastAsia="Arial" w:hAnsi="Arial"/>
          <w:sz w:val="18"/>
          <w:szCs w:val="18"/>
          <w:b w:val="1"/>
          <w:bCs w:val="1"/>
          <w:color w:val="auto"/>
        </w:rPr>
        <w:t>039697107</w:t>
      </w:r>
    </w:p>
    <w:p>
      <w:pPr>
        <w:spacing w:after="0" w:line="22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Ownership of Five Percent or Less of a Class: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b w:val="1"/>
          <w:bCs w:val="1"/>
          <w:color w:val="auto"/>
        </w:rPr>
        <w:t>13G</w:t>
      </w:r>
    </w:p>
    <w:p>
      <w:pPr>
        <w:spacing w:after="0" w:line="654" w:lineRule="exact"/>
        <w:rPr>
          <w:sz w:val="20"/>
          <w:szCs w:val="20"/>
          <w:color w:val="auto"/>
        </w:rPr>
      </w:pPr>
    </w:p>
    <w:p>
      <w:pPr>
        <w:sectPr>
          <w:pgSz w:w="11900" w:h="16838" w:orient="portrait"/>
          <w:cols w:equalWidth="0" w:num="2">
            <w:col w:w="6600" w:space="720"/>
            <w:col w:w="3880"/>
          </w:cols>
          <w:pgMar w:left="320" w:top="904" w:right="379" w:bottom="1440" w:gutter="0" w:footer="0" w:header="0"/>
        </w:sectPr>
      </w:pPr>
    </w:p>
    <w:p>
      <w:pPr>
        <w:spacing w:after="0" w:line="29" w:lineRule="exact"/>
        <w:rPr>
          <w:sz w:val="20"/>
          <w:szCs w:val="20"/>
          <w:color w:val="auto"/>
        </w:rPr>
      </w:pPr>
    </w:p>
    <w:p>
      <w:pPr>
        <w:spacing w:after="0"/>
        <w:rPr>
          <w:sz w:val="20"/>
          <w:szCs w:val="20"/>
          <w:color w:val="auto"/>
        </w:rPr>
      </w:pPr>
      <w:r>
        <w:rPr>
          <w:rFonts w:ascii="Arial" w:cs="Arial" w:eastAsia="Arial" w:hAnsi="Arial"/>
          <w:sz w:val="16"/>
          <w:szCs w:val="16"/>
          <w:color w:val="auto"/>
        </w:rPr>
        <w:t>Not applicable.</w:t>
      </w:r>
    </w:p>
    <w:p>
      <w:pPr>
        <w:sectPr>
          <w:pgSz w:w="11900" w:h="16838" w:orient="portrait"/>
          <w:cols w:equalWidth="0" w:num="1">
            <w:col w:w="11200"/>
          </w:cols>
          <w:pgMar w:left="320" w:top="904" w:right="379" w:bottom="1440" w:gutter="0" w:footer="0" w:header="0"/>
          <w:type w:val="continuous"/>
        </w:sectPr>
      </w:pPr>
    </w:p>
    <w:p>
      <w:pPr>
        <w:spacing w:after="0" w:line="24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6.</w:t>
      </w:r>
    </w:p>
    <w:p>
      <w:pPr>
        <w:spacing w:after="0" w:line="20" w:lineRule="exact"/>
        <w:rPr>
          <w:sz w:val="20"/>
          <w:szCs w:val="20"/>
          <w:color w:val="auto"/>
        </w:rPr>
      </w:pPr>
      <w:r>
        <w:rPr>
          <w:sz w:val="20"/>
          <w:szCs w:val="20"/>
          <w:color w:val="auto"/>
        </w:rPr>
        <w:br w:type="column"/>
      </w:r>
    </w:p>
    <w:p>
      <w:pPr>
        <w:spacing w:after="0" w:line="22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Ownership of More than Five Percent on Behalf of Another Person:</w:t>
      </w:r>
    </w:p>
    <w:p>
      <w:pPr>
        <w:spacing w:after="0" w:line="211" w:lineRule="exact"/>
        <w:rPr>
          <w:sz w:val="20"/>
          <w:szCs w:val="20"/>
          <w:color w:val="auto"/>
        </w:rPr>
      </w:pPr>
    </w:p>
    <w:p>
      <w:pPr>
        <w:sectPr>
          <w:pgSz w:w="11900" w:h="16838" w:orient="portrait"/>
          <w:cols w:equalWidth="0" w:num="2">
            <w:col w:w="580" w:space="720"/>
            <w:col w:w="9900"/>
          </w:cols>
          <w:pgMar w:left="320" w:top="904" w:right="379" w:bottom="1440" w:gutter="0" w:footer="0" w:header="0"/>
          <w:type w:val="continuous"/>
        </w:sectPr>
      </w:pPr>
    </w:p>
    <w:p>
      <w:pPr>
        <w:spacing w:after="0" w:line="41" w:lineRule="exact"/>
        <w:rPr>
          <w:sz w:val="20"/>
          <w:szCs w:val="20"/>
          <w:color w:val="auto"/>
        </w:rPr>
      </w:pPr>
    </w:p>
    <w:p>
      <w:pPr>
        <w:spacing w:after="0"/>
        <w:rPr>
          <w:sz w:val="20"/>
          <w:szCs w:val="20"/>
          <w:color w:val="auto"/>
        </w:rPr>
      </w:pPr>
      <w:r>
        <w:rPr>
          <w:rFonts w:ascii="Arial" w:cs="Arial" w:eastAsia="Arial" w:hAnsi="Arial"/>
          <w:sz w:val="16"/>
          <w:szCs w:val="16"/>
          <w:color w:val="auto"/>
        </w:rPr>
        <w:t>Not applicable.</w:t>
      </w:r>
    </w:p>
    <w:p>
      <w:pPr>
        <w:sectPr>
          <w:pgSz w:w="11900" w:h="16838" w:orient="portrait"/>
          <w:cols w:equalWidth="0" w:num="1">
            <w:col w:w="11200"/>
          </w:cols>
          <w:pgMar w:left="320" w:top="904" w:right="379" w:bottom="1440" w:gutter="0" w:footer="0" w:header="0"/>
          <w:type w:val="continuous"/>
        </w:sectPr>
      </w:pPr>
    </w:p>
    <w:p>
      <w:pPr>
        <w:spacing w:after="0" w:line="24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7.</w:t>
      </w:r>
    </w:p>
    <w:p>
      <w:pPr>
        <w:spacing w:after="0" w:line="20" w:lineRule="exact"/>
        <w:rPr>
          <w:sz w:val="20"/>
          <w:szCs w:val="20"/>
          <w:color w:val="auto"/>
        </w:rPr>
      </w:pPr>
      <w:r>
        <w:rPr>
          <w:sz w:val="20"/>
          <w:szCs w:val="20"/>
          <w:color w:val="auto"/>
        </w:rPr>
        <w:br w:type="column"/>
      </w:r>
    </w:p>
    <w:p>
      <w:pPr>
        <w:spacing w:after="0" w:line="224" w:lineRule="exact"/>
        <w:rPr>
          <w:sz w:val="20"/>
          <w:szCs w:val="20"/>
          <w:color w:val="auto"/>
        </w:rPr>
      </w:pPr>
    </w:p>
    <w:p>
      <w:pPr>
        <w:ind w:right="540"/>
        <w:spacing w:after="0" w:line="282" w:lineRule="auto"/>
        <w:rPr>
          <w:sz w:val="20"/>
          <w:szCs w:val="20"/>
          <w:color w:val="auto"/>
        </w:rPr>
      </w:pPr>
      <w:r>
        <w:rPr>
          <w:rFonts w:ascii="Arial" w:cs="Arial" w:eastAsia="Arial" w:hAnsi="Arial"/>
          <w:sz w:val="18"/>
          <w:szCs w:val="18"/>
          <w:b w:val="1"/>
          <w:bCs w:val="1"/>
          <w:color w:val="auto"/>
        </w:rPr>
        <w:t>Identification and Classification of the Subsidiary Which Acquired the Security Being Reported on By the Parent Holding Company or Control Person:</w:t>
      </w:r>
    </w:p>
    <w:p>
      <w:pPr>
        <w:spacing w:after="0" w:line="166" w:lineRule="exact"/>
        <w:rPr>
          <w:sz w:val="20"/>
          <w:szCs w:val="20"/>
          <w:color w:val="auto"/>
        </w:rPr>
      </w:pPr>
    </w:p>
    <w:p>
      <w:pPr>
        <w:sectPr>
          <w:pgSz w:w="11900" w:h="16838" w:orient="portrait"/>
          <w:cols w:equalWidth="0" w:num="2">
            <w:col w:w="580" w:space="720"/>
            <w:col w:w="9900"/>
          </w:cols>
          <w:pgMar w:left="320" w:top="904" w:right="379" w:bottom="1440" w:gutter="0" w:footer="0" w:header="0"/>
          <w:type w:val="continuous"/>
        </w:sectPr>
      </w:pPr>
    </w:p>
    <w:p>
      <w:pPr>
        <w:spacing w:after="0"/>
        <w:rPr>
          <w:sz w:val="20"/>
          <w:szCs w:val="20"/>
          <w:color w:val="auto"/>
        </w:rPr>
      </w:pPr>
      <w:r>
        <w:rPr>
          <w:rFonts w:ascii="Arial" w:cs="Arial" w:eastAsia="Arial" w:hAnsi="Arial"/>
          <w:sz w:val="16"/>
          <w:szCs w:val="16"/>
          <w:color w:val="auto"/>
        </w:rPr>
        <w:t>Not applicable.</w:t>
      </w:r>
    </w:p>
    <w:p>
      <w:pPr>
        <w:sectPr>
          <w:pgSz w:w="11900" w:h="16838" w:orient="portrait"/>
          <w:cols w:equalWidth="0" w:num="1">
            <w:col w:w="11200"/>
          </w:cols>
          <w:pgMar w:left="320" w:top="904" w:right="379" w:bottom="1440" w:gutter="0" w:footer="0" w:header="0"/>
          <w:type w:val="continuous"/>
        </w:sectPr>
      </w:pPr>
    </w:p>
    <w:p>
      <w:pPr>
        <w:spacing w:after="0" w:line="24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8.</w:t>
      </w:r>
    </w:p>
    <w:p>
      <w:pPr>
        <w:spacing w:after="0" w:line="20" w:lineRule="exact"/>
        <w:rPr>
          <w:sz w:val="20"/>
          <w:szCs w:val="20"/>
          <w:color w:val="auto"/>
        </w:rPr>
      </w:pPr>
      <w:r>
        <w:rPr>
          <w:sz w:val="20"/>
          <w:szCs w:val="20"/>
          <w:color w:val="auto"/>
        </w:rPr>
        <w:br w:type="column"/>
      </w:r>
    </w:p>
    <w:p>
      <w:pPr>
        <w:spacing w:after="0" w:line="22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Identification and Classification of Members of the Group:</w:t>
      </w:r>
    </w:p>
    <w:p>
      <w:pPr>
        <w:spacing w:after="0" w:line="211" w:lineRule="exact"/>
        <w:rPr>
          <w:sz w:val="20"/>
          <w:szCs w:val="20"/>
          <w:color w:val="auto"/>
        </w:rPr>
      </w:pPr>
    </w:p>
    <w:p>
      <w:pPr>
        <w:sectPr>
          <w:pgSz w:w="11900" w:h="16838" w:orient="portrait"/>
          <w:cols w:equalWidth="0" w:num="2">
            <w:col w:w="580" w:space="720"/>
            <w:col w:w="9900"/>
          </w:cols>
          <w:pgMar w:left="320" w:top="904" w:right="379" w:bottom="1440" w:gutter="0" w:footer="0" w:header="0"/>
          <w:type w:val="continuous"/>
        </w:sectPr>
      </w:pPr>
    </w:p>
    <w:p>
      <w:pPr>
        <w:spacing w:after="0" w:line="41" w:lineRule="exact"/>
        <w:rPr>
          <w:sz w:val="20"/>
          <w:szCs w:val="20"/>
          <w:color w:val="auto"/>
        </w:rPr>
      </w:pPr>
    </w:p>
    <w:p>
      <w:pPr>
        <w:spacing w:after="0"/>
        <w:rPr>
          <w:sz w:val="20"/>
          <w:szCs w:val="20"/>
          <w:color w:val="auto"/>
        </w:rPr>
      </w:pPr>
      <w:r>
        <w:rPr>
          <w:rFonts w:ascii="Arial" w:cs="Arial" w:eastAsia="Arial" w:hAnsi="Arial"/>
          <w:sz w:val="16"/>
          <w:szCs w:val="16"/>
          <w:color w:val="auto"/>
        </w:rPr>
        <w:t>Not applicable.</w:t>
      </w:r>
    </w:p>
    <w:p>
      <w:pPr>
        <w:sectPr>
          <w:pgSz w:w="11900" w:h="16838" w:orient="portrait"/>
          <w:cols w:equalWidth="0" w:num="1">
            <w:col w:w="11200"/>
          </w:cols>
          <w:pgMar w:left="320" w:top="904" w:right="379" w:bottom="1440" w:gutter="0" w:footer="0" w:header="0"/>
          <w:type w:val="continuous"/>
        </w:sectPr>
      </w:pPr>
    </w:p>
    <w:p>
      <w:pPr>
        <w:spacing w:after="0" w:line="24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9.</w:t>
      </w:r>
    </w:p>
    <w:p>
      <w:pPr>
        <w:spacing w:after="0" w:line="20" w:lineRule="exact"/>
        <w:rPr>
          <w:sz w:val="20"/>
          <w:szCs w:val="20"/>
          <w:color w:val="auto"/>
        </w:rPr>
      </w:pPr>
      <w:r>
        <w:rPr>
          <w:sz w:val="20"/>
          <w:szCs w:val="20"/>
          <w:color w:val="auto"/>
        </w:rPr>
        <w:br w:type="column"/>
      </w:r>
    </w:p>
    <w:p>
      <w:pPr>
        <w:spacing w:after="0" w:line="22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Notice of Dissolution of Group:</w:t>
      </w:r>
    </w:p>
    <w:p>
      <w:pPr>
        <w:spacing w:after="0" w:line="211" w:lineRule="exact"/>
        <w:rPr>
          <w:sz w:val="20"/>
          <w:szCs w:val="20"/>
          <w:color w:val="auto"/>
        </w:rPr>
      </w:pPr>
    </w:p>
    <w:p>
      <w:pPr>
        <w:sectPr>
          <w:pgSz w:w="11900" w:h="16838" w:orient="portrait"/>
          <w:cols w:equalWidth="0" w:num="2">
            <w:col w:w="580" w:space="720"/>
            <w:col w:w="9900"/>
          </w:cols>
          <w:pgMar w:left="320" w:top="904" w:right="379" w:bottom="1440" w:gutter="0" w:footer="0" w:header="0"/>
          <w:type w:val="continuous"/>
        </w:sectPr>
      </w:pPr>
    </w:p>
    <w:p>
      <w:pPr>
        <w:spacing w:after="0" w:line="41" w:lineRule="exact"/>
        <w:rPr>
          <w:sz w:val="20"/>
          <w:szCs w:val="20"/>
          <w:color w:val="auto"/>
        </w:rPr>
      </w:pPr>
    </w:p>
    <w:p>
      <w:pPr>
        <w:spacing w:after="0"/>
        <w:rPr>
          <w:sz w:val="20"/>
          <w:szCs w:val="20"/>
          <w:color w:val="auto"/>
        </w:rPr>
      </w:pPr>
      <w:r>
        <w:rPr>
          <w:rFonts w:ascii="Arial" w:cs="Arial" w:eastAsia="Arial" w:hAnsi="Arial"/>
          <w:sz w:val="16"/>
          <w:szCs w:val="16"/>
          <w:color w:val="auto"/>
        </w:rPr>
        <w:t>Not applicable.</w:t>
      </w:r>
    </w:p>
    <w:p>
      <w:pPr>
        <w:sectPr>
          <w:pgSz w:w="11900" w:h="16838" w:orient="portrait"/>
          <w:cols w:equalWidth="0" w:num="1">
            <w:col w:w="11200"/>
          </w:cols>
          <w:pgMar w:left="320" w:top="904" w:right="379" w:bottom="1440" w:gutter="0" w:footer="0" w:header="0"/>
          <w:type w:val="continuous"/>
        </w:sectPr>
      </w:pPr>
    </w:p>
    <w:p>
      <w:pPr>
        <w:spacing w:after="0" w:line="24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10.</w:t>
      </w:r>
    </w:p>
    <w:p>
      <w:pPr>
        <w:spacing w:after="0" w:line="20" w:lineRule="exact"/>
        <w:rPr>
          <w:sz w:val="20"/>
          <w:szCs w:val="20"/>
          <w:color w:val="auto"/>
        </w:rPr>
      </w:pPr>
      <w:r>
        <w:rPr>
          <w:sz w:val="20"/>
          <w:szCs w:val="20"/>
          <w:color w:val="auto"/>
        </w:rPr>
        <w:br w:type="column"/>
      </w:r>
    </w:p>
    <w:p>
      <w:pPr>
        <w:spacing w:after="0" w:line="22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Certification:</w:t>
      </w:r>
    </w:p>
    <w:p>
      <w:pPr>
        <w:spacing w:after="0" w:line="211" w:lineRule="exact"/>
        <w:rPr>
          <w:sz w:val="20"/>
          <w:szCs w:val="20"/>
          <w:color w:val="auto"/>
        </w:rPr>
      </w:pPr>
    </w:p>
    <w:p>
      <w:pPr>
        <w:sectPr>
          <w:pgSz w:w="11900" w:h="16838" w:orient="portrait"/>
          <w:cols w:equalWidth="0" w:num="2">
            <w:col w:w="640" w:space="660"/>
            <w:col w:w="9900"/>
          </w:cols>
          <w:pgMar w:left="320" w:top="904" w:right="379" w:bottom="1440" w:gutter="0" w:footer="0" w:header="0"/>
          <w:type w:val="continuous"/>
        </w:sectPr>
      </w:pPr>
    </w:p>
    <w:p>
      <w:pPr>
        <w:spacing w:after="0" w:line="4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419100</wp:posOffset>
            </wp:positionV>
            <wp:extent cx="71323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904" w:right="379" w:bottom="1440" w:gutter="0" w:footer="0" w:header="0"/>
          <w:type w:val="continuous"/>
        </w:sectPr>
      </w:pPr>
    </w:p>
    <w:bookmarkStart w:id="8" w:name="page9"/>
    <w:bookmarkEnd w:id="8"/>
    <w:tbl>
      <w:tblPr>
        <w:tblLayout w:type="fixed"/>
        <w:tblInd w:w="0" w:type="dxa"/>
        <w:tblCellMar>
          <w:top w:w="0" w:type="dxa"/>
          <w:left w:w="0" w:type="dxa"/>
          <w:bottom w:w="0" w:type="dxa"/>
          <w:right w:w="0" w:type="dxa"/>
        </w:tblCellMar>
      </w:tblPr>
      <w:tr>
        <w:trPr>
          <w:trHeight w:val="234"/>
        </w:trPr>
        <w:tc>
          <w:tcPr>
            <w:tcW w:w="4500" w:type="dxa"/>
            <w:vAlign w:val="bottom"/>
          </w:tcPr>
          <w:p>
            <w:pPr>
              <w:spacing w:after="0"/>
              <w:rPr>
                <w:sz w:val="20"/>
                <w:szCs w:val="20"/>
                <w:color w:val="auto"/>
              </w:rPr>
            </w:pPr>
            <w:r>
              <w:rPr>
                <w:rFonts w:ascii="Arial" w:cs="Arial" w:eastAsia="Arial" w:hAnsi="Arial"/>
                <w:sz w:val="18"/>
                <w:szCs w:val="18"/>
                <w:color w:val="auto"/>
              </w:rPr>
              <w:t xml:space="preserve">CUSIP No. </w:t>
            </w:r>
            <w:r>
              <w:rPr>
                <w:rFonts w:ascii="Arial" w:cs="Arial" w:eastAsia="Arial" w:hAnsi="Arial"/>
                <w:sz w:val="18"/>
                <w:szCs w:val="18"/>
                <w:b w:val="1"/>
                <w:bCs w:val="1"/>
                <w:color w:val="auto"/>
              </w:rPr>
              <w:t>039697107</w:t>
            </w:r>
          </w:p>
        </w:tc>
        <w:tc>
          <w:tcPr>
            <w:tcW w:w="3140" w:type="dxa"/>
            <w:vAlign w:val="bottom"/>
          </w:tcPr>
          <w:p>
            <w:pPr>
              <w:ind w:left="2820"/>
              <w:spacing w:after="0"/>
              <w:rPr>
                <w:sz w:val="20"/>
                <w:szCs w:val="20"/>
                <w:color w:val="auto"/>
              </w:rPr>
            </w:pPr>
            <w:r>
              <w:rPr>
                <w:rFonts w:ascii="Arial" w:cs="Arial" w:eastAsia="Arial" w:hAnsi="Arial"/>
                <w:sz w:val="18"/>
                <w:szCs w:val="18"/>
                <w:b w:val="1"/>
                <w:bCs w:val="1"/>
                <w:color w:val="auto"/>
                <w:w w:val="88"/>
              </w:rPr>
              <w:t>13G</w:t>
            </w:r>
          </w:p>
        </w:tc>
      </w:tr>
    </w:tbl>
    <w:p>
      <w:pPr>
        <w:spacing w:after="0" w:line="198"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correct.</w:t>
      </w:r>
    </w:p>
    <w:p>
      <w:pPr>
        <w:spacing w:after="0" w:line="211"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DATE: February 16, 2021</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RA CAPITAL MANAGEMENT, L.P.</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/s/ Peter Kolchinsky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14605</wp:posOffset>
            </wp:positionV>
            <wp:extent cx="335153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Peter Kolchinsky</w:t>
      </w:r>
    </w:p>
    <w:p>
      <w:pPr>
        <w:spacing w:after="0" w:line="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Authorized Signatory</w:t>
      </w:r>
    </w:p>
    <w:p>
      <w:pPr>
        <w:spacing w:after="0" w:line="211"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PETER KOLCHINSKY</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/s/ Peter Kolchinsky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14605</wp:posOffset>
            </wp:positionV>
            <wp:extent cx="355727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557270" cy="8890"/>
                    </a:xfrm>
                    <a:prstGeom prst="rect">
                      <a:avLst/>
                    </a:prstGeom>
                    <a:noFill/>
                  </pic:spPr>
                </pic:pic>
              </a:graphicData>
            </a:graphic>
          </wp:anchor>
        </w:drawing>
      </w:r>
    </w:p>
    <w:p>
      <w:pPr>
        <w:spacing w:after="0" w:line="21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RAJEEV SHAH</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/s/ Rajeev Shah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14605</wp:posOffset>
            </wp:positionV>
            <wp:extent cx="355727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557270" cy="8255"/>
                    </a:xfrm>
                    <a:prstGeom prst="rect">
                      <a:avLst/>
                    </a:prstGeom>
                    <a:noFill/>
                  </pic:spPr>
                </pic:pic>
              </a:graphicData>
            </a:graphic>
          </wp:anchor>
        </w:drawing>
      </w:r>
    </w:p>
    <w:p>
      <w:pPr>
        <w:spacing w:after="0" w:line="21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RA CAPITAL HEALTHCARE FUND, L.P.</w:t>
      </w:r>
    </w:p>
    <w:p>
      <w:pPr>
        <w:spacing w:after="0" w:line="2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RA Capital Healthcare GP, LLC</w:t>
      </w:r>
    </w:p>
    <w:p>
      <w:pPr>
        <w:spacing w:after="0" w:line="211"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/s/ Peter Kolchinsky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14605</wp:posOffset>
            </wp:positionV>
            <wp:extent cx="335153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Peter Kolchinsky</w:t>
      </w:r>
    </w:p>
    <w:p>
      <w:pPr>
        <w:spacing w:after="0" w:line="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20"/>
          </w:cols>
          <w:pgMar w:left="320" w:top="904" w:right="45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34"/>
        </w:trPr>
        <w:tc>
          <w:tcPr>
            <w:tcW w:w="4500" w:type="dxa"/>
            <w:vAlign w:val="bottom"/>
          </w:tcPr>
          <w:p>
            <w:pPr>
              <w:spacing w:after="0"/>
              <w:rPr>
                <w:sz w:val="20"/>
                <w:szCs w:val="20"/>
                <w:color w:val="auto"/>
              </w:rPr>
            </w:pPr>
            <w:r>
              <w:rPr>
                <w:rFonts w:ascii="Arial" w:cs="Arial" w:eastAsia="Arial" w:hAnsi="Arial"/>
                <w:sz w:val="18"/>
                <w:szCs w:val="18"/>
                <w:color w:val="auto"/>
              </w:rPr>
              <w:t xml:space="preserve">CUSIP No. </w:t>
            </w:r>
            <w:r>
              <w:rPr>
                <w:rFonts w:ascii="Arial" w:cs="Arial" w:eastAsia="Arial" w:hAnsi="Arial"/>
                <w:sz w:val="18"/>
                <w:szCs w:val="18"/>
                <w:b w:val="1"/>
                <w:bCs w:val="1"/>
                <w:color w:val="auto"/>
              </w:rPr>
              <w:t>039697107</w:t>
            </w:r>
          </w:p>
        </w:tc>
        <w:tc>
          <w:tcPr>
            <w:tcW w:w="3140" w:type="dxa"/>
            <w:vAlign w:val="bottom"/>
          </w:tcPr>
          <w:p>
            <w:pPr>
              <w:ind w:left="2820"/>
              <w:spacing w:after="0"/>
              <w:rPr>
                <w:sz w:val="20"/>
                <w:szCs w:val="20"/>
                <w:color w:val="auto"/>
              </w:rPr>
            </w:pPr>
            <w:r>
              <w:rPr>
                <w:rFonts w:ascii="Arial" w:cs="Arial" w:eastAsia="Arial" w:hAnsi="Arial"/>
                <w:sz w:val="18"/>
                <w:szCs w:val="18"/>
                <w:b w:val="1"/>
                <w:bCs w:val="1"/>
                <w:color w:val="auto"/>
                <w:w w:val="88"/>
              </w:rPr>
              <w:t>13G</w:t>
            </w:r>
          </w:p>
        </w:tc>
      </w:tr>
    </w:tbl>
    <w:p>
      <w:pPr>
        <w:spacing w:after="0" w:line="20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EXHIBIT 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AGREEMENT</w:t>
      </w:r>
    </w:p>
    <w:p>
      <w:pPr>
        <w:spacing w:after="0" w:line="225"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This Joint Filing Agreement, dated as of February 16, 2021, is by and among RA Capital Management, L.P., Peter Kolchinsky, Rajeev Shah, and RA Capital Healthcare Fund, L.P. (the foregoing are collectively referred to herein as the “Filers”).</w:t>
      </w:r>
    </w:p>
    <w:p>
      <w:pPr>
        <w:spacing w:after="0" w:line="170"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Each of the Filers may be required to file with the United States Securities and Exchange Commission a statement on Schedule 13G and/or 13D with respect to Common Stock, par value $0.0001 per share of Ardelyx, Inc. beneficially owned by them from time to time.</w:t>
      </w:r>
    </w:p>
    <w:p>
      <w:pPr>
        <w:spacing w:after="0" w:line="170"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Pursuant to and in accordance with Rule 13(d)(1)(k) promulgated under the Securities Exchange Act of 1934, as amended, the Filers hereby agree to file a single statement on Schedule 13G and/or 13D (and any amendments thereto) on behalf of each of such parties, and hereby further agree to file this Joint Filing Agreement as an exhibit to such statement, as required by such rule.</w:t>
      </w:r>
    </w:p>
    <w:p>
      <w:pPr>
        <w:spacing w:after="0" w:line="184"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This Joint Filing Agreement may be terminated by any of the Filers upon one week’s prior written notice or such lesser period of notice as the Filers may mutually agree.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Executed and delivered as of the date first above written.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RA CAPITAL MANAGEMENT, L.P.</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5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Peter Kolchinsky</w:t>
            </w:r>
          </w:p>
        </w:tc>
      </w:tr>
      <w:tr>
        <w:trPr>
          <w:trHeight w:val="195"/>
        </w:trPr>
        <w:tc>
          <w:tcPr>
            <w:tcW w:w="580" w:type="dxa"/>
            <w:vAlign w:val="bottom"/>
          </w:tcPr>
          <w:p>
            <w:pPr>
              <w:spacing w:after="0"/>
              <w:rPr>
                <w:sz w:val="16"/>
                <w:szCs w:val="16"/>
                <w:color w:val="auto"/>
              </w:rPr>
            </w:pPr>
          </w:p>
        </w:tc>
        <w:tc>
          <w:tcPr>
            <w:tcW w:w="5040" w:type="dxa"/>
            <w:vAlign w:val="bottom"/>
          </w:tcPr>
          <w:p>
            <w:pPr>
              <w:spacing w:after="0" w:line="195" w:lineRule="exact"/>
              <w:rPr>
                <w:sz w:val="20"/>
                <w:szCs w:val="20"/>
                <w:color w:val="auto"/>
              </w:rPr>
            </w:pPr>
            <w:r>
              <w:rPr>
                <w:rFonts w:ascii="Arial" w:cs="Arial" w:eastAsia="Arial" w:hAnsi="Arial"/>
                <w:sz w:val="18"/>
                <w:szCs w:val="18"/>
                <w:color w:val="auto"/>
              </w:rPr>
              <w:t>Name: Peter Kolchinsky</w:t>
            </w:r>
          </w:p>
        </w:tc>
      </w:tr>
      <w:tr>
        <w:trPr>
          <w:trHeight w:val="230"/>
        </w:trPr>
        <w:tc>
          <w:tcPr>
            <w:tcW w:w="580" w:type="dxa"/>
            <w:vAlign w:val="bottom"/>
          </w:tcPr>
          <w:p>
            <w:pPr>
              <w:spacing w:after="0"/>
              <w:rPr>
                <w:sz w:val="20"/>
                <w:szCs w:val="20"/>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Title:  Authorized Signatory</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PETER KOLCHINSKY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Peter Kolchinsky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56616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RAJEEV SHAH</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Rajeev Shah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56616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RA CAPITAL HEALTHCARE FUND, L.P.</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5040" w:type="dxa"/>
            <w:vAlign w:val="bottom"/>
          </w:tcPr>
          <w:p>
            <w:pPr>
              <w:spacing w:after="0"/>
              <w:rPr>
                <w:sz w:val="20"/>
                <w:szCs w:val="20"/>
                <w:color w:val="auto"/>
              </w:rPr>
            </w:pPr>
            <w:r>
              <w:rPr>
                <w:rFonts w:ascii="Arial" w:cs="Arial" w:eastAsia="Arial" w:hAnsi="Arial"/>
                <w:sz w:val="18"/>
                <w:szCs w:val="18"/>
                <w:color w:val="auto"/>
              </w:rPr>
              <w:t>RA Capital Healthcare GP, LLC</w:t>
            </w:r>
          </w:p>
        </w:tc>
        <w:tc>
          <w:tcPr>
            <w:tcW w:w="5620" w:type="dxa"/>
            <w:vAlign w:val="bottom"/>
          </w:tcPr>
          <w:p>
            <w:pPr>
              <w:spacing w:after="0"/>
              <w:rPr>
                <w:sz w:val="20"/>
                <w:szCs w:val="20"/>
                <w:color w:val="auto"/>
              </w:rPr>
            </w:pPr>
          </w:p>
        </w:tc>
      </w:tr>
      <w:tr>
        <w:trPr>
          <w:trHeight w:val="43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5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Peter Kolchinsky</w:t>
            </w:r>
          </w:p>
        </w:tc>
        <w:tc>
          <w:tcPr>
            <w:tcW w:w="5620" w:type="dxa"/>
            <w:vAlign w:val="bottom"/>
          </w:tcPr>
          <w:p>
            <w:pPr>
              <w:spacing w:after="0"/>
              <w:rPr>
                <w:sz w:val="24"/>
                <w:szCs w:val="24"/>
                <w:color w:val="auto"/>
              </w:rPr>
            </w:pPr>
          </w:p>
        </w:tc>
      </w:tr>
      <w:tr>
        <w:trPr>
          <w:trHeight w:val="195"/>
        </w:trPr>
        <w:tc>
          <w:tcPr>
            <w:tcW w:w="580" w:type="dxa"/>
            <w:vAlign w:val="bottom"/>
          </w:tcPr>
          <w:p>
            <w:pPr>
              <w:spacing w:after="0"/>
              <w:rPr>
                <w:sz w:val="16"/>
                <w:szCs w:val="16"/>
                <w:color w:val="auto"/>
              </w:rPr>
            </w:pPr>
          </w:p>
        </w:tc>
        <w:tc>
          <w:tcPr>
            <w:tcW w:w="5040" w:type="dxa"/>
            <w:vAlign w:val="bottom"/>
          </w:tcPr>
          <w:p>
            <w:pPr>
              <w:spacing w:after="0" w:line="195" w:lineRule="exact"/>
              <w:rPr>
                <w:sz w:val="20"/>
                <w:szCs w:val="20"/>
                <w:color w:val="auto"/>
              </w:rPr>
            </w:pPr>
            <w:r>
              <w:rPr>
                <w:rFonts w:ascii="Arial" w:cs="Arial" w:eastAsia="Arial" w:hAnsi="Arial"/>
                <w:sz w:val="18"/>
                <w:szCs w:val="18"/>
                <w:color w:val="auto"/>
              </w:rPr>
              <w:t>Name: Peter Kolchinsky</w:t>
            </w:r>
          </w:p>
        </w:tc>
        <w:tc>
          <w:tcPr>
            <w:tcW w:w="5620" w:type="dxa"/>
            <w:vAlign w:val="bottom"/>
          </w:tcPr>
          <w:p>
            <w:pPr>
              <w:spacing w:after="0"/>
              <w:rPr>
                <w:sz w:val="16"/>
                <w:szCs w:val="16"/>
                <w:color w:val="auto"/>
              </w:rPr>
            </w:pPr>
          </w:p>
        </w:tc>
      </w:tr>
      <w:tr>
        <w:trPr>
          <w:trHeight w:val="230"/>
        </w:trPr>
        <w:tc>
          <w:tcPr>
            <w:tcW w:w="580" w:type="dxa"/>
            <w:vAlign w:val="bottom"/>
          </w:tcPr>
          <w:p>
            <w:pPr>
              <w:spacing w:after="0"/>
              <w:rPr>
                <w:sz w:val="20"/>
                <w:szCs w:val="20"/>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Title:  Manager</w:t>
            </w:r>
          </w:p>
        </w:tc>
        <w:tc>
          <w:tcPr>
            <w:tcW w:w="5620" w:type="dxa"/>
            <w:vAlign w:val="bottom"/>
          </w:tcPr>
          <w:p>
            <w:pPr>
              <w:spacing w:after="0"/>
              <w:rPr>
                <w:sz w:val="20"/>
                <w:szCs w:val="20"/>
                <w:color w:val="auto"/>
              </w:rPr>
            </w:pPr>
          </w:p>
        </w:tc>
      </w:tr>
      <w:tr>
        <w:trPr>
          <w:trHeight w:val="675"/>
        </w:trPr>
        <w:tc>
          <w:tcPr>
            <w:tcW w:w="580" w:type="dxa"/>
            <w:vAlign w:val="bottom"/>
            <w:tcBorders>
              <w:bottom w:val="single" w:sz="8" w:color="auto"/>
            </w:tcBorders>
          </w:tcPr>
          <w:p>
            <w:pPr>
              <w:spacing w:after="0"/>
              <w:rPr>
                <w:sz w:val="24"/>
                <w:szCs w:val="24"/>
                <w:color w:val="auto"/>
              </w:rPr>
            </w:pPr>
          </w:p>
        </w:tc>
        <w:tc>
          <w:tcPr>
            <w:tcW w:w="5040" w:type="dxa"/>
            <w:vAlign w:val="bottom"/>
            <w:tcBorders>
              <w:bottom w:val="single" w:sz="8" w:color="auto"/>
            </w:tcBorders>
          </w:tcPr>
          <w:p>
            <w:pPr>
              <w:spacing w:after="0"/>
              <w:rPr>
                <w:sz w:val="24"/>
                <w:szCs w:val="24"/>
                <w:color w:val="auto"/>
              </w:rPr>
            </w:pPr>
          </w:p>
        </w:tc>
        <w:tc>
          <w:tcPr>
            <w:tcW w:w="562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9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40E0F76"/>
    <w:multiLevelType w:val="hybridMultilevel"/>
    <w:lvl w:ilvl="0">
      <w:lvlJc w:val="left"/>
      <w:lvlText w:val="☒"/>
      <w:numFmt w:val="bullet"/>
      <w:start w:val="1"/>
    </w:lvl>
  </w:abstractNum>
  <w:abstractNum w:abstractNumId="1">
    <w:nsid w:val="3352255A"/>
    <w:multiLevelType w:val="hybridMultilevel"/>
    <w:lvl w:ilvl="0">
      <w:lvlJc w:val="left"/>
      <w:lvlText w:val="☐"/>
      <w:numFmt w:val="bullet"/>
      <w:start w:val="1"/>
    </w:lvl>
  </w:abstractNum>
  <w:abstractNum w:abstractNumId="2">
    <w:nsid w:val="109CF92E"/>
    <w:multiLevelType w:val="hybridMultilevel"/>
    <w:lvl w:ilvl="0">
      <w:lvlJc w:val="left"/>
      <w:lvlText w:val="%1."/>
      <w:numFmt w:val="decimal"/>
      <w:start w:val="1"/>
    </w:lvl>
  </w:abstractNum>
  <w:abstractNum w:abstractNumId="3">
    <w:nsid w:val="DED7263"/>
    <w:multiLevelType w:val="hybridMultilevel"/>
    <w:lvl w:ilvl="0">
      <w:lvlJc w:val="left"/>
      <w:lvlText w:val="%1."/>
      <w:numFmt w:val="decimal"/>
      <w:start w:val="2"/>
    </w:lvl>
    <w:lvl w:ilvl="1">
      <w:lvlJc w:val="left"/>
      <w:lvlText w:val="(%2)"/>
      <w:numFmt w:val="lowerLetter"/>
      <w:start w:val="1"/>
    </w:lvl>
  </w:abstractNum>
  <w:abstractNum w:abstractNumId="4">
    <w:nsid w:val="7FDCC233"/>
    <w:multiLevelType w:val="hybridMultilevel"/>
    <w:lvl w:ilvl="0">
      <w:lvlJc w:val="left"/>
      <w:lvlText w:val="%1."/>
      <w:numFmt w:val="decimal"/>
      <w:start w:val="10"/>
    </w:lvl>
  </w:abstractNum>
  <w:abstractNum w:abstractNumId="5">
    <w:nsid w:val="1BEFD79F"/>
    <w:multiLevelType w:val="hybridMultilevel"/>
    <w:lvl w:ilvl="0">
      <w:lvlJc w:val="left"/>
      <w:lvlText w:val="1"/>
      <w:numFmt w:val="bullet"/>
      <w:start w:val="1"/>
    </w:lvl>
  </w:abstractNum>
  <w:abstractNum w:abstractNumId="6">
    <w:nsid w:val="41A7C4C9"/>
    <w:multiLevelType w:val="hybridMultilevel"/>
    <w:lvl w:ilvl="0">
      <w:lvlJc w:val="left"/>
      <w:lvlText w:val="%1."/>
      <w:numFmt w:val="decimal"/>
      <w:start w:val="1"/>
    </w:lvl>
  </w:abstractNum>
  <w:abstractNum w:abstractNumId="7">
    <w:nsid w:val="6B68079A"/>
    <w:multiLevelType w:val="hybridMultilevel"/>
    <w:lvl w:ilvl="0">
      <w:lvlJc w:val="left"/>
      <w:lvlText w:val="%1."/>
      <w:numFmt w:val="decimal"/>
      <w:start w:val="2"/>
    </w:lvl>
    <w:lvl w:ilvl="1">
      <w:lvlJc w:val="left"/>
      <w:lvlText w:val="(%2)"/>
      <w:numFmt w:val="lowerLetter"/>
      <w:start w:val="1"/>
    </w:lvl>
  </w:abstractNum>
  <w:abstractNum w:abstractNumId="8">
    <w:nsid w:val="4E6AFB66"/>
    <w:multiLevelType w:val="hybridMultilevel"/>
    <w:lvl w:ilvl="0">
      <w:lvlJc w:val="left"/>
      <w:lvlText w:val="%1."/>
      <w:numFmt w:val="decimal"/>
      <w:start w:val="10"/>
    </w:lvl>
  </w:abstractNum>
  <w:abstractNum w:abstractNumId="9">
    <w:nsid w:val="25E45D32"/>
    <w:multiLevelType w:val="hybridMultilevel"/>
    <w:lvl w:ilvl="0">
      <w:lvlJc w:val="left"/>
      <w:lvlText w:val="1"/>
      <w:numFmt w:val="bullet"/>
      <w:start w:val="1"/>
    </w:lvl>
  </w:abstractNum>
  <w:abstractNum w:abstractNumId="10">
    <w:nsid w:val="519B500D"/>
    <w:multiLevelType w:val="hybridMultilevel"/>
    <w:lvl w:ilvl="0">
      <w:lvlJc w:val="left"/>
      <w:lvlText w:val="%1."/>
      <w:numFmt w:val="decimal"/>
      <w:start w:val="1"/>
    </w:lvl>
  </w:abstractNum>
  <w:abstractNum w:abstractNumId="11">
    <w:nsid w:val="431BD7B7"/>
    <w:multiLevelType w:val="hybridMultilevel"/>
    <w:lvl w:ilvl="0">
      <w:lvlJc w:val="left"/>
      <w:lvlText w:val="%1."/>
      <w:numFmt w:val="decimal"/>
      <w:start w:val="2"/>
    </w:lvl>
    <w:lvl w:ilvl="1">
      <w:lvlJc w:val="left"/>
      <w:lvlText w:val="(%2)"/>
      <w:numFmt w:val="lowerLetter"/>
      <w:start w:val="1"/>
    </w:lvl>
  </w:abstractNum>
  <w:abstractNum w:abstractNumId="12">
    <w:nsid w:val="3F2DBA31"/>
    <w:multiLevelType w:val="hybridMultilevel"/>
    <w:lvl w:ilvl="0">
      <w:lvlJc w:val="left"/>
      <w:lvlText w:val="%1."/>
      <w:numFmt w:val="decimal"/>
      <w:start w:val="10"/>
    </w:lvl>
  </w:abstractNum>
  <w:abstractNum w:abstractNumId="13">
    <w:nsid w:val="7C83E458"/>
    <w:multiLevelType w:val="hybridMultilevel"/>
    <w:lvl w:ilvl="0">
      <w:lvlJc w:val="left"/>
      <w:lvlText w:val="1"/>
      <w:numFmt w:val="bullet"/>
      <w:start w:val="1"/>
    </w:lvl>
  </w:abstractNum>
  <w:abstractNum w:abstractNumId="14">
    <w:nsid w:val="257130A3"/>
    <w:multiLevelType w:val="hybridMultilevel"/>
    <w:lvl w:ilvl="0">
      <w:lvlJc w:val="left"/>
      <w:lvlText w:val="%1."/>
      <w:numFmt w:val="decimal"/>
      <w:start w:val="1"/>
    </w:lvl>
  </w:abstractNum>
  <w:abstractNum w:abstractNumId="15">
    <w:nsid w:val="62BBD95A"/>
    <w:multiLevelType w:val="hybridMultilevel"/>
    <w:lvl w:ilvl="0">
      <w:lvlJc w:val="left"/>
      <w:lvlText w:val="%1."/>
      <w:numFmt w:val="decimal"/>
      <w:start w:val="2"/>
    </w:lvl>
    <w:lvl w:ilvl="1">
      <w:lvlJc w:val="left"/>
      <w:lvlText w:val="(%2)"/>
      <w:numFmt w:val="lowerLetter"/>
      <w:start w:val="1"/>
    </w:lvl>
  </w:abstractNum>
  <w:abstractNum w:abstractNumId="16">
    <w:nsid w:val="436C6125"/>
    <w:multiLevelType w:val="hybridMultilevel"/>
    <w:lvl w:ilvl="0">
      <w:lvlJc w:val="left"/>
      <w:lvlText w:val="%1."/>
      <w:numFmt w:val="decimal"/>
      <w:start w:val="10"/>
    </w:lvl>
  </w:abstractNum>
  <w:abstractNum w:abstractNumId="17">
    <w:nsid w:val="628C895D"/>
    <w:multiLevelType w:val="hybridMultilevel"/>
    <w:lvl w:ilvl="0">
      <w:lvlJc w:val="left"/>
      <w:lvlText w:val="1"/>
      <w:numFmt w:val="bullet"/>
      <w:start w:val="1"/>
    </w:lvl>
  </w:abstractNum>
  <w:abstractNum w:abstractNumId="18">
    <w:nsid w:val="333AB105"/>
    <w:multiLevelType w:val="hybridMultilevel"/>
    <w:lvl w:ilvl="0">
      <w:lvlJc w:val="left"/>
      <w:lvlText w:val="(%1)"/>
      <w:numFmt w:val="lowerLetter"/>
      <w:start w:val="1"/>
    </w:lvl>
  </w:abstractNum>
  <w:abstractNum w:abstractNumId="19">
    <w:nsid w:val="721DA317"/>
    <w:multiLevelType w:val="hybridMultilevel"/>
    <w:lvl w:ilvl="0">
      <w:lvlJc w:val="left"/>
      <w:lvlText w:val="(%1)"/>
      <w:numFmt w:val="lowerLetter"/>
      <w:start w:val="1"/>
    </w:lvl>
  </w:abstractNum>
  <w:abstractNum w:abstractNumId="20">
    <w:nsid w:val="2443A858"/>
    <w:multiLevelType w:val="hybridMultilevel"/>
    <w:lvl w:ilvl="0">
      <w:lvlJc w:val="left"/>
      <w:lvlText w:val="(%1)"/>
      <w:numFmt w:val="lowerLetter"/>
      <w:start w:val="2"/>
    </w:lvl>
  </w:abstractNum>
  <w:abstractNum w:abstractNumId="21">
    <w:nsid w:val="2D1D5AE9"/>
    <w:multiLevelType w:val="hybridMultilevel"/>
    <w:lvl w:ilvl="0">
      <w:lvlJc w:val="left"/>
      <w:lvlText w:val="(%1)"/>
      <w:numFmt w:val="lowerLetter"/>
      <w:start w:val="5"/>
    </w:lvl>
  </w:abstractNum>
  <w:abstractNum w:abstractNumId="22">
    <w:nsid w:val="6763845E"/>
    <w:multiLevelType w:val="hybridMultilevel"/>
    <w:lvl w:ilvl="0">
      <w:lvlJc w:val="left"/>
      <w:lvlText w:val="(%1)"/>
      <w:numFmt w:val="lowerLetter"/>
      <w:start w:val="7"/>
    </w:lvl>
  </w:abstractNum>
  <w:abstractNum w:abstractNumId="23">
    <w:nsid w:val="75A2A8D4"/>
    <w:multiLevelType w:val="hybridMultilevel"/>
    <w:lvl w:ilvl="0">
      <w:lvlJc w:val="left"/>
      <w:lvlText w:val="(%1)"/>
      <w:numFmt w:val="lowerLetter"/>
      <w:start w:val="1"/>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2021-02-16T16:25:44Z</dcterms:created>
  <dcterms:modified xsi:type="dcterms:W3CDTF">2021-02-16T16:25:44Z</dcterms:modified>
</cp:coreProperties>
</file>