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00" w:type="dxa"/>
            <w:vAlign w:val="bottom"/>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40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8"/>
              </w:rPr>
              <w:t>34175 ARDENWOOD BLVD., FREMONT, CALIFORNIA 94555</w:t>
            </w:r>
          </w:p>
        </w:tc>
        <w:tc>
          <w:tcPr>
            <w:tcW w:w="2740" w:type="dxa"/>
            <w:vAlign w:val="bottom"/>
          </w:tcPr>
          <w:p>
            <w:pPr>
              <w:spacing w:after="0"/>
              <w:rPr>
                <w:sz w:val="24"/>
                <w:szCs w:val="24"/>
                <w:color w:val="auto"/>
              </w:rPr>
            </w:pPr>
          </w:p>
        </w:tc>
      </w:tr>
      <w:tr>
        <w:trPr>
          <w:trHeight w:val="212"/>
        </w:trPr>
        <w:tc>
          <w:tcPr>
            <w:tcW w:w="28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18"/>
                <w:szCs w:val="18"/>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6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May 6, 2021, Ardelyx, Inc. (the “Company”) announced its financial results for the fiscal quarter ended March 31, 2021. The full text of the press release issued in connection with the announcement is furnished as Exhibit 99.1 to this Current Report on Form 8-K.</w:t>
      </w:r>
    </w:p>
    <w:p>
      <w:pPr>
        <w:spacing w:after="0" w:line="6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994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4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80" w:type="dxa"/>
            <w:vAlign w:val="bottom"/>
          </w:tcPr>
          <w:p>
            <w:pPr>
              <w:ind w:left="20"/>
              <w:spacing w:after="0" w:line="200"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200"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of Ardelyx, Inc.</w:t>
              </w:r>
            </w:hyperlink>
          </w:p>
        </w:tc>
        <w:tc>
          <w:tcPr>
            <w:tcW w:w="7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19"/>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320" w:top="114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6268720</wp:posOffset>
            </wp:positionH>
            <wp:positionV relativeFrom="page">
              <wp:posOffset>88900</wp:posOffset>
            </wp:positionV>
            <wp:extent cx="1071245" cy="33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Exhibit 99.1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Ardelyx Reports First Quarter 2021 Financial Results and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Recent Business Highlights</w:t>
      </w:r>
    </w:p>
    <w:p>
      <w:pPr>
        <w:spacing w:after="0" w:line="234" w:lineRule="exact"/>
        <w:rPr>
          <w:sz w:val="20"/>
          <w:szCs w:val="20"/>
          <w:color w:val="auto"/>
        </w:rPr>
      </w:pPr>
    </w:p>
    <w:p>
      <w:pPr>
        <w:ind w:right="160"/>
        <w:spacing w:after="0" w:line="274" w:lineRule="auto"/>
        <w:rPr>
          <w:sz w:val="20"/>
          <w:szCs w:val="20"/>
          <w:color w:val="auto"/>
        </w:rPr>
      </w:pPr>
      <w:r>
        <w:rPr>
          <w:rFonts w:ascii="Arial" w:cs="Arial" w:eastAsia="Arial" w:hAnsi="Arial"/>
          <w:sz w:val="21"/>
          <w:szCs w:val="21"/>
          <w:b w:val="1"/>
          <w:bCs w:val="1"/>
          <w:color w:val="auto"/>
        </w:rPr>
        <w:t xml:space="preserve">FREMONT, Calif. &amp; WALTHAM, Mass., May 6, 2021 </w:t>
      </w:r>
      <w:r>
        <w:rPr>
          <w:rFonts w:ascii="Arial" w:cs="Arial" w:eastAsia="Arial" w:hAnsi="Arial"/>
          <w:sz w:val="21"/>
          <w:szCs w:val="21"/>
          <w:color w:val="auto"/>
        </w:rPr>
        <w:t>-- Ardelyx, Inc. (Nasdaq: ARDX), a biopharmaceutical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focused on developing innovative first-in-class medicines to improve treatment for people with kidney and cardiorenal diseases, today reported business highlights and financial results for the first quarter ended March 31, 2021.</w:t>
      </w:r>
    </w:p>
    <w:p>
      <w:pPr>
        <w:spacing w:after="0" w:line="191"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“We continue to prepare for the potential approval and launch of tenapanor following the recent extension of our PDUFA date to July,” said Mike Raab, president and chief executive officer of Ardelyx. “We remain confident in the comprehensive data included in our New Drug Application and believe tenapanor represents an attractive alternative to currently available therapies to control serum phosphorus in CKD patients on dialysis. To that end, we are committed to working with the FDA through the completion of its review of our NDA and look forward to the possibility of making a significant impact in the lives of patients.”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Business and Pipeline Updates</w:t>
      </w:r>
    </w:p>
    <w:p>
      <w:pPr>
        <w:spacing w:after="0" w:line="253" w:lineRule="exact"/>
        <w:rPr>
          <w:sz w:val="20"/>
          <w:szCs w:val="20"/>
          <w:color w:val="auto"/>
        </w:rPr>
      </w:pPr>
    </w:p>
    <w:p>
      <w:pPr>
        <w:ind w:left="340" w:right="660" w:hanging="332"/>
        <w:spacing w:after="0" w:line="263" w:lineRule="auto"/>
        <w:tabs>
          <w:tab w:leader="none" w:pos="308" w:val="left"/>
        </w:tabs>
        <w:numPr>
          <w:ilvl w:val="0"/>
          <w:numId w:val="2"/>
        </w:numPr>
        <w:rPr>
          <w:rFonts w:ascii="Arial" w:cs="Arial" w:eastAsia="Arial" w:hAnsi="Arial"/>
          <w:sz w:val="22"/>
          <w:szCs w:val="22"/>
          <w:color w:val="auto"/>
        </w:rPr>
      </w:pPr>
      <w:r>
        <w:rPr>
          <w:rFonts w:ascii="Arial" w:cs="Arial" w:eastAsia="Arial" w:hAnsi="Arial"/>
          <w:sz w:val="22"/>
          <w:szCs w:val="22"/>
          <w:color w:val="auto"/>
        </w:rPr>
        <w:t>Prescription Drug User Fee Act (PDUFA) date for tenapanor for the control of serum phosphorus in adult patients with chronic kidney disease (CKD) on dialysis was extended by three months to July 29, 2021.</w:t>
      </w:r>
    </w:p>
    <w:p>
      <w:pPr>
        <w:spacing w:after="0" w:line="201" w:lineRule="exact"/>
        <w:rPr>
          <w:rFonts w:ascii="Arial" w:cs="Arial" w:eastAsia="Arial" w:hAnsi="Arial"/>
          <w:sz w:val="22"/>
          <w:szCs w:val="22"/>
          <w:color w:val="auto"/>
        </w:rPr>
      </w:pPr>
    </w:p>
    <w:p>
      <w:pPr>
        <w:ind w:left="340" w:right="100" w:hanging="332"/>
        <w:spacing w:after="0" w:line="253" w:lineRule="auto"/>
        <w:tabs>
          <w:tab w:leader="none" w:pos="308" w:val="left"/>
        </w:tabs>
        <w:numPr>
          <w:ilvl w:val="0"/>
          <w:numId w:val="2"/>
        </w:numPr>
        <w:rPr>
          <w:rFonts w:ascii="Arial" w:cs="Arial" w:eastAsia="Arial" w:hAnsi="Arial"/>
          <w:sz w:val="22"/>
          <w:szCs w:val="22"/>
          <w:color w:val="auto"/>
        </w:rPr>
      </w:pPr>
      <w:r>
        <w:rPr>
          <w:rFonts w:ascii="Arial" w:cs="Arial" w:eastAsia="Arial" w:hAnsi="Arial"/>
          <w:sz w:val="22"/>
          <w:szCs w:val="22"/>
          <w:color w:val="auto"/>
        </w:rPr>
        <w:t>Received a $5 million milestone payment in April 2021 from the company’s collaboration partner, Kyowa Kirin Co., Ltd. (KKC) following KKC’s initiation of four Phase 3 clinical studies of tenapanor for hyperphosphatemia patients on dialysis in Japan.</w:t>
      </w:r>
    </w:p>
    <w:p>
      <w:pPr>
        <w:spacing w:after="0" w:line="212" w:lineRule="exact"/>
        <w:rPr>
          <w:rFonts w:ascii="Arial" w:cs="Arial" w:eastAsia="Arial" w:hAnsi="Arial"/>
          <w:sz w:val="22"/>
          <w:szCs w:val="22"/>
          <w:color w:val="auto"/>
        </w:rPr>
      </w:pPr>
    </w:p>
    <w:p>
      <w:pPr>
        <w:ind w:left="280" w:hanging="272"/>
        <w:spacing w:after="0"/>
        <w:tabs>
          <w:tab w:leader="none" w:pos="280" w:val="left"/>
        </w:tabs>
        <w:numPr>
          <w:ilvl w:val="0"/>
          <w:numId w:val="2"/>
        </w:numPr>
        <w:rPr>
          <w:rFonts w:ascii="Arial" w:cs="Arial" w:eastAsia="Arial" w:hAnsi="Arial"/>
          <w:sz w:val="22"/>
          <w:szCs w:val="22"/>
          <w:color w:val="auto"/>
        </w:rPr>
      </w:pPr>
      <w:r>
        <w:rPr>
          <w:rFonts w:ascii="Arial" w:cs="Arial" w:eastAsia="Arial" w:hAnsi="Arial"/>
          <w:sz w:val="22"/>
          <w:szCs w:val="22"/>
          <w:color w:val="auto"/>
        </w:rPr>
        <w:t>Appointed industry veteran, Muna Bhanji, R.Ph., to the company’s board of directors.</w:t>
      </w:r>
    </w:p>
    <w:p>
      <w:pPr>
        <w:spacing w:after="0" w:line="246" w:lineRule="exact"/>
        <w:rPr>
          <w:rFonts w:ascii="Arial" w:cs="Arial" w:eastAsia="Arial" w:hAnsi="Arial"/>
          <w:sz w:val="22"/>
          <w:szCs w:val="22"/>
          <w:color w:val="auto"/>
        </w:rPr>
      </w:pPr>
    </w:p>
    <w:p>
      <w:pPr>
        <w:ind w:left="340" w:right="700" w:hanging="332"/>
        <w:spacing w:after="0" w:line="343" w:lineRule="auto"/>
        <w:tabs>
          <w:tab w:leader="none" w:pos="308" w:val="left"/>
        </w:tabs>
        <w:numPr>
          <w:ilvl w:val="0"/>
          <w:numId w:val="2"/>
        </w:numPr>
        <w:rPr>
          <w:rFonts w:ascii="Arial" w:cs="Arial" w:eastAsia="Arial" w:hAnsi="Arial"/>
          <w:sz w:val="19"/>
          <w:szCs w:val="19"/>
          <w:color w:val="auto"/>
        </w:rPr>
      </w:pPr>
      <w:r>
        <w:rPr>
          <w:rFonts w:ascii="Arial" w:cs="Arial" w:eastAsia="Arial" w:hAnsi="Arial"/>
          <w:sz w:val="19"/>
          <w:szCs w:val="19"/>
          <w:color w:val="auto"/>
        </w:rPr>
        <w:t>Presented two posters: 1) the mechanistic understanding of phosphate absorption and 2) continuing education needs of clinicians managing hyperphosphatemia, at the National Kidney Foundation 2021 Spring Clinical Meeting.</w:t>
      </w:r>
    </w:p>
    <w:p>
      <w:pPr>
        <w:spacing w:after="0" w:line="131" w:lineRule="exact"/>
        <w:rPr>
          <w:rFonts w:ascii="Arial" w:cs="Arial" w:eastAsia="Arial" w:hAnsi="Arial"/>
          <w:sz w:val="19"/>
          <w:szCs w:val="19"/>
          <w:color w:val="auto"/>
        </w:rPr>
      </w:pPr>
    </w:p>
    <w:p>
      <w:pPr>
        <w:ind w:left="340" w:right="160" w:hanging="332"/>
        <w:spacing w:after="0" w:line="253" w:lineRule="auto"/>
        <w:tabs>
          <w:tab w:leader="none" w:pos="308" w:val="left"/>
        </w:tabs>
        <w:numPr>
          <w:ilvl w:val="0"/>
          <w:numId w:val="2"/>
        </w:numPr>
        <w:rPr>
          <w:rFonts w:ascii="Arial" w:cs="Arial" w:eastAsia="Arial" w:hAnsi="Arial"/>
          <w:sz w:val="22"/>
          <w:szCs w:val="22"/>
          <w:color w:val="auto"/>
        </w:rPr>
      </w:pPr>
      <w:r>
        <w:rPr>
          <w:rFonts w:ascii="Arial" w:cs="Arial" w:eastAsia="Arial" w:hAnsi="Arial"/>
          <w:sz w:val="22"/>
          <w:szCs w:val="22"/>
          <w:color w:val="auto"/>
        </w:rPr>
        <w:t>Presented poster titled: A Long-Term, Open Label Study to Evaluate the Ability of Tenapanor Alone or in Combination with Sevelamer to Achieve Normal Serum Phosphorus in Patients with CKD on Dialysis (NORMALIZE) at the ISN World Congress of Nephrology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2021 Financial Results</w:t>
      </w:r>
    </w:p>
    <w:p>
      <w:pPr>
        <w:spacing w:after="0" w:line="247" w:lineRule="exact"/>
        <w:rPr>
          <w:sz w:val="20"/>
          <w:szCs w:val="20"/>
          <w:color w:val="auto"/>
        </w:rPr>
      </w:pPr>
    </w:p>
    <w:p>
      <w:pPr>
        <w:ind w:left="340" w:right="40" w:hanging="332"/>
        <w:spacing w:after="0" w:line="349" w:lineRule="auto"/>
        <w:tabs>
          <w:tab w:leader="none" w:pos="308"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Cash Position: </w:t>
      </w:r>
      <w:r>
        <w:rPr>
          <w:rFonts w:ascii="Arial" w:cs="Arial" w:eastAsia="Arial" w:hAnsi="Arial"/>
          <w:sz w:val="19"/>
          <w:szCs w:val="19"/>
          <w:color w:val="auto"/>
        </w:rPr>
        <w:t>As of March 31, 2021, Ardelyx had total cash, cash equivalents and short-term investments of $178.2 million,</w:t>
      </w:r>
      <w:r>
        <w:rPr>
          <w:rFonts w:ascii="Arial" w:cs="Arial" w:eastAsia="Arial" w:hAnsi="Arial"/>
          <w:sz w:val="19"/>
          <w:szCs w:val="19"/>
          <w:b w:val="1"/>
          <w:bCs w:val="1"/>
          <w:color w:val="auto"/>
        </w:rPr>
        <w:t xml:space="preserve"> </w:t>
      </w:r>
      <w:r>
        <w:rPr>
          <w:rFonts w:ascii="Arial" w:cs="Arial" w:eastAsia="Arial" w:hAnsi="Arial"/>
          <w:sz w:val="19"/>
          <w:szCs w:val="19"/>
          <w:color w:val="auto"/>
        </w:rPr>
        <w:t>as compared to total cash, cash equivalents and short-term investments of $188.6 million as of December 31, 2021.</w:t>
      </w:r>
    </w:p>
    <w:p>
      <w:pPr>
        <w:spacing w:after="0" w:line="120" w:lineRule="exact"/>
        <w:rPr>
          <w:rFonts w:ascii="Arial" w:cs="Arial" w:eastAsia="Arial" w:hAnsi="Arial"/>
          <w:sz w:val="19"/>
          <w:szCs w:val="19"/>
          <w:color w:val="auto"/>
        </w:rPr>
      </w:pPr>
    </w:p>
    <w:p>
      <w:pPr>
        <w:ind w:left="340" w:right="320" w:hanging="332"/>
        <w:spacing w:after="0" w:line="349" w:lineRule="auto"/>
        <w:tabs>
          <w:tab w:leader="none" w:pos="308"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Revenue: </w:t>
      </w:r>
      <w:r>
        <w:rPr>
          <w:rFonts w:ascii="Arial" w:cs="Arial" w:eastAsia="Arial" w:hAnsi="Arial"/>
          <w:sz w:val="19"/>
          <w:szCs w:val="19"/>
          <w:color w:val="auto"/>
        </w:rPr>
        <w:t>The company generated $6.6 million in revenue, which primarily represents a $5.0 million milestone from KKC</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its initiation of four Phase 3 clinical studies of tenapanor for hyperphosphatemia patients on dialysis in Japan.</w:t>
      </w:r>
    </w:p>
    <w:p>
      <w:pPr>
        <w:sectPr>
          <w:pgSz w:w="11900" w:h="16838" w:orient="portrait"/>
          <w:cols w:equalWidth="0" w:num="1">
            <w:col w:w="11240"/>
          </w:cols>
          <w:pgMar w:left="320" w:top="1071" w:right="339" w:bottom="1440" w:gutter="0" w:footer="0" w:header="0"/>
        </w:sectPr>
      </w:pPr>
    </w:p>
    <w:bookmarkStart w:id="4" w:name="page5"/>
    <w:bookmarkEnd w:id="4"/>
    <w:p>
      <w:pPr>
        <w:ind w:left="340" w:right="160" w:hanging="332"/>
        <w:spacing w:after="0" w:line="249" w:lineRule="auto"/>
        <w:tabs>
          <w:tab w:leader="none" w:pos="308"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6268720</wp:posOffset>
            </wp:positionH>
            <wp:positionV relativeFrom="page">
              <wp:posOffset>200660</wp:posOffset>
            </wp:positionV>
            <wp:extent cx="1071245"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R&amp;D Expenses</w:t>
      </w:r>
      <w:r>
        <w:rPr>
          <w:rFonts w:ascii="Arial" w:cs="Arial" w:eastAsia="Arial" w:hAnsi="Arial"/>
          <w:sz w:val="22"/>
          <w:szCs w:val="22"/>
          <w:color w:val="auto"/>
        </w:rPr>
        <w:t>: Research and development expenses were $20.5 million for the three months ended March 31, 2021, an</w:t>
      </w:r>
      <w:r>
        <w:rPr>
          <w:rFonts w:ascii="Arial" w:cs="Arial" w:eastAsia="Arial" w:hAnsi="Arial"/>
          <w:sz w:val="22"/>
          <w:szCs w:val="22"/>
          <w:b w:val="1"/>
          <w:bCs w:val="1"/>
          <w:color w:val="auto"/>
        </w:rPr>
        <w:t xml:space="preserve"> </w:t>
      </w:r>
      <w:r>
        <w:rPr>
          <w:rFonts w:ascii="Arial" w:cs="Arial" w:eastAsia="Arial" w:hAnsi="Arial"/>
          <w:sz w:val="22"/>
          <w:szCs w:val="22"/>
          <w:color w:val="auto"/>
        </w:rPr>
        <w:t>increase of $4.6 million, or 29 percent, compared to $15.8 million for the three months ended March 31, 2020. The increase was due primarily to clinical study costs from the advancement of the company’s OPTIMIZE study which were partially offset by lower costs for the PHREEDOM clinical study, as well as higher employee-related expenses for the research and development workforce.</w:t>
      </w:r>
    </w:p>
    <w:p>
      <w:pPr>
        <w:spacing w:after="0" w:line="213" w:lineRule="exact"/>
        <w:rPr>
          <w:rFonts w:ascii="Arial" w:cs="Arial" w:eastAsia="Arial" w:hAnsi="Arial"/>
          <w:sz w:val="22"/>
          <w:szCs w:val="22"/>
          <w:color w:val="auto"/>
        </w:rPr>
      </w:pPr>
    </w:p>
    <w:p>
      <w:pPr>
        <w:ind w:left="340" w:right="60" w:hanging="332"/>
        <w:spacing w:after="0" w:line="249" w:lineRule="auto"/>
        <w:tabs>
          <w:tab w:leader="none" w:pos="308"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G&amp;A Expenses: </w:t>
      </w:r>
      <w:r>
        <w:rPr>
          <w:rFonts w:ascii="Arial" w:cs="Arial" w:eastAsia="Arial" w:hAnsi="Arial"/>
          <w:sz w:val="22"/>
          <w:szCs w:val="22"/>
          <w:color w:val="auto"/>
        </w:rPr>
        <w:t>General and administrative expenses were $17.1 million for the three months ended March 31, 2021, an</w:t>
      </w:r>
      <w:r>
        <w:rPr>
          <w:rFonts w:ascii="Arial" w:cs="Arial" w:eastAsia="Arial" w:hAnsi="Arial"/>
          <w:sz w:val="22"/>
          <w:szCs w:val="22"/>
          <w:b w:val="1"/>
          <w:bCs w:val="1"/>
          <w:color w:val="auto"/>
        </w:rPr>
        <w:t xml:space="preserve"> </w:t>
      </w:r>
      <w:r>
        <w:rPr>
          <w:rFonts w:ascii="Arial" w:cs="Arial" w:eastAsia="Arial" w:hAnsi="Arial"/>
          <w:sz w:val="22"/>
          <w:szCs w:val="22"/>
          <w:color w:val="auto"/>
        </w:rPr>
        <w:t>increase of $10.0 million, or 140 percent, compared to $7.1 million for the three months ended March 31, 2020. The increase in general and administrative expenses was primarily due to an increase in costs associated with building and staffing the company’s commercial infrastructure as it prepares for the anticipated U.S. launch of tenapanor for the control of serum phosphorus in CKD patients on dialysis.</w:t>
      </w:r>
    </w:p>
    <w:p>
      <w:pPr>
        <w:spacing w:after="0" w:line="213" w:lineRule="exact"/>
        <w:rPr>
          <w:rFonts w:ascii="Arial" w:cs="Arial" w:eastAsia="Arial" w:hAnsi="Arial"/>
          <w:sz w:val="22"/>
          <w:szCs w:val="22"/>
          <w:color w:val="auto"/>
        </w:rPr>
      </w:pPr>
    </w:p>
    <w:p>
      <w:pPr>
        <w:ind w:left="340" w:right="460" w:hanging="332"/>
        <w:spacing w:after="0" w:line="269" w:lineRule="auto"/>
        <w:tabs>
          <w:tab w:leader="none" w:pos="308"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for the quarter ended March 31, 2021 was $33.2 million, as compared to $22.4 million for the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ended March 31, 2020.</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Ardelyx, Inc.</w:t>
      </w:r>
    </w:p>
    <w:p>
      <w:pPr>
        <w:spacing w:after="0" w:line="253" w:lineRule="exact"/>
        <w:rPr>
          <w:sz w:val="20"/>
          <w:szCs w:val="20"/>
          <w:color w:val="auto"/>
        </w:rPr>
      </w:pPr>
    </w:p>
    <w:p>
      <w:pPr>
        <w:ind w:right="20"/>
        <w:spacing w:after="0" w:line="290" w:lineRule="auto"/>
        <w:rPr>
          <w:sz w:val="20"/>
          <w:szCs w:val="20"/>
          <w:color w:val="auto"/>
        </w:rPr>
      </w:pPr>
      <w:r>
        <w:rPr>
          <w:rFonts w:ascii="Arial" w:cs="Arial" w:eastAsia="Arial" w:hAnsi="Arial"/>
          <w:sz w:val="19"/>
          <w:szCs w:val="19"/>
          <w:color w:val="auto"/>
        </w:rPr>
        <w:t>Ardelyx is focused on discovering, developing and commercializing innovative first-in-class medicines to enhance the lives of patients with kidney and cardiorenal diseases. Ardelyx is advancing tenapanor, a novel product candidate to control serum phosphorus in adult patients with CKD on dialysis, for which the company’s NDA is currently under review by the FDA. Ardelyx is also advancing RDX013, a potassium secretagogue, for the potential treatment of elevated serum potassium, or hyperkalemia, a problem among certain patients with kidney and/or heart disease and has an early-stage program in metabolic acidosis, a serious electrolyte disorder in patients with CKD. In addition, Ardelyx received FDA approval of IBSRELA® (tenapanor) on September 12, 2020. Ardelyx has established agreements with Kyowa Kirin in Japan, Fosun Pharma in China and Knight Therapeutics in Canada for the development and commercialization of tenapanor in their respective territories.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53"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the uncertainties associated with the regulatory approval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Annual Report on Form 10-K filed with the Securities and Exchange Commission on March 8, 2021, and its future current and periodic reports to be filed with the Securities and Exchange Commission.</w:t>
      </w:r>
    </w:p>
    <w:p>
      <w:pPr>
        <w:sectPr>
          <w:pgSz w:w="11900" w:h="16838" w:orient="portrait"/>
          <w:cols w:equalWidth="0" w:num="1">
            <w:col w:w="11200"/>
          </w:cols>
          <w:pgMar w:left="320" w:top="1314" w:right="37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Investor and Media Contacts: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Kimia Keshtbod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026DCE"/>
        </w:rPr>
        <w:t>kkeshtbod@ardelyx.com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Sylvia Wheeler</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Wheelhouse Life Science Advisors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026DCE"/>
        </w:rPr>
        <w:t>swheeler@wheelhouselsa.com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Alex Santos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Wheelhouse Life Science Advisors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026DCE"/>
        </w:rPr>
        <w:t>asantos@wheelhouselsa.com</w:t>
      </w:r>
    </w:p>
    <w:p>
      <w:pPr>
        <w:sectPr>
          <w:pgSz w:w="11900" w:h="16838" w:orient="portrait"/>
          <w:cols w:equalWidth="0" w:num="1">
            <w:col w:w="10139"/>
          </w:cols>
          <w:pgMar w:left="320" w:top="1314"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189"/>
        </w:trPr>
        <w:tc>
          <w:tcPr>
            <w:tcW w:w="80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(1)</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84,070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91,032</w:t>
            </w:r>
          </w:p>
        </w:tc>
      </w:tr>
      <w:tr>
        <w:trPr>
          <w:trHeight w:val="229"/>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97,566</w:t>
            </w:r>
          </w:p>
        </w:tc>
      </w:tr>
      <w:tr>
        <w:trPr>
          <w:trHeight w:val="230"/>
        </w:trPr>
        <w:tc>
          <w:tcPr>
            <w:tcW w:w="80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r>
      <w:tr>
        <w:trPr>
          <w:trHeight w:val="230"/>
        </w:trPr>
        <w:tc>
          <w:tcPr>
            <w:tcW w:w="8060" w:type="dxa"/>
            <w:vAlign w:val="bottom"/>
          </w:tcPr>
          <w:p>
            <w:pPr>
              <w:ind w:left="160"/>
              <w:spacing w:after="0"/>
              <w:rPr>
                <w:sz w:val="20"/>
                <w:szCs w:val="20"/>
                <w:color w:val="auto"/>
              </w:rPr>
            </w:pPr>
            <w:r>
              <w:rPr>
                <w:rFonts w:ascii="Arial" w:cs="Arial" w:eastAsia="Arial" w:hAnsi="Arial"/>
                <w:sz w:val="18"/>
                <w:szCs w:val="18"/>
                <w:color w:val="auto"/>
              </w:rPr>
              <w:t>Right-of-use assets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2,274</w:t>
            </w:r>
          </w:p>
        </w:tc>
      </w:tr>
      <w:tr>
        <w:trPr>
          <w:trHeight w:val="229"/>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and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8,754</w:t>
            </w:r>
          </w:p>
        </w:tc>
      </w:tr>
      <w:tr>
        <w:trPr>
          <w:trHeight w:val="223"/>
        </w:trPr>
        <w:tc>
          <w:tcPr>
            <w:tcW w:w="80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210,293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201,562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8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r>
      <w:tr>
        <w:trPr>
          <w:trHeight w:val="230"/>
        </w:trPr>
        <w:tc>
          <w:tcPr>
            <w:tcW w:w="8060" w:type="dxa"/>
            <w:vAlign w:val="bottom"/>
          </w:tcPr>
          <w:p>
            <w:pPr>
              <w:ind w:left="16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5,672</w:t>
            </w:r>
          </w:p>
        </w:tc>
      </w:tr>
      <w:tr>
        <w:trPr>
          <w:trHeight w:val="229"/>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r>
      <w:tr>
        <w:trPr>
          <w:trHeight w:val="230"/>
        </w:trPr>
        <w:tc>
          <w:tcPr>
            <w:tcW w:w="8060" w:type="dxa"/>
            <w:vAlign w:val="bottom"/>
          </w:tcPr>
          <w:p>
            <w:pPr>
              <w:ind w:left="160"/>
              <w:spacing w:after="0"/>
              <w:rPr>
                <w:sz w:val="20"/>
                <w:szCs w:val="20"/>
                <w:color w:val="auto"/>
              </w:rPr>
            </w:pPr>
            <w:r>
              <w:rPr>
                <w:rFonts w:ascii="Arial" w:cs="Arial" w:eastAsia="Arial" w:hAnsi="Arial"/>
                <w:sz w:val="18"/>
                <w:szCs w:val="18"/>
                <w:color w:val="auto"/>
              </w:rPr>
              <w:t>Loan payable, current portion</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4,167</w:t>
            </w:r>
          </w:p>
        </w:tc>
      </w:tr>
      <w:tr>
        <w:trPr>
          <w:trHeight w:val="229"/>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r>
      <w:tr>
        <w:trPr>
          <w:trHeight w:val="229"/>
        </w:trPr>
        <w:tc>
          <w:tcPr>
            <w:tcW w:w="806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6,657</w:t>
            </w:r>
          </w:p>
        </w:tc>
      </w:tr>
      <w:tr>
        <w:trPr>
          <w:trHeight w:val="230"/>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liability, net of current portion</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8060" w:type="dxa"/>
            <w:vAlign w:val="bottom"/>
          </w:tcPr>
          <w:p>
            <w:pPr>
              <w:ind w:left="160"/>
              <w:spacing w:after="0"/>
              <w:rPr>
                <w:sz w:val="20"/>
                <w:szCs w:val="20"/>
                <w:color w:val="auto"/>
              </w:rPr>
            </w:pPr>
            <w:r>
              <w:rPr>
                <w:rFonts w:ascii="Arial" w:cs="Arial" w:eastAsia="Arial" w:hAnsi="Arial"/>
                <w:sz w:val="18"/>
                <w:szCs w:val="18"/>
                <w:color w:val="auto"/>
              </w:rPr>
              <w:t>Loan payable, net of current portion</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34,348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46,621</w:t>
            </w:r>
          </w:p>
        </w:tc>
      </w:tr>
      <w:tr>
        <w:trPr>
          <w:trHeight w:val="230"/>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126,112</w:t>
            </w:r>
          </w:p>
        </w:tc>
      </w:tr>
      <w:tr>
        <w:trPr>
          <w:trHeight w:val="230"/>
        </w:trPr>
        <w:tc>
          <w:tcPr>
            <w:tcW w:w="806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210,293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201,562</w:t>
            </w:r>
          </w:p>
        </w:tc>
      </w:tr>
      <w:tr>
        <w:trPr>
          <w:trHeight w:val="34"/>
        </w:trPr>
        <w:tc>
          <w:tcPr>
            <w:tcW w:w="8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(1) Derived from the audited financial statements included in the Company’s Annual Report on Form 10-K for the year ended December 31, 2020.</w:t>
      </w:r>
    </w:p>
    <w:p>
      <w:pPr>
        <w:sectPr>
          <w:pgSz w:w="11900" w:h="16838" w:orient="portrait"/>
          <w:cols w:equalWidth="0" w:num="1">
            <w:col w:w="11240"/>
          </w:cols>
          <w:pgMar w:left="320" w:top="1431" w:right="339" w:bottom="1440" w:gutter="0" w:footer="0" w:header="0"/>
        </w:sectPr>
      </w:pPr>
    </w:p>
    <w:bookmarkStart w:id="7" w:name="page8"/>
    <w:bookmarkEnd w:id="7"/>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5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Collaborative development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supply revenue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Licensing revenue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15,844</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22,982</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(21,769)</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(22,373)</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(22,373)</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common share, basic and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Shares used in computing net loss per share - basic and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97,179,241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88,880,658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2021-05-06T07:17:43Z</dcterms:created>
  <dcterms:modified xsi:type="dcterms:W3CDTF">2021-05-06T07:17:43Z</dcterms:modified>
</cp:coreProperties>
</file>