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443230</wp:posOffset>
            </wp:positionV>
            <wp:extent cx="711517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31F20"/>
        </w:rPr>
        <w:t>WASHINGTON, D.C. 20549</w:t>
      </w:r>
    </w:p>
    <w:p>
      <w:pPr>
        <w:spacing w:after="0" w:line="3"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231F20"/>
        </w:rPr>
        <w:t>____________________________________________________</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FORM 10-K</w:t>
      </w:r>
    </w:p>
    <w:p>
      <w:pPr>
        <w:spacing w:after="0" w:line="19"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231F20"/>
        </w:rPr>
        <w:t>____________________________________________________</w:t>
      </w:r>
    </w:p>
    <w:p>
      <w:pPr>
        <w:spacing w:after="0" w:line="179"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231F20"/>
        </w:rPr>
        <w:t>(Mark One)</w:t>
      </w:r>
    </w:p>
    <w:p>
      <w:pPr>
        <w:ind w:left="440" w:hanging="414"/>
        <w:spacing w:after="0" w:line="201" w:lineRule="auto"/>
        <w:tabs>
          <w:tab w:leader="none" w:pos="440" w:val="left"/>
        </w:tabs>
        <w:numPr>
          <w:ilvl w:val="0"/>
          <w:numId w:val="1"/>
        </w:numPr>
        <w:rPr>
          <w:rFonts w:ascii="Arial" w:cs="Arial" w:eastAsia="Arial" w:hAnsi="Arial"/>
          <w:sz w:val="29"/>
          <w:szCs w:val="29"/>
          <w:color w:val="auto"/>
          <w:vertAlign w:val="superscript"/>
        </w:rPr>
      </w:pPr>
      <w:r>
        <w:rPr>
          <w:rFonts w:ascii="Arial" w:cs="Arial" w:eastAsia="Arial" w:hAnsi="Arial"/>
          <w:sz w:val="14"/>
          <w:szCs w:val="14"/>
          <w:b w:val="1"/>
          <w:bCs w:val="1"/>
          <w:color w:val="231F20"/>
        </w:rPr>
        <w:t>ANNUAL REPORT PURSUANT TO SECTION 13 OR 15(D) 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 xml:space="preserve">FOR THE FISCAL YEAR ENDED </w:t>
      </w:r>
      <w:r>
        <w:rPr>
          <w:rFonts w:ascii="Arial" w:cs="Arial" w:eastAsia="Arial" w:hAnsi="Arial"/>
          <w:sz w:val="14"/>
          <w:szCs w:val="14"/>
          <w:b w:val="1"/>
          <w:bCs w:val="1"/>
          <w:color w:val="000000"/>
        </w:rPr>
        <w:t>DECEMBER 31, 2022</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231F20"/>
        </w:rPr>
        <w:t>TRANSITION REPORT PURSUANT TO SECTION 13 OR 15(D) OF THE SECURITIES EXCHANGE ACT OF 1934</w:t>
      </w:r>
    </w:p>
    <w:p>
      <w:pPr>
        <w:spacing w:after="0" w:line="199" w:lineRule="exact"/>
        <w:rPr>
          <w:sz w:val="24"/>
          <w:szCs w:val="24"/>
          <w:color w:val="auto"/>
        </w:rPr>
      </w:pPr>
    </w:p>
    <w:p>
      <w:pPr>
        <w:ind w:left="3980"/>
        <w:spacing w:after="0"/>
        <w:tabs>
          <w:tab w:leader="none" w:pos="6520" w:val="left"/>
        </w:tabs>
        <w:rPr>
          <w:sz w:val="20"/>
          <w:szCs w:val="20"/>
          <w:color w:val="auto"/>
        </w:rPr>
      </w:pPr>
      <w:r>
        <w:rPr>
          <w:rFonts w:ascii="Arial" w:cs="Arial" w:eastAsia="Arial" w:hAnsi="Arial"/>
          <w:sz w:val="11"/>
          <w:szCs w:val="11"/>
          <w:b w:val="1"/>
          <w:bCs w:val="1"/>
          <w:color w:val="231F20"/>
        </w:rPr>
        <w:t>FOR THE TRANSITION PERIOD FROM</w:t>
      </w:r>
      <w:r>
        <w:rPr>
          <w:sz w:val="20"/>
          <w:szCs w:val="20"/>
          <w:color w:val="auto"/>
        </w:rPr>
        <w:tab/>
      </w:r>
      <w:r>
        <w:rPr>
          <w:rFonts w:ascii="Arial" w:cs="Arial" w:eastAsia="Arial" w:hAnsi="Arial"/>
          <w:sz w:val="11"/>
          <w:szCs w:val="11"/>
          <w:b w:val="1"/>
          <w:bCs w:val="1"/>
          <w:color w:val="231F20"/>
        </w:rPr>
        <w:t>TO</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COMMISSION FILE NUMBER 001-36485</w:t>
      </w:r>
    </w:p>
    <w:p>
      <w:pPr>
        <w:spacing w:after="0" w:line="25"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231F20"/>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27940</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231F20"/>
        </w:rPr>
        <w:t>ARDELYX,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(EXACT NAME OF REGISTRANT AS SPECIFIED IN ITS CHARTER)</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231F20"/>
        </w:rPr>
        <w:t>____________________________________________________</w:t>
      </w:r>
    </w:p>
    <w:p>
      <w:pPr>
        <w:sectPr>
          <w:pgSz w:w="11900" w:h="16838" w:orient="portrait"/>
          <w:cols w:equalWidth="0" w:num="1">
            <w:col w:w="11240"/>
          </w:cols>
          <w:pgMar w:left="320" w:top="233" w:right="339" w:bottom="0" w:gutter="0" w:footer="0" w:header="0"/>
        </w:sectPr>
      </w:pPr>
    </w:p>
    <w:p>
      <w:pPr>
        <w:spacing w:after="0" w:line="160"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26-1303944</w:t>
      </w:r>
    </w:p>
    <w:p>
      <w:pPr>
        <w:spacing w:after="0" w:line="101" w:lineRule="exact"/>
        <w:rPr>
          <w:sz w:val="24"/>
          <w:szCs w:val="24"/>
          <w:color w:val="auto"/>
        </w:rPr>
      </w:pPr>
    </w:p>
    <w:p>
      <w:pPr>
        <w:sectPr>
          <w:pgSz w:w="11900" w:h="16838" w:orient="portrait"/>
          <w:cols w:equalWidth="0" w:num="2">
            <w:col w:w="7340" w:space="720"/>
            <w:col w:w="3180"/>
          </w:cols>
          <w:pgMar w:left="320" w:top="233" w:right="339" w:bottom="0" w:gutter="0" w:footer="0" w:header="0"/>
          <w:type w:val="continuous"/>
        </w:sectPr>
      </w:pPr>
    </w:p>
    <w:p>
      <w:pPr>
        <w:ind w:left="1820"/>
        <w:spacing w:after="0"/>
        <w:rPr>
          <w:sz w:val="20"/>
          <w:szCs w:val="20"/>
          <w:color w:val="auto"/>
        </w:rPr>
      </w:pPr>
      <w:r>
        <w:rPr>
          <w:rFonts w:ascii="Arial" w:cs="Arial" w:eastAsia="Arial" w:hAnsi="Arial"/>
          <w:sz w:val="11"/>
          <w:szCs w:val="11"/>
          <w:b w:val="1"/>
          <w:bCs w:val="1"/>
          <w:color w:val="auto"/>
        </w:rPr>
        <w:t>(STATE OR OTHER JURISDICTION OF</w:t>
      </w:r>
    </w:p>
    <w:p>
      <w:pPr>
        <w:spacing w:after="0" w:line="63" w:lineRule="exact"/>
        <w:rPr>
          <w:sz w:val="24"/>
          <w:szCs w:val="24"/>
          <w:color w:val="auto"/>
        </w:rPr>
      </w:pPr>
    </w:p>
    <w:p>
      <w:pPr>
        <w:ind w:left="178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1"/>
          <w:szCs w:val="11"/>
          <w:b w:val="1"/>
          <w:bCs w:val="1"/>
          <w:color w:val="auto"/>
        </w:rPr>
        <w:t>(I.R.S. EMPLOYER</w:t>
      </w:r>
    </w:p>
    <w:p>
      <w:pPr>
        <w:spacing w:after="0" w:line="63" w:lineRule="exact"/>
        <w:rPr>
          <w:sz w:val="24"/>
          <w:szCs w:val="24"/>
          <w:color w:val="auto"/>
        </w:rPr>
      </w:pPr>
    </w:p>
    <w:p>
      <w:pPr>
        <w:jc w:val="center"/>
        <w:ind w:right="2260"/>
        <w:spacing w:after="0"/>
        <w:rPr>
          <w:sz w:val="20"/>
          <w:szCs w:val="20"/>
          <w:color w:val="auto"/>
        </w:rPr>
      </w:pPr>
      <w:r>
        <w:rPr>
          <w:rFonts w:ascii="Arial" w:cs="Arial" w:eastAsia="Arial" w:hAnsi="Arial"/>
          <w:sz w:val="11"/>
          <w:szCs w:val="11"/>
          <w:b w:val="1"/>
          <w:b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33" w:right="339" w:bottom="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231F20"/>
        </w:rPr>
        <w:t xml:space="preserve">400 FIFTH AVE., SUITE 210, WALTHAM, MASSACHUSETTS </w:t>
      </w:r>
      <w:r>
        <w:rPr>
          <w:rFonts w:ascii="Arial" w:cs="Arial" w:eastAsia="Arial" w:hAnsi="Arial"/>
          <w:sz w:val="12"/>
          <w:szCs w:val="12"/>
          <w:b w:val="1"/>
          <w:bCs w:val="1"/>
          <w:color w:val="000000"/>
        </w:rPr>
        <w:t>02451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231F20"/>
        </w:rPr>
        <w:t>(ADDRESS OF PRINCIPAL EXECUTIVE OFFICES, INCLUDING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(510) 745-1700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231F20"/>
        </w:rPr>
        <w:t>(REGISTRANT’S TELEPHONE NUMBER, INCLUDING AREA CODE)</w:t>
      </w:r>
    </w:p>
    <w:p>
      <w:pPr>
        <w:sectPr>
          <w:pgSz w:w="11900" w:h="16838" w:orient="portrait"/>
          <w:cols w:equalWidth="0" w:num="1">
            <w:col w:w="11240"/>
          </w:cols>
          <w:pgMar w:left="320" w:top="233" w:right="339" w:bottom="0" w:gutter="0" w:footer="0" w:header="0"/>
          <w:type w:val="continuous"/>
        </w:sectPr>
      </w:pPr>
    </w:p>
    <w:p>
      <w:pPr>
        <w:spacing w:after="0" w:line="3"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231F20"/>
        </w:rPr>
        <w:t>____________________________________________________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3140" w:type="dxa"/>
            <w:vAlign w:val="bottom"/>
          </w:tcPr>
          <w:p>
            <w:pPr>
              <w:jc w:val="center"/>
              <w:ind w:left="382"/>
              <w:spacing w:after="0"/>
              <w:rPr>
                <w:sz w:val="20"/>
                <w:szCs w:val="20"/>
                <w:color w:val="auto"/>
              </w:rPr>
            </w:pPr>
            <w:r>
              <w:rPr>
                <w:rFonts w:ascii="Arial" w:cs="Arial" w:eastAsia="Arial" w:hAnsi="Arial"/>
                <w:sz w:val="11"/>
                <w:szCs w:val="11"/>
                <w:b w:val="1"/>
                <w:bCs w:val="1"/>
                <w:color w:val="auto"/>
                <w:w w:val="87"/>
              </w:rPr>
              <w:t>Title of Each Class</w:t>
            </w:r>
          </w:p>
        </w:tc>
        <w:tc>
          <w:tcPr>
            <w:tcW w:w="50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Trading Symbol(s)</w:t>
            </w:r>
          </w:p>
        </w:tc>
        <w:tc>
          <w:tcPr>
            <w:tcW w:w="3060" w:type="dxa"/>
            <w:vAlign w:val="bottom"/>
          </w:tcPr>
          <w:p>
            <w:pPr>
              <w:jc w:val="center"/>
              <w:ind w:right="482"/>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22"/>
        </w:trPr>
        <w:tc>
          <w:tcPr>
            <w:tcW w:w="3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58"/>
        </w:trPr>
        <w:tc>
          <w:tcPr>
            <w:tcW w:w="3140" w:type="dxa"/>
            <w:vAlign w:val="bottom"/>
            <w:tcBorders>
              <w:top w:val="single" w:sz="8" w:color="auto"/>
            </w:tcBorders>
          </w:tcPr>
          <w:p>
            <w:pPr>
              <w:jc w:val="center"/>
              <w:ind w:left="382"/>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4260" w:type="dxa"/>
            <w:vAlign w:val="bottom"/>
            <w:tcBorders>
              <w:top w:val="single" w:sz="8" w:color="auto"/>
            </w:tcBorders>
          </w:tcPr>
          <w:p>
            <w:pPr>
              <w:jc w:val="center"/>
              <w:ind w:left="593"/>
              <w:spacing w:after="0"/>
              <w:rPr>
                <w:sz w:val="20"/>
                <w:szCs w:val="20"/>
                <w:color w:val="auto"/>
              </w:rPr>
            </w:pPr>
            <w:r>
              <w:rPr>
                <w:rFonts w:ascii="Arial" w:cs="Arial" w:eastAsia="Arial" w:hAnsi="Arial"/>
                <w:sz w:val="13"/>
                <w:szCs w:val="13"/>
                <w:b w:val="1"/>
                <w:bCs w:val="1"/>
                <w:color w:val="auto"/>
                <w:w w:val="97"/>
              </w:rPr>
              <w:t>ARDX</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tcPr>
          <w:p>
            <w:pPr>
              <w:jc w:val="center"/>
              <w:ind w:right="482"/>
              <w:spacing w:after="0"/>
              <w:rPr>
                <w:sz w:val="20"/>
                <w:szCs w:val="20"/>
                <w:color w:val="auto"/>
              </w:rPr>
            </w:pPr>
            <w:r>
              <w:rPr>
                <w:rFonts w:ascii="Arial" w:cs="Arial" w:eastAsia="Arial" w:hAnsi="Arial"/>
                <w:sz w:val="13"/>
                <w:szCs w:val="13"/>
                <w:b w:val="1"/>
                <w:bCs w:val="1"/>
                <w:color w:val="auto"/>
                <w:w w:val="90"/>
              </w:rPr>
              <w:t>The Nasdaq Global Market</w:t>
            </w:r>
          </w:p>
        </w:tc>
      </w:tr>
      <w:tr>
        <w:trPr>
          <w:trHeight w:val="344"/>
        </w:trPr>
        <w:tc>
          <w:tcPr>
            <w:tcW w:w="3140" w:type="dxa"/>
            <w:vAlign w:val="bottom"/>
          </w:tcPr>
          <w:p>
            <w:pPr>
              <w:spacing w:after="0"/>
              <w:rPr>
                <w:sz w:val="24"/>
                <w:szCs w:val="24"/>
                <w:color w:val="auto"/>
              </w:rPr>
            </w:pPr>
          </w:p>
        </w:tc>
        <w:tc>
          <w:tcPr>
            <w:tcW w:w="50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231F20"/>
                <w:w w:val="86"/>
              </w:rPr>
              <w:t>Securities registered pursuant to Section 12(g) of the Act: None</w:t>
            </w:r>
          </w:p>
        </w:tc>
        <w:tc>
          <w:tcPr>
            <w:tcW w:w="306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231F20"/>
                <w:w w:val="89"/>
              </w:rPr>
              <w:t>____________________________________________________</w:t>
            </w:r>
          </w:p>
        </w:tc>
        <w:tc>
          <w:tcPr>
            <w:tcW w:w="3060" w:type="dxa"/>
            <w:vAlign w:val="bottom"/>
          </w:tcPr>
          <w:p>
            <w:pPr>
              <w:spacing w:after="0"/>
              <w:rPr>
                <w:sz w:val="20"/>
                <w:szCs w:val="20"/>
                <w:color w:val="auto"/>
              </w:rPr>
            </w:pPr>
          </w:p>
        </w:tc>
      </w:tr>
    </w:tbl>
    <w:p>
      <w:pPr>
        <w:spacing w:after="0" w:line="76" w:lineRule="exact"/>
        <w:rPr>
          <w:sz w:val="24"/>
          <w:szCs w:val="24"/>
          <w:color w:val="auto"/>
        </w:rPr>
      </w:pPr>
    </w:p>
    <w:p>
      <w:pPr>
        <w:ind w:right="3740"/>
        <w:spacing w:after="0" w:line="433" w:lineRule="auto"/>
        <w:rPr>
          <w:sz w:val="20"/>
          <w:szCs w:val="20"/>
          <w:color w:val="auto"/>
        </w:rPr>
      </w:pPr>
      <w:r>
        <w:rPr>
          <w:rFonts w:ascii="Arial" w:cs="Arial" w:eastAsia="Arial" w:hAnsi="Arial"/>
          <w:sz w:val="13"/>
          <w:szCs w:val="13"/>
          <w:color w:val="231F20"/>
        </w:rPr>
        <w:t xml:space="preserve">Indicate by check mark if the Registrant is a well-known seasoned issuer, as defined in Rule 405 of the Securities Act. Yes o No </w:t>
      </w:r>
      <w:r>
        <w:rPr>
          <w:rFonts w:ascii="Arial" w:cs="Arial" w:eastAsia="Arial" w:hAnsi="Arial"/>
          <w:sz w:val="13"/>
          <w:szCs w:val="13"/>
          <w:color w:val="000000"/>
        </w:rPr>
        <w:t>x</w:t>
      </w:r>
      <w:r>
        <w:rPr>
          <w:rFonts w:ascii="Arial" w:cs="Arial" w:eastAsia="Arial" w:hAnsi="Arial"/>
          <w:sz w:val="13"/>
          <w:szCs w:val="13"/>
          <w:color w:val="231F20"/>
        </w:rPr>
        <w:t xml:space="preserve"> Indicate by check mark if the Registrant is not required to file reports pursuant to Section 13 or 15(d) of the Act. Yes o No </w:t>
      </w:r>
      <w:r>
        <w:rPr>
          <w:rFonts w:ascii="Arial" w:cs="Arial" w:eastAsia="Arial" w:hAnsi="Arial"/>
          <w:sz w:val="13"/>
          <w:szCs w:val="13"/>
          <w:color w:val="000000"/>
        </w:rPr>
        <w:t>x</w:t>
      </w:r>
    </w:p>
    <w:p>
      <w:pPr>
        <w:spacing w:after="0" w:line="1" w:lineRule="exact"/>
        <w:rPr>
          <w:sz w:val="24"/>
          <w:szCs w:val="24"/>
          <w:color w:val="auto"/>
        </w:rPr>
      </w:pPr>
    </w:p>
    <w:p>
      <w:pPr>
        <w:ind w:right="120"/>
        <w:spacing w:after="0" w:line="353" w:lineRule="auto"/>
        <w:rPr>
          <w:sz w:val="20"/>
          <w:szCs w:val="20"/>
          <w:color w:val="auto"/>
        </w:rPr>
      </w:pPr>
      <w:r>
        <w:rPr>
          <w:rFonts w:ascii="Arial" w:cs="Arial" w:eastAsia="Arial" w:hAnsi="Arial"/>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000000"/>
        </w:rPr>
        <w:t>x</w:t>
      </w:r>
      <w:r>
        <w:rPr>
          <w:rFonts w:ascii="Arial" w:cs="Arial" w:eastAsia="Arial" w:hAnsi="Arial"/>
          <w:sz w:val="14"/>
          <w:szCs w:val="14"/>
          <w:color w:val="231F20"/>
        </w:rPr>
        <w:t xml:space="preserve"> No o</w:t>
      </w:r>
    </w:p>
    <w:p>
      <w:pPr>
        <w:spacing w:after="0" w:line="12" w:lineRule="exact"/>
        <w:rPr>
          <w:sz w:val="24"/>
          <w:szCs w:val="24"/>
          <w:color w:val="auto"/>
        </w:rPr>
      </w:pPr>
    </w:p>
    <w:p>
      <w:pPr>
        <w:ind w:right="40"/>
        <w:spacing w:after="0" w:line="296" w:lineRule="auto"/>
        <w:rPr>
          <w:sz w:val="20"/>
          <w:szCs w:val="20"/>
          <w:color w:val="auto"/>
        </w:rPr>
      </w:pPr>
      <w:r>
        <w:rPr>
          <w:rFonts w:ascii="Arial" w:cs="Arial" w:eastAsia="Arial" w:hAnsi="Arial"/>
          <w:sz w:val="14"/>
          <w:szCs w:val="14"/>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000000"/>
        </w:rPr>
        <w:t>x</w:t>
      </w:r>
      <w:r>
        <w:rPr>
          <w:rFonts w:ascii="Arial" w:cs="Arial" w:eastAsia="Arial" w:hAnsi="Arial"/>
          <w:sz w:val="14"/>
          <w:szCs w:val="14"/>
          <w:color w:val="231F20"/>
        </w:rPr>
        <w:t xml:space="preserve"> No o</w:t>
      </w:r>
    </w:p>
    <w:p>
      <w:pPr>
        <w:spacing w:after="0" w:line="1" w:lineRule="exact"/>
        <w:rPr>
          <w:sz w:val="24"/>
          <w:szCs w:val="24"/>
          <w:color w:val="auto"/>
        </w:rPr>
      </w:pPr>
    </w:p>
    <w:p>
      <w:pPr>
        <w:ind w:right="44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380" w:type="dxa"/>
        <w:tblCellMar>
          <w:top w:w="0" w:type="dxa"/>
          <w:left w:w="0" w:type="dxa"/>
          <w:bottom w:w="0" w:type="dxa"/>
          <w:right w:w="0" w:type="dxa"/>
        </w:tblCellMar>
      </w:tblPr>
      <w:tr>
        <w:trPr>
          <w:trHeight w:val="196"/>
        </w:trPr>
        <w:tc>
          <w:tcPr>
            <w:tcW w:w="2180" w:type="dxa"/>
            <w:vAlign w:val="bottom"/>
          </w:tcPr>
          <w:p>
            <w:pPr>
              <w:spacing w:after="0"/>
              <w:rPr>
                <w:sz w:val="20"/>
                <w:szCs w:val="20"/>
                <w:color w:val="auto"/>
              </w:rPr>
            </w:pPr>
            <w:r>
              <w:rPr>
                <w:rFonts w:ascii="Arial" w:cs="Arial" w:eastAsia="Arial" w:hAnsi="Arial"/>
                <w:sz w:val="14"/>
                <w:szCs w:val="14"/>
                <w:color w:val="231F20"/>
              </w:rPr>
              <w:t>Large accelerated filer</w:t>
            </w:r>
          </w:p>
        </w:tc>
        <w:tc>
          <w:tcPr>
            <w:tcW w:w="1860" w:type="dxa"/>
            <w:vAlign w:val="bottom"/>
          </w:tcPr>
          <w:p>
            <w:pPr>
              <w:ind w:left="900"/>
              <w:spacing w:after="0"/>
              <w:rPr>
                <w:sz w:val="20"/>
                <w:szCs w:val="20"/>
                <w:color w:val="auto"/>
              </w:rPr>
            </w:pPr>
            <w:r>
              <w:rPr>
                <w:rFonts w:ascii="Arial" w:cs="Arial" w:eastAsia="Arial" w:hAnsi="Arial"/>
                <w:sz w:val="14"/>
                <w:szCs w:val="14"/>
                <w:color w:val="231F20"/>
              </w:rPr>
              <w:t>o</w:t>
            </w:r>
          </w:p>
        </w:tc>
        <w:tc>
          <w:tcPr>
            <w:tcW w:w="3220" w:type="dxa"/>
            <w:vAlign w:val="bottom"/>
          </w:tcPr>
          <w:p>
            <w:pPr>
              <w:ind w:left="900"/>
              <w:spacing w:after="0"/>
              <w:rPr>
                <w:sz w:val="20"/>
                <w:szCs w:val="20"/>
                <w:color w:val="auto"/>
              </w:rPr>
            </w:pPr>
            <w:r>
              <w:rPr>
                <w:rFonts w:ascii="Arial" w:cs="Arial" w:eastAsia="Arial" w:hAnsi="Arial"/>
                <w:sz w:val="14"/>
                <w:szCs w:val="14"/>
                <w:color w:val="231F20"/>
              </w:rPr>
              <w:t>Accelerated filer</w:t>
            </w:r>
          </w:p>
        </w:tc>
        <w:tc>
          <w:tcPr>
            <w:tcW w:w="840" w:type="dxa"/>
            <w:vAlign w:val="bottom"/>
          </w:tcPr>
          <w:p>
            <w:pPr>
              <w:ind w:left="760"/>
              <w:spacing w:after="0"/>
              <w:rPr>
                <w:sz w:val="20"/>
                <w:szCs w:val="20"/>
                <w:color w:val="auto"/>
              </w:rPr>
            </w:pPr>
            <w:r>
              <w:rPr>
                <w:rFonts w:ascii="Arial" w:cs="Arial" w:eastAsia="Arial" w:hAnsi="Arial"/>
                <w:sz w:val="14"/>
                <w:szCs w:val="14"/>
                <w:color w:val="231F20"/>
                <w:w w:val="76"/>
              </w:rPr>
              <w:t>o</w:t>
            </w:r>
          </w:p>
        </w:tc>
      </w:tr>
      <w:tr>
        <w:trPr>
          <w:trHeight w:val="256"/>
        </w:trPr>
        <w:tc>
          <w:tcPr>
            <w:tcW w:w="2180" w:type="dxa"/>
            <w:vAlign w:val="bottom"/>
          </w:tcPr>
          <w:p>
            <w:pPr>
              <w:spacing w:after="0"/>
              <w:rPr>
                <w:sz w:val="20"/>
                <w:szCs w:val="20"/>
                <w:color w:val="auto"/>
              </w:rPr>
            </w:pPr>
            <w:r>
              <w:rPr>
                <w:rFonts w:ascii="Arial" w:cs="Arial" w:eastAsia="Arial" w:hAnsi="Arial"/>
                <w:sz w:val="14"/>
                <w:szCs w:val="14"/>
                <w:color w:val="231F20"/>
              </w:rPr>
              <w:t>Non-accelerated filer</w:t>
            </w:r>
          </w:p>
        </w:tc>
        <w:tc>
          <w:tcPr>
            <w:tcW w:w="1860" w:type="dxa"/>
            <w:vAlign w:val="bottom"/>
          </w:tcPr>
          <w:p>
            <w:pPr>
              <w:ind w:left="900"/>
              <w:spacing w:after="0"/>
              <w:rPr>
                <w:sz w:val="20"/>
                <w:szCs w:val="20"/>
                <w:color w:val="auto"/>
              </w:rPr>
            </w:pPr>
            <w:r>
              <w:rPr>
                <w:rFonts w:ascii="Arial" w:cs="Arial" w:eastAsia="Arial" w:hAnsi="Arial"/>
                <w:sz w:val="14"/>
                <w:szCs w:val="14"/>
                <w:color w:val="auto"/>
              </w:rPr>
              <w:t>x</w:t>
            </w:r>
          </w:p>
        </w:tc>
        <w:tc>
          <w:tcPr>
            <w:tcW w:w="3220" w:type="dxa"/>
            <w:vAlign w:val="bottom"/>
          </w:tcPr>
          <w:p>
            <w:pPr>
              <w:ind w:left="900"/>
              <w:spacing w:after="0"/>
              <w:rPr>
                <w:sz w:val="20"/>
                <w:szCs w:val="20"/>
                <w:color w:val="auto"/>
              </w:rPr>
            </w:pPr>
            <w:r>
              <w:rPr>
                <w:rFonts w:ascii="Arial" w:cs="Arial" w:eastAsia="Arial" w:hAnsi="Arial"/>
                <w:sz w:val="14"/>
                <w:szCs w:val="14"/>
                <w:color w:val="231F20"/>
              </w:rPr>
              <w:t>Small reporting company</w:t>
            </w:r>
          </w:p>
        </w:tc>
        <w:tc>
          <w:tcPr>
            <w:tcW w:w="840" w:type="dxa"/>
            <w:vAlign w:val="bottom"/>
          </w:tcPr>
          <w:p>
            <w:pPr>
              <w:ind w:left="760"/>
              <w:spacing w:after="0"/>
              <w:rPr>
                <w:sz w:val="20"/>
                <w:szCs w:val="20"/>
                <w:color w:val="auto"/>
              </w:rPr>
            </w:pPr>
            <w:r>
              <w:rPr>
                <w:rFonts w:ascii="Arial" w:cs="Arial" w:eastAsia="Arial" w:hAnsi="Arial"/>
                <w:sz w:val="14"/>
                <w:szCs w:val="14"/>
                <w:color w:val="auto"/>
                <w:w w:val="85"/>
              </w:rPr>
              <w:t>x</w:t>
            </w:r>
          </w:p>
        </w:tc>
      </w:tr>
      <w:tr>
        <w:trPr>
          <w:trHeight w:val="256"/>
        </w:trPr>
        <w:tc>
          <w:tcPr>
            <w:tcW w:w="21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20" w:type="dxa"/>
            <w:vAlign w:val="bottom"/>
          </w:tcPr>
          <w:p>
            <w:pPr>
              <w:ind w:left="900"/>
              <w:spacing w:after="0"/>
              <w:rPr>
                <w:sz w:val="20"/>
                <w:szCs w:val="20"/>
                <w:color w:val="auto"/>
              </w:rPr>
            </w:pPr>
            <w:r>
              <w:rPr>
                <w:rFonts w:ascii="Arial" w:cs="Arial" w:eastAsia="Arial" w:hAnsi="Arial"/>
                <w:sz w:val="14"/>
                <w:szCs w:val="14"/>
                <w:color w:val="231F20"/>
              </w:rPr>
              <w:t>Emerging growth company</w:t>
            </w:r>
          </w:p>
        </w:tc>
        <w:tc>
          <w:tcPr>
            <w:tcW w:w="840" w:type="dxa"/>
            <w:vAlign w:val="bottom"/>
          </w:tcPr>
          <w:p>
            <w:pPr>
              <w:ind w:left="760"/>
              <w:spacing w:after="0"/>
              <w:rPr>
                <w:sz w:val="20"/>
                <w:szCs w:val="20"/>
                <w:color w:val="auto"/>
              </w:rPr>
            </w:pPr>
            <w:r>
              <w:rPr>
                <w:rFonts w:ascii="Arial" w:cs="Arial" w:eastAsia="Arial" w:hAnsi="Arial"/>
                <w:sz w:val="14"/>
                <w:szCs w:val="14"/>
                <w:color w:val="231F20"/>
                <w:w w:val="76"/>
              </w:rPr>
              <w:t>o</w:t>
            </w:r>
          </w:p>
        </w:tc>
      </w:tr>
    </w:tbl>
    <w:p>
      <w:pPr>
        <w:spacing w:after="0" w:line="142" w:lineRule="exact"/>
        <w:rPr>
          <w:sz w:val="24"/>
          <w:szCs w:val="24"/>
          <w:color w:val="auto"/>
        </w:rPr>
      </w:pPr>
    </w:p>
    <w:p>
      <w:pPr>
        <w:ind w:right="560"/>
        <w:spacing w:after="0" w:line="311" w:lineRule="auto"/>
        <w:rPr>
          <w:sz w:val="20"/>
          <w:szCs w:val="20"/>
          <w:color w:val="auto"/>
        </w:rPr>
      </w:pPr>
      <w:r>
        <w:rPr>
          <w:rFonts w:ascii="Arial" w:cs="Arial" w:eastAsia="Arial" w:hAnsi="Arial"/>
          <w:sz w:val="14"/>
          <w:szCs w:val="14"/>
          <w:color w:val="231F20"/>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60"/>
        <w:spacing w:after="0" w:line="322"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4"/>
          <w:szCs w:val="14"/>
          <w:color w:val="231F20"/>
        </w:rPr>
        <w:t>o</w:t>
      </w:r>
    </w:p>
    <w:p>
      <w:pPr>
        <w:ind w:right="120"/>
        <w:spacing w:after="0" w:line="19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2" w:lineRule="exact"/>
        <w:rPr>
          <w:sz w:val="24"/>
          <w:szCs w:val="24"/>
          <w:color w:val="auto"/>
        </w:rPr>
      </w:pPr>
    </w:p>
    <w:p>
      <w:pPr>
        <w:ind w:right="280"/>
        <w:spacing w:after="0" w:line="19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231F20"/>
        </w:rPr>
        <w:t xml:space="preserve">Indicate by check mark whether the Registrant is a shell company (as defined in Rule 12b-2 of the Exchange Act). Yes o No </w:t>
      </w:r>
      <w:r>
        <w:rPr>
          <w:rFonts w:ascii="Arial" w:cs="Arial" w:eastAsia="Arial" w:hAnsi="Arial"/>
          <w:sz w:val="14"/>
          <w:szCs w:val="14"/>
          <w:color w:val="000000"/>
        </w:rPr>
        <w:t>x</w:t>
      </w:r>
    </w:p>
    <w:p>
      <w:pPr>
        <w:spacing w:after="0" w:line="69"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231F20"/>
        </w:rPr>
        <w:t xml:space="preserve">The aggregate market value of the Registrant’s common stock held by non-affiliates of the Registrant as of the last business day of the Registrant’s most recently completed second fiscal quarter, June 30, 2022, based on the last reported sales price of the Registrant’s common stock on the Nasdaq Global Market of $0.59 per share was </w:t>
      </w:r>
      <w:r>
        <w:rPr>
          <w:rFonts w:ascii="Arial" w:cs="Arial" w:eastAsia="Arial" w:hAnsi="Arial"/>
          <w:sz w:val="14"/>
          <w:szCs w:val="14"/>
          <w:color w:val="000000"/>
        </w:rPr>
        <w:t>$89,227,062</w:t>
      </w:r>
      <w:r>
        <w:rPr>
          <w:rFonts w:ascii="Arial" w:cs="Arial" w:eastAsia="Arial" w:hAnsi="Arial"/>
          <w:sz w:val="14"/>
          <w:szCs w:val="14"/>
          <w:color w:val="231F20"/>
        </w:rPr>
        <w:t>.</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231F20"/>
        </w:rPr>
        <w:t xml:space="preserve">The number of shares of Registrant’s Common Stock outstanding as of February 28, 2023, was </w:t>
      </w:r>
      <w:r>
        <w:rPr>
          <w:rFonts w:ascii="Arial" w:cs="Arial" w:eastAsia="Arial" w:hAnsi="Arial"/>
          <w:sz w:val="14"/>
          <w:szCs w:val="14"/>
          <w:color w:val="000000"/>
        </w:rPr>
        <w:t>206,492,664</w:t>
      </w:r>
      <w:r>
        <w:rPr>
          <w:rFonts w:ascii="Arial" w:cs="Arial" w:eastAsia="Arial" w:hAnsi="Arial"/>
          <w:sz w:val="14"/>
          <w:szCs w:val="14"/>
          <w:color w:val="231F20"/>
        </w:rPr>
        <w:t>.</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DOCUMENTS INCORPORATED BY REFERENCE:</w:t>
      </w:r>
    </w:p>
    <w:p>
      <w:pPr>
        <w:spacing w:after="0" w:line="107" w:lineRule="exact"/>
        <w:rPr>
          <w:sz w:val="24"/>
          <w:szCs w:val="24"/>
          <w:color w:val="auto"/>
        </w:rPr>
      </w:pPr>
    </w:p>
    <w:p>
      <w:pPr>
        <w:spacing w:after="0" w:line="293" w:lineRule="auto"/>
        <w:rPr>
          <w:sz w:val="20"/>
          <w:szCs w:val="20"/>
          <w:color w:val="auto"/>
        </w:rPr>
      </w:pPr>
      <w:r>
        <w:rPr>
          <w:rFonts w:ascii="Arial" w:cs="Arial" w:eastAsia="Arial" w:hAnsi="Arial"/>
          <w:sz w:val="14"/>
          <w:szCs w:val="14"/>
          <w:color w:val="231F20"/>
        </w:rPr>
        <w:t>Portions of the Registrant’s Definitive Proxy Statement for its 2023 Annual Meeting of Stockholders, which will be filed with the Commission within 120 days of December 31, 2022, the close of the Registrant’s 2022 fiscal year, are incorporated by reference into Part III of this Report</w:t>
      </w:r>
      <w:r>
        <w:rPr>
          <w:rFonts w:ascii="Arial" w:cs="Arial" w:eastAsia="Arial" w:hAnsi="Arial"/>
          <w:sz w:val="12"/>
          <w:szCs w:val="12"/>
          <w:color w:val="231F20"/>
        </w:rPr>
        <w:t>.</w:t>
      </w:r>
    </w:p>
    <w:p>
      <w:pPr>
        <w:sectPr>
          <w:pgSz w:w="11900" w:h="16838" w:orient="portrait"/>
          <w:cols w:equalWidth="0" w:num="1">
            <w:col w:w="11240"/>
          </w:cols>
          <w:pgMar w:left="320" w:top="233"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132080</wp:posOffset>
            </wp:positionV>
            <wp:extent cx="71151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03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 REGARDING FORWARD-LOOKING STATEMENTS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requires otherwise, in this Annual Report on Form 10-K the terms “Ardelyx”, “we,” “us,” “our” and “the Company” refer to Ardelyx, Inc.</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14" w:lineRule="exact"/>
        <w:rPr>
          <w:sz w:val="20"/>
          <w:szCs w:val="20"/>
          <w:color w:val="auto"/>
        </w:rPr>
      </w:pPr>
    </w:p>
    <w:p>
      <w:pPr>
        <w:ind w:left="340" w:right="20" w:hanging="332"/>
        <w:spacing w:after="0" w:line="243"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timing of the resubmission of the new drug application (“NDA”) for XPHOZAH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for the control of serum phosphorus in adult patients with chronic kidney disease patients (“CKD”) on dialysis to the U.S. Food and Drug Administration (“FDA”);</w:t>
      </w:r>
    </w:p>
    <w:p>
      <w:pPr>
        <w:spacing w:after="0" w:line="91"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of a label for the commercialization of XPHOZAH and our belief regarding what indication may be included in such a label;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for FDA approval for the NDA for XPHOZAH;</w:t>
      </w:r>
    </w:p>
    <w:p>
      <w:pPr>
        <w:spacing w:after="0" w:line="117"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color w:val="auto"/>
        </w:rPr>
        <w:t>our plans to address our operating cash flow requirements with our current cash and short-term investments, cash generated from the sales of IBSRELA</w:t>
      </w:r>
      <w:r>
        <w:rPr>
          <w:rFonts w:ascii="Arial" w:cs="Arial" w:eastAsia="Arial" w:hAnsi="Arial"/>
          <w:sz w:val="22"/>
          <w:szCs w:val="22"/>
          <w:color w:val="auto"/>
          <w:vertAlign w:val="superscript"/>
        </w:rPr>
        <w:t>®</w:t>
      </w:r>
      <w:r>
        <w:rPr>
          <w:rFonts w:ascii="Arial" w:cs="Arial" w:eastAsia="Arial" w:hAnsi="Arial"/>
          <w:sz w:val="17"/>
          <w:szCs w:val="17"/>
          <w:color w:val="auto"/>
        </w:rPr>
        <w:t>, and if approved, sales of XPHOZAH, the potential receipt of anticipated milestone payments from our collaboration partners, the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spacing w:after="0" w:line="83" w:lineRule="exact"/>
        <w:rPr>
          <w:rFonts w:ascii="Arial" w:cs="Arial" w:eastAsia="Arial" w:hAnsi="Arial"/>
          <w:sz w:val="17"/>
          <w:szCs w:val="17"/>
          <w:b w:val="1"/>
          <w:bCs w:val="1"/>
          <w:i w:val="1"/>
          <w:iCs w:val="1"/>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RDX013 and RDX020;</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under the caption “Risk Factors.”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RISKS ASSOCIATED WITH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52" w:lineRule="exact"/>
        <w:rPr>
          <w:sz w:val="20"/>
          <w:szCs w:val="20"/>
          <w:color w:val="auto"/>
        </w:rPr>
      </w:pPr>
    </w:p>
    <w:p>
      <w:pPr>
        <w:ind w:left="340" w:right="12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cash equivalents and short-term investments alone is not sufficient to meet our operating plans for the next twelve months, raising substantial doubt regarding our ability to continue as a going concern.</w:t>
      </w:r>
    </w:p>
    <w:p>
      <w:pPr>
        <w:spacing w:after="0" w:line="213"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additional financing for the foreseeable future as we invest in the commercialization of IBSRELA, and prepare for and commercialize XPHOZAH in the U.S., if approved. The inability to access necessary capital when needed on acceptable terms, or at all, could force us to reduce our efforts to commercialize IBSRELA or, delay or limit the commercialization of XPHOZAH, if approved.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generated limited revenue from product sales and may never be profitable.</w:t>
      </w:r>
    </w:p>
    <w:p>
      <w:pPr>
        <w:spacing w:after="0" w:line="252" w:lineRule="exact"/>
        <w:rPr>
          <w:rFonts w:ascii="Arial" w:cs="Arial" w:eastAsia="Arial" w:hAnsi="Arial"/>
          <w:sz w:val="18"/>
          <w:szCs w:val="18"/>
          <w:color w:val="auto"/>
        </w:rPr>
      </w:pPr>
    </w:p>
    <w:p>
      <w:pPr>
        <w:jc w:val="both"/>
        <w:ind w:left="340" w:hanging="332"/>
        <w:spacing w:after="0" w:line="342"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substantially dependent on the successful commercialization of IBSRELA, and there is no guarantee that we will achieve sufficient market acceptance for IBSRELA; secure adequate coverage and reimbursement for IBSRELA; or generate sufficient revenue from product sales of IBSRELA.</w:t>
      </w:r>
    </w:p>
    <w:p>
      <w:pPr>
        <w:spacing w:after="0" w:line="150"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pursuing regulatory approval for XPHOZAH. There can be no assurances that we will be successful in obtaining such regulatory approval.</w:t>
      </w:r>
    </w:p>
    <w:p>
      <w:pPr>
        <w:spacing w:after="0" w:line="140" w:lineRule="exact"/>
        <w:rPr>
          <w:rFonts w:ascii="Arial" w:cs="Arial" w:eastAsia="Arial" w:hAnsi="Arial"/>
          <w:sz w:val="16"/>
          <w:szCs w:val="16"/>
          <w:color w:val="auto"/>
        </w:rPr>
      </w:pPr>
    </w:p>
    <w:p>
      <w:pPr>
        <w:ind w:left="340" w:hanging="332"/>
        <w:spacing w:after="0" w:line="308"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are successful in obtaining regulatory approval for XPHOZAH, there is no guarantee that we will achieve sufficient market acceptance for XPHOZAH; secure adequate coverage and reimbursement for XPHOZAH; or generate sufficient revenue from product sales of XPHOZAH.</w:t>
      </w:r>
    </w:p>
    <w:p>
      <w:pPr>
        <w:spacing w:after="0" w:line="3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IBSRELA and/or, if approved and commercialized, XPHOZAH, may cause undesirable side effects or have other properties that could limit the commercial success of the product.</w:t>
      </w:r>
    </w:p>
    <w:p>
      <w:pPr>
        <w:spacing w:after="0" w:line="62" w:lineRule="exact"/>
        <w:rPr>
          <w:rFonts w:ascii="Arial" w:cs="Arial" w:eastAsia="Arial" w:hAnsi="Arial"/>
          <w:sz w:val="18"/>
          <w:szCs w:val="18"/>
          <w:color w:val="auto"/>
        </w:rPr>
      </w:pPr>
    </w:p>
    <w:p>
      <w:pPr>
        <w:jc w:val="both"/>
        <w:ind w:left="340" w:right="2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coverage and reimbursement status of newly-commercialized products are uncertain. Failure to obtain or maintain adequate coverage and reimbursement for IBSRELA and, if approved, for XPHOZAH could limit our ability to market those products and decrease our ability to generate revenue.</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of XPHOZAH, and our future development efforts for tenapanor may be materially harmed.</w:t>
      </w:r>
    </w:p>
    <w:p>
      <w:pPr>
        <w:spacing w:after="0" w:line="7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ARDELYX</w:t>
      </w:r>
      <w:r>
        <w:rPr>
          <w:rFonts w:ascii="Arial" w:cs="Arial" w:eastAsia="Arial" w:hAnsi="Arial"/>
          <w:sz w:val="23"/>
          <w:szCs w:val="23"/>
          <w:color w:val="auto"/>
          <w:vertAlign w:val="superscript"/>
        </w:rPr>
        <w:t>®</w:t>
      </w:r>
      <w:r>
        <w:rPr>
          <w:rFonts w:ascii="Arial" w:cs="Arial" w:eastAsia="Arial" w:hAnsi="Arial"/>
          <w:sz w:val="18"/>
          <w:szCs w:val="18"/>
          <w:color w:val="auto"/>
        </w:rPr>
        <w:t>, IBSRELA</w:t>
      </w:r>
      <w:r>
        <w:rPr>
          <w:rFonts w:ascii="Arial" w:cs="Arial" w:eastAsia="Arial" w:hAnsi="Arial"/>
          <w:sz w:val="23"/>
          <w:szCs w:val="23"/>
          <w:color w:val="auto"/>
          <w:vertAlign w:val="superscript"/>
        </w:rPr>
        <w:t>®</w:t>
      </w:r>
      <w:r>
        <w:rPr>
          <w:rFonts w:ascii="Arial" w:cs="Arial" w:eastAsia="Arial" w:hAnsi="Arial"/>
          <w:sz w:val="18"/>
          <w:szCs w:val="18"/>
          <w:color w:val="auto"/>
        </w:rPr>
        <w:t>, and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are trademarks of Ardelyx. All other trademarks, trade names and service 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960" w:type="dxa"/>
            <w:vAlign w:val="bottom"/>
            <w:gridSpan w:val="10"/>
            <w:vMerge w:val="restart"/>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gridSpan w:val="10"/>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20" w:type="dxa"/>
            <w:vAlign w:val="bottom"/>
            <w:gridSpan w:val="5"/>
          </w:tcPr>
          <w:p>
            <w:pPr>
              <w:spacing w:after="0"/>
              <w:rPr>
                <w:sz w:val="19"/>
                <w:szCs w:val="19"/>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1A.</w:t>
            </w: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1B.</w:t>
            </w:r>
          </w:p>
        </w:tc>
        <w:tc>
          <w:tcPr>
            <w:tcW w:w="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gridSpan w:val="2"/>
          </w:tcPr>
          <w:p>
            <w:pPr>
              <w:spacing w:after="0"/>
              <w:rPr>
                <w:sz w:val="21"/>
                <w:szCs w:val="21"/>
                <w:color w:val="auto"/>
              </w:rPr>
            </w:pPr>
          </w:p>
        </w:tc>
        <w:tc>
          <w:tcPr>
            <w:tcW w:w="300" w:type="dxa"/>
            <w:vAlign w:val="bottom"/>
            <w:gridSpan w:val="3"/>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b w:val="1"/>
                <w:bCs w:val="1"/>
                <w:color w:val="0000FF"/>
                <w:w w:val="96"/>
              </w:rPr>
              <w:t>PART II</w:t>
            </w:r>
          </w:p>
        </w:tc>
        <w:tc>
          <w:tcPr>
            <w:tcW w:w="4340" w:type="dxa"/>
            <w:vAlign w:val="bottom"/>
            <w:gridSpan w:val="8"/>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7.</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7A.</w:t>
            </w: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8.</w:t>
            </w:r>
          </w:p>
        </w:tc>
        <w:tc>
          <w:tcPr>
            <w:tcW w:w="140" w:type="dxa"/>
            <w:vAlign w:val="bottom"/>
            <w:gridSpan w:val="3"/>
          </w:tcPr>
          <w:p>
            <w:pPr>
              <w:spacing w:after="0"/>
              <w:rPr>
                <w:sz w:val="21"/>
                <w:szCs w:val="21"/>
                <w:color w:val="auto"/>
              </w:rPr>
            </w:pP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9.</w:t>
            </w:r>
          </w:p>
        </w:tc>
        <w:tc>
          <w:tcPr>
            <w:tcW w:w="420" w:type="dxa"/>
            <w:vAlign w:val="bottom"/>
            <w:gridSpan w:val="5"/>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8"/>
                <w:szCs w:val="18"/>
                <w:color w:val="0000FF"/>
                <w:w w:val="95"/>
              </w:rPr>
              <w:t>Item 9A.</w:t>
            </w: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1"/>
              </w:rPr>
              <w:t>Item 9C.</w:t>
            </w:r>
          </w:p>
        </w:tc>
        <w:tc>
          <w:tcPr>
            <w:tcW w:w="300" w:type="dxa"/>
            <w:vAlign w:val="bottom"/>
            <w:gridSpan w:val="3"/>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Disclosure Regarding Foreign Jurisdictions that Prevent Inspection</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III</w:t>
            </w:r>
          </w:p>
        </w:tc>
        <w:tc>
          <w:tcPr>
            <w:tcW w:w="4300" w:type="dxa"/>
            <w:vAlign w:val="bottom"/>
            <w:gridSpan w:val="6"/>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0000FF"/>
              </w:rPr>
              <w:t>Item 10.</w:t>
            </w: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9"/>
              </w:rPr>
              <w:t>Item 11.</w:t>
            </w:r>
          </w:p>
        </w:tc>
        <w:tc>
          <w:tcPr>
            <w:tcW w:w="340" w:type="dxa"/>
            <w:vAlign w:val="bottom"/>
            <w:gridSpan w:val="4"/>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Arial" w:cs="Arial" w:eastAsia="Arial" w:hAnsi="Arial"/>
                <w:sz w:val="18"/>
                <w:szCs w:val="18"/>
                <w:color w:val="0000FF"/>
              </w:rPr>
              <w:t>Item 12.</w:t>
            </w:r>
          </w:p>
        </w:tc>
        <w:tc>
          <w:tcPr>
            <w:tcW w:w="180" w:type="dxa"/>
            <w:vAlign w:val="bottom"/>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Arial" w:cs="Arial" w:eastAsia="Arial" w:hAnsi="Arial"/>
                <w:sz w:val="18"/>
                <w:szCs w:val="18"/>
                <w:color w:val="0000FF"/>
              </w:rPr>
              <w:t>Item 13.</w:t>
            </w:r>
          </w:p>
        </w:tc>
        <w:tc>
          <w:tcPr>
            <w:tcW w:w="180" w:type="dxa"/>
            <w:vAlign w:val="bottom"/>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5"/>
          </w:tcPr>
          <w:p>
            <w:pPr>
              <w:spacing w:after="0"/>
              <w:rPr>
                <w:sz w:val="20"/>
                <w:szCs w:val="20"/>
                <w:color w:val="auto"/>
              </w:rPr>
            </w:pPr>
            <w:r>
              <w:rPr>
                <w:rFonts w:ascii="Arial" w:cs="Arial" w:eastAsia="Arial" w:hAnsi="Arial"/>
                <w:sz w:val="18"/>
                <w:szCs w:val="18"/>
                <w:color w:val="0000FF"/>
              </w:rPr>
              <w:t>Item 14.</w:t>
            </w:r>
          </w:p>
        </w:tc>
        <w:tc>
          <w:tcPr>
            <w:tcW w:w="180" w:type="dxa"/>
            <w:vAlign w:val="bottom"/>
          </w:tcPr>
          <w:p>
            <w:pPr>
              <w:spacing w:after="0"/>
              <w:rPr>
                <w:sz w:val="21"/>
                <w:szCs w:val="21"/>
                <w:color w:val="auto"/>
              </w:rPr>
            </w:pP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20" w:type="dxa"/>
            <w:vAlign w:val="bottom"/>
            <w:gridSpan w:val="11"/>
          </w:tcPr>
          <w:p>
            <w:pPr>
              <w:jc w:val="center"/>
              <w:ind w:right="4320"/>
              <w:spacing w:after="0"/>
              <w:rPr>
                <w:sz w:val="20"/>
                <w:szCs w:val="20"/>
                <w:color w:val="auto"/>
              </w:rPr>
            </w:pPr>
            <w:r>
              <w:rPr>
                <w:rFonts w:ascii="Arial" w:cs="Arial" w:eastAsia="Arial" w:hAnsi="Arial"/>
                <w:sz w:val="18"/>
                <w:szCs w:val="18"/>
                <w:b w:val="1"/>
                <w:bCs w:val="1"/>
                <w:color w:val="0000FF"/>
                <w:w w:val="98"/>
              </w:rPr>
              <w:t>PART IV</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0000FF"/>
              </w:rPr>
              <w:t>Item 15.</w:t>
            </w:r>
          </w:p>
        </w:tc>
        <w:tc>
          <w:tcPr>
            <w:tcW w:w="4520" w:type="dxa"/>
            <w:vAlign w:val="bottom"/>
            <w:gridSpan w:val="16"/>
          </w:tcPr>
          <w:p>
            <w:pPr>
              <w:ind w:left="160"/>
              <w:spacing w:after="0"/>
              <w:rPr>
                <w:sz w:val="20"/>
                <w:szCs w:val="20"/>
                <w:color w:val="auto"/>
              </w:rPr>
            </w:pPr>
            <w:r>
              <w:rPr>
                <w:rFonts w:ascii="Arial" w:cs="Arial" w:eastAsia="Arial" w:hAnsi="Arial"/>
                <w:sz w:val="18"/>
                <w:szCs w:val="18"/>
                <w:color w:val="0000FF"/>
              </w:rPr>
              <w:t>Exhibits, Financial Statement Schedules</w:t>
            </w:r>
          </w:p>
        </w:tc>
        <w:tc>
          <w:tcPr>
            <w:tcW w:w="640" w:type="dxa"/>
            <w:vAlign w:val="bottom"/>
            <w:tcBorders>
              <w:top w:val="single" w:sz="8" w:color="0000FF"/>
            </w:tcBorders>
            <w:gridSpan w:val="3"/>
          </w:tcPr>
          <w:p>
            <w:pPr>
              <w:spacing w:after="0"/>
              <w:rPr>
                <w:sz w:val="21"/>
                <w:szCs w:val="21"/>
                <w:color w:val="auto"/>
              </w:rPr>
            </w:pPr>
          </w:p>
        </w:tc>
        <w:tc>
          <w:tcPr>
            <w:tcW w:w="4320" w:type="dxa"/>
            <w:vAlign w:val="bottom"/>
            <w:gridSpan w:val="7"/>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2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0000FF"/>
              </w:rPr>
              <w:t>Item 16.</w:t>
            </w:r>
          </w:p>
        </w:tc>
        <w:tc>
          <w:tcPr>
            <w:tcW w:w="9480" w:type="dxa"/>
            <w:vAlign w:val="bottom"/>
            <w:gridSpan w:val="26"/>
          </w:tcPr>
          <w:p>
            <w:pPr>
              <w:ind w:left="160"/>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17"/>
          </w:tcPr>
          <w:p>
            <w:pPr>
              <w:ind w:left="4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w:t>
      </w:r>
      <w:r>
        <w:rPr>
          <w:rFonts w:ascii="Arial" w:cs="Arial" w:eastAsia="Arial" w:hAnsi="Arial"/>
          <w:sz w:val="20"/>
          <w:szCs w:val="20"/>
          <w:color w:val="auto"/>
          <w:vertAlign w:val="superscript"/>
        </w:rPr>
        <w:t>®</w:t>
      </w:r>
      <w:r>
        <w:rPr>
          <w:rFonts w:ascii="Arial" w:cs="Arial" w:eastAsia="Arial" w:hAnsi="Arial"/>
          <w:sz w:val="16"/>
          <w:szCs w:val="16"/>
          <w:color w:val="auto"/>
        </w:rPr>
        <w:t>, is approved in the U.S. for the treatment of adults with irritable bowel syndrome with constipation (“IBS-C”). Tenapanor is in development for the control of serum phosphorus in adult patients with chronic kidney disease (“CKD”) on dialysis under the brand name XPHOZAH</w:t>
      </w:r>
      <w:r>
        <w:rPr>
          <w:rFonts w:ascii="Arial" w:cs="Arial" w:eastAsia="Arial" w:hAnsi="Arial"/>
          <w:sz w:val="20"/>
          <w:szCs w:val="20"/>
          <w:color w:val="auto"/>
          <w:vertAlign w:val="superscript"/>
        </w:rPr>
        <w:t>®</w:t>
      </w:r>
      <w:r>
        <w:rPr>
          <w:rFonts w:ascii="Arial" w:cs="Arial" w:eastAsia="Arial" w:hAnsi="Arial"/>
          <w:sz w:val="16"/>
          <w:szCs w:val="16"/>
          <w:color w:val="auto"/>
        </w:rPr>
        <w:t>. We also have a developmental stage asset, RDX013, for adult CKD and/or heart failure patients with hyperkalemia, or elevated serum potassium, and a discovery stage asset, RDX020, for adult CKD patients with metabolic acidosis, a serious electrolyte disorder.</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 (tenapanor) in March 2022. As of December 31, 2022, we had an accumulated deficit of $780.1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continue to incur substantial operating losses for the foreseeable future as we invest in the commercialization of IBSRELA, seek to gain approval in the U.S. for XPHOZAH (tenapanor); prepare for and commercialize XPHOZAH in the U.S.,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unique discovery platform and deep understanding of the primary mechanism of sodium transport in the intestine resulted in our discovery and development of IBSRELA, a first-in-class, U.S. Food and Drug Administration ("FDA") approved, sodium hydrogen exchange 3 ("NHE3") inhibitor for the treatment of IBS-C in adults. IBSRELA acts locally in the gut and is minimally absorbed. IBS-C is a gastrointestinal ("GI") disorder characterized by both abdominal pain and altered bowel movements, and is estimated to affect 12 million people in the U.S. IBS-C is associated with significantly impaired quality of life, reduced productivity, and substantial economic burden.</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reflected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that account for 50% of IBS-C prescriptions. Central to the go to market strategy for IBSRELA is a highly experienced specialty sales force, many with existing relationships across their GI target base, full company engagement, and innovative peer-to-peer and digital initiatives.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Candidate XPHOZAH: A Potential New Approach for the Control of Serum Phosphorus in Adult Patients with CKD on Dialysis</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XPHOZAH (tenapanor) is a first-in-class medicine being developed for the control of serum phosphorus, or hyperphosphatemia,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Seventy-seven percent of patients treated with phosphate binders to treat hyperphosphatemia were unable to consistently maintain phosphorous levels &lt;=5.5 mg/dL over a six-month period. If approved, XPHOZAH would be the first therapy for phosphate management that blocks phosphorus absorption at the primary site.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we submitted a new drug application (“NDA”) to the FDA for XPHOZAH. The NDA was supported by three Phase 3 trials involving more than 1,200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28, 2021, we received a Complete Response Letter ("CRL") from the FDA’s Division of Cardiology and Nephrology (“Division") regarding our NDA for XPHOZAH. In December 2021, we submitted a Formal Dispute Resolution Request ("FDRR") to the Office of Cardiology, Hematology, Endocrinology and Nephrology ("OCHEN"). At the request of the FDA's Office of New Drugs ("OND"), as part of our second level of appeal of the CRL, a Cardiovascular and Renal Drug Advisory Committee meeting on was held on November 16, 2022 with the committee voting that the benefits of XPHOZAH outweigh its risks nine to four as a monotherapy and ten to two, with one abstention, in combination with phosphate binder therapy. In December 2022, the OND granted our appeal of the CRL for the NDA for XPHOZAH and directed the Division to work with us to develop an appropriate label for the commercialization of XPHOZAH. We believe that a label could reflect an indication for patients whose hyperphosphatemia is insufficiently managed on binder therapy. On February 13, 2023, we participated in a Type A meeting with the Division where we discussed the resubmission of the NDA, and the information to be contained in the resubmitted NDA. We currently expect to resubmit the NDA for XPHOZAH early in the second quarter of 2023. Within thirty (30) days of resubmitting the NDA, we expect to receive notification from the Division as to the classification of the resubmission (Class 1 or Class 2) at which point the expected timing for review will also be known (2-months for a Class 1 and 6-months for a Class 2) as well as a goal review date. We currently believe that the FDA will act upon the XPHOZAH NDA in the second half of 2023, and, if approved, we expect to launch XPHOZAH in the second half of 2023.</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established commercial agreements with Kyowa Kirin, Co. Ltd. ("KKC") in Japan, Fosun Pharma in China and Knight in Canada for tenapanor for hyperphosphatemia. In October 2022, KKC submitted an NDA to the Japanese Ministry of Health, Labour and Welfare for tenapanor for the improvement of hyperphosphatemia in adult patients with CKD on dialysis.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if approved, XPHOZAH.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Strategy</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developed a portfolio of novel products to address unmet medical needs across gastrointestinal and cardiorenal therapeutic areas and intend to commercialize our products in the U.S. We have established a high quality commercial organization highly experienced in bringing novel products to our customers, including patients, payors and healthcare providers. Our commercial capabilities, including marketing, access, patient services and sales are designed to support our commercialization of IBSRELA, and the commercialization of XPHOZAH, if approved. We have executed ex-U.S. collaborations with established industry leaders to efficiently bring XPHOZAH and IBSRELA to patients in specific territories outside of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evaluate our strategy for the commercialization of IBSRELA and XPHOZAH in other ex-U.S. territories.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exclusive rights to tenapanor in the U.S. and we have established agreements with KKC in Japan, Fosun Pharma in China and Knight in Canada for the development and commercialization of tenapanor for certain indications in their respective territories.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non-refundable, one-time payment in March 2018. We may also be eligible to receive approximately CAD 22.2 million for development and commercialization milestones, or approximately $16.3 million at the currency exchange rate on December 31, 2022, of which $0.7 million has been received and recognized as revenue as of December 31, 2022.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December 31, 2022.</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2017, we entered into an exclusive license agreement with KKC (“2017 KKC Agreement”) for the development, commercialization and distribution of tenapanor in Japan for cardiorenal indications. Under the terms of the 2017 KKC Agreement, we received a $30.0 million upfront payment from KKC, and we may be entitled to receive up to $55.0 million in total development and regulatory milestones, of which $20.0 million has been received and recognized as revenue as of December 31, 2022. We may also be eligible to receive approximately ¥8.5 billion for commercialization milestones, or approximately $64.6 million at the currency exchange rate on December 31, 2022, as well as reimbursement of costs plus a reasonable overhead for the supply of product and royalties on net sales throughout the term of the agreement. As discussed in </w:t>
      </w:r>
      <w:r>
        <w:rPr>
          <w:rFonts w:ascii="Arial" w:cs="Arial" w:eastAsia="Arial" w:hAnsi="Arial"/>
          <w:sz w:val="16"/>
          <w:szCs w:val="16"/>
          <w:i w:val="1"/>
          <w:iCs w:val="1"/>
          <w:color w:val="auto"/>
        </w:rPr>
        <w:t>Note 8. Deferred Royalty Obligation Related to the Sale</w:t>
      </w:r>
      <w:r>
        <w:rPr>
          <w:rFonts w:ascii="Arial" w:cs="Arial" w:eastAsia="Arial" w:hAnsi="Arial"/>
          <w:sz w:val="16"/>
          <w:szCs w:val="16"/>
          <w:color w:val="auto"/>
        </w:rPr>
        <w:t xml:space="preserve"> </w:t>
      </w:r>
      <w:r>
        <w:rPr>
          <w:rFonts w:ascii="Arial" w:cs="Arial" w:eastAsia="Arial" w:hAnsi="Arial"/>
          <w:sz w:val="16"/>
          <w:szCs w:val="16"/>
          <w:i w:val="1"/>
          <w:iCs w:val="1"/>
          <w:color w:val="auto"/>
        </w:rPr>
        <w:t>of Future Royalties</w:t>
      </w:r>
      <w:r>
        <w:rPr>
          <w:rFonts w:ascii="Arial" w:cs="Arial" w:eastAsia="Arial" w:hAnsi="Arial"/>
          <w:sz w:val="16"/>
          <w:szCs w:val="16"/>
          <w:color w:val="auto"/>
        </w:rPr>
        <w:t>, the future royalties and commercial milestone payments we may receive under the 2017 KKC Agreement will be remitted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Royalty Partners IV, L.P. pursuant to a Royalty and Sales Milestone Interest Acquisition Agreement.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April 11, 2022, we entered into a second amendment to the 2017 KKC Agreement ("2022 Amendment"). Under the terms of the 2022 Amendment, we and KKC agreed to a reduction in the royalty rate payable to us by KKC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8"/>
          <w:szCs w:val="18"/>
          <w:i w:val="1"/>
          <w:iCs w:val="1"/>
          <w:color w:val="auto"/>
        </w:rPr>
        <w:t>Note 8. Deferred Royalty Obligation Related to the Sale of Future Royalties</w:t>
      </w:r>
      <w:r>
        <w:rPr>
          <w:rFonts w:ascii="Arial" w:cs="Arial" w:eastAsia="Arial" w:hAnsi="Arial"/>
          <w:sz w:val="18"/>
          <w:szCs w:val="18"/>
          <w:color w:val="auto"/>
        </w:rPr>
        <w:t>, the future royalties we may receive under the 2017 KKC Agreement will be remitted to HealthCare Royalty Partners IV, L.P. pursuant to a Royalty and Sales Milestone Interest Acquisition Agreement. As consideration for the reduction in the royalty rate, KKC agreed to pay us up to an additional $40.0 million payable in two tranches, with the first payment received in the fourth quarter of 2022 following KKC’s October 2022 filing with the Japanese Ministry of Health, Labour and Welfare of its application for marketing approval for tenapanor and the second payment due following KKC’s receipt of regulatory approval to market tenapanor for hyperphosphatemia in Japan.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2022, we announced that KKC submitted a NDA to the Japanese Ministry of Health, Labour and Welfare for tenapanor for the improvement of hyperphosphatemia in adult patients with CKD on dialysis, which resulted in payment to us from KKC for an aggregate of $35.0 million for milestone payments and payments under the 2022 Amendment.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2017, we entered into an exclusive license agreement with Fosun Pharma (“Fosun Agreement”) for the development and commercialization of tenapanor in China for both hyperphosphatemia and IBS-C. Under the terms of the Fosun Agreement, Fosun paid us a $12.0 million upfront license fee. We may be entitled to receive development and commercialization milestones of up to $110.0 million, of which $3.0 million has been received and recognized as revenue as of December 31, 2022, as well as reimbursement of cost plus a reasonable overhead for the supply of product and tiered royalties on net sales ranging from the mid-teens to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implemented restructuring plans in August 2021 and October 2021 following the receipt of a CRL from the FDA relating to our NDA for XPHOZAH and following the conclusion of an End of Review Type A meeting with the FDA, respectively. Both restructuring plans were substantially completed in December 2021 and most of the cash payments related to the reduction in workforce were disbursed prior to December 31, 2021.</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Impacted employees were eligible to receive severance benefits and additional Company funded COBRA premiums, contingent upon an impacted employee’s execution (and non-revocation) of a separation agreement, which included a general release of claims against us. In connection with restructuring, we incurred restructuring charges of $6.2 million, which were recorded during the twelve months ended December 31, 2021, related to one-time employee termination benefits, including severance payments and other employee-related costs. We did not incur any significant contract termination costs pursuant to restructuring. Of these charges, $2.7 million was recorded in research and development expenses and $3.5 million was recorded in general and administrative expense in the accompanying statements of operations and comprehensive loss. We incurred no restructuring charges during the twelve months ended December 31, 2022. We reported remaining estimated liabilities for the restructuring costs of zero and $0.5 million as accrued compensation and benefits in our Balance Sheet as of December 31, 2022 and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Financings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2020, we filed a Form S-3 registration statement, which became effective in August 2020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an Open Market Sales Agreement with Jefferies LLC, as sales agent, deemed to be “at-the-market offerings” ("2020 Open Market Sales Agreement"). Pursuant to the 2020 Open Market Sales Agreement, Jefferies, as sales agent, received a commission of up to 3.0% of the gross sales price for shares of common stock sold under the 2020 Open Market Sales Agreement. We sold a cumulative total of 23.3 million shares and received the full gross proceeds of $100.0 million at a weighted average sales price of approximately $4.30 per share under the 2020 Open Market Sales Agreement.</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2021, we filed an additional prospectus supplement under the 2020 Registration Statement for the offering, issuance and sale by us of up to a maximum aggregate offering price of $150.0 million of our common stock that may be issued and sold, from time to time, under an additional sales agreement we entered into with Jefferies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December 31, 2022, we have sold 79.8 million shares and received gross proceeds of $98.1 million at a weighted average sales price of approximately $1.23 per share under the 2021 Open Market Sales Agreement. During the period January 1, 2023 to January 12, 2023, we received additional gross proceeds of $20.0 million for the sale of an additional 7.7 million shares which were sold at a weighted average sales price of approximately $2.60 per share under the 2021 Open Market Sales Agreement. There have been no other sales under the 2021 Open Market Sales Agreement after December 31,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There have been no sales of our common stock under the 2023 Open Market Sales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cash, cash equivalents and short-term investments totaling $123.9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U.S. that also claim technology or therapeutics to which we have rights, we may have to participate in interference proceedings in the U.S. Patent and Trademark Office (“USPTO”) to determine priority of invention, which would result in substantial costs to us even if the eventual outcome is favorable to us.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individual patents depends upon the legal term of the patents in countries in which they are obtained. In most countries, including the U.S.,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in the U.S.,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Tenapanor Patents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tenapanor patent portfolio is wholly owned by us. This portfolio includes five issued U.S. patents, three issued patents in each of Israel and Mexico, two issued patents in each of European Patent Organization, Japan, Korea, and Hong Kong and one issued patent in each of the following territories: Australia, Brazil, India, and China. These issued patents cover the composition and certain methods of using tenapanor and are predicted, without extension or adjustment, to expire in December 2029. However, the term of U.S. patent no. 8,541,448 was extended under the Hatch-Waxman Act to August 1, 2033. The portfolio further includes patents covering the use of tenapanor for controlling serum phosphorus that have been issued in the U.S., Europe, Japan, China, Australia, Gulf Co-op countries, Hong Kong, Israel, Korea, Macao, Mexico, New Zealand, Russia, South Africa and Taiwan and are pending in other countries. These patents are predicted, without extension or adjustment, to expire in April 2034.</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U.S. and international patent applications are pending covering additional methods of treatment with tenapanor, and composition of matter and methods of using compounds that we believe may be follow on compounds to tenapanor.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Program Patents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patent applications pending in the U.S. and internationally that cover the compositions and methods of using compounds in our RDX013 program.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relied upon third-party contract manufacturing organizations (“CMOs”) to manufacture both the active pharmaceutical ingredient and final drug product dosage forms of our potential drug candidates used as clinical trial material. We expect that we will continue to rely upon CMOs for the manufacture of commercial product for IBSRELA, our clinical trial materials and for our commercial product requirements for XPHOZAH, when and if regulatory approval is received. Our license agreements with Knight, and Fosun Pharma require us to supply final drug product dosage forms of tenapanor for their use in the development and commercialization of tenapanor in each of their respective territories. We are further obligated to supply active pharmaceutical ingredient to KKC to support their development and commercialization of tenapanor in Japan. We expect that we will use CMOs to satisfy our supply obligations to our collaboration partners.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U.S., the FDA regulates drug products under the Federal Food, Drug, and Cosmetic Act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U.S. generally involves:</w:t>
      </w:r>
    </w:p>
    <w:p>
      <w:pPr>
        <w:spacing w:after="0" w:line="225"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animal studies and formulation studies, some performed in accordance with the FDA’s current Good Laboratory Practice (“GLP”) regulations;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application which must become effective before human clinical trials in the U.S. may begin;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trial site before each trial may be initiated;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establish the safety and efficacy of the drug candidate for each proposed indication;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commercial shipment of the drug.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Additional preclinical testing may continue even after the IND is submitted. The IND automatically becomes effective 30 days after receipt by the FDA, unless the FDA, within the 30-day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clinical research performed in the U.S. in support of an NDA must be submitted in advance by the FDA under the IND regulations and procedures described above. However, a sponsor who wishes to conduct a clinical trial outside the U.S.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each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clinical investigation of a new drug is typically conducted in three or four phases, which may overlap or be combined, and generally proceed as follows.</w:t>
      </w:r>
    </w:p>
    <w:p>
      <w:pPr>
        <w:spacing w:after="0" w:line="170"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Clinical trials are initially conducted in a limited population of subjects to test the drug candidate for safety, dose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distribution and excretion in healthy humans or, on occasion, in patients with severe problems or life-threatening diseases to gain an early indication of its effectiveness.</w:t>
      </w:r>
    </w:p>
    <w:p>
      <w:pPr>
        <w:spacing w:after="0" w:line="183" w:lineRule="exact"/>
        <w:rPr>
          <w:rFonts w:ascii="Arial" w:cs="Arial" w:eastAsia="Arial" w:hAnsi="Arial"/>
          <w:sz w:val="18"/>
          <w:szCs w:val="18"/>
          <w:i w:val="1"/>
          <w:iCs w:val="1"/>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Clinical trials are generally conducted in a limited patient population to evaluate dosage tolerance and appropriate dosage,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adverse effects and safety risks, and evaluate preliminarily the efficacy of the drug for specific targeted indications in patients with the disease or condition under study.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typically conducted when Phase 2 clinical trials demonstrate that a dose range of the product candidate is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 dispersed clinical trial sites.</w:t>
      </w:r>
    </w:p>
    <w:p>
      <w:pPr>
        <w:spacing w:after="0" w:line="192"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 sponsor’s agreement to conduct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the IRB or the clinical trial sponsor may suspend or terminate a clinical trial at any time on various grounds, including a finding that the research subjects are being exposed to an unacceptable health risk.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may also suspend or terminate a clinical trial based on evolving business objectives and/or competitive climate.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Prescription Drug User Fee Act, the FDA has a goal of responding to standard review NDAs for new molecular entities within ten months after the 60-day filing review period, or six months after the 60-day filing review period for priority review NDAs. For non-new molecular entities, the FDA has a goal of responding within ten months of receipt of standard review NDAs and six months of receipt for priority review NDAs. These timeframes are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(“REMS”) if it is determined that a REMS is necessary to ensure that the drug’s benefits outweigh its risks and a REMS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further marketing of a drug based on the results of these post-market programs. Once the FDA approves an NDA, or supplement thereto, the FDA may withdraw the approval if ongoing regulatory requirements are not met or if safety problems are identified after the drug reaches the market.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Price Competition and Patent Term Restoration Act, or Hatch-Waxman Act, Section 505 of the FFDCA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ANDA or 505(b)(2) NDA applicant has provided a Paragraph IV certification to the FDA, the applicant must send notice of the Paragraph IV certification to the NDA holder and patent owners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w:t>
      </w:r>
    </w:p>
    <w:p>
      <w:pPr>
        <w:jc w:val="both"/>
        <w:ind w:firstLine="8"/>
        <w:spacing w:after="0" w:line="281" w:lineRule="auto"/>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NDA, may obtain five years of exclusivity upon approval of a new drug containing a new chemical entity (“NCE”) that has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NDA may be submitted after four years if it contains a Paragraph IV certification of patent invalidity or non-infringement.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specific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U.S. the research, manufacturing, distribution, sale and promotion of drug products and medical devices are potentially subject to regulation by various federal, state and local authorities in addition to the FDA, including the Centers for Medicare &amp; Medicaid Services (“CMS”) other divisions of the U.S. Department of Health and Human Services (e.g., the Office of Inspector General), the U.S. Department of Justice, state Attorneys General, and other state and local government agencies.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 include but are not limited to, the Anti-Kickback Statute, the federal False Claims Act, the federal Physician Payments Sunshine Act, and other state and federal laws and regulations.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statute or specific intent to violate it in order to have committed a violation.</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laws described above, the Physician Payments Sunshine Act requires certain drug manufacturers to report payments and other transfer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Coverage and Reimbursement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is increased uncertainty related to insurance coverage and reimbursement for certain drugs, like XPHOZAH, which, if approved, will be marketed for the control of serum phosphorus in adult patients with CKD on dialysis. In January 2011, CMS implemented a new prospective payment system for dialysis treatment. Under the End Stage Renal Disease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XPHOZAH and our business should XPHOZAH be brought into the bundle in 2025, or at any time, we may be unable to sell XPHOZAH, if approved, to dialysis providers on a profitable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March 2010, Congress passed the Patient Protection and Affordable Care Act, a healthcare reform measure (“ACA”). The ACA was signed into law and substantially changed the way healthcare is financed by both governmental and private insurers, and significantly impacted the pharmaceutical industry.</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ACA contained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ACA:</w:t>
      </w:r>
    </w:p>
    <w:p>
      <w:pPr>
        <w:spacing w:after="0" w:line="225"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the minimum level of Medicaid rebates payable by manufacturers of brand-name drugs from 15.1% to 23.1% of the average manufacturer price;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collection of rebates for drugs paid by Medicaid managed care organizations;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access to commercial health insurance coverage through new state-based health insurance marketplaces, or exchanges;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required manufacturers to participate in a coverage gap discount program, under which they must now agree to offer 70% point-of-sale discounts off negotiated prices of applicable brand drugs to eligible beneficiaries during their coverage gap period, as a condition for the manufacturer’s outpatient drugs to be covered under Medicare Part D; and</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U.S. since the ACA was enacted. For example, in August 2011, the Budget Control Act of 2011, among other things, included aggregate reductions to Medicare payments to providers, which went into effect on April 1, 2013, and, due to subsequent legislative amendments, will remain in effect through 2032, with the exception of a temporary suspension from May 1, 2020 through March 31, 2022,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Price Reporting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Medicaid is a joint federal and state program for low-income and disabled beneficiaries. Medicare is a federal program covering individuals age 65 and over as well as those with certain disabilities. As a condition of having federal funds being made available for our covered drugs under Medicaid, we have enrolled in the Medicaid Drug Rebate Program (“MDRP”), which requires us to pay a rebate to state Medicaid programs for each unit of our covered drugs dispensed to a Medicaid beneficiary and paid for by a state Medicaid program. Medicaid drug rebates are based on pricing data that we must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Manufacturers who fail to provide information timely or are found to have knowingly submitted false information to the government may be subject to civil monetary penalties and other sanctions, including termination from the MDRP.</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law requires that a manufacturer that participates in the MDRP also participate in the Public Health Service’s 340B drug pricing program (“340B program”) in order for federal funds to be available for the manufacturer’s drugs under Medicaid and Medicare Part B. We participate in the 340B program, which is administered by the Health Resources and Services Administration (“HRSA”), and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be eligible to have drug products paid for with federal funds under Medicaid and purchased by certain federal agencies and grantees, manufacturers must also participate in the U.S. Department of Veterans Affairs (“VA”) Federal Supply Schedule (“FSS”) pricing program. Under the VA/FSS program, manufacturers must report the Non-Federal Average Manufacturer Price (“Non-FAMP”) for their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Manufacturers must also pay rebates on products purchased by military personnel and dependents through the TRICARE retail pharmacy program. Manufacturers who fail to provide timely information or are found to have knowingly submitted false information may be subject to civil monetary penalties.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that govern the collection, use, disclosure, and protection of health-related and other personal information could apply to our operations or the operations of our partners. Further, certain foreign laws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constantly evolving, may conflict with each other to complicate compliance efforts, and can result in investigations, proceedings, or actions that lead to significant civil and/or criminal penalties and restrictions on data processing.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global COVID-19 pandemic has impacted the operational decisions of companies worldwide. We have undertaken measures to protect our employees, partners, collaborators, and vendors, some of which impact our operations. To date, we have been able to continue our operations with our workforce, most of whom have the ability to work in company-provided offices or remotely, and our pre-existing infrastructure that supports secure access to our internal systems. For a discussion of risks of COVID-19 relating to our business, see “Part II: Other Information-Item 1A.- Risk Factors- Risks Related to Our Business- </w:t>
      </w:r>
      <w:r>
        <w:rPr>
          <w:rFonts w:ascii="Arial" w:cs="Arial" w:eastAsia="Arial" w:hAnsi="Arial"/>
          <w:sz w:val="16"/>
          <w:szCs w:val="16"/>
          <w:i w:val="1"/>
          <w:iCs w:val="1"/>
          <w:color w:val="auto"/>
        </w:rPr>
        <w:t>The ongoing effects of the COVID-19 pandemic, or any other outbreak of epidemic diseases, or the perception of their effects, could have a</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 adverse effect on our business, financial condition, results of operations or cash flows</w:t>
      </w:r>
      <w:r>
        <w:rPr>
          <w:rFonts w:ascii="Arial" w:cs="Arial" w:eastAsia="Arial" w:hAnsi="Arial"/>
          <w:sz w:val="16"/>
          <w:szCs w:val="16"/>
          <w:color w:val="auto"/>
        </w:rPr>
        <w:t>.” As of the date of issuance of this financial report, we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aware of any specific event or circumstance that would require updates to our estimates and judgments or revisions to the carrying value of our assets or liabilities. These estimates may change as new events occur and additional information is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future success of our company depends on our ability to attract, retain, and further develop top talent. In preparation of our launch of IBSRELA in March 2022, we built an experienced commercial team and expanded our internal resources to support a commercial organization. Throughout this transition and expansion of our workforce, we have remained steadfastly committed to our core values, including our goal to develop and maintain an inclusive, diverse, and safe workplace with opportunities for our employees to grow and develop in their careers, supported by strong compensation and benefits.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we had 133 full-time employees, 43 of whom were engaged directly in development and manufacturing, and 90 in marketing, sales and administrative activities. During 2022, our employee base increased by approximately 47, or 55%.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culture is supported by an unwavering commitment to inclusion and diversity. As of December 31, 2022, approximately 56% of our workforce was female; 43% of our executive leadership team was female and 20% of our employees in managerial roles were female. As of December 31, 2022, minorities represented approximately 38% of our workforce, and 17% of our employees in managerial roles were minorities. We strive to foster a culture where mutual respect, inclusive behavior, and dignity are core to our individual expectations.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our success will be significantly impacted by our ability to create and maintain a safe inclusive environment where everyone is empowered to do their best work—regardless of race, color, national origin, religion, sex, sexual orientation, gender identity and expression, age, or disability. We are united by our desire to serve our patients, and we are proud financial sponsors of the California Life Sciences Association Racial and Social Equity Initiative, a first step in a unified effort for the life sciences industry in California to do more for the under-served and under-represented, focusing on the most critical need to address the inequality for Black, Hispanic, Native American and Pacific Islander populations in California.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Values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Fostering and maintaining a strong, healthy culture is a key strategic focus. Our core values reflect who we are and the way our employees interact with one another, our partners and our stockholders. We are dedicated to our core values, recognizing that this dedication will foster an environment where we will be able to realize our vision of advancing patient care.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to discuss our core values with potential candidates looking to join our team. We believe that this is an important step in helping our culture stay strong and unique.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will continue to do so. These investments and the prioritization of employee health, safety, and wellness took on particular significance in light of COVID-19. In response to the COVID-19 pandemic, we implemented significant changes that we determined were in the best interest of our employees, as well as the communities in which we operate, in compliance with government regulations. This included having the vast majority of our employees work from home. We have reopened our facilities and employees have returned to our facilities in the manner in which they are comfortable. We will continue to adopt and align our policies to focus on the health, safety and wellness of our employees, and the needs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stock awards, an Employee Stock Purchase Plan, 401(k), healthcare and insurance benefits, health savings (funded by the Company) and flexible spending accounts, family leave, family care resources, and flexible work schedules, among many others.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were founded in October 2007 as a Delaware corporation under the name Nteryx. We changed our name to Ardelyx, Inc. in June 2008. We operate in one business segment, which is the development and commercialization of biopharmaceutical products. Our principal executive offices are located at 400 Fifth Avenue, Suite 210, Waltham, Massachusetts 02415, and our telephone number is (510) 745-1700. Our website address is www.ardelyx.com.</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electronically with the Securities and Exchange Commission (“SEC”) our annual reports on Form 10-K, quarterly reports on Form 10-Q and current reports on Form 8-K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5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have incurred significant losses since our inception and will incur losses in the future, which makes it difficult for us to assess our future viability; although our financial statements have been prepared on a going concern basis, our current level of cash and short-term investments alone is not sufficient to meet our operating plans for the next twelve months, raising substantial doubt regarding our ability to continue as a going concern.</w:t>
      </w:r>
    </w:p>
    <w:p>
      <w:pPr>
        <w:spacing w:after="0" w:line="153"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In March 2022, we commenced the commercialization of our first product,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treatment of irritable bowel syndrome with constipation (“IBS-C”) in adult patients and have generated limited revenue from product sales to date.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December 31, 2022, we had an accumulated deficit of $780.1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continue to incur substantial operating losses for the foreseeable future as we commercialize IBSRELA, seek to gain approval for XPHOZAH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(tenapanor) for the control of serum phosphorus in adult patients with chronic kidney disease (“CKD”) on dialysis; prepare for, and commercialize XPHOZAH, if approved; incur manufacturing and development cost for tenapanor; and incur manufacturing and development costs for tenapanor. .</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Ernst &amp; Young LLP, our independent registered public accounting firm for the fiscal year ended December 31, 2022, has included an explanatory paragraph in their opinion that accompanies our audited financial statements as of the year ended December 31, 2022, indicating our current liquidity position raises substantial doubt about our ability to continue as a going concern. We plan to address our operating cash flow requirements with our current cash and short-term investments, cash generated from the sales of IBSRELA, and if approved, cash generated from the sales of XPHOZAH, our potential receipt of anticipated milestone payments from our collaboration partners, our potential receipt of anticipated payments from our collaboration partner, Kyowa Kirin, Co., Ltd. (“KKC”) in connection with the transaction entered into with KKC in April 2022 (“2022 KKC Amendment”) which amended our License Agreement entered into with KKC in 2017; with additional financing sources and through the implementation of cash preservation activities to reduce or defer discretionary spending.</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assurances that our efforts to meet our operating cash flow requirements will be successful. If our current cash and short-term investments as well as our plans to meet our operating cash flow requirements are not sufficient to fund necessary expenditures and meet our obligations for at least the next twelve months, our liquidity, financial condition and business prospects will be materially affected.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will require additional financing for the foreseeable future as we invest in the commercialization of IBSRELA, and prepare for and commercialize XPHOZAH in the U.S., if approved. The inability to access necessary capital when needed on acceptable terms, or at all, could force us to reduce our efforts to commercialize IBSRELA or delay or limit the commercialization of XPHOZAH, if approved.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our inception, most of our resources have been dedicated to our research and development activities, including developing tenapanor. We believe that we will continue to expend substantial resources for the foreseeable future, including, costs associated with our efforts to commercialize IBSRELA, which we began selling in the U.S. in March 2022; costs associated with our efforts to pursue approval for our NDA for XPHOZAH; conducting pediatric clinical trials for IBSRELA and XPHOZAH, if approved; and manufacturing for IBSRELA and, if approved XPHOZAH. Our future funding requirements will depend on many factors, including, but not limited to:</w:t>
      </w:r>
    </w:p>
    <w:p>
      <w:pPr>
        <w:spacing w:after="0" w:line="18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we are successful in securing approval for our NDA for XPHOZAH, and the time and cost associated with securing such approval;</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if approved, XPHOZAH;</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from KKC in connection with the 2022 KKC Amendment;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2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limit or reduce our commercialization of IBSRELA, or delay or limit the commercialization of XPHOZAH, if approved, or delay or limit additional clinical trials for tenapanor.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if approved, through the use of alternative structures.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generated limited revenue from product sales and may never be profitable.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began selling IBSRELA in the U.S. in March 2022, and have generated limited revenue from product sales to date. We have no other products approved for sale. We are preparing to resubmit our NDA for XPHOZAH following the U.S. Food and Drug Administration’s (“FDA”) Center for Drug Evaluation and Research, Office of New Drugs (“OND”) decision to grant our appeal of the Complete Response Letter (“CRL”) for the NDA for XPHOZAH.</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our NDA for XPHOZAH will be approved by the FDA. There can be no assurances that we will be successful in increasing the amount of product revenue from sales of IBSRELA. There can be no assurances that we will generate sufficient product revenue from sales of IBSRELA and, if approved, XPHOZAH, to cover our expenses. Our ability to generate product revenue from sales or pursuant to milestone or royalty payments depends heavily on many factors, including but not limited to:</w:t>
      </w:r>
    </w:p>
    <w:p>
      <w:pPr>
        <w:spacing w:after="0" w:line="18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IBSRELA;</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IBSRELA as a viable treatment option for IBS-C;</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successful in our efforts to secure approval for our NDA for XPHOZAH;</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an adequate (in amount and quality) supply of product to support the market demand for IBSRELA and, if approved, XPHOZAH;</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20" w:hanging="332"/>
        <w:spacing w:after="0" w:line="308"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46" w:lineRule="exact"/>
        <w:rPr>
          <w:rFonts w:ascii="Arial" w:cs="Arial" w:eastAsia="Arial" w:hAnsi="Arial"/>
          <w:sz w:val="17"/>
          <w:szCs w:val="17"/>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With respect to our commercialization of IBSRELA, and if we are successful in obtaining regulatory approval to market XPHOZAH, our revenue will be dependent, in part, upon the size of the markets in the U.S. and the label for which approval is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if approved, will be marketed for the control of serum phosphorus in adult patients with CKD on dialysis or for another other related indication. If we are successful in obtaining regulatory approval to market XPHOZAH for such indication, our ability to generate and sustain future revenues from sales of XPHOZAH, may be dependent upon whether and when XPHOZAH, along with other oral end stage renal disease (“ESRD”)-related drugs without an injectable or intravenous equivalent, are bundled into the ESRD prospective payment system, and the manner in which such introduction into the ESRD prospective payment system may occur. See “Third-party payor coverage and reimbursement status of newly approved products are uncertain. Failure to obtain or maintain adequate coverage and reimbursement for IBSRELA and, if approved, XPHOZAH could limit our ability to market those products and decrease our ability to generate revenue” below. Additionally, if the number of adult patients for IBSRELA or, if approved XPHOZAH, is not as significant as we estimate, the indication approved by regulatory authorities for XPHOZAH is narrower than we expect, coverage and reimbursement for either IBSRELA or XPHOZAH, if approved, are not available in the manner and to the extent we expect, or the reasonably accepted population for treatment is narrowed by competition, physician choice or treatment guidelines, we may not generate significant revenue from the sale of IBSRELA or XPHOZAH, if approved.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2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are substantially dependent on the successful commercialization of IBSRELA, and there is no guarantee that we will achieve sufficient market acceptance for IBSRELA, secure adequate coverage and reimbursement for IBSRELA, or generate sufficient revenue from product sales of IBSRELA.</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selling IBSRELA in the U.S. in March 2022. The overall commercial success of IBSRELA will depend on a number of factors, including the following:</w:t>
      </w:r>
    </w:p>
    <w:p>
      <w:pPr>
        <w:spacing w:after="0" w:line="170"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IBSRELA;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coverage and reimbursement for IBSRELA by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IBSRELA as a treatment for adult patients with IBS-C;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treatable patient population;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market access and marketing efforts;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physicians view IBSRELA as a safe and effective treatment for adult patients with IBS-C, which will impact the adoption of IBSRELA by physicians for the treatment of IBS-C;</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IBSRELA compared to alternative and competing treatments;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IBSRELA;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IBSRELA;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IBSRELA following approval.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secure adequate physician and patient acceptance of IBSRELA or adequate coverage and reimbursement for IBSRELA, we may not generate sufficient revenue from sales of IBSRELA. Any failure of IBSRELA to achieve market acceptance, sufficient third-party coverage or reimbursement, or commercial success would adversely affect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pursuing regulatory approval for XPHOZAH. There can be no assurances that we will be successful in obtaining such regulatory approval.</w:t>
      </w:r>
    </w:p>
    <w:p>
      <w:pPr>
        <w:spacing w:after="0" w:line="2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pursuing regulatory approval for XPHOZAH. To date, we have invested a significant amount of our efforts and financial resources in the research and development of XPHOZAH. On July 28, 2021, we received a CRL from the FDA’s Division of Cardiology and Nephrology (“Division”) regarding our NDA for XPHOZAH. According to the CRL, the Division determined that the magnitude of the treatment effect observed in our Phase 3 clinical trials was small and of unclear clinical significance. Following an End-of-Review Type A meeting (“End of Review Meeting”) in October 2021, with the Division, we submitted a Formal Dispute Resolution Request (“FDRR”) in December 2021. The FDRR was focused on demonstrating that the data submitted in the NDA supported the clinical significance of the treatment effect of tenapanor in the control of serum phosphorus in adult patients with CKD on dialysis. On February 4, 2022, we received an Appeal Denied Letter ("ADL") from the Office of Cardiology, Hematology, Endocrinology and Nephrology (“OCHEN”). On February 18, 2022, we submitted an appeal of the ADL to the OND. In April 2022, we received an interim response from the OND requesting additional input from the Cardiovascular and Renal Drug Advisory Committee (“CRDAC”). A CRDAC meeting was held in November 2022 with the Committee voting that the benefits of XPHOZAH outweigh its risks nine to four as a monotherapy and ten to two, with one abstention, in combination with phosphate binder therapy. In December 2022, the OND granted our appeal of the CRL for the NDA for XPHOZAH and directed the Division to work with us to develop an appropriate label for the commercialization of XPHOZAH. We believe that a label could reflect an indication for patients whose hyperphosphatemia is insufficiently managed on binder therapy. On February 13, 2023, we participated in a Type A meeting with the Division where we discussed the resubmission of the NDA, and the information to be contained in the resubmitted NDA. We currently expect to resubmit the NDA for XPHOZAH early in the second quarter of 2023. Within 30 days of resubmitting the NDA, we expect to receive notification from the Division as to the classification of the resubmission (Class 1 or Class 2) at which point the expected timing for review will also be known (2-months for a Class 1 and 6-months for a Class 2) as well as a goal review date. We currently that the FDA will act upon the XPHOZAH NDA in the second half of 2023, and that, if approved, we will launch XPHOZAH in the second half of 2023. There can be no assurances that the granting of our appeal to the CRL and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we are successful in obtaining regulatory approval for XPHOZAH, there is no guarantee that we will achieve sufficient market acceptance for XPHOZAH, secure adequate coverage and reimbursement for XPHOZAH or generate sufficient revenue from product sales of XPHOZAH.</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successful in obtaining FDA approval for XPHOZAH, and if we are able to obtain approval, there is no guarantee that we will achieve sufficient market acceptance for XPHOZAH, secure adequate coverage and reimbursement for XPHOZAH or generate sufficient revenue from product sales of XPHOZAH</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If we are successful in obtaining approval for XPHOZAH, the commercial success of XPHOZAH will depend on a number of factors, including the following:</w:t>
      </w:r>
    </w:p>
    <w:p>
      <w:pPr>
        <w:spacing w:after="0" w:line="187" w:lineRule="exact"/>
        <w:rPr>
          <w:sz w:val="20"/>
          <w:szCs w:val="20"/>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third-party manufacturers we contract with to provide an adequate (in amount and quality) supply of product to support the market demand for both IBSRELA and XPHOZAH;</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the content and breadth of the label approved by the FDA for XPHOZAH may materially and adversely impact our ability to commercialize the product for the approved indication;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308"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when XPHOZAH, along with other oral ESRD-related drugs without an injectable or intravenous equivalent, are bundled into the ESRD prospective payment system, and the manner in which such introduction into the ESRD prospective payment system may occur;</w:t>
      </w:r>
    </w:p>
    <w:p>
      <w:pPr>
        <w:spacing w:after="0" w:line="146"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XPHOZAH;</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XPHOZAH as safe, effective and well-tolerated by patients and the medical community, and, the extent to which the issuance of a CRL by the FDA has impacted the potential acceptance of XPHOZAH as safe, effective and well-tolerated;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XPHOZAH compared to alternative and competing treatments;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XPHOZAH by third-party payors;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potential involvement in lawsuits in connection with enforcing intellectual property rights in and to XPHOZAH;</w:t>
      </w:r>
    </w:p>
    <w:p>
      <w:pPr>
        <w:spacing w:after="0" w:line="252"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and tolerability profile of XPHOZAH following approval.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and commercialized, XPHOZAH, may cause undesirable side effects or have other properties that could limit the commercial success of the product.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Undesirable side effects caused by IBSRELA and/or, if approved, XPHOZAH could cause us or regulatory authorities to interrupt, delay or halt the commercialization of the product. Despite our receipt of marketing approval for IBSRELA and the completion of our Phase 3 clinical program for XPHOZAH, the prevalence and/or severity of side effects caused by IBSRELA and/or, if approved and commercialized, XPHOZAH could result in a number of potentially significant negative consequences could occur, including:</w:t>
      </w:r>
    </w:p>
    <w:p>
      <w:pPr>
        <w:spacing w:after="0" w:line="18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a collaboration partner may be required to recall the product;</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57"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a collaboration partner may be subject to fines, injunctions or the imposition of civil or criminal penalties;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new labeling statements, such as a “black box” warning or a contraindication;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IBSRELA and/or, if approved, XPHOZAH, and could result in the loss of significant revenue to us, which would materially and adversely affect our results of operations and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the marketing, sale and distribution of pharmaceutical products; and there are significant risks in building and managing a commercial organization.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company, we have limited experience in building and managing a commercial organization, or in the marketing, sale and distribution of pharmaceutical products. There can be no assurances that we will be successful in our efforts to hire, retain, and incentivize qualified individuals, generate sufficient sales leads, comply with regulatory requirements applicable to the marketing and sale of drug products and effectively manage a geographically dispersed sales and marketing team.</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the commercialization of IBSRELA, and if approved, XPHOZAH could be adversely impacted.</w:t>
      </w:r>
    </w:p>
    <w:p>
      <w:pPr>
        <w:spacing w:after="0" w:line="19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 commercialized products are uncertain. Failure to obtain or maintain adequate coverage and reimbursement for IBSRELA and, if approved, XPHOZAH could limit our ability to market those products and decrease our ability to generate revenue.</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pricing, coverage and reimbursement of IBSRELA and XPHOZAH, if approved, must be adequate to support a commercial infrastructure. The availability and adequacy of coverage and reimbursement by governmental and private payors are essential for most patients to be able to afford treatments. Sales of IBSRELA and, if approved and commercialized,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if approved. Even if coverage is provided, the approved reimbursement amount may not be high enough to allow us to establish or maintain pricing sufficient to realize a return on 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is increased uncertainty related to insurance coverage and reimbursement for drugs, like XPHOZAH, which, if approved, may be marketed for the control of serum phosphorus in adult patients with CKD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sales of XPHOZAH, if approved and commercialized, and on our business should XPHOZAH be brought into the bundle in 2025, or at any time, we may be unable to sell XPHOZAH, if approved, to dialysis providers on a profitable basis.</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if approved and commercialized,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if approved and commercialized, XPHOZAH and our development efforts for tenapanor may be materially harmed.</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IBSRELA or XPHOZAH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do so,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commercialized for any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if approved, XPHOZAH may be materially harmed.</w:t>
      </w:r>
    </w:p>
    <w:p>
      <w:pPr>
        <w:spacing w:after="0" w:line="19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23, 2022, we entered into a loan and security agreement with SLR Investment Corp. (“Lender”) pursuant to which the Lender agreed to provide us with a loan facility for up to $50.0 million with a maturity date of March 1, 2027, and on August 1, 2022 and February 9, 2023, we entered into amendments to the loan and security agreement (collectively, the “2022 Loan Agreement.”). The loan was funded in the amount of $27.5 million on February 23, 2022 and the remaining $22.5 million may be funded by December 20, 2023 upon the satisfaction of both (i) receipt from the FDA of approval of the NDA for XPHOZAH on or prior to November 30, 2023 and (ii) our achievement of certain product revenue milestone targets described in the 2022 Loan Agreement. Until we have repaid all funded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engage in transactions with affiliates, and to encumber our intellectual property. Our business may be adversely affected by these restrictions on our ability to operate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permitted to make interest only payments on the loan facility through March 2024, with principal repayments commencing on April 1, 2024, however, this interest only period will be extended to March 2025 with principal repayments delayed to April 1, 2025 if (i) we secure approval from the FDA for our NDA for XPHOZAH by November 30, 2023 or (ii) we achieve certain product revenue targets described in the 2022 Loan Agreement for the year ended December 31, 2023. In addition,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if approved,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if we conduct additional clinical trials with RDX013 or any other product candidates, we could encounter delays in our future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aware of three prescription products marketed for certain patients with IBS-C, including Linzess (linaclotide), Amitiza (lubiprostone) and Trulance (plecanatide). Generic lubiprostone is also available in the 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XPHOZAH, if approved will compete with phosphate binders.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lanthanum dioxycarbonate (Renazorb), which has demonstrated pharmacodynamic bioequivalence to Fosrenol. Renazorb is being developed by Unicycive Therapeutics, which has announced its plans to file an NDA via the 505(b)(2) pathway in mid-2023. Additionally, Chugai and Alebund are developing EOS789, an inhibitor of phosphate transporters NaPi-2b, PiT-1, and PiT-2, thus far studied in a phase 1 clinical trial.</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7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any commercialization activities in which we may engage effectively;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collaborators, government agencies and other third parties;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motivate our remaining employees and potentially identify, recruit, and integrate additional employees.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IBSRELA and/or, if approved, XPHOZAH.</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our commercial launch of IBSRELA and will face further risk following the commercial launch of XPHOZAH in the second half of 2023, if approved.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the product;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or co-promote IBSRELA and/or, if approved, XPHOZAH.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retain and motivate our executives, senior management and key personnel, our business will suffer.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Virginia, Connecticut, Utah and Colorado,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EU/EEA to the U.S. by invalidating the Privacy Shield for purposes of international transfers and imposing further restrictions on the use of standard contractual clauses.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As we continue to expand into other foreign countries and jurisdictions, we may be subject to additional laws and regulations that may affect how we conduct business.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Arial" w:cs="Arial" w:eastAsia="Arial" w:hAnsi="Arial"/>
          <w:sz w:val="16"/>
          <w:szCs w:val="16"/>
          <w:i w:val="1"/>
          <w:iCs w:val="1"/>
          <w:color w:val="auto"/>
        </w:rPr>
        <w:t>e.g.,</w:t>
      </w:r>
      <w:r>
        <w:rPr>
          <w:rFonts w:ascii="Arial" w:cs="Arial" w:eastAsia="Arial" w:hAnsi="Arial"/>
          <w:sz w:val="16"/>
          <w:szCs w:val="16"/>
          <w:color w:val="auto"/>
        </w:rPr>
        <w:t xml:space="preserve">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KKC for commercialization of tenapanor for hyperphosphatemia in Japan; with Fosun Pharma for commercialization of tenapanor for hyperphosphatemia and IBS-C in China and related territories; and in Canada with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 We received a CRL from the FDA regarding our NDA for XPHOZAH.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OND’s decision to grant our appeal of the CRL, we are preparing to resubmit our NDA for XPHOZAH. There can be no assurances that the granting of our appeal of the CRL and resubmission of our NDA will result in approval of our NDA for XPHOZAH. Even if we are successful in obtaining approval for the NDA, the delay in obtaining such approval may result in delay in the regulatory process for our partners, which could have a material adverse effect on our business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effects of the COVID-19 pandemic, or any other outbreak of epidemic diseases, or the perception of their effects, could have a material adverse effect on our business, financial condition, results of operations or cash flows.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Economic and health conditions related to the COVID-19 pandemic in the U.S. and across most of the globe remain uncertain and continue to evolve. The continuing effects of the coronavirus pandemic may result in delays in the manufacture of tenapanor, or in the delivery of key intermediates or raw materials required to manufacture tenapanor or delays in clinical development activities by us, or our collaboration partners. Such effects could also materially and negatively impact our ability to successfully commercialize IBSRELA and/or, if approved, XPHOZAH, or the ability of our collaboration partners to successfully commercialize such products, if approved for marketing and sale by the foreign regulatory authorities, including our ability, and that of our collaboration partners to educate physicians and patients about the benefits, administration and use of the product.</w:t>
      </w:r>
    </w:p>
    <w:p>
      <w:pPr>
        <w:spacing w:after="0" w:line="178" w:lineRule="exact"/>
        <w:rPr>
          <w:sz w:val="20"/>
          <w:szCs w:val="20"/>
          <w:color w:val="auto"/>
        </w:rPr>
      </w:pPr>
    </w:p>
    <w:p>
      <w:pPr>
        <w:jc w:val="both"/>
        <w:ind w:left="340" w:hanging="332"/>
        <w:spacing w:after="0" w:line="25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we have reopened our offices and invited our personnel to return to the office, we continue to permit our personnel to work remotely, which could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18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and comparable foreign regulatory agencies may continue to experience operational interruptions or delays, which may impact timelines for regulatory submission, trial initiation and regulatory approval.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full effects of the COVID-19 remain unknown. The extent to which the outbreak may continue to impact our business, including, our commercialization and manufacturing will depend on future developments, which are highly uncertain and cannot be predicted with confidence, such as access to physician offices for our commercial and medical teams, business closures or supply chain or business disruptions.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our continued efforts to seek approval for our NDA for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1" w:lineRule="exact"/>
        <w:rPr>
          <w:sz w:val="20"/>
          <w:szCs w:val="20"/>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CMOs manufacture tenapanor API outside of the U.S., and we may seek and obtain approval to commercialize IBSRELA and XPHOZAH outside of the U.S., and as a result a variety of risks associated with international operations could materially adversely affect our business.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or our collaboration partners may decide to seek marketing approval for IBSRELA or XPHOZAH outside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spacing w:after="0" w:line="18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U.S. and foreign drug import and export rules;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leased facilities, including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Despite having received regulatory approval for IBSRELA, and even if we receive regulatory approval for XPHOZAH, we will be subject to ongoing regulatory obligations and continued regulatory review, which may result in significant additional expense. Additionally, IBSRELA and, if approved, XPHOZAH could be subject to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0"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or untitled letters or fines;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of our ongoing clinical trials;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or our CMOs’ operations; 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if approved, XPHOZAH. If regulatory sanctions are applied or if regulatory approval is withdrawn, the value of our company and our operating results will be adversely affected.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U.S. or abroad.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entities involved in the preparation of product for commercial sale, or product candidates for clinical trials, including our existing contract manufacturers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regulations relating to the promotion of products for unapproved uses are complex and subject to substantial interpretation by the FDA and other government agencies. With respect to the commercialization of IBSRELA and/or, if approved,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IBSRELA and/or, if approved, XPHOZAH may cause or contribute to adverse medical events that we are required to report to regulatory agencies and if we fail to do so we could be subject to sanctions that would materially harm our business.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84" w:lineRule="exact"/>
        <w:rPr>
          <w:sz w:val="20"/>
          <w:szCs w:val="20"/>
          <w:color w:val="auto"/>
        </w:rPr>
      </w:pPr>
    </w:p>
    <w:p>
      <w:pPr>
        <w:jc w:val="both"/>
        <w:ind w:left="340" w:hanging="332"/>
        <w:spacing w:after="0" w:line="301"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57" w:lineRule="exact"/>
        <w:rPr>
          <w:rFonts w:ascii="Arial" w:cs="Arial" w:eastAsia="Arial" w:hAnsi="Arial"/>
          <w:sz w:val="16"/>
          <w:szCs w:val="16"/>
          <w:color w:val="auto"/>
        </w:rPr>
      </w:pPr>
    </w:p>
    <w:p>
      <w:pPr>
        <w:jc w:val="both"/>
        <w:ind w:left="340" w:hanging="332"/>
        <w:spacing w:after="0" w:line="259"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83"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176"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7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211"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7"/>
          <w:szCs w:val="17"/>
          <w:color w:val="auto"/>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213"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04"/>
        <w:spacing w:after="0" w:line="267"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4"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7"/>
          <w:szCs w:val="17"/>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approved and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08" w:lineRule="exact"/>
        <w:rPr>
          <w:sz w:val="20"/>
          <w:szCs w:val="20"/>
          <w:color w:val="auto"/>
        </w:rPr>
      </w:pPr>
    </w:p>
    <w:p>
      <w:pPr>
        <w:jc w:val="both"/>
        <w:ind w:firstLine="504"/>
        <w:spacing w:after="0" w:line="288"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approved and launched, XPHOZAH. We cannot offer any assurances that our submissions will not be found to be incomplete or incorrect.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obtain, maintain and protect our intellectual property rights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 or product candidates;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will not develop, manufacture and/or commercialize similar or alternative products or technologies that do not infringe our patents;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intellectual property related to IBSRELA, XPHOZAH, RDX013 or any future product candidates is not adequate or if we are not able to successfully enforce our intellectual property rights, the commercial value of IBSRELA, if approved, XPHOZAH, or other product candidates may be adversely affected and we may not be able to compete effectively in our market.</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would be reduced.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and/or unenforceable.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or a product candidate, we would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Although we have obtained patent term extension in the U.S. under the Hatch-Waxman Act, extending the term of marketing exclusivity for tenapanor, if we do not obtain patent term extension in foreign countries under similar legislation, our business may be materially harmed.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approval by the FDA for our NDA to market tenapanor for IBS-C, we obtained patent term restoration under the Hatch-Waxman Act until August 1, 2033 for U.S. patent no. 8,541,448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we may not be granted patent term extension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unable to obtain patent term extension or restoration in any particular foreign country, or the term of any such extension is less than we request, the period during which we will have the right to exclusively market our product in such foreign country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Europe’s planned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7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commercialization of IBSRELA;</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regulatory decisions regarding our NDA seeking marketing approval for XPHOZAH;</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lack of success with regards to our commercial launch of XPHOZAH, if approved;</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CMOs, or specific label restrictions or patient populations for XPHOZAH’s use, if approved, or changes or delays in the regulatory review process;</w:t>
      </w:r>
    </w:p>
    <w:p>
      <w:pPr>
        <w:spacing w:after="0" w:line="17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regulatory inspections of our facilities or those of our CMOs, or specific label restrictions or patient populations for XPHOZAH’s use, if approved, or changes or delays in the regulatory review process;</w:t>
      </w:r>
    </w:p>
    <w:p>
      <w:pPr>
        <w:spacing w:after="0" w:line="17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regarding whether XPHOZAH, if approved, alone or with other oral only medications, will be included in the ESRD prospective payment system, and the time and manner in which such transition is achieved;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relating to our current or future collaboration partnerships;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approved products or our product candidates;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any of our projected timelines or goals with regard to the commercialization of IBSRELA, the commercial launch of XPHOZAH, if approved, or the clinical development and commercialization of any of our product candidates;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efforts to acquire or license or discover additional product candidates;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efforts to obtain adequate intellectual property protection for our product candidates;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and directors or our stockholders in the future;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debt securities and sales or licensing of assets;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generally require, among other things, our management to report on the effectiveness of our internal control over financial reporting, subject to certain exceptions applicable to non-accelerated filers. Our compliance with Section 404 requires that we incur substantial expense and expend significant management efforts.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For example,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4" w:lineRule="exact"/>
        <w:rPr>
          <w:sz w:val="20"/>
          <w:szCs w:val="20"/>
          <w:color w:val="auto"/>
        </w:rPr>
      </w:pPr>
    </w:p>
    <w:p>
      <w:pPr>
        <w:ind w:left="340" w:right="2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7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342"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48"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70" w:lineRule="exact"/>
        <w:rPr>
          <w:sz w:val="20"/>
          <w:szCs w:val="20"/>
          <w:color w:val="auto"/>
        </w:rPr>
      </w:pPr>
    </w:p>
    <w:p>
      <w:pPr>
        <w:jc w:val="both"/>
        <w:ind w:left="340" w:hanging="332"/>
        <w:spacing w:after="0" w:line="259"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22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8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continuing impact of “Brexit” may have a negative effect on our business.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became effective in 2021, addresses trade, economic arrangements, law enforcement, judicial cooperation and governance. Because the agreement merely sets forth a framework that in many respects requires complex additional bilateral negotiations between the United Kingdom and the European Union significant uncertainty remains about how the precise terms of the relationship between the parties will differ from the terms before withdrawal.</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headquarters is currently located in Waltham, Massachusetts and consists of 12,864 square feet of leased office space under a lease agreement that expires in June 2026. In addition, we lease 72,500 square feet of office and laboratory space in Fremont, California under a lease agreement that expires in March 2025 and 4,768 square feet of office space in Milwaukee, Wisconsin under a lease agreement that expires in February 2026. Prior to October 2021, our headquarters were co-located in Fremont, California and Waltham, Massachusetts.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6"/>
          <w:szCs w:val="16"/>
          <w:i w:val="1"/>
          <w:iCs w:val="1"/>
          <w:color w:val="auto"/>
        </w:rPr>
        <w:t>Strezsak v. Ardelyx, Inc., et al.</w:t>
      </w:r>
      <w:r>
        <w:rPr>
          <w:rFonts w:ascii="Arial" w:cs="Arial" w:eastAsia="Arial" w:hAnsi="Arial"/>
          <w:sz w:val="16"/>
          <w:szCs w:val="16"/>
          <w:color w:val="auto"/>
        </w:rPr>
        <w:t xml:space="preserve">, Case No. 4:21-cv-05868-HSG, and </w:t>
      </w:r>
      <w:r>
        <w:rPr>
          <w:rFonts w:ascii="Arial" w:cs="Arial" w:eastAsia="Arial" w:hAnsi="Arial"/>
          <w:sz w:val="16"/>
          <w:szCs w:val="16"/>
          <w:i w:val="1"/>
          <w:iCs w:val="1"/>
          <w:color w:val="auto"/>
        </w:rPr>
        <w:t>Siegel v.</w:t>
      </w:r>
      <w:r>
        <w:rPr>
          <w:rFonts w:ascii="Arial" w:cs="Arial" w:eastAsia="Arial" w:hAnsi="Arial"/>
          <w:sz w:val="16"/>
          <w:szCs w:val="16"/>
          <w:color w:val="auto"/>
        </w:rPr>
        <w:t xml:space="preserve"> </w:t>
      </w:r>
      <w:r>
        <w:rPr>
          <w:rFonts w:ascii="Arial" w:cs="Arial" w:eastAsia="Arial" w:hAnsi="Arial"/>
          <w:sz w:val="16"/>
          <w:szCs w:val="16"/>
          <w:i w:val="1"/>
          <w:iCs w:val="1"/>
          <w:color w:val="auto"/>
        </w:rPr>
        <w:t>Ardelyx, Inc., et al.</w:t>
      </w:r>
      <w:r>
        <w:rPr>
          <w:rFonts w:ascii="Arial" w:cs="Arial" w:eastAsia="Arial" w:hAnsi="Arial"/>
          <w:sz w:val="16"/>
          <w:szCs w:val="16"/>
          <w:color w:val="auto"/>
        </w:rPr>
        <w:t>, Case No. 5:21-cv-06228-HSG (together, the “Securities Class Actions”). The complaints allege that the defendants violated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compliant and defendants filed an opposition to the motion for leave to further amend the complaint. A hearing on the motion for leave to further amend the complaint is scheduled for mid-May 2023. We believe the plaintiff’s claims are without merit and we have not recorded any accrual for a contingent liability associated with these legal proceedings.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violated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as amended,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December 31, 2022, there is no litigation pending that would reasonably be expected to have a material adverse effect on our results of operations and financial condition, and no contingent liabilities were accrued as of December 31, 2022.</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19, 2014, our common stock commenced trading on The Nasdaq Global Market under the symbol “ARDX”. Prior to that date, there was no public trading market for our common stock. As of December 31, 2022, there were 27 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growth and development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financial statements and related notes included elsewhere in this report. This discussion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Arial" w:cs="Arial" w:eastAsia="Arial" w:hAnsi="Arial"/>
          <w:sz w:val="18"/>
          <w:szCs w:val="18"/>
          <w:color w:val="auto"/>
        </w:rPr>
        <w:t>. ”</w:t>
      </w:r>
      <w:r>
        <w:rPr>
          <w:rFonts w:ascii="Arial" w:cs="Arial" w:eastAsia="Arial" w:hAnsi="Arial"/>
          <w:sz w:val="18"/>
          <w:szCs w:val="18"/>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Tenapanor is in development for the control of serum phosphorus, or hyperphosphatemia, in adult patients with chronic kidney disease (“CKD”) on dialysis under the brand name XPHOZAH. We also have a development stage asset, RDX013 for adult patients with CKD and/or heart failure with hyperkalemia, or elevated serum potassium, and a discovery stage asset, RDX020, for adult patients with metabolic acidosis, a serious electrolyte disorder, in patients with CKD.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We realized our first product sales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in March 2022. As of December 31, 2022, we had an accumulated deficit of $780.1 million.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continue to incur substantial operating losses for the foreseeable future as we invest in the commercialization of IBSRELA, seek to gain approval in the U.S. for XPHOZAH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prepare for and commercialize XPHOZAH in the U.S., if approved; and incur manufacturing and development cost for tenapanor. To date, we have funded our operations from the sale and issuance of common stock and convertible preferred stock, funds from our collaboration partnerships, which includes license fees, milestones and product supply revenue, funds from our loan agreements with our lenders, as well as from sales of IBSRELA.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IBSRELA for IBS-C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unique discovery platform and deep understanding of the primary mechanism of sodium transport in the intestine resulted in our discovery and development of IBSRELA, a first-in-class, U.S. Food and Drug Administration (“FDA") approved, sodium hydrogen exchange 3 ("NHE3") inhibitor for the treatment of IBS-C in adults. IBSRELA acts locally in the gut and is minimally absorbed. IBS-C is a gastrointestinal ("GI") disorder characterized by both abdominal pain and altered bowel movements, and is estimated to affect 12 million people in the U.S. IBS-C is associated with significantly impaired quality of life, reduced productivity, and substantial economic burden.</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that account for 50% of IBS-C prescriptions. Central to the go to market strategy for IBSRELA is a highly experienced specialty sales force, many with existing relationships across their GI target base, full company engagement, and innovative peer-to-peer and digital initiatives.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Candidate XPHOZAH: A Potential New Approach for the Control of Serum Phosphorus in Adult Patients with CKD on Dialysis</w:t>
      </w:r>
    </w:p>
    <w:p>
      <w:pPr>
        <w:spacing w:after="0" w:line="2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XPHOZAH (tenapanor) is a first-in-class medicine being developed for the control of serum phosphorus, or hyperphosphatemia, in adult patients with CKD on dialysis. XPHOZAH has a unique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Seventy-seven percent of patients treated with phosphate binders to treat hyperphosphatemia were unable to consistently maintain phosphorous levels &lt;=5.5 mg/dL over a six-month period. If approved, XPHOZAH would be the first therapy for phosphate management that blocks phosphorus absorption at the primary site of uptake. It is not a phosphate binder.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2020, we submitted a new drug application ("NDA") to the FDA for XPHOZAH. The NDA was supported by three Phase 3 trials involving more than 1,200 adult patients that evaluated the use of tenapanor for the control of serum phosphorus in adult patients with CKD on dialysis, with two trials evaluating tenapanor as monotherapy and one trial evaluating tenapanor as part of a dual mechanism approach with phosphate binders. All three Phase 3 trials met their primary and key secondary endpoints.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28, 2021, we received a Complete Response Letter ("CRL") from the FDA’s Division of Cardiology and Nephrology ("the Division") regarding our NDA for XPHOZAH. In December 2021 we submitted a Formal Dispute Resolution Request ("FDRR") to the Office of Cardiology, Hematology, Endocrinology and Nephrology ("OCHEN"). At the request of the FDA’s Office of New Drugs ("OND"), as part of our second level of appeal of the CRL, a Cardiovascular and Renal Drug Advisory Committee meeting on was held on November 16, 2022 with the committee voting that the benefits of XPHOZAH outweigh its risks nine to four as a monotherapy and ten to two, with one abstention, in combination with phosphate binder therapy. In December 2022, the OND granted our appeal to the CRL for the NDA for XPHOZAH and directed the Division to work with us to develop an appropriate label for the commercialization of XPHOZAH. We believe that a label could reflect an indication for patients whose hyperphosphatemia is insufficiently managed on binder therapy. On February 13, 2023, we participated in a Type A meeting with the Division where we discussed the resubmission of the NDA, and the information to be contained in the resubmitted NDA. We currently expect to resubmit the NDA for XPHOZAH early in the second quarter of 2023. Within thirty (30) days of resubmitting the NDA, we expect to receive notification from the Division as to the classification of the resubmission (Class 1 or Class 2) at which point the expected timing for review will also be known (2-months for a Class 1 and 6-months for a Class 2) as well as a goal review date. We currently that the FDA will act upon the XPHOZAH NDA in the second half of 2023, and that, if approved, we will launch XPHOZAH in the second half of 2023.</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established commercial agreements with Kyowa Kirin, Co. Ltd. ("KKC") in Japan, Fosun Pharma in China and Knight in Canada for tenapanor for hyperphosphatemia. In October 2022, KKC submitted an NDA to the Japanese Ministry of Health, Labour and Welfare for tenapanor for the improvement of hyperphosphatemia in adult patients with CKD on dialysis.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if approved, XPHOZAH.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realized our first commercial product sales of IBSRELA beginning in March 2022.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whether we are able to gain approval from the FDA for our NDA for XPHOZAH; our ability to obtain and sustain an adequate level of coverage and reimbursement for IBSRELA by third-party payors; whether and the extent to which we are successful in our commercialization of XPHOZAH, if approved; the timing and progress of goods and services provided pursuant to our current or future collaborative partnerships; our or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is approved and successfully commercialized by a collaboration partner. If our current collaboration partners or any future collaboration partners fail to obtain regulatory approval for tenapanor,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revenue consists of the cost of commercial goods sold to our Customers and international partners under product supply agreements, as well as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twelve months ended December 31, 2022 were expensed prior to the fourth quarter of 2021, at which time our intent to commercialize IBSRELA was established and we commenced preparation for the commercial launch of IBSRELA. We believe our cost of revenue for the year ended December 31, 2022 would have been $1.9 million higher if we had not previously expensed certain material and production costs with respect to the units sold. As of December 31, 2022, we had approximately $28.0 million of inventory on hand that was previously expensed as research and development expense and will not be reported as cost of revenue sold in future periods when sales of IBSRELA are recognized as revenue.</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Cost of revenue includes payments due to AstraZeneca AB (“AstraZeneca”), which under the terms of a termination agreement entered into in 2015 (“AZ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$15.3 million as cost of revenue under the AZ Termination Agreement. See details in </w:t>
      </w:r>
      <w:r>
        <w:rPr>
          <w:rFonts w:ascii="Arial" w:cs="Arial" w:eastAsia="Arial" w:hAnsi="Arial"/>
          <w:sz w:val="16"/>
          <w:szCs w:val="16"/>
          <w:i w:val="1"/>
          <w:iCs w:val="1"/>
          <w:color w:val="auto"/>
        </w:rPr>
        <w:t>Note 7, Collaboration and Licensing Agreements</w:t>
      </w:r>
      <w:r>
        <w:rPr>
          <w:rFonts w:ascii="Arial" w:cs="Arial" w:eastAsia="Arial" w:hAnsi="Arial"/>
          <w:sz w:val="16"/>
          <w:szCs w:val="16"/>
          <w:color w:val="auto"/>
        </w:rPr>
        <w:t>, under AstraZeneca, in the notes to our financial statements, included in Part II, Item 8, of this Annual Report on Form 10-K.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October 2021 restructuring plan, we eliminated our internal research organization and we do not currently expect to meaningfully advance our discovery efforts with respect to our discovery and developmental assets until such time as we have determined our available resources can support additional activities after prioritization of the commercialization of IBSRELA and, if approved, XPHOZAH. 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8" w:lineRule="exact"/>
        <w:rPr>
          <w:sz w:val="20"/>
          <w:szCs w:val="20"/>
          <w:color w:val="auto"/>
        </w:rPr>
      </w:pPr>
    </w:p>
    <w:p>
      <w:pPr>
        <w:jc w:val="both"/>
        <w:ind w:left="66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associated with supplies and materials consumed in connection with our research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associated with producing XPHOZAH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associated with producing discovery and developmental assets prior to FDA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costs associated with research, clinical development and regulatory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bonuses, benefits, travel and stock-based compensation;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related to the sale of future royalties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Arial" w:cs="Arial" w:eastAsia="Arial" w:hAnsi="Arial"/>
          <w:sz w:val="18"/>
          <w:szCs w:val="18"/>
          <w:i w:val="1"/>
          <w:iCs w:val="1"/>
          <w:color w:val="auto"/>
        </w:rPr>
        <w:t>Note 8. Deferred Royalty Obligation Related to the Sale of Future Royalties</w:t>
      </w:r>
      <w:r>
        <w:rPr>
          <w:rFonts w:ascii="Arial" w:cs="Arial" w:eastAsia="Arial" w:hAnsi="Arial"/>
          <w:sz w:val="18"/>
          <w:szCs w:val="18"/>
          <w:color w:val="auto"/>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KKC based upon KKC's net sales of tenapanor in Japan for hyperphosphatemia. As part of the HCR Agreement, we received a $10.0 million upfront payment from HCR in June 2022 and recorded it as a deferred royalty obligation on our balance sheet. Non-cash interest expense will be recognized over the life of the HCR Agreement using the effective interest method based on the imputed interest rate derived from estimated amounts and timing of future royalty payments to be received from KKC.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consists of interest income earned on our cash and cash equivalents and available-for-sale investments, the periodic revaluation of the exit fee related to our loan, gains on sales of property and equipment, and currency exchange gains and losses.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income taxes includes current and deferred tax, including foreign withholding taxes paid on payments received from certain collaboration partners. Deferred income taxes reflect the tax effects of temporary differences between the carrying amounts of assets and liabilities for financial reporting purposes and the amounts used for income tax purposes. Our deferred tax assets continue to be fully offset by a valuation allowance, including deferred tax assets related to our net operating loss carryforwards, which may be subject to annual limitations as a result of ownership changes that may have occurred or could occur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detailed discussion of our significant accounting policies can be found in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in the notes to our financial statements, included in Part II, Item 8, of this Annual Report on Form 10-K.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experience and on various other assumptions that we believe to be reasonable under the circumstances. Actual results could differ materially from these estimates.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certain accounting policies related to revenue recognition, accrued research and development expenses and stock-based compensation to be critical policies to understanding the judgments and estimates applied in our reported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account for our commercial product sales, net in accordance with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received approval from the FDA in September 2019 to market IBSRELA in the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for Variable Consideration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which may be settled in the form of off-invoice discounts, chargebacks, or rebates. Variable consideration includes discounts to customers and government programs, wholesaler fees, group purchasing organization administrative fees, patient copay assistance, and estimated product returns. These estimates are based on the amounts earned or to be claimed for related sales and are classified as reductions of gross accounts receivable if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experience, current contractual and statutory requirements, specific known market events and trends.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experience, estimates will be more heavily based on the expected utilization from historical data we have accumulated since the IBSRELA product launch.</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and the establishment of a current liability which is included in accrued expenses on the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utilization by types of contracted purchasers.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balance sheets. Other reserves include estimated product returns which are recorded in the same period the related gross revenue is recognized, resulting in a reduction of product revenue as well as accounts receivable. We estimate our product returns reserve based upon our experience, and specific known market events and trends.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collaboration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Amounts received prior to satisfying the revenue recognition criteria are recorded as contract liabilities in our balance sheets. If the related performance obligation is expected to be satisfied within the next twelve months, this will be classified in current liabilities. Amounts recognized as revenue prior to receipt are recorded as contract assets in our balance sheets. If we expect to have an unconditional right to receive the consideration in the next twelve months, this will be classified in current assets. A net contract asset or liability is presented for each contract with a customer.</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research and development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are 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us or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the future supply of drug substance or drug product for either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 when the customer obtains control of the goods, which is upon delivery.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where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licensing arrangements has not been material.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Licenses of intellectual property</w:t>
      </w:r>
      <w:r>
        <w:rPr>
          <w:rFonts w:ascii="Arial" w:cs="Arial" w:eastAsia="Arial" w:hAnsi="Arial"/>
          <w:sz w:val="18"/>
          <w:szCs w:val="18"/>
          <w:color w:val="auto"/>
        </w:rPr>
        <w:t>: If a license granted to a customer to use our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Customer options, such as options granted to allow a licensee to choose to research, develop and commercialize licensed compounds are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at contract inception in order to determine whether those options provide a material right (i. 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 that are approved by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w:t>
      </w:r>
    </w:p>
    <w:p>
      <w:pPr>
        <w:spacing w:after="0" w:line="2" w:lineRule="exact"/>
        <w:rPr>
          <w:sz w:val="20"/>
          <w:szCs w:val="20"/>
          <w:color w:val="auto"/>
        </w:rPr>
      </w:pPr>
    </w:p>
    <w:p>
      <w:pPr>
        <w:jc w:val="both"/>
        <w:ind w:firstLine="8"/>
        <w:spacing w:after="0" w:line="288" w:lineRule="auto"/>
        <w:tabs>
          <w:tab w:leader="none" w:pos="2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receive payments from our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Prior to the regulatory approval of drug product candidates, we incurred expenses for the manufacture of drug product that could potentially be available to support the commercial launch of our products or could be sold to our international partners under product supply agreements.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Inventory is stated at the lower of cost or estimated net realizable value with cost determined under the first-in first-out method. Inventory costs include the cost of materials,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compared to our forecasted sales. If actual market conditions are less favorable than projected by management, write-downs of inventory may be required, which would be recorded as cost of revenue in the statement of operations and comprehensive loss. As of December 31, 2022, we have not recorded any write-offs for excess and obsolete inventory. The portion of inventory that represents product that is not expected to be sold or used within the next 12 months is classified as non-current on our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our service providers and make adjustments if necessary. Examples of estimated accrued research and development expenses include fees paid to:</w:t>
      </w:r>
    </w:p>
    <w:p>
      <w:pPr>
        <w:spacing w:after="0" w:line="19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each component of a service will be performed, and estimate, with vendor input if appropriate, the resulting level of completion of each component of the service, with such estimates often involving drivers that provide a surrogate measurement of completion such as number of enrolled subjects and/or number of sites activated in the calculation of clinical trial fee accruals.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estimate the fair value of stock options and Employee Stock Purchase Plan (“ESPP”) shares using the Black-Scholes valuation model. The Black-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Scholes model requires the input of highly subjective assumptions which determine the fair value of stock-based awards. These assumptions include: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have limited historical information to develop reasonable expectations about future exercise patterns and post-vesting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behavior for our stock-option grants. As such, the expected term is estimated using the simplified method whereby the expected term equals the arithmetic average of the vesting term and the original contractual term of the option. Beginning in 2021, we estimate the expected term of our options based upon historical exercises and post-vesting termination behavior, which has not resulted in a material difference as compared to using the simplified method.</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—We use the historic volatility of our own stock over the retrospective period corresponding to the expected remaining term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the period since our shares were first quoted on The Nasdaq Global Market, if that is shorter, to compute our expected stock price volatility.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zero-coupon U.S. Treasury instruments on the date of grant with a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term of our stock option grants.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To date, we have not declared or paid any cash dividends and do not have any plans to do so in the future. Therefore, we use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we review our valuation assumptions at each grant date and, as a result, we are likely to change our valuation assumptions used to value employee stock-based awards granted in future periods. Employee and director stock-based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Restricted stock units ("RSUs") are measured at the fair value of our common stock on the date of grant and expensed over the period of vesting using the straight-line attribution approach.</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Performance-based RSUs ("PRSUs") are valued at grant-date fair market value. The vesting of the PRSUs is based on performance conditions. Performance conditions include: (i) a specific performance criteria and (ii) the employee’s continuous employment by the company for a stated period of time in order to earn the right to the related PRSUs to vest. We recognize compensation cost with respect to the vesting of the PRSUs on a ratable basis over the requisite service period, upon the performance conditions being deemed probable of achievement.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restructuring charges related to reorganization plans that have been committed to by management when liabilities have been incurred. In connection with these activities, we record restructuring charges at fair value for, (a) contractual employee termination benefits when obligations are associated to services already rendered, rights to such benefits have vested, and payment of benefits is probable and can be reasonably estimated, (b)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(c) contract termination costs when a contract is terminated before the end of its term.</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7"/>
              </w:rPr>
              <w:t>Change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Change</w:t>
            </w:r>
          </w:p>
        </w:tc>
        <w:tc>
          <w:tcPr>
            <w:tcW w:w="76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8"/>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2022 vs. 2021</w:t>
            </w:r>
          </w:p>
        </w:tc>
        <w:tc>
          <w:tcPr>
            <w:tcW w:w="280" w:type="dxa"/>
            <w:vAlign w:val="bottom"/>
          </w:tcPr>
          <w:p>
            <w:pPr>
              <w:spacing w:after="0"/>
              <w:rPr>
                <w:sz w:val="20"/>
                <w:szCs w:val="20"/>
                <w:color w:val="auto"/>
              </w:rPr>
            </w:pPr>
          </w:p>
        </w:tc>
        <w:tc>
          <w:tcPr>
            <w:tcW w:w="19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2021 vs. 2020</w:t>
            </w:r>
          </w:p>
        </w:tc>
      </w:tr>
      <w:tr>
        <w:trPr>
          <w:trHeight w:val="27"/>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Product supply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610.1 %</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Collaborative development revenue</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r>
    </w:tbl>
    <w:p>
      <w:pPr>
        <w:ind w:left="140"/>
        <w:spacing w:after="0"/>
        <w:rPr>
          <w:sz w:val="20"/>
          <w:szCs w:val="20"/>
          <w:color w:val="auto"/>
        </w:rPr>
      </w:pPr>
      <w:r>
        <w:rPr>
          <w:rFonts w:ascii="Arial" w:cs="Arial" w:eastAsia="Arial" w:hAnsi="Arial"/>
          <w:sz w:val="18"/>
          <w:szCs w:val="18"/>
          <w:color w:val="auto"/>
        </w:rPr>
        <w:t>(a) There were no product sales during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-121920</wp:posOffset>
            </wp:positionV>
            <wp:extent cx="643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-121920</wp:posOffset>
            </wp:positionV>
            <wp:extent cx="27171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2022</w:t>
      </w:r>
      <w:r>
        <w:rPr>
          <w:rFonts w:ascii="Arial" w:cs="Arial" w:eastAsia="Arial" w:hAnsi="Arial"/>
          <w:sz w:val="17"/>
          <w:szCs w:val="17"/>
          <w:i w:val="1"/>
          <w:iCs w:val="1"/>
          <w:color w:val="auto"/>
        </w:rPr>
        <w:t xml:space="preserve"> compared to </w:t>
      </w:r>
      <w:r>
        <w:rPr>
          <w:rFonts w:ascii="Arial" w:cs="Arial" w:eastAsia="Arial" w:hAnsi="Arial"/>
          <w:sz w:val="17"/>
          <w:szCs w:val="17"/>
          <w:color w:val="auto"/>
        </w:rPr>
        <w:t>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to total revenues was primarily attributable to $15.6 million of net product sales for IBSRELA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as well as aggregate of $35.0 million in milestone payments and payments under the second amendment to the 2017 KKC Agreement which we earned upon KKC's submission of a New Drug Application to the Japanese Ministry of Health, Labour and Welfare for tenapanor for the improvement of hyperphosphatemia in adult patients with CKD on dialysis. We also realized increased product supply revenue in connection with the 2017 KKC Agreement. Partially offsetting these increases was the full recognition of collaborative development revenue for upfront payments associated with the 2019 KKC Agreement through the end of 2021. There were no product sales during 2021 and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to total revenues was primarily attributable to a $5.0 million development milestone which we earned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licensing revenue during the twelve months ended December 31, 2021 upon the initiation by KKC of Phase 3 clinical studies in Japan to evaluate tenapanor for hyperphosphatemia. The increase was partially offset by lower collaborative development revenue and product supply revenue from KKC during the same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Change</w:t>
            </w:r>
          </w:p>
        </w:tc>
        <w:tc>
          <w:tcPr>
            <w:tcW w:w="76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8"/>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6"/>
              </w:rPr>
              <w:t>2022 vs. 2021</w:t>
            </w:r>
          </w:p>
        </w:tc>
        <w:tc>
          <w:tcPr>
            <w:tcW w:w="280" w:type="dxa"/>
            <w:vAlign w:val="bottom"/>
          </w:tcPr>
          <w:p>
            <w:pPr>
              <w:spacing w:after="0"/>
              <w:rPr>
                <w:sz w:val="20"/>
                <w:szCs w:val="20"/>
                <w:color w:val="auto"/>
              </w:rPr>
            </w:pPr>
          </w:p>
        </w:tc>
        <w:tc>
          <w:tcPr>
            <w:tcW w:w="19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2021 vs. 2020</w:t>
            </w:r>
          </w:p>
        </w:tc>
      </w:tr>
      <w:tr>
        <w:trPr>
          <w:trHeight w:val="27"/>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589.7 %</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118.1 %</w:t>
            </w:r>
          </w:p>
        </w:tc>
      </w:tr>
      <w:tr>
        <w:trPr>
          <w:trHeight w:val="223"/>
        </w:trPr>
        <w:tc>
          <w:tcPr>
            <w:tcW w:w="33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67.2 %</w:t>
            </w:r>
          </w:p>
        </w:tc>
      </w:tr>
      <w:tr>
        <w:trPr>
          <w:trHeight w:val="21"/>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cost of revenue was primarily attributable to payments due to AstraZeneca under the AZ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IBSRELA product sales, net and for the milestone payment we received under the second amendment to the 2017 KKC Agreement, which we earned upon KKC's submission of a New Drug Application to the Japanese Ministry of Health, Labour and Welfare for tenapanor for the improvement of hyperphosphatemia in adult patients with CKD on dialysis. We also incurred $0.5 million for the cost of product shipped for product sales of IBSRELA during the twelve months ended December 31, 2022.</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Fiscal </w:t>
      </w:r>
      <w:r>
        <w:rPr>
          <w:rFonts w:ascii="Arial" w:cs="Arial" w:eastAsia="Arial" w:hAnsi="Arial"/>
          <w:sz w:val="16"/>
          <w:szCs w:val="16"/>
          <w:color w:val="auto"/>
        </w:rPr>
        <w:t>2021</w:t>
      </w:r>
      <w:r>
        <w:rPr>
          <w:rFonts w:ascii="Arial" w:cs="Arial" w:eastAsia="Arial" w:hAnsi="Arial"/>
          <w:sz w:val="16"/>
          <w:szCs w:val="16"/>
          <w:i w:val="1"/>
          <w:iCs w:val="1"/>
          <w:color w:val="auto"/>
        </w:rPr>
        <w:t xml:space="preserve"> compared to </w:t>
      </w:r>
      <w:r>
        <w:rPr>
          <w:rFonts w:ascii="Arial" w:cs="Arial" w:eastAsia="Arial" w:hAnsi="Arial"/>
          <w:sz w:val="16"/>
          <w:szCs w:val="16"/>
          <w:color w:val="auto"/>
        </w:rPr>
        <w:t>2020</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cost of revenue was attributable to payment to AstraZeneca under the AZ Termination Agreement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milestone we earned upon the initiation by KKC of Phase 3 clinical studies in Japan to evaluate tenapanor for hyperphosphatemia.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1140"/>
        <w:spacing w:after="0" w:line="319" w:lineRule="auto"/>
        <w:rPr>
          <w:sz w:val="20"/>
          <w:szCs w:val="20"/>
          <w:color w:val="auto"/>
        </w:rPr>
      </w:pPr>
      <w:r>
        <w:rPr>
          <w:rFonts w:ascii="Arial" w:cs="Arial" w:eastAsia="Arial" w:hAnsi="Arial"/>
          <w:sz w:val="15"/>
          <w:szCs w:val="15"/>
          <w:color w:val="auto"/>
        </w:rPr>
        <w:t>External R&amp;D expenses Employee-related expenses</w:t>
      </w:r>
    </w:p>
    <w:p>
      <w:pPr>
        <w:spacing w:after="0" w:line="1" w:lineRule="exact"/>
        <w:rPr>
          <w:sz w:val="20"/>
          <w:szCs w:val="20"/>
          <w:color w:val="auto"/>
        </w:rPr>
      </w:pPr>
    </w:p>
    <w:p>
      <w:pPr>
        <w:ind w:left="20" w:right="360"/>
        <w:spacing w:after="0" w:line="234" w:lineRule="auto"/>
        <w:rPr>
          <w:sz w:val="20"/>
          <w:szCs w:val="20"/>
          <w:color w:val="auto"/>
        </w:rPr>
      </w:pPr>
      <w:r>
        <w:rPr>
          <w:rFonts w:ascii="Arial" w:cs="Arial" w:eastAsia="Arial" w:hAnsi="Arial"/>
          <w:sz w:val="18"/>
          <w:szCs w:val="18"/>
          <w:color w:val="auto"/>
        </w:rPr>
        <w:t>Facilities, equipment and depreciation expenses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Change</w:t>
            </w:r>
          </w:p>
        </w:tc>
        <w:tc>
          <w:tcPr>
            <w:tcW w:w="76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314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6"/>
              </w:rPr>
              <w:t>2022 vs. 2021</w:t>
            </w:r>
          </w:p>
        </w:tc>
        <w:tc>
          <w:tcPr>
            <w:tcW w:w="280" w:type="dxa"/>
            <w:vAlign w:val="bottom"/>
          </w:tcPr>
          <w:p>
            <w:pPr>
              <w:spacing w:after="0"/>
              <w:rPr>
                <w:sz w:val="20"/>
                <w:szCs w:val="20"/>
                <w:color w:val="auto"/>
              </w:rPr>
            </w:pPr>
          </w:p>
        </w:tc>
        <w:tc>
          <w:tcPr>
            <w:tcW w:w="19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2021 vs. 2020</w:t>
            </w:r>
          </w:p>
        </w:tc>
      </w:tr>
      <w:tr>
        <w:trPr>
          <w:trHeight w:val="27"/>
        </w:trPr>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2"/>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56,747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50.8 %</w:t>
            </w:r>
          </w:p>
        </w:tc>
      </w:tr>
      <w:tr>
        <w:trPr>
          <w:trHeight w:val="230"/>
        </w:trPr>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30.4 %</w:t>
            </w:r>
          </w:p>
        </w:tc>
      </w:tr>
      <w:tr>
        <w:trPr>
          <w:trHeight w:val="418"/>
        </w:trPr>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176.9 %</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69.5 %</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40.1 %</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-899795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-599440</wp:posOffset>
            </wp:positionV>
            <wp:extent cx="713232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-187960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20"/>
            <w:col w:w="7880"/>
          </w:cols>
          <w:pgMar w:left="320" w:top="125" w:right="339" w:bottom="1440" w:gutter="0" w:footer="0" w:header="0"/>
          <w:type w:val="continuous"/>
        </w:sectPr>
      </w:pP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2022</w:t>
      </w:r>
      <w:r>
        <w:rPr>
          <w:rFonts w:ascii="Arial" w:cs="Arial" w:eastAsia="Arial" w:hAnsi="Arial"/>
          <w:sz w:val="17"/>
          <w:szCs w:val="17"/>
          <w:i w:val="1"/>
          <w:iCs w:val="1"/>
          <w:color w:val="auto"/>
        </w:rPr>
        <w:t xml:space="preserve"> compared to </w:t>
      </w:r>
      <w:r>
        <w:rPr>
          <w:rFonts w:ascii="Arial" w:cs="Arial" w:eastAsia="Arial" w:hAnsi="Arial"/>
          <w:sz w:val="17"/>
          <w:szCs w:val="17"/>
          <w:color w:val="auto"/>
        </w:rPr>
        <w:t>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in our external R&amp;D expenses was primarily the result of lower clinical study costs following the 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OPTIMIZE study, lower tenapanor manufacturing expense as we have begun to capitalize costs associated with the production of IBSRELA to inventory, and lower expenses for research following the elimination of our internal research organization in the fourth quarter of 2021. The decrease in our employee-related expenses for the twelve months ended December 31, 2022 is due to lower compensation and benefits expenses for our research and development workforce following restructuring actions in 2021. Similarly, the decrease in facilities, equipment and depreciation expenses is primarily due to a smaller proportion of such expenses being attributed to R&amp;D following the restructuring in 2021. The increase in other expenses is primarily related to disease-related education grants during the twelve months ended December 31, 2022.</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2021</w:t>
      </w:r>
      <w:r>
        <w:rPr>
          <w:rFonts w:ascii="Arial" w:cs="Arial" w:eastAsia="Arial" w:hAnsi="Arial"/>
          <w:sz w:val="17"/>
          <w:szCs w:val="17"/>
          <w:i w:val="1"/>
          <w:iCs w:val="1"/>
          <w:color w:val="auto"/>
        </w:rPr>
        <w:t xml:space="preserve"> compared to </w:t>
      </w:r>
      <w:r>
        <w:rPr>
          <w:rFonts w:ascii="Arial" w:cs="Arial" w:eastAsia="Arial" w:hAnsi="Arial"/>
          <w:sz w:val="17"/>
          <w:szCs w:val="17"/>
          <w:color w:val="auto"/>
        </w:rPr>
        <w:t>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our external R&amp;D expenses was the result of tenapanor manufacturing costs as well as clinical study costs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advancement of our OPTIMIZE study which were partially offset by lower costs for the PHREEDOM clinical study. The increase in our employee-related expenses was related to compensation and benefits expenses for our research and development workforce. Employee-related expenses for twelve months ended December 31, 2021 include $2.7 million of severance payments and other employee-related costs as discussed in </w:t>
      </w:r>
      <w:r>
        <w:rPr>
          <w:rFonts w:ascii="Arial" w:cs="Arial" w:eastAsia="Arial" w:hAnsi="Arial"/>
          <w:sz w:val="17"/>
          <w:szCs w:val="17"/>
          <w:i w:val="1"/>
          <w:iCs w:val="1"/>
          <w:color w:val="auto"/>
        </w:rPr>
        <w:t>Note 14 -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to the financial statements included elsewhere in this Annual Report.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2022</w:t>
      </w:r>
      <w:r>
        <w:rPr>
          <w:rFonts w:ascii="Arial" w:cs="Arial" w:eastAsia="Arial" w:hAnsi="Arial"/>
          <w:sz w:val="17"/>
          <w:szCs w:val="17"/>
          <w:i w:val="1"/>
          <w:iCs w:val="1"/>
          <w:color w:val="auto"/>
        </w:rPr>
        <w:t xml:space="preserve"> compared to </w:t>
      </w:r>
      <w:r>
        <w:rPr>
          <w:rFonts w:ascii="Arial" w:cs="Arial" w:eastAsia="Arial" w:hAnsi="Arial"/>
          <w:sz w:val="17"/>
          <w:szCs w:val="17"/>
          <w:color w:val="auto"/>
        </w:rPr>
        <w:t>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selling, general and administrative expenses for the twelve months ended December 31, 2022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increased costs associated with the commercial launch of IBSRELA during 2022. The changes consisted of headcount and related personnel costs and external spending for disease awareness initiatives, commercial infrastructure and strategy. These increases were partially offset by a reduction in ongoing and one-time costs as a result of the restructuring action carried out during the third quarter of 2021.</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Fiscal </w:t>
      </w:r>
      <w:r>
        <w:rPr>
          <w:rFonts w:ascii="Arial" w:cs="Arial" w:eastAsia="Arial" w:hAnsi="Arial"/>
          <w:sz w:val="17"/>
          <w:szCs w:val="17"/>
          <w:color w:val="auto"/>
        </w:rPr>
        <w:t>2021</w:t>
      </w:r>
      <w:r>
        <w:rPr>
          <w:rFonts w:ascii="Arial" w:cs="Arial" w:eastAsia="Arial" w:hAnsi="Arial"/>
          <w:sz w:val="17"/>
          <w:szCs w:val="17"/>
          <w:i w:val="1"/>
          <w:iCs w:val="1"/>
          <w:color w:val="auto"/>
        </w:rPr>
        <w:t xml:space="preserve"> compared to </w:t>
      </w:r>
      <w:r>
        <w:rPr>
          <w:rFonts w:ascii="Arial" w:cs="Arial" w:eastAsia="Arial" w:hAnsi="Arial"/>
          <w:sz w:val="17"/>
          <w:szCs w:val="17"/>
          <w:color w:val="auto"/>
        </w:rPr>
        <w:t>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general and administrative expenses was primarily due to increased costs associated with building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staffing our commercial infrastructure and teams as we prepared for a potential U.S. launch of XPHOZAH. The increase consisted of headcount and related personnel costs and an increase in external spending for disease awareness initiatives, commercial infrastructure and strategy. Selling, general and administrative expenses for the twelve months ended December 31, 2021 include $3.5 million severance payments and other employee-related costs as discussed in </w:t>
      </w:r>
      <w:r>
        <w:rPr>
          <w:rFonts w:ascii="Arial" w:cs="Arial" w:eastAsia="Arial" w:hAnsi="Arial"/>
          <w:sz w:val="17"/>
          <w:szCs w:val="17"/>
          <w:i w:val="1"/>
          <w:iCs w:val="1"/>
          <w:color w:val="auto"/>
        </w:rPr>
        <w:t>Note 14 - Restructuring</w:t>
      </w:r>
      <w:r>
        <w:rPr>
          <w:rFonts w:ascii="Arial" w:cs="Arial" w:eastAsia="Arial" w:hAnsi="Arial"/>
          <w:sz w:val="17"/>
          <w:szCs w:val="17"/>
          <w:color w:val="auto"/>
        </w:rPr>
        <w:t xml:space="preserve"> to the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interest expense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Change</w:t>
            </w:r>
          </w:p>
        </w:tc>
        <w:tc>
          <w:tcPr>
            <w:tcW w:w="7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Year Ended December 31,</w:t>
            </w:r>
          </w:p>
        </w:tc>
        <w:tc>
          <w:tcPr>
            <w:tcW w:w="260" w:type="dxa"/>
            <w:vAlign w:val="bottom"/>
          </w:tcPr>
          <w:p>
            <w:pPr>
              <w:spacing w:after="0"/>
              <w:rPr>
                <w:sz w:val="20"/>
                <w:szCs w:val="20"/>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2022 vs. 2021</w:t>
            </w:r>
          </w:p>
        </w:tc>
        <w:tc>
          <w:tcPr>
            <w:tcW w:w="580" w:type="dxa"/>
            <w:vAlign w:val="bottom"/>
          </w:tcPr>
          <w:p>
            <w:pPr>
              <w:spacing w:after="0"/>
              <w:rPr>
                <w:sz w:val="20"/>
                <w:szCs w:val="20"/>
                <w:color w:val="auto"/>
              </w:rPr>
            </w:pPr>
          </w:p>
        </w:tc>
        <w:tc>
          <w:tcPr>
            <w:tcW w:w="168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w w:val="88"/>
              </w:rPr>
              <w:t>2021 vs. 2020</w:t>
            </w:r>
          </w:p>
        </w:tc>
      </w:tr>
      <w:tr>
        <w:trPr>
          <w:trHeight w:val="27"/>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expense was due to lower principal outstanding on our loan payable in 2022 than in 2021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made on our 2018 Loan during the fourth quarter of 2021 through February 2022. In February 2022, we repaid the remaining outstanding principal balance of the 2018 Loan in the amount of $25.0 million and entered into the new 2022 Loan in the amount of $27.5 million which has an interest-only payment period through March 31,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expense was primarily due to lower interest rates on our variable-rate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Related to the Sale of Future Royalties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non-cash interest expense related to the sale of future royalties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3"/>
          </w:tcPr>
          <w:p>
            <w:pPr>
              <w:ind w:left="18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9"/>
          </w:tcPr>
          <w:p>
            <w:pPr>
              <w:jc w:val="center"/>
              <w:ind w:right="600"/>
              <w:spacing w:after="0"/>
              <w:rPr>
                <w:sz w:val="20"/>
                <w:szCs w:val="20"/>
                <w:color w:val="auto"/>
              </w:rPr>
            </w:pPr>
            <w:r>
              <w:rPr>
                <w:rFonts w:ascii="Arial" w:cs="Arial" w:eastAsia="Arial" w:hAnsi="Arial"/>
                <w:sz w:val="18"/>
                <w:szCs w:val="18"/>
                <w:b w:val="1"/>
                <w:bCs w:val="1"/>
                <w:color w:val="auto"/>
                <w:w w:val="90"/>
              </w:rPr>
              <w:t>Year Ended December 31,</w:t>
            </w:r>
          </w:p>
        </w:tc>
        <w:tc>
          <w:tcPr>
            <w:tcW w:w="26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2022 vs. 2021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2021 vs. 2020</w:t>
            </w:r>
          </w:p>
        </w:tc>
        <w:tc>
          <w:tcPr>
            <w:tcW w:w="32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98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r>
      <w:tr>
        <w:trPr>
          <w:trHeight w:val="223"/>
        </w:trPr>
        <w:tc>
          <w:tcPr>
            <w:tcW w:w="3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19"/>
                <w:szCs w:val="19"/>
                <w:color w:val="auto"/>
              </w:rPr>
            </w:pPr>
          </w:p>
        </w:tc>
      </w:tr>
      <w:tr>
        <w:trPr>
          <w:trHeight w:val="155"/>
        </w:trPr>
        <w:tc>
          <w:tcPr>
            <w:tcW w:w="35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Non-cash interest expense related to the sale of</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royalties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(a)  $</w:t>
            </w:r>
          </w:p>
        </w:tc>
        <w:tc>
          <w:tcPr>
            <w:tcW w:w="1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(a)</w:t>
            </w:r>
          </w:p>
        </w:tc>
      </w:tr>
    </w:tbl>
    <w:p>
      <w:pPr>
        <w:ind w:left="20"/>
        <w:spacing w:after="0"/>
        <w:rPr>
          <w:sz w:val="20"/>
          <w:szCs w:val="20"/>
          <w:color w:val="auto"/>
        </w:rPr>
      </w:pPr>
      <w:r>
        <w:rPr>
          <w:rFonts w:ascii="Arial" w:cs="Arial" w:eastAsia="Arial" w:hAnsi="Arial"/>
          <w:sz w:val="18"/>
          <w:szCs w:val="18"/>
          <w:color w:val="auto"/>
        </w:rPr>
        <w:t>(a) Percent change is not meaningful.</w:t>
      </w:r>
    </w:p>
    <w:p>
      <w:pPr>
        <w:spacing w:after="0" w:line="3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interest expense related to the sale of future royalties reflects the recognized amortization of the deferred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that we recorded following the receipt of the $10.0 million upfront payment from HCR in June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other income (expense), net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w w:val="96"/>
              </w:rPr>
              <w:t>Change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rPr>
              <w:t>2022 vs. 2021</w:t>
            </w:r>
          </w:p>
        </w:tc>
        <w:tc>
          <w:tcPr>
            <w:tcW w:w="19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8"/>
              </w:rPr>
              <w:t>2021 vs. 2020</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3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946</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137.7 %  $</w:t>
            </w: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other income, net was primarily due to sales of certain lab equipment and supplies for a net gain of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increased investment income during the twelve months ended December 31, 2022. Partially offsetting these increases were fluctuations related to revaluation of our exit fees.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changes in other income, net were primarily due to lower income earned on our investments, which was largely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the revaluation of our exit fee related to our term loan agreement following receipt of the FDA CRL on July 28,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cash equivalents and short-term investments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Change</w:t>
            </w:r>
          </w:p>
        </w:tc>
        <w:tc>
          <w:tcPr>
            <w:tcW w:w="7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0"/>
                <w:szCs w:val="20"/>
                <w:color w:val="auto"/>
              </w:rPr>
            </w:pPr>
          </w:p>
        </w:tc>
        <w:tc>
          <w:tcPr>
            <w:tcW w:w="15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6"/>
              </w:rPr>
              <w:t>2022 vs. 2021</w:t>
            </w:r>
          </w:p>
        </w:tc>
        <w:tc>
          <w:tcPr>
            <w:tcW w:w="7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(16,492)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(37.3)%</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 funds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cash and short-term investments of approximately $123.9 million. We have incurred operating losses since inception in 2007 and our accumulated deficit as of December 31, 2022 is $780.1 million. Our current level of cash and short-term investments alone is not sufficient to meet our plans for the next twelve months following the filing of these financial statements on March 2, 2023. These factors raise substantial doubt regarding our ability to continue as a going concern for a period of one year from the issuance of these financial statements. We plan to address our operating cash flow requirements with our current cash and short-term investments, cash generated from product sales of IBSRELA, and if approved, cash generated from sales of XPHOZAH, the potential receipt of anticipated milestone payments from our collaboration partners, the potential receipt of anticipated payments from KKC under the 2022 Amendment, with additional financing sources and through the implementation of cash preservation activities to reduce or defer discretionary spending.</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short-term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2020, we filed a Form S-3 registration statement, which became effective in August 2020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an Open Market Sales Agreement with Jefferies LLC ("Jefferies"), as sales agent, deemed to be “at the market offerings” "2020 Open Market Sales Agreement"). Pursuant to the 2020 Open Market Sales Agreement, Jefferies received a commission of up to 3.0% of the gross sales price for shares of common stock sold under the 2020 Open Market Sales Agreement. As of December 31, 2021, we had sold 23.3 million shares and received the maximum gross proceeds of $100.0 million pursuant to the 2020 Open Market Sales Agreement.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2021, we filed an additional prospectus supplement under the 2020 Registration Statement for the offering, issuance and sale by us of up to a maximum aggregate offering price of $150.0 million of our common stock that may be issued and sold, from time to time, under an additional sales agreement we entered into with Jefferies ("2021 Open Market Sales Agreement"), pursuant to which we may, from time to time, sell up to $150.0 million in shares of our common stock through Jefferies. We are not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December 31, 2022 we have sold 79.8 million shares and received gross proceeds of $98.1 million at a weighted average sales price of approximately $1.23 per share under the 2021 Open Market Sales Agreement. Subsequent to December 31, 2022, we received additional gross proceeds of $20.0 million for the sale of an additional 7.7 million shares which were settled between January 1, 2023 to January 12, 2023 and were sold at a weighted average sales price of approximately $2.60 per share under the 2021 Open Market Sales Agreement. There have been no other sales under the 2021 Open Market Sales Agreement after the January 12, 2023 settlement date.</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There have been no sales of our common stock under the 2023 Open Market Sales Agreement.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2022, we entered into a loan and security agreement (“2022 Loan Agreement”) with SLR Investment Corp ("SLR"). The 2022 Loan Agreement provides for a senior secured term loan facility, with $27.5 million funded at closing and an additional $22.5 million that we may borrow on or prior to July 25, 2023; provided that (i) we had received approval by the FDA for our NDA for XPHOZAH by December 31, 2022, and (ii) we have achieved certain product revenue milestone targets described in the 2022 Loan Agreement. In August 2022, we entered into an amendment to the 2022 Loan Agreement with SLR that extended the date by which we must receive approval by the FDA for our NDA for XPHOZAH in order to borrow the additional $22.5 million from December 31, 2022 to March 31, 2023. In February 2023, we further amended the 2022 Loan Agreement (“2023 Amendment”) such that, we may borrow the additional $22.5 million under the 2022 Loan Agreement until December 20, 2023; provided that (i) we have received FDA approval for our NDA for XPHOZAH by November 30, 2023, or (ii) we have achieved certain product revenue milestone targets described in the 2023 Amendment.</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initial funding of $27.5 million was used to repay the 2018 Loan and is funding our ongoing operations. We had $25.0 million principal from the 2018 Loan outstanding as of the closing date. In connection with entering into the 2022 Loan Agreement,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balance sheets.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2022, we announced that our collaboration partner, KKC, submitted a New Drug Application to the Japanese Ministry of Health, Labour and Welfare for tenapanor for the improvement of hyperphosphatemia in adult patients with CKD on dialysis. In accordance with the terms of the 2022 Amendment, KKC paid an aggregate of $35.0 million to us in milestone payments and payments associated with the 2022 Amendment during the quarter ended December 31,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cash have been from the sale and issuance of common stock (in both public offerings and private placements), private placements of convertible preferred stock, funds from our collaboration partnerships, funds from our 2018 Loan Agreement and 2022 Loan Agreement, as well as from sales of IBSRELA.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25"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to which we are able to generate product revenue from sales of IBSRELA;</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we are successful in securing approval for our NDA for XPHOZAH, and the time and cost associated with securing such approval;</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adequate third-party reimbursement for IBSRELA and, if approved, the sales price and the availability of adequate third-party reimbursement for XPHOZAH;</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IBSRELA and, if approved, XPHOZAH;</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timing, receipt and amount of any milestones that may be received from our collaboration partners in connection with tenapanor, if any</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receipt, and amount of revenue, if any, that may be received by KKC in connection with the 2022 KKC Amendment;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timing, receipt, and amount of royalties we may receive as a result of sales of tenapanor by our collaboration partners in China and Canada, if any;</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cash requirements for the discovery and/or development of other potential product candidates, including RDX013 and RDX020;</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3"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SLR Investment Corp. in February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9"/>
              </w:rPr>
              <w:t>Change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2022 vs. 2021</w:t>
            </w:r>
          </w:p>
        </w:tc>
        <w:tc>
          <w:tcPr>
            <w:tcW w:w="240" w:type="dxa"/>
            <w:vAlign w:val="bottom"/>
          </w:tcPr>
          <w:p>
            <w:pPr>
              <w:spacing w:after="0"/>
              <w:rPr>
                <w:sz w:val="16"/>
                <w:szCs w:val="16"/>
                <w:color w:val="auto"/>
              </w:rPr>
            </w:pPr>
          </w:p>
        </w:tc>
        <w:tc>
          <w:tcPr>
            <w:tcW w:w="130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2021 vs. 2020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(70,044)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(81,435)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(71,116)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87.3 %</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Net cash provided by (used in) investing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1"/>
                <w:szCs w:val="21"/>
                <w:color w:val="auto"/>
              </w:rPr>
            </w:pPr>
          </w:p>
        </w:tc>
        <w:tc>
          <w:tcPr>
            <w:tcW w:w="800" w:type="dxa"/>
            <w:vAlign w:val="bottom"/>
          </w:tcPr>
          <w:p>
            <w:pPr>
              <w:jc w:val="center"/>
              <w:ind w:left="53"/>
              <w:spacing w:after="0"/>
              <w:rPr>
                <w:sz w:val="20"/>
                <w:szCs w:val="20"/>
                <w:color w:val="auto"/>
              </w:rPr>
            </w:pPr>
            <w:r>
              <w:rPr>
                <w:rFonts w:ascii="Arial" w:cs="Arial" w:eastAsia="Arial" w:hAnsi="Arial"/>
                <w:sz w:val="18"/>
                <w:szCs w:val="18"/>
                <w:color w:val="auto"/>
                <w:w w:val="90"/>
              </w:rPr>
              <w:t>18,415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center"/>
              <w:ind w:left="10"/>
              <w:spacing w:after="0"/>
              <w:rPr>
                <w:sz w:val="20"/>
                <w:szCs w:val="20"/>
                <w:color w:val="auto"/>
              </w:rPr>
            </w:pPr>
            <w:r>
              <w:rPr>
                <w:rFonts w:ascii="Arial" w:cs="Arial" w:eastAsia="Arial" w:hAnsi="Arial"/>
                <w:sz w:val="18"/>
                <w:szCs w:val="18"/>
                <w:color w:val="auto"/>
                <w:w w:val="92"/>
              </w:rPr>
              <w:t>(31,442)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98"/>
              </w:rPr>
              <w:t>82,390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(262.0)%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90"/>
              </w:rPr>
              <w:t>75,341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22,776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60,223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264.4 %</w:t>
            </w:r>
          </w:p>
        </w:tc>
        <w:tc>
          <w:tcPr>
            <w:tcW w:w="0" w:type="dxa"/>
            <w:vAlign w:val="bottom"/>
          </w:tcPr>
          <w:p>
            <w:pPr>
              <w:spacing w:after="0"/>
              <w:rPr>
                <w:sz w:val="1"/>
                <w:szCs w:val="1"/>
                <w:color w:val="auto"/>
              </w:rPr>
            </w:pPr>
          </w:p>
        </w:tc>
      </w:tr>
      <w:tr>
        <w:trPr>
          <w:trHeight w:val="155"/>
        </w:trPr>
        <w:tc>
          <w:tcPr>
            <w:tcW w:w="3340" w:type="dxa"/>
            <w:vAlign w:val="bottom"/>
          </w:tcPr>
          <w:p>
            <w:pPr>
              <w:ind w:left="140"/>
              <w:spacing w:after="0" w:line="156" w:lineRule="exact"/>
              <w:rPr>
                <w:sz w:val="20"/>
                <w:szCs w:val="20"/>
                <w:color w:val="auto"/>
              </w:rPr>
            </w:pPr>
            <w:r>
              <w:rPr>
                <w:rFonts w:ascii="Arial" w:cs="Arial" w:eastAsia="Arial" w:hAnsi="Arial"/>
                <w:sz w:val="18"/>
                <w:szCs w:val="18"/>
                <w:color w:val="auto"/>
                <w:w w:val="95"/>
              </w:rPr>
              <w:t>Net increase (decrease) in cash and cash</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ind w:left="53"/>
              <w:spacing w:after="0"/>
              <w:rPr>
                <w:sz w:val="20"/>
                <w:szCs w:val="20"/>
                <w:color w:val="auto"/>
              </w:rPr>
            </w:pPr>
            <w:r>
              <w:rPr>
                <w:rFonts w:ascii="Arial" w:cs="Arial" w:eastAsia="Arial" w:hAnsi="Arial"/>
                <w:sz w:val="18"/>
                <w:szCs w:val="18"/>
                <w:color w:val="auto"/>
                <w:w w:val="90"/>
              </w:rPr>
              <w:t>23,712</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(18,604)</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center"/>
              <w:ind w:left="10"/>
              <w:spacing w:after="0"/>
              <w:rPr>
                <w:sz w:val="20"/>
                <w:szCs w:val="20"/>
                <w:color w:val="auto"/>
              </w:rPr>
            </w:pPr>
            <w:r>
              <w:rPr>
                <w:rFonts w:ascii="Arial" w:cs="Arial" w:eastAsia="Arial" w:hAnsi="Arial"/>
                <w:sz w:val="18"/>
                <w:szCs w:val="18"/>
                <w:color w:val="auto"/>
                <w:w w:val="92"/>
              </w:rPr>
              <w:t>(90,101)</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42,316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ind w:left="220"/>
              <w:spacing w:after="0"/>
              <w:rPr>
                <w:sz w:val="20"/>
                <w:szCs w:val="20"/>
                <w:color w:val="auto"/>
              </w:rPr>
            </w:pPr>
            <w:r>
              <w:rPr>
                <w:rFonts w:ascii="Arial" w:cs="Arial" w:eastAsia="Arial" w:hAnsi="Arial"/>
                <w:sz w:val="18"/>
                <w:szCs w:val="18"/>
                <w:color w:val="auto"/>
                <w:w w:val="98"/>
              </w:rPr>
              <w:t>71,497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8"/>
                <w:szCs w:val="18"/>
                <w:color w:val="auto"/>
              </w:rPr>
              <w:t>equivalents</w:t>
            </w: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in operating activities during the twelve months ended December 31, 2022 decreased by $82.5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decreased spending on research and development expenses during the twelve months ended December 31, 2022 as compared to the twelve months ended December 31, 2021, as well net product sales of IBSRELA and $35.0 million of milestone payments and payments under the second amendment to the 2017 KKC Agreement which we earned in 2022 upon KKC's submission of a New Drug Application to the Japanese Ministry of Health, Labour and Welfare for tenapanor for the improvement of hyperphosphatemia in adult patients with CKD on dialysis. Partially offsetting the net loss improvement were changes to our operating assets and liabilities related to expenditures for commercial manufacturing and inventory for the production of IBSRELA.</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in operating activities during the year ended December 31, 2021 increased by $71.1 million as a result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net loss for the period. The increased net loss was primarily driven by costs associated with building and staffing our commercial infrastructure and teams as we prepared for the anticipated U.S. launch of XPHOZAH. In addition to the increased net loss, cash flows related to our operating assets and liabilities increased in the amount of $8.7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investing activities decreased by $32.5 million due to lower investment balances and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maturities, which was partially offset by $1.8 million proceeds from sale of laboratory equipment and supplies during the twelve months ended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investing activities increased by $82.4 million as our investment maturities increased to exceed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to purchase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2022</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2021</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financing activities decreased by $7.7 million primarily due to $29.5 million lower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common stock under at-the-market offerings and well as increased payments in the amount of $13.6 million to repay the principal outstanding on the 2018 Loan. Partially offsetting these amounts were $27.0 million net proceeds received from the 2022 Loan and $9.6 million net proceeds from the sales of future royalties during the twelve months ended December 31,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Fiscal </w:t>
      </w:r>
      <w:r>
        <w:rPr>
          <w:rFonts w:ascii="Arial" w:cs="Arial" w:eastAsia="Arial" w:hAnsi="Arial"/>
          <w:sz w:val="18"/>
          <w:szCs w:val="18"/>
          <w:color w:val="auto"/>
        </w:rPr>
        <w:t>2021</w:t>
      </w:r>
      <w:r>
        <w:rPr>
          <w:rFonts w:ascii="Arial" w:cs="Arial" w:eastAsia="Arial" w:hAnsi="Arial"/>
          <w:sz w:val="18"/>
          <w:szCs w:val="18"/>
          <w:i w:val="1"/>
          <w:iCs w:val="1"/>
          <w:color w:val="auto"/>
        </w:rPr>
        <w:t xml:space="preserve"> compared to </w:t>
      </w:r>
      <w:r>
        <w:rPr>
          <w:rFonts w:ascii="Arial" w:cs="Arial" w:eastAsia="Arial" w:hAnsi="Arial"/>
          <w:sz w:val="18"/>
          <w:szCs w:val="18"/>
          <w:color w:val="auto"/>
        </w:rPr>
        <w:t>2020</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financing activities increased by $60.2 million due to net proceeds from issuance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pursuant to our at-the-market offerings, which were partially offset by principal repayments for our 2018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AND NON-ACCELERATED FILER STATUS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2018, the SEC adopted amendments that raise the thresholds in the smaller reporting company ("SRC") definition, whereby we were determined to qualify as a SRC. On March 12, 2020, the SEC amended its rules to allow SRCs that have less than $100.0 million in annual revenue and a public float of less than $700.0 million to qualify as a non-accelerated filer. As a non-accelerated filer, we were not required to obtain an opinion of our independent auditors with respect to our internal controls over financial reporting as of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2022, our public float did not exceed $700.0 million and we had less than $100.0 million in annual revenue, thereby allowing us to qualify as a SRC and a non-accelerated filer as of December 31, 2022. We have determined to avail ourselves of most of the SRC scaled disclosure accommodations and we were not required to obtain an opinion of our independent auditors with respect to our internal controls over financial reporting for the period ended December 31,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cash, cash equivalents and short-term investments of $123.9 million, which consist of bank deposits and money market funds, as well as high quality fixed income instruments including corporate bonds, commercial paper, U.S. treasury securities and U.S. government-sponsored agency bonds.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interest rate fluctuation exposure through our borrowings under the Loan Agreement and our investment in money market accounts which bear a variable interest rate. As of December 31, 2022, borrowings under the 2022 Loan bear interest at a floating per annum rate equal to 7.95% plus the greater of (i) one tenth percent (0.10%) and (ii) the one-month rate published by the Intercontinental Exchange Benchmark Administration Ltd ("ICE") or its successor. A hypothetical increase in one-month ICE of 100 basis points above the current one-month ICE rates would have increased our interest expense by approximately $0.3 million for the year ended December 31, 2022. As of December 31, 2022 we had an aggregate principal amount of $26.7 million outstanding pursuant to our 2022 Loan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no open forward foreign currency exchange contracts.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912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21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006"/>
        </w:trPr>
        <w:tc>
          <w:tcPr>
            <w:tcW w:w="91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2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ARDELYX, INC.</w:t>
            </w:r>
          </w:p>
        </w:tc>
        <w:tc>
          <w:tcPr>
            <w:tcW w:w="2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rPr>
              <w:t>INDEX TO FINANCIAL STATEMENTS</w:t>
            </w:r>
          </w:p>
        </w:tc>
        <w:tc>
          <w:tcPr>
            <w:tcW w:w="21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42</w:t>
            </w:r>
            <w:r>
              <w:rPr>
                <w:rFonts w:ascii="Arial" w:cs="Arial" w:eastAsia="Arial" w:hAnsi="Arial"/>
                <w:sz w:val="18"/>
                <w:szCs w:val="18"/>
                <w:u w:val="single" w:color="auto"/>
                <w:color w:val="0000FF"/>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20" w:type="dxa"/>
            <w:vAlign w:val="bottom"/>
          </w:tcPr>
          <w:p>
            <w:pPr>
              <w:spacing w:after="0"/>
              <w:rPr>
                <w:sz w:val="21"/>
                <w:szCs w:val="21"/>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5"/>
              </w:rPr>
              <w:t>Balance Sheets</w:t>
            </w:r>
          </w:p>
        </w:tc>
        <w:tc>
          <w:tcPr>
            <w:tcW w:w="4160" w:type="dxa"/>
            <w:vAlign w:val="bottom"/>
            <w:tcBorders>
              <w:top w:val="single" w:sz="8" w:color="0000FF"/>
            </w:tcBorders>
            <w:gridSpan w:val="6"/>
          </w:tcPr>
          <w:p>
            <w:pPr>
              <w:spacing w:after="0"/>
              <w:rPr>
                <w:sz w:val="21"/>
                <w:szCs w:val="21"/>
                <w:color w:val="auto"/>
              </w:rPr>
            </w:pPr>
          </w:p>
        </w:tc>
        <w:tc>
          <w:tcPr>
            <w:tcW w:w="38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20" w:type="dxa"/>
            <w:vAlign w:val="bottom"/>
          </w:tcPr>
          <w:p>
            <w:pPr>
              <w:spacing w:after="0"/>
              <w:rPr>
                <w:sz w:val="21"/>
                <w:szCs w:val="21"/>
                <w:color w:val="auto"/>
              </w:rPr>
            </w:pPr>
          </w:p>
        </w:tc>
        <w:tc>
          <w:tcPr>
            <w:tcW w:w="9100" w:type="dxa"/>
            <w:vAlign w:val="bottom"/>
            <w:gridSpan w:val="8"/>
          </w:tcPr>
          <w:p>
            <w:pPr>
              <w:spacing w:after="0"/>
              <w:rPr>
                <w:sz w:val="20"/>
                <w:szCs w:val="20"/>
                <w:color w:val="auto"/>
              </w:rPr>
            </w:pPr>
            <w:r>
              <w:rPr>
                <w:rFonts w:ascii="Arial" w:cs="Arial" w:eastAsia="Arial" w:hAnsi="Arial"/>
                <w:sz w:val="18"/>
                <w:szCs w:val="18"/>
                <w:color w:val="0000FF"/>
              </w:rPr>
              <w:t>Statements of Operations and Comprehensive Loss</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20" w:type="dxa"/>
            <w:vAlign w:val="bottom"/>
          </w:tcPr>
          <w:p>
            <w:pPr>
              <w:spacing w:after="0"/>
              <w:rPr>
                <w:sz w:val="21"/>
                <w:szCs w:val="21"/>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0"/>
              </w:rPr>
              <w:t>Statements of Stockholders’ Equity</w:t>
            </w:r>
          </w:p>
        </w:tc>
        <w:tc>
          <w:tcPr>
            <w:tcW w:w="1120" w:type="dxa"/>
            <w:vAlign w:val="bottom"/>
            <w:tcBorders>
              <w:top w:val="single" w:sz="8" w:color="0000FF"/>
            </w:tcBorders>
          </w:tcPr>
          <w:p>
            <w:pPr>
              <w:spacing w:after="0"/>
              <w:rPr>
                <w:sz w:val="21"/>
                <w:szCs w:val="21"/>
                <w:color w:val="auto"/>
              </w:rPr>
            </w:pPr>
          </w:p>
        </w:tc>
        <w:tc>
          <w:tcPr>
            <w:tcW w:w="5420" w:type="dxa"/>
            <w:vAlign w:val="bottom"/>
            <w:gridSpan w:val="2"/>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20" w:type="dxa"/>
            <w:vAlign w:val="bottom"/>
          </w:tcPr>
          <w:p>
            <w:pPr>
              <w:spacing w:after="0"/>
              <w:rPr>
                <w:sz w:val="21"/>
                <w:szCs w:val="21"/>
                <w:color w:val="auto"/>
              </w:rPr>
            </w:pPr>
          </w:p>
        </w:tc>
        <w:tc>
          <w:tcPr>
            <w:tcW w:w="9100" w:type="dxa"/>
            <w:vAlign w:val="bottom"/>
            <w:gridSpan w:val="8"/>
          </w:tcPr>
          <w:p>
            <w:pPr>
              <w:spacing w:after="0"/>
              <w:rPr>
                <w:sz w:val="20"/>
                <w:szCs w:val="20"/>
                <w:color w:val="auto"/>
              </w:rPr>
            </w:pPr>
            <w:r>
              <w:rPr>
                <w:rFonts w:ascii="Arial" w:cs="Arial" w:eastAsia="Arial" w:hAnsi="Arial"/>
                <w:sz w:val="18"/>
                <w:szCs w:val="18"/>
                <w:color w:val="0000FF"/>
              </w:rPr>
              <w:t>Statements of Cash Flows</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4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Financial Statements</w:t>
            </w:r>
          </w:p>
        </w:tc>
        <w:tc>
          <w:tcPr>
            <w:tcW w:w="6940" w:type="dxa"/>
            <w:vAlign w:val="bottom"/>
            <w:gridSpan w:val="4"/>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912"/>
        </w:trPr>
        <w:tc>
          <w:tcPr>
            <w:tcW w:w="9120" w:type="dxa"/>
            <w:vAlign w:val="bottom"/>
            <w:gridSpan w:val="9"/>
          </w:tcPr>
          <w:p>
            <w:pPr>
              <w:jc w:val="center"/>
              <w:ind w:left="2050"/>
              <w:spacing w:after="0"/>
              <w:rPr>
                <w:sz w:val="20"/>
                <w:szCs w:val="20"/>
                <w:color w:val="auto"/>
              </w:rPr>
            </w:pPr>
            <w:r>
              <w:rPr>
                <w:rFonts w:ascii="Arial" w:cs="Arial" w:eastAsia="Arial" w:hAnsi="Arial"/>
                <w:sz w:val="18"/>
                <w:szCs w:val="18"/>
                <w:color w:val="auto"/>
                <w:w w:val="89"/>
              </w:rPr>
              <w:t>71</w:t>
            </w:r>
          </w:p>
        </w:tc>
        <w:tc>
          <w:tcPr>
            <w:tcW w:w="2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Ardelyx,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Ardelyx, Inc. (“Company”) as of December 31, 2022 and 2021, the related statements of operations and comprehensive loss,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U.S. generally accepted accounting principles.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80"/>
        <w:spacing w:after="0"/>
        <w:rPr>
          <w:sz w:val="20"/>
          <w:szCs w:val="20"/>
          <w:color w:val="auto"/>
        </w:rPr>
      </w:pPr>
      <w:r>
        <w:rPr>
          <w:rFonts w:ascii="Arial" w:cs="Arial" w:eastAsia="Arial" w:hAnsi="Arial"/>
          <w:sz w:val="15"/>
          <w:szCs w:val="15"/>
          <w:b w:val="1"/>
          <w:bCs w:val="1"/>
          <w:i w:val="1"/>
          <w:iCs w:val="1"/>
          <w:color w:val="auto"/>
        </w:rPr>
        <w:t>Estimates of Reserves for Variable Consideration</w:t>
      </w:r>
    </w:p>
    <w:p>
      <w:pPr>
        <w:sectPr>
          <w:pgSz w:w="11900" w:h="16838" w:orient="portrait"/>
          <w:cols w:equalWidth="0" w:num="1">
            <w:col w:w="10139"/>
          </w:cols>
          <w:pgMar w:left="320" w:top="125" w:right="1440" w:bottom="1440" w:gutter="0" w:footer="0" w:header="0"/>
        </w:sectPr>
      </w:pPr>
    </w:p>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359"/>
        <w:spacing w:after="0" w:line="286" w:lineRule="auto"/>
        <w:rPr>
          <w:sz w:val="20"/>
          <w:szCs w:val="20"/>
          <w:color w:val="auto"/>
        </w:rPr>
      </w:pPr>
      <w:r>
        <w:rPr>
          <w:rFonts w:ascii="Arial" w:cs="Arial" w:eastAsia="Arial" w:hAnsi="Arial"/>
          <w:sz w:val="16"/>
          <w:szCs w:val="16"/>
          <w:color w:val="auto"/>
        </w:rPr>
        <w:t>As described in Note 2 to the financial statements, the Company recognizes revenues from product sales at the net sales price (transaction price), which includes estimates of variable consideration relating to off-invoice discounts, chargebacks or rebates, wholesaler fees, group purchasing organization administrative fees, patient copay assistance programs, and estimated product returns. These estimates are based on the amounts earned or to be claimed for related sales which may not be known at the point of sale. Government-mandated rebates under the Medicaid Drug Rebate Program (“Medicaid”) and the Medicare Coverage Gap Program (“Medicare") are estimated based on estimated payor mix and statutory discount rates. Patient copay assistance program amounts are estimated based on terms of the program and redemption information provided by third-party claims processing organizations. Product returns are estimated based on the Company’s experience and specific known market events and trends. The Company’s total estimate of reserves for variable consideration was $2.8 million as of December 31, 2022. During 2022, the Company recorded $6.0 million in total reductions to gross commercial product sales as a result of reserves for variable consideration.</w:t>
      </w:r>
    </w:p>
    <w:p>
      <w:pPr>
        <w:spacing w:after="0" w:line="198" w:lineRule="exact"/>
        <w:rPr>
          <w:sz w:val="20"/>
          <w:szCs w:val="20"/>
          <w:color w:val="auto"/>
        </w:rPr>
      </w:pPr>
    </w:p>
    <w:p>
      <w:pPr>
        <w:sectPr>
          <w:pgSz w:w="11900" w:h="16838" w:orient="portrait"/>
          <w:cols w:equalWidth="0" w:num="2">
            <w:col w:w="2160" w:space="720"/>
            <w:col w:w="7259"/>
          </w:cols>
          <w:pgMar w:left="320" w:top="125" w:right="1440" w:bottom="1440" w:gutter="0" w:footer="0" w:header="0"/>
          <w:type w:val="continuous"/>
        </w:sectPr>
      </w:pPr>
    </w:p>
    <w:p>
      <w:pPr>
        <w:jc w:val="both"/>
        <w:ind w:left="2880" w:right="359"/>
        <w:spacing w:after="0" w:line="255" w:lineRule="auto"/>
        <w:rPr>
          <w:sz w:val="20"/>
          <w:szCs w:val="20"/>
          <w:color w:val="auto"/>
        </w:rPr>
      </w:pPr>
      <w:r>
        <w:rPr>
          <w:rFonts w:ascii="Arial" w:cs="Arial" w:eastAsia="Arial" w:hAnsi="Arial"/>
          <w:sz w:val="18"/>
          <w:szCs w:val="18"/>
          <w:color w:val="auto"/>
        </w:rPr>
        <w:t>Auditing the Company’s estimates of reserves for variable consideration relating to Medicaid and Medicare claims, patient copay assistance and product returns involved evaluation of management’s subjective judgments regarding the reasonableness of various assumptions used. The Company has a limited history upon which to base such estimates, and changes in these estimated assumptions may have a material effect on the amount of reserves recorded for variable consideration.</w:t>
      </w:r>
    </w:p>
    <w:p>
      <w:pPr>
        <w:sectPr>
          <w:pgSz w:w="11900" w:h="16838" w:orient="portrait"/>
          <w:cols w:equalWidth="0" w:num="1">
            <w:col w:w="10139"/>
          </w:cols>
          <w:pgMar w:left="320" w:top="125" w:right="1440" w:bottom="1440" w:gutter="0" w:footer="0" w:header="0"/>
          <w:type w:val="continuous"/>
        </w:sectPr>
      </w:pPr>
    </w:p>
    <w:p>
      <w:pPr>
        <w:spacing w:after="0" w:line="300" w:lineRule="exact"/>
        <w:rPr>
          <w:sz w:val="20"/>
          <w:szCs w:val="20"/>
          <w:color w:val="auto"/>
        </w:rPr>
      </w:pPr>
    </w:p>
    <w:p>
      <w:pPr>
        <w:ind w:left="20"/>
        <w:spacing w:after="0"/>
        <w:tabs>
          <w:tab w:leader="none" w:pos="2860" w:val="left"/>
        </w:tabs>
        <w:rPr>
          <w:sz w:val="20"/>
          <w:szCs w:val="20"/>
          <w:color w:val="auto"/>
        </w:rPr>
      </w:pPr>
      <w:r>
        <w:rPr>
          <w:rFonts w:ascii="Arial" w:cs="Arial" w:eastAsia="Arial" w:hAnsi="Arial"/>
          <w:sz w:val="18"/>
          <w:szCs w:val="18"/>
          <w:i w:val="1"/>
          <w:iCs w:val="1"/>
          <w:color w:val="auto"/>
        </w:rPr>
        <w:t>How We Addressed the Matter in Our</w:t>
      </w:r>
      <w:r>
        <w:rPr>
          <w:sz w:val="20"/>
          <w:szCs w:val="20"/>
          <w:color w:val="auto"/>
        </w:rPr>
        <w:tab/>
      </w:r>
      <w:r>
        <w:rPr>
          <w:rFonts w:ascii="Arial" w:cs="Arial" w:eastAsia="Arial" w:hAnsi="Arial"/>
          <w:sz w:val="16"/>
          <w:szCs w:val="16"/>
          <w:color w:val="auto"/>
        </w:rPr>
        <w:t>To test the Company’s estimates of reserves for variable consideration relating to Medicaid and</w:t>
      </w:r>
    </w:p>
    <w:p>
      <w:pPr>
        <w:sectPr>
          <w:pgSz w:w="11900" w:h="16838" w:orient="portrait"/>
          <w:cols w:equalWidth="0" w:num="1">
            <w:col w:w="10139"/>
          </w:cols>
          <w:pgMar w:left="320" w:top="125" w:right="1440"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359"/>
        <w:spacing w:after="0" w:line="268" w:lineRule="auto"/>
        <w:rPr>
          <w:sz w:val="20"/>
          <w:szCs w:val="20"/>
          <w:color w:val="auto"/>
        </w:rPr>
      </w:pPr>
      <w:r>
        <w:rPr>
          <w:rFonts w:ascii="Arial" w:cs="Arial" w:eastAsia="Arial" w:hAnsi="Arial"/>
          <w:sz w:val="17"/>
          <w:szCs w:val="17"/>
          <w:color w:val="auto"/>
        </w:rPr>
        <w:t>Medicare claims, patient copay assistance and product returns, our audit procedures included, among others, evaluating the methodologies and assumptions used and testing the accuracy and completeness of the underlying data used in the Company’s analysis. We evaluated the assumptions used by management against third-party industry data and actual trends, evaluated the reasonableness of changes in estimated reserves during the year, and assessed the accuracy of the Company’s estimates against actual results. We also performed sensitivity analyses to determine the effect of changes in management’s assumptions on the amount of reserves recorded for variable consideration, where appropriate. Further, we evaluated the appropriateness of classification and disclosure of the Company’s reserves for variable consideration in the financial statements.</w:t>
      </w:r>
    </w:p>
    <w:p>
      <w:pPr>
        <w:spacing w:after="0" w:line="200" w:lineRule="exact"/>
        <w:rPr>
          <w:sz w:val="20"/>
          <w:szCs w:val="20"/>
          <w:color w:val="auto"/>
        </w:rPr>
      </w:pPr>
    </w:p>
    <w:p>
      <w:pPr>
        <w:sectPr>
          <w:pgSz w:w="11900" w:h="16838" w:orient="portrait"/>
          <w:cols w:equalWidth="0" w:num="2">
            <w:col w:w="2160" w:space="720"/>
            <w:col w:w="7259"/>
          </w:cols>
          <w:pgMar w:left="320" w:top="125" w:right="1440"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39"/>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4"/>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39"/>
        </w:trPr>
        <w:tc>
          <w:tcPr>
            <w:tcW w:w="84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72,428</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44,261</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commercial manufacturing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133,649</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63"/>
        </w:trPr>
        <w:tc>
          <w:tcPr>
            <w:tcW w:w="84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32,264</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52,821</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9,748</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contingencies (Note 20)</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w w:val="98"/>
              </w:rPr>
              <w:t>Preferred stock, $0.0001 par value; 5,000,000 shares authorized; no shares issued and outstanding as of</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December 31, 2022 and December 31, 2021, respectively.</w:t>
            </w:r>
          </w:p>
        </w:tc>
        <w:tc>
          <w:tcPr>
            <w:tcW w:w="3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Common stock, $0.0001 par value; 300,000,000 shares authorized; 198,575,016 and 130,182,535 shares issued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and outstanding as of December 31, 2022 and December 31, 2021,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878,500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795,540</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r>
      <w:tr>
        <w:trPr>
          <w:trHeight w:val="243"/>
        </w:trPr>
        <w:tc>
          <w:tcPr>
            <w:tcW w:w="84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82,617</w:t>
            </w:r>
          </w:p>
        </w:tc>
      </w:tr>
      <w:tr>
        <w:trPr>
          <w:trHeight w:val="264"/>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149,913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6"/>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Product sales,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supply revenue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r>
      <w:tr>
        <w:trPr>
          <w:trHeight w:val="223"/>
        </w:trPr>
        <w:tc>
          <w:tcPr>
            <w:tcW w:w="70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65,053</w:t>
            </w:r>
          </w:p>
        </w:tc>
      </w:tr>
      <w:tr>
        <w:trPr>
          <w:trHeight w:val="230"/>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33,153</w:t>
            </w:r>
          </w:p>
        </w:tc>
      </w:tr>
      <w:tr>
        <w:trPr>
          <w:trHeight w:val="223"/>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98,351</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(154,346)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(90,780)</w:t>
            </w: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Non-cash interest expense related to the sale of future royalties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(158,161)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(94,311)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(94,313)</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20" w:type="dxa"/>
            <w:vAlign w:val="bottom"/>
          </w:tcPr>
          <w:p>
            <w:pPr>
              <w:ind w:left="20"/>
              <w:spacing w:after="0" w:line="203" w:lineRule="exact"/>
              <w:rPr>
                <w:sz w:val="20"/>
                <w:szCs w:val="20"/>
                <w:color w:val="auto"/>
              </w:rPr>
            </w:pPr>
            <w:r>
              <w:rPr>
                <w:rFonts w:ascii="Arial" w:cs="Arial" w:eastAsia="Arial" w:hAnsi="Arial"/>
                <w:sz w:val="18"/>
                <w:szCs w:val="18"/>
                <w:color w:val="auto"/>
              </w:rPr>
              <w:t>Shares used in computing net loss per share - basic and diluted</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158,690,083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104,205,645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89,582,138</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loss: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(67,207)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(158,165)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(94,313)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(94,337)</w:t>
            </w: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272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760" w:type="dxa"/>
            <w:vAlign w:val="bottom"/>
          </w:tcPr>
          <w:p>
            <w:pPr>
              <w:spacing w:after="0"/>
              <w:rPr>
                <w:sz w:val="23"/>
                <w:szCs w:val="23"/>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23"/>
                <w:szCs w:val="23"/>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88,817,741</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7"/>
              </w:rPr>
              <w:t>Issuance of common stock under employee</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169,931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stock purchase plan</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Issuance of common stock for services</w:t>
            </w:r>
          </w:p>
        </w:tc>
        <w:tc>
          <w:tcPr>
            <w:tcW w:w="1320" w:type="dxa"/>
            <w:vAlign w:val="bottom"/>
          </w:tcPr>
          <w:p>
            <w:pPr>
              <w:jc w:val="right"/>
              <w:spacing w:after="0"/>
              <w:rPr>
                <w:sz w:val="20"/>
                <w:szCs w:val="20"/>
                <w:color w:val="auto"/>
              </w:rPr>
            </w:pPr>
            <w:r>
              <w:rPr>
                <w:rFonts w:ascii="Arial" w:cs="Arial" w:eastAsia="Arial" w:hAnsi="Arial"/>
                <w:sz w:val="14"/>
                <w:szCs w:val="14"/>
                <w:color w:val="auto"/>
              </w:rPr>
              <w:t>42,403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4"/>
                <w:szCs w:val="14"/>
                <w:color w:val="auto"/>
                <w:w w:val="96"/>
              </w:rPr>
              <w:t>Issuance of common stock upon exercise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445,942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options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9"/>
              </w:rPr>
              <w:t>Issuance of common stock upon vesting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866,528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restricted stock units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760" w:type="dxa"/>
            <w:vAlign w:val="bottom"/>
          </w:tcPr>
          <w:p>
            <w:pPr>
              <w:ind w:left="120"/>
              <w:spacing w:after="0"/>
              <w:rPr>
                <w:sz w:val="20"/>
                <w:szCs w:val="20"/>
                <w:color w:val="auto"/>
              </w:rPr>
            </w:pPr>
            <w:r>
              <w:rPr>
                <w:rFonts w:ascii="Arial" w:cs="Arial" w:eastAsia="Arial" w:hAnsi="Arial"/>
                <w:sz w:val="14"/>
                <w:szCs w:val="14"/>
                <w:color w:val="auto"/>
              </w:rPr>
              <w:t>Unrealized losses on available-for-sale</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8"/>
              </w:rPr>
              <w:t>Issuance of common stock in at the market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3,257,430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offering</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93,599,975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7"/>
              </w:rPr>
              <w:t>Issuance of common stock under employee</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386,664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stock purchase plan</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Issuance of common stock for services</w:t>
            </w:r>
          </w:p>
        </w:tc>
        <w:tc>
          <w:tcPr>
            <w:tcW w:w="1320" w:type="dxa"/>
            <w:vAlign w:val="bottom"/>
          </w:tcPr>
          <w:p>
            <w:pPr>
              <w:jc w:val="right"/>
              <w:spacing w:after="0"/>
              <w:rPr>
                <w:sz w:val="20"/>
                <w:szCs w:val="20"/>
                <w:color w:val="auto"/>
              </w:rPr>
            </w:pPr>
            <w:r>
              <w:rPr>
                <w:rFonts w:ascii="Arial" w:cs="Arial" w:eastAsia="Arial" w:hAnsi="Arial"/>
                <w:sz w:val="14"/>
                <w:szCs w:val="14"/>
                <w:color w:val="auto"/>
              </w:rPr>
              <w:t>25,989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760" w:type="dxa"/>
            <w:vAlign w:val="bottom"/>
          </w:tcPr>
          <w:p>
            <w:pPr>
              <w:ind w:left="120"/>
              <w:spacing w:after="0"/>
              <w:rPr>
                <w:sz w:val="20"/>
                <w:szCs w:val="20"/>
                <w:color w:val="auto"/>
              </w:rPr>
            </w:pPr>
            <w:r>
              <w:rPr>
                <w:rFonts w:ascii="Arial" w:cs="Arial" w:eastAsia="Arial" w:hAnsi="Arial"/>
                <w:sz w:val="14"/>
                <w:szCs w:val="14"/>
                <w:color w:val="auto"/>
                <w:w w:val="96"/>
              </w:rPr>
              <w:t>Issuance of common stock upon exercise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331,310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options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9"/>
              </w:rPr>
              <w:t>Issuance of common stock upon vesting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167,158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restricted stock units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4"/>
              </w:rPr>
              <w:t>Taxes paid for net share settlement of equity</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awards</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8"/>
              </w:rPr>
              <w:t>Issuance of common stock in at the market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35,671,439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offering</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4"/>
                <w:szCs w:val="14"/>
                <w:color w:val="auto"/>
              </w:rPr>
              <w:t>Unrealized losses on available-for-sale</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2021</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130,182,535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7"/>
              </w:rPr>
              <w:t>Issuance of common stock under employee</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308,356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stock purchase plan</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Issuance of common stock for services</w:t>
            </w:r>
          </w:p>
        </w:tc>
        <w:tc>
          <w:tcPr>
            <w:tcW w:w="1320" w:type="dxa"/>
            <w:vAlign w:val="bottom"/>
          </w:tcPr>
          <w:p>
            <w:pPr>
              <w:jc w:val="right"/>
              <w:spacing w:after="0"/>
              <w:rPr>
                <w:sz w:val="20"/>
                <w:szCs w:val="20"/>
                <w:color w:val="auto"/>
              </w:rPr>
            </w:pPr>
            <w:r>
              <w:rPr>
                <w:rFonts w:ascii="Arial" w:cs="Arial" w:eastAsia="Arial" w:hAnsi="Arial"/>
                <w:sz w:val="14"/>
                <w:szCs w:val="14"/>
                <w:color w:val="auto"/>
              </w:rPr>
              <w:t>711,675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4"/>
                <w:szCs w:val="14"/>
                <w:color w:val="auto"/>
                <w:w w:val="96"/>
              </w:rPr>
              <w:t>Issuance of common stock upon exercise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14,080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options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9"/>
              </w:rPr>
              <w:t>Issuance of common stock upon vesting of</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3,243,828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restricted stock units</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60" w:type="dxa"/>
            <w:vAlign w:val="bottom"/>
          </w:tcPr>
          <w:p>
            <w:pPr>
              <w:ind w:left="120"/>
              <w:spacing w:after="0" w:line="155" w:lineRule="exact"/>
              <w:rPr>
                <w:sz w:val="20"/>
                <w:szCs w:val="20"/>
                <w:color w:val="auto"/>
              </w:rPr>
            </w:pPr>
            <w:r>
              <w:rPr>
                <w:rFonts w:ascii="Arial" w:cs="Arial" w:eastAsia="Arial" w:hAnsi="Arial"/>
                <w:sz w:val="14"/>
                <w:szCs w:val="14"/>
                <w:color w:val="auto"/>
                <w:w w:val="98"/>
              </w:rPr>
              <w:t>Issuance of common stock in at the market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64,114,542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offering</w:t>
            </w: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760" w:type="dxa"/>
            <w:vAlign w:val="bottom"/>
          </w:tcPr>
          <w:p>
            <w:pPr>
              <w:ind w:left="120"/>
              <w:spacing w:after="0"/>
              <w:rPr>
                <w:sz w:val="20"/>
                <w:szCs w:val="20"/>
                <w:color w:val="auto"/>
              </w:rPr>
            </w:pPr>
            <w:r>
              <w:rPr>
                <w:rFonts w:ascii="Arial" w:cs="Arial" w:eastAsia="Arial" w:hAnsi="Arial"/>
                <w:sz w:val="14"/>
                <w:szCs w:val="14"/>
                <w:color w:val="auto"/>
              </w:rPr>
              <w:t>Unrealized losses on available-for-sale</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120"/>
              <w:spacing w:after="0"/>
              <w:rPr>
                <w:sz w:val="20"/>
                <w:szCs w:val="20"/>
                <w:color w:val="auto"/>
              </w:rPr>
            </w:pPr>
            <w:r>
              <w:rPr>
                <w:rFonts w:ascii="Arial" w:cs="Arial" w:eastAsia="Arial" w:hAnsi="Arial"/>
                <w:sz w:val="14"/>
                <w:szCs w:val="14"/>
                <w:color w:val="auto"/>
              </w:rPr>
              <w:t>securities</w:t>
            </w:r>
          </w:p>
        </w:tc>
        <w:tc>
          <w:tcPr>
            <w:tcW w:w="1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Balance as of December 31, 2022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198,575,016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-4817110</wp:posOffset>
            </wp:positionV>
            <wp:extent cx="709803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-4474210</wp:posOffset>
            </wp:positionV>
            <wp:extent cx="709803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-4131310</wp:posOffset>
            </wp:positionV>
            <wp:extent cx="709803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09803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098030" cy="2139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09803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09803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09803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09803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0980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09803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0980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9803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-5168265</wp:posOffset>
            </wp:positionV>
            <wp:extent cx="70980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448"/>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6"/>
        </w:trPr>
        <w:tc>
          <w:tcPr>
            <w:tcW w:w="1080" w:type="dxa"/>
            <w:vAlign w:val="bottom"/>
          </w:tcPr>
          <w:p>
            <w:pPr>
              <w:jc w:val="right"/>
              <w:ind w:right="4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647,078</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(460,452)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186,655</w:t>
            </w:r>
          </w:p>
        </w:tc>
        <w:tc>
          <w:tcPr>
            <w:tcW w:w="0" w:type="dxa"/>
            <w:vAlign w:val="bottom"/>
          </w:tcPr>
          <w:p>
            <w:pPr>
              <w:spacing w:after="0"/>
              <w:rPr>
                <w:sz w:val="1"/>
                <w:szCs w:val="1"/>
                <w:color w:val="auto"/>
              </w:rPr>
            </w:pPr>
          </w:p>
        </w:tc>
      </w:tr>
      <w:tr>
        <w:trPr>
          <w:trHeight w:val="332"/>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834</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310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337"/>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1,020</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10,583</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10,583</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21,047</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21,047</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(94,313)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(94,313)</w:t>
            </w:r>
          </w:p>
        </w:tc>
        <w:tc>
          <w:tcPr>
            <w:tcW w:w="0" w:type="dxa"/>
            <w:vAlign w:val="bottom"/>
          </w:tcPr>
          <w:p>
            <w:pPr>
              <w:spacing w:after="0"/>
              <w:rPr>
                <w:sz w:val="1"/>
                <w:szCs w:val="1"/>
                <w:color w:val="auto"/>
              </w:rPr>
            </w:pPr>
          </w:p>
        </w:tc>
      </w:tr>
      <w:tr>
        <w:trPr>
          <w:trHeight w:val="26"/>
        </w:trPr>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680,872</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(554,765)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126,112</w:t>
            </w:r>
          </w:p>
        </w:tc>
        <w:tc>
          <w:tcPr>
            <w:tcW w:w="0" w:type="dxa"/>
            <w:vAlign w:val="bottom"/>
          </w:tcPr>
          <w:p>
            <w:pPr>
              <w:spacing w:after="0"/>
              <w:rPr>
                <w:sz w:val="1"/>
                <w:szCs w:val="1"/>
                <w:color w:val="auto"/>
              </w:rPr>
            </w:pPr>
          </w:p>
        </w:tc>
      </w:tr>
      <w:tr>
        <w:trPr>
          <w:trHeight w:val="332"/>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819</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2"/>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190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584</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8"/>
        </w:trPr>
        <w:tc>
          <w:tcPr>
            <w:tcW w:w="108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101,142</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101,146</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12,039</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12,039</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(158,165)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(158,165)</w:t>
            </w:r>
          </w:p>
        </w:tc>
        <w:tc>
          <w:tcPr>
            <w:tcW w:w="0" w:type="dxa"/>
            <w:vAlign w:val="bottom"/>
          </w:tcPr>
          <w:p>
            <w:pPr>
              <w:spacing w:after="0"/>
              <w:rPr>
                <w:sz w:val="1"/>
                <w:szCs w:val="1"/>
                <w:color w:val="auto"/>
              </w:rPr>
            </w:pPr>
          </w:p>
        </w:tc>
      </w:tr>
      <w:tr>
        <w:trPr>
          <w:trHeight w:val="25"/>
        </w:trPr>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795,540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(712,930)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82,617</w:t>
            </w:r>
          </w:p>
        </w:tc>
        <w:tc>
          <w:tcPr>
            <w:tcW w:w="0" w:type="dxa"/>
            <w:vAlign w:val="bottom"/>
          </w:tcPr>
          <w:p>
            <w:pPr>
              <w:spacing w:after="0"/>
              <w:rPr>
                <w:sz w:val="1"/>
                <w:szCs w:val="1"/>
                <w:color w:val="auto"/>
              </w:rPr>
            </w:pPr>
          </w:p>
        </w:tc>
      </w:tr>
      <w:tr>
        <w:trPr>
          <w:trHeight w:val="332"/>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71,618</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71,625</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10,750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10,750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(67,207)</w:t>
            </w:r>
          </w:p>
        </w:tc>
        <w:tc>
          <w:tcPr>
            <w:tcW w:w="0" w:type="dxa"/>
            <w:vAlign w:val="bottom"/>
          </w:tcPr>
          <w:p>
            <w:pPr>
              <w:spacing w:after="0"/>
              <w:rPr>
                <w:sz w:val="1"/>
                <w:szCs w:val="1"/>
                <w:color w:val="auto"/>
              </w:rPr>
            </w:pPr>
          </w:p>
        </w:tc>
      </w:tr>
      <w:tr>
        <w:trPr>
          <w:trHeight w:val="25"/>
        </w:trPr>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878,500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8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(780,137)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98,329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-7620</wp:posOffset>
            </wp:positionV>
            <wp:extent cx="8318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-1765300</wp:posOffset>
            </wp:positionV>
            <wp:extent cx="8318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-3573780</wp:posOffset>
            </wp:positionV>
            <wp:extent cx="8318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240"/>
            <w:col w:w="5240"/>
          </w:cols>
          <w:pgMar w:left="320" w:top="125" w:right="399" w:bottom="1440" w:gutter="0" w:footer="0" w:header="0"/>
          <w:type w:val="continuous"/>
        </w:sectPr>
      </w:pP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0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(67,207)</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(158,165)</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(94,313)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lease expense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3,085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2,147</w:t>
            </w:r>
          </w:p>
        </w:tc>
        <w:tc>
          <w:tcPr>
            <w:tcW w:w="0" w:type="dxa"/>
            <w:vAlign w:val="bottom"/>
          </w:tcPr>
          <w:p>
            <w:pPr>
              <w:spacing w:after="0"/>
              <w:rPr>
                <w:sz w:val="1"/>
                <w:szCs w:val="1"/>
                <w:color w:val="auto"/>
              </w:rPr>
            </w:pPr>
          </w:p>
        </w:tc>
      </w:tr>
      <w:tr>
        <w:trPr>
          <w:trHeight w:val="182"/>
        </w:trPr>
        <w:tc>
          <w:tcPr>
            <w:tcW w:w="700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12,039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10,583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 in derivative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2"/>
        </w:trPr>
        <w:tc>
          <w:tcPr>
            <w:tcW w:w="7000" w:type="dxa"/>
            <w:vAlign w:val="bottom"/>
          </w:tcPr>
          <w:p>
            <w:pPr>
              <w:ind w:left="340"/>
              <w:spacing w:after="0"/>
              <w:rPr>
                <w:sz w:val="20"/>
                <w:szCs w:val="20"/>
                <w:color w:val="auto"/>
              </w:rPr>
            </w:pPr>
            <w:r>
              <w:rPr>
                <w:rFonts w:ascii="Arial" w:cs="Arial" w:eastAsia="Arial" w:hAnsi="Arial"/>
                <w:sz w:val="14"/>
                <w:szCs w:val="14"/>
                <w:color w:val="auto"/>
              </w:rPr>
              <w:t>Debt refinancing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Gain on sale of equipment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000" w:type="dxa"/>
            <w:vAlign w:val="bottom"/>
          </w:tcPr>
          <w:p>
            <w:pPr>
              <w:ind w:left="340"/>
              <w:spacing w:after="0"/>
              <w:rPr>
                <w:sz w:val="20"/>
                <w:szCs w:val="20"/>
                <w:color w:val="auto"/>
              </w:rPr>
            </w:pPr>
            <w:r>
              <w:rPr>
                <w:rFonts w:ascii="Arial" w:cs="Arial" w:eastAsia="Arial" w:hAnsi="Arial"/>
                <w:sz w:val="14"/>
                <w:szCs w:val="14"/>
                <w:color w:val="auto"/>
              </w:rPr>
              <w:t>Non-cash interest expense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540"/>
              <w:spacing w:after="0"/>
              <w:rPr>
                <w:sz w:val="20"/>
                <w:szCs w:val="20"/>
                <w:color w:val="auto"/>
              </w:rPr>
            </w:pPr>
            <w:r>
              <w:rPr>
                <w:rFonts w:ascii="Arial" w:cs="Arial" w:eastAsia="Arial" w:hAnsi="Arial"/>
                <w:sz w:val="14"/>
                <w:szCs w:val="14"/>
                <w:color w:val="auto"/>
              </w:rPr>
              <w:t>Unbilled revenue</w:t>
            </w:r>
          </w:p>
        </w:tc>
        <w:tc>
          <w:tcPr>
            <w:tcW w:w="8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000" w:type="dxa"/>
            <w:vAlign w:val="bottom"/>
          </w:tcPr>
          <w:p>
            <w:pPr>
              <w:ind w:left="540"/>
              <w:spacing w:after="0"/>
              <w:rPr>
                <w:sz w:val="20"/>
                <w:szCs w:val="20"/>
                <w:color w:val="auto"/>
              </w:rPr>
            </w:pPr>
            <w:r>
              <w:rPr>
                <w:rFonts w:ascii="Arial" w:cs="Arial" w:eastAsia="Arial" w:hAnsi="Arial"/>
                <w:sz w:val="14"/>
                <w:szCs w:val="14"/>
                <w:color w:val="auto"/>
              </w:rPr>
              <w:t>Inventory</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(28,346)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Prepaid commercial manufacturing</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000" w:type="dxa"/>
            <w:vAlign w:val="bottom"/>
          </w:tcPr>
          <w:p>
            <w:pPr>
              <w:ind w:left="540"/>
              <w:spacing w:after="0"/>
              <w:rPr>
                <w:sz w:val="20"/>
                <w:szCs w:val="20"/>
                <w:color w:val="auto"/>
              </w:rPr>
            </w:pPr>
            <w:r>
              <w:rPr>
                <w:rFonts w:ascii="Arial" w:cs="Arial" w:eastAsia="Arial" w:hAnsi="Arial"/>
                <w:sz w:val="14"/>
                <w:szCs w:val="14"/>
                <w:color w:val="auto"/>
              </w:rPr>
              <w:t>Prepaid expenses and other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(4,653)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82"/>
        </w:trPr>
        <w:tc>
          <w:tcPr>
            <w:tcW w:w="7000" w:type="dxa"/>
            <w:vAlign w:val="bottom"/>
          </w:tcPr>
          <w:p>
            <w:pPr>
              <w:ind w:left="540"/>
              <w:spacing w:after="0"/>
              <w:rPr>
                <w:sz w:val="20"/>
                <w:szCs w:val="20"/>
                <w:color w:val="auto"/>
              </w:rPr>
            </w:pPr>
            <w:r>
              <w:rPr>
                <w:rFonts w:ascii="Arial" w:cs="Arial" w:eastAsia="Arial" w:hAnsi="Arial"/>
                <w:sz w:val="14"/>
                <w:szCs w:val="14"/>
                <w:color w:val="auto"/>
              </w:rPr>
              <w:t>Accrued compensation and benefits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Operating lease liabilities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r>
        <w:trPr>
          <w:trHeight w:val="182"/>
        </w:trPr>
        <w:tc>
          <w:tcPr>
            <w:tcW w:w="7000" w:type="dxa"/>
            <w:vAlign w:val="bottom"/>
          </w:tcPr>
          <w:p>
            <w:pPr>
              <w:ind w:left="540"/>
              <w:spacing w:after="0"/>
              <w:rPr>
                <w:sz w:val="20"/>
                <w:szCs w:val="20"/>
                <w:color w:val="auto"/>
              </w:rPr>
            </w:pPr>
            <w:r>
              <w:rPr>
                <w:rFonts w:ascii="Arial" w:cs="Arial" w:eastAsia="Arial" w:hAnsi="Arial"/>
                <w:sz w:val="14"/>
                <w:szCs w:val="14"/>
                <w:color w:val="auto"/>
              </w:rPr>
              <w:t>Accrued and other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4,138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Deferred revenue</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(70,044)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(152,551)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(81,435)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maturities and redemptions of investments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125,550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119,734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Purchases of investments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(50,328)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(72,735)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(150,852)</w:t>
            </w: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Purchases of property and equipment</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Arial" w:cs="Arial" w:eastAsia="Arial" w:hAnsi="Arial"/>
                <w:sz w:val="14"/>
                <w:szCs w:val="14"/>
                <w:color w:val="auto"/>
              </w:rPr>
              <w:t>Net cash provided by (used in) investing activities</w:t>
            </w: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18,415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50,948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(31,442)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2022 Loan, net of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26,971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Payments for 2018 Loan, net of costs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(33,038)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(19,444)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the sale of future royalties, net of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Proceeds from issuance of common stock in at the market offering, net of issuance costs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71,625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101,146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21,047</w:t>
            </w:r>
          </w:p>
        </w:tc>
        <w:tc>
          <w:tcPr>
            <w:tcW w:w="0" w:type="dxa"/>
            <w:vAlign w:val="bottom"/>
          </w:tcPr>
          <w:p>
            <w:pPr>
              <w:spacing w:after="0"/>
              <w:rPr>
                <w:sz w:val="1"/>
                <w:szCs w:val="1"/>
                <w:color w:val="auto"/>
              </w:rPr>
            </w:pPr>
          </w:p>
        </w:tc>
      </w:tr>
      <w:tr>
        <w:trPr>
          <w:trHeight w:val="182"/>
        </w:trPr>
        <w:tc>
          <w:tcPr>
            <w:tcW w:w="7000" w:type="dxa"/>
            <w:vAlign w:val="bottom"/>
          </w:tcPr>
          <w:p>
            <w:pPr>
              <w:ind w:left="200"/>
              <w:spacing w:after="0"/>
              <w:rPr>
                <w:sz w:val="20"/>
                <w:szCs w:val="20"/>
                <w:color w:val="auto"/>
              </w:rPr>
            </w:pPr>
            <w:r>
              <w:rPr>
                <w:rFonts w:ascii="Arial" w:cs="Arial" w:eastAsia="Arial" w:hAnsi="Arial"/>
                <w:sz w:val="14"/>
                <w:szCs w:val="14"/>
                <w:color w:val="auto"/>
              </w:rPr>
              <w:t>Proceeds from issuance of common stock under equity incentive and stock purchase plans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75,341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82,999</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22,776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23,712</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(90,101)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72,428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91,032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181,133</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96,140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72,428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paid for interest</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r>
        <w:trPr>
          <w:trHeight w:val="182"/>
        </w:trPr>
        <w:tc>
          <w:tcPr>
            <w:tcW w:w="7000" w:type="dxa"/>
            <w:vAlign w:val="bottom"/>
          </w:tcPr>
          <w:p>
            <w:pPr>
              <w:ind w:left="120"/>
              <w:spacing w:after="0"/>
              <w:rPr>
                <w:sz w:val="20"/>
                <w:szCs w:val="20"/>
                <w:color w:val="auto"/>
              </w:rPr>
            </w:pPr>
            <w:r>
              <w:rPr>
                <w:rFonts w:ascii="Arial" w:cs="Arial" w:eastAsia="Arial" w:hAnsi="Arial"/>
                <w:sz w:val="14"/>
                <w:szCs w:val="14"/>
                <w:color w:val="auto"/>
              </w:rPr>
              <w:t>Cash paid for income taxes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Supplementary disclosure of non-cash activities: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00" w:type="dxa"/>
            <w:vAlign w:val="bottom"/>
          </w:tcPr>
          <w:p>
            <w:pPr>
              <w:ind w:left="120"/>
              <w:spacing w:after="0"/>
              <w:rPr>
                <w:sz w:val="20"/>
                <w:szCs w:val="20"/>
                <w:color w:val="auto"/>
              </w:rPr>
            </w:pPr>
            <w:r>
              <w:rPr>
                <w:rFonts w:ascii="Arial" w:cs="Arial" w:eastAsia="Arial" w:hAnsi="Arial"/>
                <w:sz w:val="14"/>
                <w:szCs w:val="14"/>
                <w:color w:val="auto"/>
              </w:rPr>
              <w:t>Right-of-use assets obtained in exchange for lease obligations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Issuance of common stock for services</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2"/>
        </w:trPr>
        <w:tc>
          <w:tcPr>
            <w:tcW w:w="7000" w:type="dxa"/>
            <w:vAlign w:val="bottom"/>
          </w:tcPr>
          <w:p>
            <w:pPr>
              <w:ind w:left="120"/>
              <w:spacing w:after="0"/>
              <w:rPr>
                <w:sz w:val="20"/>
                <w:szCs w:val="20"/>
                <w:color w:val="auto"/>
              </w:rPr>
            </w:pPr>
            <w:r>
              <w:rPr>
                <w:rFonts w:ascii="Arial" w:cs="Arial" w:eastAsia="Arial" w:hAnsi="Arial"/>
                <w:sz w:val="14"/>
                <w:szCs w:val="14"/>
                <w:color w:val="auto"/>
              </w:rPr>
              <w:t>Issuance of derivative in connection with issuance of loan payable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targeted, first-in-class, oral, small molecule therapy. Tenapanor, branded as IBSRELA, is approved in the U.S. for the treatment of adults with irritable bowel syndrome with constipation (“IBS-C”). Tenapanor is in development for the control of serum phosphorus in adult patients with chronic kidney disease (“CKD”) on dialysis under the brand name XPHOZAH.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business segment, which is the development and commercialization of biopharmaceutical products.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2022, we had cash and short-term investments of approximately $123.9 million. We have incurred operating losses since inception in 2007 and our accumulated deficit as of December 31, 2022 is $780.1 million. Our current level of cash and short-term investments alone is not sufficient to meet our plans for the next twelve months following the issuance of these financial statements on March 2, 2023. These factors raise substantial doubt regarding our ability to continue as a going concern for a period of one year from the issuance of these financial statements. We plan to address our operating cash flow requirements with our current cash and short-term investments, cash generated from product sales of IBSRELA, and if approved, cash generated from sales of XPHOZAH, our potential receipt of anticipated milestones payments from our collaboration partners, our potential receipt of anticipated payments from our Japanese collaboration partner under the second amendment to our License Agreement, with additional financing sources and through the implementation of cash preservation activities to reduce or defer discretionary spending.</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no assurances that our efforts to meet our operating cash flow requirements will be successful. If our current cash and short-term investments as well as our plans to meet our operating cash flow requirements are not sufficient to fund necessary expenditures and meet our obligations for at least the next twelve months following the issuance of these financial statements, our liquidity, financial condition and business prospects will be materially affected. These financial statements have been prepared on a going concern basis and do not include any adjustments to the amounts and classification of assets and liabilities that may be necessary in the event that we can no longer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consider all highly liquid investments purchased with an original maturity date of 90 days or less on the date of purchase to be cash equivalents.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included in accumulated other comprehensive loss on our balance sheets. The cost of available-for-sale securities sold is based on the specific-identification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its balance sheet. Cash, cash equivalents and short-term investments are invested through banks and other financial institutions in the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manage our foreign currency exposures with the use of foreign currency purchases. We primarily conduct business in U.S. dollars; however, a portion of our expense and capital activities are transacted in foreign currencies which are subject to exchange rate fluctuations that can affect cash or earnings. We have been in a loss position and therefore our primary objective is to conserve and manage cash. There are generally two methods by which we may manage the cash flow risk of foreign exchange fluctuations when a contract is signed (i) we can purchase the foreign funds, in full or in part, upon the execution of the contract, or (ii) we can obtain the right to purchase such funds, in full or in part, at the execution of the contract, i.e., obtain a forward contract from an appropriate bank, that can be exercised to obtain the currency of interest at a particular point in time. The derivative instruments that we may use to hedge the exposure shall generally not be designated as cash flow hedges, and as a result, changes in their fair value would be recorded in other income (expense), net, in our statements of operations and comprehensive loss. The fair values of forward foreign currency exchange contracts would be estimated using current exchange rates and interest rates and the current creditworthiness of the counterparties is taken into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with ranges generally from three to five years. Leasehold improvements are amortized over the lesser of the estimated useful lives or the related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 For the years ending December 31, 2022, 2021 and 2020 we have recognized no impairment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is reported net of allowances for returns, chargebacks and contractual off-invoice and prompt-pay discounts offered to our customers. Our estimate of the allowance for doubtful accounts is based on an evaluation of the aging of our receivables. Trade receivable balances are written off against the allowance when it is probable that the receivable will not be collected. To date, we have determined that an allowance for doubtful accounts is not required. As of December 31, 2022 our accounts receivable balance was comprised of $0.7 million from our collaboration agreements and $7.0 million from commercial customers. As of December 31, 2021 our accounts receivable balance was comprised of $0.5 million from our collaborators.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Prior to the regulatory approval of drug product candidates, we incurred expenses for the manufacture of drug product that could potentially be available to support the commercial launch of our products or could be sold to our international partners under product supply agreements.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Inventory is stated at the lower of cost or estimated net realizable value with cost determined under the first-in first-out method. Inventory costs include the cost of materials,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compared to our forecasted sales. If actual market conditions are less favorable than projected by management, write-downs of inventory may be required, which would be recorded as cost of revenue in the statement of operations and comprehensive loss. As of December 31, 2022, we have not recorded any write-offs for excess and obsolete inventory. A portion of inventory that represents product that is not expected to be sold or used within the next 12 months is classified as non-current on our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account for our commercial product sales, net in accordance with Topic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received approval from the U.S. Food and Drug Administration (“FDA”) in September 2019 to market IBSRELA in the U.S.. We began selling IBSRELA in the U.S. in March 2022. We distribute IBSRELA principally through major wholesalers, specialty pharmacies and group purchasing organizations ("GPOs") (collectively, our "Customers"). Our Customers subsequently sell IBSRELA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for Variable Consideration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which may be settled in the form of off-invoice discounts, chargebacks, or rebates. Variable consideration includes discounts to customers and government programs, wholesaler fees, group purchasing organization administrative fees, patient copay assistance programs, and estimated product returns. These estimates are based on the amounts earned or to be claimed for related sales and are classified as reductions of gross accounts receivable if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experience, current contractual and statutory requirements, specific known market events and trends.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experience, estimates will be more heavily based on the expected utilization from historical data we have accumulated since the IBSRELA product launch.</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and the establishment of a current liability which is included in accrued expenses on the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estimated utilization by types of contracted purchasers.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and are recorded in accounts payable and accrued expenses and other current liabilities on the balance sheets. Other reserves include estimated product returns which are recorded in the same period the related gross revenue is recognized, resulting in a reduction of product revenue as well as accounts receivable. We estimate our product returns reserve based upon our experience, and specific known market events and trends.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generate collaboration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Amounts received prior to satisfying the revenue recognition criteria are recorded as contract liabilities in our Balance Sheets. If the related performance obligation is expected to be satisfied within the next twelve months it will be classified in current liabilities. Amounts recognized as revenue prior to receipt are recorded as contract assets in our Balance Sheets. If we expect to have an unconditional right to receive the consideration in the next twelve months, it will be classified in current assets. A net contract asset or liability is presented for each contract with a customer.</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we evaluate whether the milestones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our control or the control of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 when the customer obtains control of the goods, which is upon delivery.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where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licensing arrangements has not been material.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a license granted to a customer to use our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Customer options, such as options granted to allow a licensee to choose to research, develop and commercialize licensed compounds are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 that are approved by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w:t>
      </w:r>
    </w:p>
    <w:p>
      <w:pPr>
        <w:spacing w:after="0" w:line="2" w:lineRule="exact"/>
        <w:rPr>
          <w:sz w:val="20"/>
          <w:szCs w:val="20"/>
          <w:color w:val="auto"/>
        </w:rPr>
      </w:pPr>
    </w:p>
    <w:p>
      <w:pPr>
        <w:jc w:val="both"/>
        <w:ind w:firstLine="8"/>
        <w:spacing w:after="0" w:line="255"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receive payments from our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accounts receivable or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consists of the cost of commercial goods sold to our Customers and international partners under product supply agreements as well as royalty expense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units recognized as revenue during the twelve months ended December 31, 2022 were expensed prior to the fourth quarter of 2021, at which time our intent to commercialize IBSRELA was established and we commenced preparation for the commercial launch of IBSRELA.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includes payments due to AstraZeneca, which under the terms of a termination agreement entered into in 2015 ("AZ Termination Agreement") is entitled to (i) future royalties at a rate of 10% of net sales of tenapanor or other NHE3 products by us or our licensees, and (ii) 20% of non-royalty revenue received from our collaboration partners as a result of the development and commercialization of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$15.3 million as cost of revenue under the AZ Termination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costs are charged to expense as incurred and consisted of costs incurred to further our research and development activities and include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our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required to estimate our accrued expenses at the end of each reporting period.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costs. The majority of our service providers submit invoices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our service providers and make adjustments if necessary. Examples of estimated accrued research and development expenses include fees paid to:</w:t>
      </w:r>
    </w:p>
    <w:p>
      <w:pPr>
        <w:spacing w:after="0" w:line="16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contract research organizations ("CROs")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supplies;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expenses related to clinical studies and manufacturing development activities based on our estimates of the services received and efforts expended pursuant to contracts with multiple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services will be performed, enrollment of subjects, number of sites activated and the level of effort to be expended in each period. If the actual timing of the performance of services or the level of effort varies from our estimate, we will adjust the accrued or prepaid expense balance accordingly.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compensation expense for all stock-based payment awards made to employees, non-employees and directors based on estimated fair values. For employee and non-employee stock options, we determine the grant date fair value of the awards using the Black-Scholes option-pricing model and generally recognize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our common stock on the date of grant and recognized as compensation expense on a straight-line basis over the requisite service period. Stock-based compensation expense is based on the value of the portion of stock-based payment awards that is ultimately expected to vest. As such, our stock-based compensation is reduced for the estimated forfeitures at the date of grant and revised, if necessary, in subsequent periods if actual forfeitures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our derivative instruments as either assets or liabilities on the balance sheet and measure them at fair value. Derivatives are adjusted to fair value through other income (expense), net in the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on Deferred Royalty Obligation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proceeds we receive from the sale of certain future royalties are recorded as deferred royalty obligation related to the sale of future royalties on our balance sheets. As we earn royalties and remit those royalties pursuant to the agreement, the balance of the deferred royalty obligation will be effectively repaid over the life of agreement and non-cash interest expense related to the sale of future royalties is recorded using the effective interest method. To determine the amortization of our deferred royalty obligation, we are required to estimate the total amount of future royalty payments we expect to earn. There are a number of factors that could materially affect the amount and timing of royalty payments, most of which are not within our control. We periodically assess the amount of royalty payments we expect to receive which are subject to the agreement and, to the extent that the amount or timing of such payments is materially different than our original estimates, we prospectively adjust the imputed interest rate and the related amortization of the deferred royalty obligation.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determine if an arrangement is a lease at the inception of the arrangement. Operating leases are included in right-of-use assets, current portion of operating lease liability, and operating lease liability, net of current portion in our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 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 We have elected not to separate lease and non-lease components, such as common area maintenance charges, and instead it accounts for these as a single lease component.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restructuring charges related to reorganization plans that have been committed to by management when liabilities have been incurred. In connection with these activities, we record restructuring charges at fair value for, (a) contractual employee termination benefits when obligations are associated to services already rendered, rights to such benefits have vested, and payment of benefits is probable and can be reasonably estimated, (b) one-time employee termination benefits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(c) contract termination costs when a contract is terminated before the end of its term.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shares of common stock outstanding during the period, without consideration of potential shares of common stock. Diluted net loss per common share in the periods presented is the same as basic net loss per common share, since the effects of potentially dilutive securities are antidilutive due to the net loss for all periods presented.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Recently Adopted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adopted Accounting Standards Update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("ASU 2016-13"), as of December 1, 2021 under the modified retrospective approach.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various accounting standards and interpretations issued recently, none of which are expected to a have a material impact on our financial position, operations or cash flows.</w:t>
      </w:r>
    </w:p>
    <w:p>
      <w:pPr>
        <w:spacing w:after="0" w:line="166"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Securities classified as cash, cash equivalents and short-term investments as of December 31, 2022 and 2021 are summarized below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Cash</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11,827</w:t>
            </w:r>
          </w:p>
        </w:tc>
        <w:tc>
          <w:tcPr>
            <w:tcW w:w="40" w:type="dxa"/>
            <w:vAlign w:val="bottom"/>
          </w:tcPr>
          <w:p>
            <w:pPr>
              <w:spacing w:after="0"/>
              <w:rPr>
                <w:sz w:val="19"/>
                <w:szCs w:val="19"/>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40" w:type="dxa"/>
            <w:vAlign w:val="bottom"/>
          </w:tcPr>
          <w:p>
            <w:pPr>
              <w:spacing w:after="0"/>
              <w:rPr>
                <w:sz w:val="19"/>
                <w:szCs w:val="19"/>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11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96,140</w:t>
            </w:r>
          </w:p>
        </w:tc>
        <w:tc>
          <w:tcPr>
            <w:tcW w:w="40" w:type="dxa"/>
            <w:vAlign w:val="bottom"/>
          </w:tcPr>
          <w:p>
            <w:pPr>
              <w:spacing w:after="0"/>
              <w:rPr>
                <w:sz w:val="19"/>
                <w:szCs w:val="19"/>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25,291</w:t>
            </w:r>
          </w:p>
        </w:tc>
        <w:tc>
          <w:tcPr>
            <w:tcW w:w="40" w:type="dxa"/>
            <w:vAlign w:val="bottom"/>
          </w:tcPr>
          <w:p>
            <w:pPr>
              <w:spacing w:after="0"/>
              <w:rPr>
                <w:sz w:val="19"/>
                <w:szCs w:val="19"/>
                <w:color w:val="auto"/>
              </w:rPr>
            </w:pPr>
          </w:p>
        </w:tc>
      </w:tr>
      <w:tr>
        <w:trPr>
          <w:trHeight w:val="230"/>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0" w:type="dxa"/>
            <w:vAlign w:val="bottom"/>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U.S. government-sponsored agency bonds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19"/>
                <w:szCs w:val="19"/>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40" w:type="dxa"/>
            <w:vAlign w:val="bottom"/>
          </w:tcPr>
          <w:p>
            <w:pPr>
              <w:spacing w:after="0"/>
              <w:rPr>
                <w:sz w:val="19"/>
                <w:szCs w:val="19"/>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123,909</w:t>
            </w:r>
          </w:p>
        </w:tc>
        <w:tc>
          <w:tcPr>
            <w:tcW w:w="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4420" w:type="dxa"/>
            <w:vAlign w:val="bottom"/>
          </w:tcPr>
          <w:p>
            <w:pPr>
              <w:spacing w:after="0"/>
              <w:rPr>
                <w:sz w:val="24"/>
                <w:szCs w:val="24"/>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85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Gross Unrealized</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Cash</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w:t>
            </w: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cash and cash equivalents</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72,428</w:t>
            </w: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31,935</w:t>
            </w:r>
          </w:p>
        </w:tc>
      </w:tr>
      <w:tr>
        <w:trPr>
          <w:trHeight w:val="230"/>
        </w:trPr>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Asset backed securities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44,261</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cash equivalents and investments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116,689</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balance sheets. We use the specific identification method to determine the amount of realized gains or losses on sales of marketable securities. Realized gains or losses have been insignificant and are included in other income, net, in the statement of operations and comprehensive loss.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the short-term available-for sale securities held as of December 31, 2022 and 2021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December 31, 2022 and 2021 were not material. We determined that none of our available-for-sale securities were other-than-temporarily impaired as of December 31, 2022 and 2021, and no investment was in a continuous unrealized loss position for more than one year. As such, we believe that it is more likely than not that the investments will be held until maturity or a forecasted recovery of fair value.</w:t>
      </w:r>
    </w:p>
    <w:p>
      <w:pPr>
        <w:spacing w:after="0" w:line="181"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Level 1 – Valuations are based on quoted prices in active markets for identical assets or liabilities and readily accessible to us at the reporting date.</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Valuations based on unobservable inputs for which there is little or no market data, which require us to develop our own assumptions.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fair value of our financial assets and liabilities that are measured or disclosed on a recurring basis by level within the fair value hierarchy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 Fair Value</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U.S. government-sponsored agency bonds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4"/>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112,082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liabilities for exit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3"/>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4"/>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8"/>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1"/>
                <w:szCs w:val="11"/>
                <w:color w:val="auto"/>
              </w:rPr>
            </w:pPr>
          </w:p>
        </w:tc>
        <w:tc>
          <w:tcPr>
            <w:tcW w:w="10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4"/>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115,436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44,261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8"/>
              </w:rPr>
              <w:t>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 for exit fee</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5600" w:type="dxa"/>
            <w:vAlign w:val="bottom"/>
            <w:gridSpan w:val="2"/>
          </w:tcPr>
          <w:p>
            <w:pPr>
              <w:jc w:val="center"/>
              <w:ind w:right="4780"/>
              <w:spacing w:after="0"/>
              <w:rPr>
                <w:sz w:val="20"/>
                <w:szCs w:val="20"/>
                <w:color w:val="auto"/>
              </w:rPr>
            </w:pPr>
            <w:r>
              <w:rPr>
                <w:rFonts w:ascii="Arial" w:cs="Arial" w:eastAsia="Arial" w:hAnsi="Arial"/>
                <w:sz w:val="18"/>
                <w:szCs w:val="18"/>
                <w:color w:val="auto"/>
                <w:w w:val="94"/>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and asset-backed securities as Level 2. In certain cases, where there is limited activity or less transparency around inputs to valuation, securities or derivative liabilities, such as the 2018 Exit Fee and 2022 Exit Fee, as defined and discussed in </w:t>
      </w:r>
      <w:r>
        <w:rPr>
          <w:rFonts w:ascii="Arial" w:cs="Arial" w:eastAsia="Arial" w:hAnsi="Arial"/>
          <w:sz w:val="17"/>
          <w:szCs w:val="17"/>
          <w:i w:val="1"/>
          <w:iCs w:val="1"/>
          <w:color w:val="auto"/>
        </w:rPr>
        <w:t>Note 10. Derivative Liabilities</w:t>
      </w:r>
      <w:r>
        <w:rPr>
          <w:rFonts w:ascii="Arial" w:cs="Arial" w:eastAsia="Arial" w:hAnsi="Arial"/>
          <w:sz w:val="17"/>
          <w:szCs w:val="17"/>
          <w:color w:val="auto"/>
        </w:rPr>
        <w:t>, are classified as Level 3.</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carrying amounts reflected in the balance sheets for cash equivalents, short-term investments, accounts receivable, prepaid expenses and other current assets, accounts payable and accrued expenses approximate their fair values at both December 31, 2022 and 2021, due to their short-term nature.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December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principal amount outstanding under our term loan facilities is subject to a variable interest rate. Therefore, we believe the carrying amount of the term loan facility approximates fair value as of December 31, 2022 and 2021. See </w:t>
      </w:r>
      <w:r>
        <w:rPr>
          <w:rFonts w:ascii="Arial" w:cs="Arial" w:eastAsia="Arial" w:hAnsi="Arial"/>
          <w:sz w:val="18"/>
          <w:szCs w:val="18"/>
          <w:i w:val="1"/>
          <w:iCs w:val="1"/>
          <w:color w:val="auto"/>
        </w:rPr>
        <w:t>Note 9. Borrowings</w:t>
      </w:r>
      <w:r>
        <w:rPr>
          <w:rFonts w:ascii="Arial" w:cs="Arial" w:eastAsia="Arial" w:hAnsi="Arial"/>
          <w:sz w:val="18"/>
          <w:szCs w:val="18"/>
          <w:color w:val="auto"/>
        </w:rPr>
        <w:t xml:space="preserve"> for a description of the Level 2 inputs used to estimate the fair value of the liability.</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value of the deferred royalty obligation related to the sale of future royalties approximates its fair value as of December 31, 2022 and is based on our current estimates of future royalties and commercialization milestones expected to be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paid to us by Kyowa Kirin Co., Ltd. ("KKC") over the life of the agreement. See </w:t>
      </w:r>
      <w:r>
        <w:rPr>
          <w:rFonts w:ascii="Arial" w:cs="Arial" w:eastAsia="Arial" w:hAnsi="Arial"/>
          <w:sz w:val="18"/>
          <w:szCs w:val="18"/>
          <w:i w:val="1"/>
          <w:iCs w:val="1"/>
          <w:color w:val="auto"/>
        </w:rPr>
        <w:t>Note 8. Deferred Royalty Obligation Related to the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 description of the Level 3 inputs used to estimate the fair value of the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capitalizing inventory during the fourth quarter of 2021, at which time our intent to commercialize IBSRELA was established and we commenced preparation for the commercial launch of IBSRELA. Inventory as of December 31, 2021 was not material. Inventory as of December 31, 2022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5,324</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r>
      <w:tr>
        <w:trPr>
          <w:trHeight w:val="20"/>
        </w:trPr>
        <w:tc>
          <w:tcPr>
            <w:tcW w:w="9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7"/>
        </w:trPr>
        <w:tc>
          <w:tcPr>
            <w:tcW w:w="9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Reported as:</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4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29"/>
        </w:trPr>
        <w:tc>
          <w:tcPr>
            <w:tcW w:w="9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non-current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23"/>
        </w:trPr>
        <w:tc>
          <w:tcPr>
            <w:tcW w:w="94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28,346</w:t>
            </w:r>
          </w:p>
        </w:tc>
      </w:tr>
      <w:tr>
        <w:trPr>
          <w:trHeight w:val="21"/>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commercial manufacturing of $13.6 million and $9.4 million as of December 31, 2022 and 2021, respectively, consisted of prepayments to third party contract manufacturing organizations for the manufacture of IBSRELA for production orders which we expect work to commence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REVENUE,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received approval from the FDA in September 2019 to market IBSRELA in the U.S. We began selling IBSRELA in the U.S. in March 2022. We recorded net revenue for IBSRELA of $15.6 million during the twelve months ended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AmerisourceBergen Drug Corporation, Cardinal Health, and McKesson Corporation made up 26.8%, 23.1%, and 21.6%, respectively, of our gross product revenue during the twelve months ended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Discounts and</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Rebates,</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1"/>
              </w:rPr>
              <w:t>Copay 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Wholesaler and</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Chargebacks</w:t>
            </w:r>
          </w:p>
        </w:tc>
        <w:tc>
          <w:tcPr>
            <w:tcW w:w="12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GPO Fees</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Returns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Activity related to 2022 sales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Credits/deductions issued</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product sales or gross-to-net accruals during the twelve months ended December 31, 2021 or 2020.</w:t>
      </w:r>
    </w:p>
    <w:p>
      <w:pPr>
        <w:spacing w:after="0" w:line="221"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 ("KKC")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KKC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2019, we entered into a research collaboration and option agreement with KKC ("2019 KKC Agreement”), to undergo research to identify two preclinical study-ready compounds for designation as development compounds, with one compound inhibiting the first undisclosed target (“Program 1”) and a second inhibiting the second undisclosed target (“Program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 Pursuant to the 2019 KKC Agreement, upon completion of the research and designation by the research steering committee of one or more development candidates (“DCs”), KKC has the right to execute one or more separate collaborative agreements relating to the development and commercialization of one or both DCs in certain specified territories.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2019 KKC Agreement, KKC paid us a non-refundable, non-creditable upfront fee of $10.0 million, in two installments as follows: the first installment of $5.0 million within 30 days of November 11, 2019 ("Effective Date"), and the second installment of $5.0 million on the first anniversary of the Effective Date. The original term of the 2019 KKC Agreement commenced on the Effective Date and was to end on the earliest of: (i) two years following the Effective Date, (ii) the nomination of a program DC for both programs, (iii) the nomination of one program DC and the decision by the parties to cease research for the other program, or (iv) the decision by the parties to cease research for both programs. We entered into three amendments to the 2019 KKC Agreement, which have resulted in the extension of the original term. Under the third amendment to the 2019 KKC Agreement entered into on June 28, 2022, the 2019 KKC Agreement ended on February 28, 2023.</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assessed the 2019 KKC Agreement in accordance with ASC 606 and concluded that the contract’s counterparty, KKC, is a customer. We also considered the modification guidance prescribed in ASC 606 and concluded that the 2019 KKC Agreement should be accounted for as a separate contract from the 2017 KKC Agreement, as defined and discussed below.</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identified various promises in the 2019 KKC Agreement, including the grant of an initial research license, the Program 1 research, the Program 2 research, the right to obtain certain development and commercialization rights with Program 1 in certain territories and the right to obtain development and commercialization rights with Program 2 in certain territories, and participation in a joint steering committee (“JSC”) and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We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outset of the 2019 KKC Agreement, we determined that the initial transaction price was $10.0 million and that revenue associated with the combined performance obligations should be recognized as services are provided using the input method. Since transfer of control occurs over time, in management’s judgment this input method is the best measure of progress towards satisfying the performance obligations and reflects a faithful depiction of the transfer of goods and services. Revenue was recognized over the Program 1 and Program 2 research periods which concluded in 2021.</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2022 and 2021, we recognized zero and $4.2 million, respectively, as revenue under the 2019 KKC Agreement in the statement of operations and comprehensive loss. The transaction price had been fully allocated to revenue as of December 31, 2021 and there was no associated deferred revenue presented on the balance sheet as of December 31, 2022 or 2021. As of December 31, 2022 and 2021, we had no material future obligations under the 2019 KKC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KKC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2017, we entered into an exclusive license agreement with KKC (“2017 KKC Agreement”), under which we granted KKC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 In October 2022, we entered into a Commercial Supply Agreement with KKC to further define the obligations of the parties with respect to the commercial supply of tenapanor drug substance (“2022 KKC Supply Agreement”). As detailed below under the heading “Deferred revenue’ we have received advanced payments from KKC for the manufacturing of tenapanor drug substance that will be used to satisfy KKC needs.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assessed these arrangements in accordance with Accounting Standards Update (“ASU”)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jc w:val="both"/>
        <w:ind w:firstLine="8"/>
        <w:spacing w:after="0" w:line="255" w:lineRule="auto"/>
        <w:tabs>
          <w:tab w:leader="none" w:pos="41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related amendments (“ASC 606”) </w:t>
      </w:r>
      <w:r>
        <w:rPr>
          <w:rFonts w:ascii="Arial" w:cs="Arial" w:eastAsia="Arial" w:hAnsi="Arial"/>
          <w:sz w:val="18"/>
          <w:szCs w:val="18"/>
          <w:color w:val="auto"/>
        </w:rPr>
        <w:t>and concluded that the contract counterparty, KKC, is a customer. Under the terms of the 2017 KKC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 received $30.0 million in up-front license fees, which was recognized as revenue when the agreement was executed. Based on our assessment, management determined that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license and the manufacturing supply services were the material performance obligations at the inception of the 2017 KKC Agreement and, as such, each of the performance obligations is distinct.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Under the terms of the 2017 KKC Agreement, KKC paid us an up-front license fee of $30.0 million,. We may be entitled to receive up to $55.0 million in total development and regulatory milestones, of which $20.0 million has been received and recognized as revenue as of December 31, 2022. We may also be eligible to receive approximately ¥8.5 billion for commercialization milestones, or approximately $64.6 million at the currency exchange rate on December 31, 2022, as well as reimbursement of costs plus a reasonable overhead for the supply of product and royalties on net sales throughout the term of the agreement. As discussed in </w:t>
      </w:r>
      <w:r>
        <w:rPr>
          <w:rFonts w:ascii="Arial" w:cs="Arial" w:eastAsia="Arial" w:hAnsi="Arial"/>
          <w:sz w:val="18"/>
          <w:szCs w:val="18"/>
          <w:i w:val="1"/>
          <w:iCs w:val="1"/>
          <w:color w:val="auto"/>
        </w:rPr>
        <w:t>Note 8. Deferred Royalty Obligation Related to the Sale of Future Royalties</w:t>
      </w:r>
      <w:r>
        <w:rPr>
          <w:rFonts w:ascii="Arial" w:cs="Arial" w:eastAsia="Arial" w:hAnsi="Arial"/>
          <w:sz w:val="18"/>
          <w:szCs w:val="18"/>
          <w:color w:val="auto"/>
        </w:rPr>
        <w:t>, the future royalties and commercial milestone payments we may receive under the 2017 KKC Agreement will be remitted to HealthCare Royalty Partners IV, L.P. pursuant to a Royalty and Sales Milestone Interest Acquisition Agreement. The variable consideration related to the remaining milestone payments was fully constrained at December 31, 2022 and 2021.</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2022, we entered into a second amendment to the 2017 KKC Agreement ("2022 Amendment"). Under the terms of the 2022 Amendment, we and KKC have agreed to a reduction in the royalty rate payable to us by KKC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Arial" w:cs="Arial" w:eastAsia="Arial" w:hAnsi="Arial"/>
          <w:sz w:val="17"/>
          <w:szCs w:val="17"/>
          <w:i w:val="1"/>
          <w:iCs w:val="1"/>
          <w:color w:val="auto"/>
        </w:rPr>
        <w:t>Note 8. Deferred Royalty Obligation Related to the Sale of Future Royalties</w:t>
      </w:r>
      <w:r>
        <w:rPr>
          <w:rFonts w:ascii="Arial" w:cs="Arial" w:eastAsia="Arial" w:hAnsi="Arial"/>
          <w:sz w:val="17"/>
          <w:szCs w:val="17"/>
          <w:color w:val="auto"/>
        </w:rPr>
        <w:t>, the future commercial milestones and royalties we may receive under the 2017 KKC Agreement will be remitted to HealthCare Royalty Partners IV, L.P. pursuant to a Royalty and Sales Milestone Interest Acquisition Agreement. As consideration for the reduction in the royalty rate, KKC agreed to pay us up to an additional $40.0 million payable in two tranches, with the first payment due following KKC's filing with the Japanese Ministry of Health, Labour and Welfare of its application for marketing approval for tenapanor and the second payment due following KKC’s receipt of regulatory approval to market tenapanor for hyperphosphatemia in Japan.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2022, we announced that KKC submitted an NDA to the Japanese Ministry of Health, Labour and Welfare for tenapanor for the improvement of hyperphosphatemia in adult patients with CKD on dialysis, which resulted in payment to us from KKC for an aggregate of $35.0 million for milestone payments and payments under the 2022 Amendment. We received these payments during the fourth quarter of 2022 and recorded them as licensing revenue on our statement of operations and comprehensive loss. The remaining variable consideration related to the reduction in the royalty rate was fully constrained at December 31, 2022. For the year ended December 31, 2021, $5.0 million of licensing revenue was recorded upon the initiation of phase 3 clinical studies by KKC in Japan to evaluate tenapanor for hyperphosphatemia.</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and 2021, $1.5 million and $0.9 million, respectively, of product supply revenue was recorded for manufacturing supply of tenapanor and other materials to KKC for product development and clinical trials in Japan, in accordance with our agreement with the 2017 KKC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2022 and 2021, $35.0 million and $5.0 million, respectively, of licensing revenue was recorded. The 2022 licensing revenue was earned upon KKC's submission of an NDA to the Japanese Ministry of Health, Labour and Welfare for tenapanor for the improvement of hyperphosphatemia in adult patients with CKD on dialysis. The 2021 licensing revenue was recorded upon the initiation of Phase 3 clinical studies by KKC in Japan to evaluate tenapanor for hyperphosphatemia.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("Fosun Pharma")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was fully constrained at December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revenue related to the Fosun Agreement during the years ended December 31, 2022 and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Knight Therapeutics, Inc. ("Knight")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Knight Agreement, we received a $2.3 million non-refundable, one-time upfront payment in March 2018 and may be eligible to receive additional development and commercialization milestone payments worth up to CAD22.2, or approximately $16.3 million at the currency exchange rate on December 31, 2022. We are also eligible to receive royalties ranging from the mid-single digits to the low twenties throughout the term of the agreement, and a transfer price for manufacturing services. The variable consideration related to the remaining development milestone payments were fully constrained at December 31, 2022 and 2021.</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years ended December 31, 2022 and 2021, $31 thousand and $13 thousand of licensing revenue was recorded, respectively, related to the Knight Agreement. For the years ended December 31, 2022 and 2021, no product supply revenue was recorded, respectively, related to the Knight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AB ("AstraZeneca")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For the years ended December 31, 2022 and 2021, we recognized $3.6 million and $1.0 million, respectively, as cost of revenue related to the AstraZeneca Termination Agreement. To date in aggregate, we have recognized $15.3 million of the $75.0 million aggregate maximum related to the AstraZeneca Termination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present changes in our current and non-current deferred revenue balances during the reporting period. The December 31, 2022 deferred revenue current and non-current balances are attributable entirely to prepayments for product supply under the 2017 KKC Agreement, while the December 31, 2021 current deferred revenue balance is attributable to the 2019 KKC Agreement and the December 31, 2021 non-current deferred revenue balance is attributable prepayments for product supply under the 2017 KKC Agreement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revenue - current</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Balance at January 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w w:val="99"/>
              </w:rPr>
              <w:t>Increases due to cash received, excluding amounts recognized as revenue during the period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Increases due to amounts reclassified from non-current, to be recognized in the next twelve months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due to revenue recognized in the period for which cash has been received</w:t>
            </w:r>
          </w:p>
        </w:tc>
        <w:tc>
          <w:tcPr>
            <w:tcW w:w="4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25"/>
        </w:trPr>
        <w:tc>
          <w:tcPr>
            <w:tcW w:w="7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Deferred revenue - non-current</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Balance at January 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Increases due to cash received during the period</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3,242</w:t>
            </w:r>
          </w:p>
        </w:tc>
      </w:tr>
      <w:tr>
        <w:trPr>
          <w:trHeight w:val="230"/>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Increases to amounts invoiced, for which cash has not yet been received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Increase due to unbilled prepayments recorded during the period</w:t>
            </w:r>
          </w:p>
        </w:tc>
        <w:tc>
          <w:tcPr>
            <w:tcW w:w="4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30"/>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Decreases due to amounts reclassified as current, to be recognized in the next twelve months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Balance at December 31,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r>
      <w:tr>
        <w:trPr>
          <w:trHeight w:val="21"/>
        </w:trPr>
        <w:tc>
          <w:tcPr>
            <w:tcW w:w="1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ROYALTY OBLIGATION RELATED TO THE SALE OF FUTURE ROYALTIES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KKC based upon KKC's net sales of tenapanor in Japan for hyperphosphatemia. As consideration for the sale of the Royalty Interest Payments, HCR paid to us a $10.0 million upfront payment, and we are eligible to receive a $5.0 million payment following KKC's receipt of regulatory approval to market tenapanor for hyperphosphatemia in Japan, and another $5.0 million payment in the event net sales by KKC in Japan exceed a certain annual target level by the end of 2025.</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KKC Agreement, to create or incur any liens with respect to the Royalty Interest Payments, the 2017 KKC Agreement or certain patents, or to sell, license or transfer certain patents in the field and territory described in the 2017 KKC Agreement.</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KKC Agreement in any manner which is likely to cause a material adverse effect on the Royalty Interest Payments, the occurrence of a termination of the 2017 KKC Agreement under certain circumstances or we or our assets become subject to certain legal proceedings, such as bankruptcy proceedings, or we are unable to pay our debts as they become due.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received the $10.0 million upfront payment from HCR during June 2022 and recorded it as a deferred royalty obligation related to the sale of future royalties ("deferred royalty obligation") on our balance sheet. Due to our ongoing manufacturing obligations under the 2017 KKC Agreement, we account for the proceeds as imputed debt and therefore will recognize royalties received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KKC.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KKC,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KKC under the 2017 KKC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KKC are made in Japanese yen, and other events or circumstances that could result in reduced royalty payments from KKC, which are not within our control, and all of which would result in a reduction of non-cash royalty revenues and the non-cash interest expense over the life of the deferred royalty obligation. We periodically assess the estimated royalty payments from KKC and, to the extent that the amount or timing of such payments is materially different than our original estimates, we prospectively adjust the imputed interest rate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related amortization of the deferred royalty obligation. As of December 31, 2022, our effective interest rate used to amortize the liability is 34.4%.</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December 31, 2022, we recognized approximately $1.7 million of non-cash interest expense for the amortization of the deferred royalty obligation. As of December 31, 2022, we have received no royalty payments from KKC and, therefore, the deferred royalty obligation has not begun to be reduced.</w:t>
      </w:r>
    </w:p>
    <w:p>
      <w:pPr>
        <w:spacing w:after="0" w:line="180"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2018, we entered into a loan and security agreement ("2018 Loan Agreement"), with Solar Capital Ltd. and Western Alliance Bank ("Lenders”). The 2018 Loan Agreement provided for a $50.0 million term loan facility with a maturity date of November 1, 2022 ("2018 Term Loan”). The full amount of the 2018 Term Loan was funded on May 16, 2018. We received net proceeds from the loan of approximately $49.3 million, after deducting the closing fee, legal expenses and issuance costs. In October 2020, we and the Lenders entered into an amendment to the 2018 Loan Agreement (“2020 Amendment”) to extend the date through which we were permitted to make interest-only payments on the 2018 Term Loan by twelve months to December 1, 2021 subject to the repayment terms noted below.</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Borrowings under the 2018 Term Loan bore interest at a floating per annum rate equal to 7.45% plus the one-month London Inter-bank Offered Rate ("LIBOR"). We were permitted to make interest-only payments on the 2018 Term Loan through June 1, 2020, or until we achieved our primary endpoint in the Phase 3 study of tenapanor for the treatment of hyperphosphatemia in end-stage renal disease patients on dialysis prior to June 1, 2020, in which case we would have been permitted to make interest-only payments on the 2018 Term Loan through December 1, 2020. In December 2019, we reported positive topline results for PHREEDOM, a long-term Phase 3 study evaluating the efficacy and safety of tenapanor as monotherapy for the treatment of hyperphosphatemia in adult patients with CKD on dialysis. The Lenders were in agreement that these positive data from the Phase 3 PHREEDOM study achieve the “Phase 3 Endpoint” required by the 2018 Term Loan to extend the interest only period by six months to December 1, 2020. Subsequent to the 2020 Amendment, the interest only period was extended an additional twelve months to December 1, 2021. Accordingly, beginning on December 1, 2021 through the maturity date, we would have been required to make monthly payments of interest plus repayment of the 2018 Term Loan in consecutive equal monthly installments of principal. If however, either the FDA did not approve our NDA for tenapanor for control of serum phosphorus in adult patients with CKD on dialysis on or before May 31, 2021 or the FDA issued a Complete Response Letter ("CRL") for tenapanor for the control of serum phosphorus in adult patients with CKD on dialysis, then we would begin principal payments on the earlier of June 1, 2021 or the first day of the month immediately following the date that the FDA issued a CRL to us.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and July 2021, we and the Lenders entered into additional amendments to the 2018 Loan Agreement (“the 2021 Amendments”) which together extended the period of time that we were permitted to make interest-only payments on the 2018 Term Loan to December 1, 2021; provided that if we had not received FDA approval for our NDA for tenapanor for the control of serum phosphorus in adult patients with CDK on dialysis on or before October 25, 2021, the interest-only period would expire and principal repayments would be required to begin on November 1, 2021. If principal repayments were required to begin prior to December 1, 2021 under the 2021 Amendments, then the first such repayment was required to include all payments that would have been due if monthly principal repayment had begun on June 1, 2021. Accordingly, during November 2021, in compliance with the terms of our 2018 Loan Agreement, we began to repay principal on the 2018 Term Loan. As of the Closing Date for the 2022 Loan, as discussed below, we owed $25.0 million in principal payments from the 2018 Loan, which we repaid in full at that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SLR Investment Corp. Loan Agreement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23, 2022 (“Closing Date”), we entered into a loan and security agreement (“2022 Loan Agreement”) with SLR Investment Corp. as collateral agent (“Agent”), and the lenders listed in the 2022 Loan Agreement (collectively the “2022 Lenders”). The 2022 Loan Agreement provides for a senior secured loan facility, with $27.5 million (“Term A Loan”) funded on the Closing Date and an additional $22.5 million that we may borrow on or prior to July 25, 2023; provided that (i) we have received approval by the FDA for our NDA for XPHOZAH by December 31, 2022, and (ii) we have achieved certain product revenue milestone targets described in the 2022 Loan Agreement (“Term B Loan”, and collectively, the Term A Loan and the Term B Loan, the “2022 Loan”). On February 9, 2023, we entered into an amendment to the 2022 Loan Agreement with SLR Investment Corp. that extends the date by which we must receive approval by the FDA for our NDA for the control of serum phosphorus in adult patients with CKD on dialysis in order to borrow the additional $22.5 million from December 31, 2022 to November 30, 2023 and extended the period during which we are permitted to make interest only payments until March 31,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2025 if we receive approval by the FDA for our NDA for XPHOZAH on or prior to November 30, 2023 or achieve a defined net product revenue threshold for 2023. The 2022 Term A Loan funds were used to repay the 2018 Loan with the 2018 Lenders. The 2022 Loan has a maturity date of March 1, 2027.</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Borrowings under the 2022 Loan bear interest at a floating per annum rate equal to 7.95% plus the greater of (i) one tenth percent (0.10%) and (ii) the one-month rate published by the Intercontinental Exchange Benchmark Administration Ltd or its successor. We are permitted to make interest-only payments on the 2022 Loan through March 31, 2024 or if certain conditions described above are achieved, through March 31, 2025. Accordingly, beginning on April 1, 2024 or April 1, 2025, we will be required to make monthly payments of interest plus repay the 2022 Loan in consecutive equal monthly installments of principal over 36 months or 24 months, respectively. We were obligated to pay $0.2 million, upon the closing of the Term A Loan, and we are obligated to pay $0.1 million on the earliest of (i) the funding date of the Term B Loan, (ii) July 25, 2023, and (iii) the prepayment, refinancing, substitution, or replacement of the Term A Loan on or prior to July 25, 2023. We are obligated to pay a final fee equal to 4.95% of the aggregate original principal amount of the 2022 Loan funded upon the earliest to occur of the maturity date, the acceleration of the 2022 Loan, and the prepayment, refinancing, substitution, or replacement of the 2022 Loan. We may voluntarily prepay the outstanding 2022 Loan balance, subject to a prepayment premium of (i) 3% of the outstanding principal amount of the 2022 Loan if prepaid prior to or on the first anniversary of the Closing Date, (ii) 2% of the outstanding principal amount of the 2022 Loan if prepaid after the first anniversary of the Closing Date through and including the second anniversary of the Closing Date, or (iii) 1% of the outstanding principal amount of the 2022 Loan if prepaid after the second anniversary of the Closing Date and prior to the maturity date. The 2022 Loan is secured by substantially all of our assets, except for our intellectual property and certain other customary exclusions. Additionally, in connection with the 2022 Loan,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tested monthly at the end of each month. Notwithstanding the prepayment or termination of the 2022 Loan, the 2022 Exit Fee will expire 10 years from the Closing Date.</w:t>
      </w:r>
    </w:p>
    <w:p>
      <w:pPr>
        <w:spacing w:after="0" w:line="200" w:lineRule="exact"/>
        <w:rPr>
          <w:sz w:val="20"/>
          <w:szCs w:val="20"/>
          <w:color w:val="auto"/>
        </w:rPr>
      </w:pP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2022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2022 Term Loan balance for any period in which our net revenue from the sale of any products, calculated on a trailing six (6) month basis and tested monthly, is less than sixty percent (60%) of the outstanding 2022 Loan balance.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addition, the 2022 Loan Agreement contains customary events of default that entitle the Agent to cause our indebtedness under the 2022 Loan Agreement to become immediately due and payable, and to exercise remedies against us and the collateral securing the 2022 Term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Loan balance as a current liability as of December 31, 2022 due to the determination of the existence of substantial doubt about our ability to continue operating as a going concern discussed in </w:t>
      </w:r>
      <w:r>
        <w:rPr>
          <w:rFonts w:ascii="Arial" w:cs="Arial" w:eastAsia="Arial" w:hAnsi="Arial"/>
          <w:sz w:val="17"/>
          <w:szCs w:val="17"/>
          <w:i w:val="1"/>
          <w:iCs w:val="1"/>
          <w:color w:val="auto"/>
        </w:rPr>
        <w:t>Note 2. Summary of Significant Accounting Policies: Liquidity</w:t>
      </w:r>
      <w:r>
        <w:rPr>
          <w:rFonts w:ascii="Arial" w:cs="Arial" w:eastAsia="Arial" w:hAnsi="Arial"/>
          <w:sz w:val="17"/>
          <w:szCs w:val="17"/>
          <w:color w:val="auto"/>
        </w:rPr>
        <w:t xml:space="preserve"> and our assessment that the material adverse change clause under the 2022 Loan Agreement is not within our control. The lenders have not invoked the material adverse change clause as of the date of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21. Subsequent Events</w:t>
      </w:r>
      <w:r>
        <w:rPr>
          <w:rFonts w:ascii="Arial" w:cs="Arial" w:eastAsia="Arial" w:hAnsi="Arial"/>
          <w:sz w:val="17"/>
          <w:szCs w:val="17"/>
          <w:color w:val="auto"/>
        </w:rPr>
        <w:t>, on February 9, 2023, we entered into a second amendment (“Second Amendment”) to our Loan Agreement with the Lenders. The Second Amendment extends the interest-only term of the loan by twelve months to March 31, 2025 provided that we either (i) receive approval from the FDA for our NDA for the control of serum phosphorus in adult patients with CKD on dialysis on or prior to November 30, 2023 or (ii) achieve certain product revenue milestone targets as described in the Second Amendment for the year ending December 31, 2023. The Second Amendment also extends the period under which we may draw the Term B Loan from July 25, 2023 to December 20, 2023, and amends the milestone that we must achieve in order to draw the Term B Loan by extending the time period for the receipt of approval by the FDA of the NDA for the control of serum phosphorus in adult patients with CKD on dialysis until November 30, 2023. In addition, the Second Amendment replaces the floating per annum interest rate with 7.95% plus the greater of (a) one percent (1.00%) per annum and (b)(i) 0.022% plus (ii) 1-month CME Term SOFR reference rate as published by the CME Term SOFR Administrator on the CME Term SOFR Administrator’s Website.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of December 31, 2022, our future payment obligations related to the 2022 Loan, excluding interest payments and the 2022 final fee, were as follows (in thousands) and may be condensed to the 24 months ending March 1, 2027 if certain conditions noted above to extend the interest-only period are achieved: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7,639</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9,167</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30"/>
        </w:trPr>
        <w:tc>
          <w:tcPr>
            <w:tcW w:w="9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repayment obligations</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9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Unaccreted value of final fee</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3"/>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w:t>
            </w:r>
          </w:p>
        </w:tc>
      </w:tr>
      <w:tr>
        <w:trPr>
          <w:trHeight w:val="223"/>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 of long-term debt</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DERIVATIVE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Exit Fee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2018, in connection with entering into the 2018 Loan Agreement, we entered into an agreement pursuant to which we agreed to pay $1.5 million in cash ("2018 Exit Fee") upon any change of control transaction in respect of the Company or if we obtain both (i) FDA approval of XPHOZAH and (ii) FDA approval of IBSRELA, which was obtained on September 12, 2019 (“2018 Exit Fee Agreement”). Notwithstanding the February 2022 prepayment of the 2018 Loan, our obligation to pay the 2018 Exit Fee will expire on May 16, 2028. We concluded that the 2018 Exit Fee is a freestanding derivative which should be accounted for at fair value on a recurring basis. The estimated fair value of the 2018 Exit Fee is recorded as a derivative liability and included in accrued expense and other current liabilities on the accompanying balance sheets. As of December 31, 2022 and 2021, the estimated fair value of the 2018 Exit Fee was $1.2 million and $0.7 million, respectively.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instrument include: (i) our estimates of both the probability and timing of a potential $1.5 million payment to Solar Capital Ltd. and Western Alliance Bank as a result of the FDA approvals, and (ii) a discount rate which was derived from our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Exit Fee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2022, in connection with entering into the 2022 Loan Agreement, we entered into an agreement, whereby we agreed to pay an exit fee in the amount of 2% of the 2022 Loan funded (“2022 Exit Fee”) upon (i) any change of control transaction or (ii) our achievement of net revenue from the sale of any products equal to or greater than $100.0 million, measured on a six (6) months basis ("Revenue Milestone"), tested monthly at the end of each month.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balance sheets. As of December 31, 2022, the estimated fair value of the 2022 Exit Fee is $0.4 million.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derivative liability include: (i) our estimates of both the probability and timing of achieving the Revenue Milestone and (ii) the probability and timing of funding the Term B Loan, which is dependent upon (a) approval by the FDA for our NDA for the control of serum phosphorus in adult patients with CKD on dialysis by December 31, 2022, and (b) achievement of certain product revenue milestone targets.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fair value of recurring measurements included in Level 3 of the fair value hierarchy are presented as other income, net in our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were as follows for the years ended December 31, 2022, 2021 and 2020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2022 Exit Fee addition at fair value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estimated fair value: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2018 Exit Fee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Exit Fee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Fair value of exit fee derivative liabilities at December 31,</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recorded right-of-use operating lease assets under three lease agreements. We have evaluated our facility leases and determined that, effective upon the adoption of Topic 842, the leases evaluated are all operating leases. We have performed an evaluation of our other contracts with suppliers and collaborators in accordance with Topic 842 and have determined that, except for the facility leases described below, none of our contracts contain a lease.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 right-of-use operating lease asset located in Fremont, California under a lease agreement entered into in September 2008 that was amended multiple times to add space and to extend the lease term through March 2025. The office space consists of 72,500 square feet. We do not have an option to renew the lease at our current Fremont location beyond March 2025.</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recorded a right-of-use operating lease asset located in Waltham, Massachusetts under a lease agreement entered into in October 2018. The office space consisted of 3,520 square feet with the lease terminating in September 2021. We did not renew the lease at our original Waltham, Massachusetts facility. During April 2021 and May 2021, we recorded right-of-use operating lease assets for a new facility in Waltham, Massachusetts under a lease agreement entered into during December 2020 with lease commencement dates during April and May 2021. The office space consists of 12,864 square feet with the lease terminating in June 2026. We have an option to extend the lease term for one additional five year period. This option to extend the lease term has not been included in the calculation since currently the exercise of the option is uncertain and therefore deemed not probable. We recorded a $1.6 million right-of-use asset and lease liability for the Waltham lease upon commencement of the lease.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recorded a right-of-use operating lease asset located in Milwaukee, Wisconsin under a lease agreement entered into in October 2020 with a lease commencement date in November 2020. The office space consists of 4,768 square feet with the lease terminating in February 2026. We have an option to extend the lease term by one additional five-year period. This option to extend the lease term has not been included in the calculation since currently the exercise of the option is uncertain and therefore deemed not probable. We recorded a $0.4 million right-of use asset and lease liability for the Milwaukee lease upon commencement of the lease.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details of our facility leases presented in our balance sheets (dollars in thousands):</w:t>
      </w:r>
    </w:p>
    <w:p>
      <w:pPr>
        <w:spacing w:after="0" w:line="356"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Facilities</w:t>
            </w: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Right-of-use assets</w:t>
            </w: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9,295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12,752</w:t>
            </w:r>
          </w:p>
        </w:tc>
        <w:tc>
          <w:tcPr>
            <w:tcW w:w="20" w:type="dxa"/>
            <w:vAlign w:val="bottom"/>
          </w:tcPr>
          <w:p>
            <w:pPr>
              <w:spacing w:after="0"/>
              <w:rPr>
                <w:sz w:val="21"/>
                <w:szCs w:val="2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3,894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3,492</w:t>
            </w:r>
          </w:p>
        </w:tc>
        <w:tc>
          <w:tcPr>
            <w:tcW w:w="20" w:type="dxa"/>
            <w:vAlign w:val="bottom"/>
          </w:tcPr>
          <w:p>
            <w:pPr>
              <w:spacing w:after="0"/>
              <w:rPr>
                <w:sz w:val="19"/>
                <w:szCs w:val="19"/>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liability, net of current portion</w:t>
            </w: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5,855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9,748</w:t>
            </w:r>
          </w:p>
        </w:tc>
        <w:tc>
          <w:tcPr>
            <w:tcW w:w="20" w:type="dxa"/>
            <w:vAlign w:val="bottom"/>
          </w:tcPr>
          <w:p>
            <w:pPr>
              <w:spacing w:after="0"/>
              <w:rPr>
                <w:sz w:val="19"/>
                <w:szCs w:val="19"/>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9,749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13,240</w:t>
            </w:r>
          </w:p>
        </w:tc>
        <w:tc>
          <w:tcPr>
            <w:tcW w:w="20" w:type="dxa"/>
            <w:vAlign w:val="bottom"/>
          </w:tcPr>
          <w:p>
            <w:pPr>
              <w:spacing w:after="0"/>
              <w:rPr>
                <w:sz w:val="21"/>
                <w:szCs w:val="2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life (years)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7"/>
              </w:rPr>
              <w:t>2.4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20"/>
                <w:szCs w:val="20"/>
                <w:color w:val="auto"/>
              </w:rPr>
            </w:pPr>
          </w:p>
        </w:tc>
      </w:tr>
      <w:tr>
        <w:trPr>
          <w:trHeight w:val="512"/>
        </w:trPr>
        <w:tc>
          <w:tcPr>
            <w:tcW w:w="9760" w:type="dxa"/>
            <w:vAlign w:val="bottom"/>
            <w:gridSpan w:val="9"/>
          </w:tcPr>
          <w:p>
            <w:pPr>
              <w:spacing w:after="0"/>
              <w:rPr>
                <w:sz w:val="20"/>
                <w:szCs w:val="20"/>
                <w:color w:val="auto"/>
              </w:rPr>
            </w:pPr>
            <w:r>
              <w:rPr>
                <w:rFonts w:ascii="Arial" w:cs="Arial" w:eastAsia="Arial" w:hAnsi="Arial"/>
                <w:sz w:val="18"/>
                <w:szCs w:val="18"/>
                <w:color w:val="auto"/>
                <w:w w:val="99"/>
              </w:rPr>
              <w:t>The lease costs, which are included in operating expenses in our statements of operations, were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7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8"/>
          </w:tcPr>
          <w:p>
            <w:pPr>
              <w:jc w:val="right"/>
              <w:ind w:right="130"/>
              <w:spacing w:after="0"/>
              <w:rPr>
                <w:sz w:val="20"/>
                <w:szCs w:val="20"/>
                <w:color w:val="auto"/>
              </w:rPr>
            </w:pPr>
            <w:r>
              <w:rPr>
                <w:rFonts w:ascii="Arial" w:cs="Arial" w:eastAsia="Arial" w:hAnsi="Arial"/>
                <w:sz w:val="14"/>
                <w:szCs w:val="14"/>
                <w:b w:val="1"/>
                <w:bCs w:val="1"/>
                <w:color w:val="auto"/>
                <w:w w:val="94"/>
              </w:rPr>
              <w:t>Year Ended 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70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4,257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3"/>
              </w:rPr>
              <w:t>3,671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Cash paid for operating lease</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4,292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32"/>
              <w:spacing w:after="0"/>
              <w:rPr>
                <w:sz w:val="20"/>
                <w:szCs w:val="20"/>
                <w:color w:val="auto"/>
              </w:rPr>
            </w:pPr>
            <w:r>
              <w:rPr>
                <w:rFonts w:ascii="Arial" w:cs="Arial" w:eastAsia="Arial" w:hAnsi="Arial"/>
                <w:sz w:val="18"/>
                <w:szCs w:val="18"/>
                <w:color w:val="auto"/>
                <w:w w:val="93"/>
              </w:rPr>
              <w:t>3,438</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3,065</w:t>
            </w:r>
          </w:p>
        </w:tc>
        <w:tc>
          <w:tcPr>
            <w:tcW w:w="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undiscounted cash payment obligations for our operating lease liabilities as of December 31, 2022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Ending December 31,</w:t>
            </w:r>
          </w:p>
        </w:tc>
        <w:tc>
          <w:tcPr>
            <w:tcW w:w="5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2024</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2026</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Imputed interest expenses</w:t>
            </w:r>
          </w:p>
        </w:tc>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operating lease liability</w:t>
            </w:r>
          </w:p>
        </w:tc>
        <w:tc>
          <w:tcPr>
            <w:tcW w:w="5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360"/>
              <w:spacing w:after="0"/>
              <w:rPr>
                <w:sz w:val="20"/>
                <w:szCs w:val="20"/>
                <w:color w:val="auto"/>
              </w:rPr>
            </w:pPr>
            <w:r>
              <w:rPr>
                <w:rFonts w:ascii="Arial" w:cs="Arial" w:eastAsia="Arial" w:hAnsi="Arial"/>
                <w:sz w:val="18"/>
                <w:szCs w:val="18"/>
                <w:color w:val="auto"/>
              </w:rPr>
              <w:t>Operating lease liability, net of current portion</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080" w:type="dxa"/>
            <w:vAlign w:val="bottom"/>
            <w:vMerge w:val="restart"/>
          </w:tcPr>
          <w:p>
            <w:pPr>
              <w:jc w:val="right"/>
              <w:ind w:right="395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2020, we filed a Form S-3 registration statement, which became effective in August 2020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“at-the-market offerings” ("2020 Open Market Sales Agreement"). Pursuant to the 2020 Open Market Sales Agreement, Jefferies, as sales agent, received a commission of up to 3.0% of the gross sales price for shares of common stock sold under the 2020 Open Market Sales Agreement. As of December 31, 2021, we had sold 23.3 million shares and received the maximum gross proceeds of $100.0 million pursuant to the 2020 Open Market Sales Agreement.</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2021, we filed an additional prospectus supplement under the 2020 Registration Statement for the offering, issuance and sale by us of up to a maximum aggregate offering price of $150.0 million of our common stock that may be issued and sold, from time to time, under an additional sales agreement we entered into with Jefferies ("2021 Open Market Sales Agreement"), pursuant to which we may, from time to time, sell up to $150.0 million in shares of our common stock through Jefferies. We are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During the twelve months ended December 31, 2022, we sold 64.1 million shares and received gross proceeds of $73.1 million at a weighted average sales price of approximately $1.14 per share under the 2021 Open Market Sales Agreement. As of December 31, 2022 we sold a total of 79.8 million shares and received gross proceeds of $98.1 million at a weighted average sales price of approximately $1.23 per share under the 2021 Open Market Sales Agreement. During the period January 1, 2023 to January 12, 2023, we received additional gross proceeds of $20.0 million for the sale of an additional 7.7 million shares which were sold at a weighted average sales price of approximately $2.60 per share under the 2021 Open Market Sales Agreement. There have been no other sales under the 2021 Open Market Sales Agreement after December 31, 2022.</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There have been no sales of our common stock under the 2023 Open Market Sales Agreement.</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granted options under our 2008 Stock Incentive Plan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vested over a period of four years from the date of grant. In connection with the board of directors and stockholders’ approval of the 2014 Plan, all remaining shares available for future award under the 2008 Plan were transferred to 2014 Plan, as discussed below, and the 2008 Plan was terminated.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2014 Equity Incentive Award Plan (“2014 Plan”) became effective on June 18, 2014. Under the 2014 Plan, 1.4 million shares of common stock were initially reserved for issuance pursuant to a variety of stock-based compensation awards, including stock options, stock appreciation rights ("SARs"), restricted stock awards, service-based restricted stock unit (“RSU”) awards, performance-based restricted stock unit (“PRSU”) awards, deferred stock awards, deferred stock unit awards, dividend equivalent awards, stock payment awards and performance awards. In addition, 35 thousand shares that had been available for future awards under the 2008 Plan as of June 18, 2014, were added to the initial reserve available under the 2014 Plan, bringing the total reserve upon the effective date of the 2014 Plan to 1.5 million shares. The number of shares initially reserved for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1.2 million shares, and (ii) if approved by the administrator of the 2014 Plan, an annual increase on the first day of each fiscal year ending in 2024 equal to the lesser of (A) four percent (4.0%) of the shares of stock outstanding (on an as converted basis) on the last day of the immediately preceding fiscal year and</w:t>
      </w:r>
    </w:p>
    <w:p>
      <w:pPr>
        <w:spacing w:after="0" w:line="1" w:lineRule="exact"/>
        <w:rPr>
          <w:sz w:val="20"/>
          <w:szCs w:val="20"/>
          <w:color w:val="auto"/>
        </w:rPr>
      </w:pPr>
    </w:p>
    <w:p>
      <w:pPr>
        <w:ind w:firstLine="8"/>
        <w:spacing w:after="0" w:line="260" w:lineRule="auto"/>
        <w:tabs>
          <w:tab w:leader="none" w:pos="2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smaller number of shares of stock as determined by our board of directors; provided, however, that no more than 10.7 million shares of stock may be issued upon the exercise of incentive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our board of directors approved the 2016 Employment Commencement Incentive Plan (“Inducement Plan”) under which 1.0 million shares were reserved. In January 2021, January 2022 and December 2022, 0.5 million, 2.0 million and 3.0 million shares, respectively, were added to the Inducement Plan. As of December 31, 2022, 2.1 million shares of our common stock were subject to inducement grants that were issued pursuant to the Inducement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stock option activity and related information during the twelve months ended December 31, 2022 is as follows (in thousands, except per share dollar amounts and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3"/>
                <w:szCs w:val="13"/>
                <w:b w:val="1"/>
                <w:bCs w:val="1"/>
                <w:color w:val="auto"/>
              </w:rPr>
              <w:t>Options Issued and Outstanding</w:t>
            </w:r>
          </w:p>
        </w:tc>
        <w:tc>
          <w:tcPr>
            <w:tcW w:w="12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Shares Available</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Weighted-Average</w:t>
            </w:r>
          </w:p>
        </w:tc>
        <w:tc>
          <w:tcPr>
            <w:tcW w:w="120" w:type="dxa"/>
            <w:vAlign w:val="bottom"/>
          </w:tcPr>
          <w:p>
            <w:pPr>
              <w:spacing w:after="0"/>
              <w:rPr>
                <w:sz w:val="11"/>
                <w:szCs w:val="11"/>
                <w:color w:val="auto"/>
              </w:rPr>
            </w:pPr>
          </w:p>
        </w:tc>
        <w:tc>
          <w:tcPr>
            <w:tcW w:w="14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22"/>
        </w:trPr>
        <w:tc>
          <w:tcPr>
            <w:tcW w:w="44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Exercise Price</w:t>
            </w:r>
          </w:p>
        </w:tc>
        <w:tc>
          <w:tcPr>
            <w:tcW w:w="120" w:type="dxa"/>
            <w:vAlign w:val="bottom"/>
          </w:tcPr>
          <w:p>
            <w:pPr>
              <w:spacing w:after="0"/>
              <w:rPr>
                <w:sz w:val="10"/>
                <w:szCs w:val="10"/>
                <w:color w:val="auto"/>
              </w:rPr>
            </w:pPr>
          </w:p>
        </w:tc>
        <w:tc>
          <w:tcPr>
            <w:tcW w:w="14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Contractual Term</w:t>
            </w: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for Grant</w:t>
            </w:r>
          </w:p>
        </w:tc>
        <w:tc>
          <w:tcPr>
            <w:tcW w:w="1320" w:type="dxa"/>
            <w:vAlign w:val="bottom"/>
          </w:tcPr>
          <w:p>
            <w:pPr>
              <w:jc w:val="right"/>
              <w:ind w:right="75"/>
              <w:spacing w:after="0"/>
              <w:rPr>
                <w:sz w:val="20"/>
                <w:szCs w:val="20"/>
                <w:color w:val="auto"/>
              </w:rPr>
            </w:pPr>
            <w:r>
              <w:rPr>
                <w:rFonts w:ascii="Arial" w:cs="Arial" w:eastAsia="Arial" w:hAnsi="Arial"/>
                <w:sz w:val="13"/>
                <w:szCs w:val="13"/>
                <w:b w:val="1"/>
                <w:bCs w:val="1"/>
                <w:color w:val="auto"/>
              </w:rPr>
              <w:t>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per Share</w:t>
            </w:r>
          </w:p>
        </w:tc>
        <w:tc>
          <w:tcPr>
            <w:tcW w:w="12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(in Years)</w:t>
            </w:r>
          </w:p>
        </w:tc>
        <w:tc>
          <w:tcPr>
            <w:tcW w:w="140" w:type="dxa"/>
            <w:vAlign w:val="bottom"/>
          </w:tcPr>
          <w:p>
            <w:pPr>
              <w:spacing w:after="0"/>
              <w:rPr>
                <w:sz w:val="15"/>
                <w:szCs w:val="15"/>
                <w:color w:val="auto"/>
              </w:rPr>
            </w:pPr>
          </w:p>
        </w:tc>
        <w:tc>
          <w:tcPr>
            <w:tcW w:w="980" w:type="dxa"/>
            <w:vAlign w:val="bottom"/>
          </w:tcPr>
          <w:p>
            <w:pPr>
              <w:jc w:val="right"/>
              <w:ind w:right="81"/>
              <w:spacing w:after="0"/>
              <w:rPr>
                <w:sz w:val="20"/>
                <w:szCs w:val="20"/>
                <w:color w:val="auto"/>
              </w:rPr>
            </w:pPr>
            <w:r>
              <w:rPr>
                <w:rFonts w:ascii="Arial" w:cs="Arial" w:eastAsia="Arial" w:hAnsi="Arial"/>
                <w:sz w:val="13"/>
                <w:szCs w:val="13"/>
                <w:b w:val="1"/>
                <w:bCs w:val="1"/>
                <w:color w:val="auto"/>
                <w:w w:val="89"/>
              </w:rPr>
              <w:t>Intrinsic Value</w:t>
            </w: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tcBorders>
            <w:shd w:val="clear" w:color="auto" w:fill="CCEEFF"/>
          </w:tcPr>
          <w:p>
            <w:pPr>
              <w:jc w:val="center"/>
              <w:ind w:right="1830"/>
              <w:spacing w:after="0"/>
              <w:rPr>
                <w:sz w:val="20"/>
                <w:szCs w:val="20"/>
                <w:color w:val="auto"/>
              </w:rPr>
            </w:pPr>
            <w:r>
              <w:rPr>
                <w:rFonts w:ascii="Arial" w:cs="Arial" w:eastAsia="Arial" w:hAnsi="Arial"/>
                <w:sz w:val="18"/>
                <w:szCs w:val="18"/>
                <w:color w:val="auto"/>
                <w:w w:val="89"/>
              </w:rPr>
              <w:t>Balance at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26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Issuance of common stock for services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jc w:val="center"/>
              <w:ind w:right="1830"/>
              <w:spacing w:after="0"/>
              <w:rPr>
                <w:sz w:val="20"/>
                <w:szCs w:val="20"/>
                <w:color w:val="auto"/>
              </w:rPr>
            </w:pPr>
            <w:r>
              <w:rPr>
                <w:rFonts w:ascii="Arial" w:cs="Arial" w:eastAsia="Arial" w:hAnsi="Arial"/>
                <w:sz w:val="18"/>
                <w:szCs w:val="18"/>
                <w:color w:val="auto"/>
                <w:w w:val="89"/>
              </w:rPr>
              <w:t>Balance at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December 31, 2022</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13,963</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4.83</w:t>
            </w:r>
          </w:p>
        </w:tc>
        <w:tc>
          <w:tcPr>
            <w:tcW w:w="14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jc w:val="center"/>
              <w:ind w:right="1810"/>
              <w:spacing w:after="0"/>
              <w:rPr>
                <w:sz w:val="20"/>
                <w:szCs w:val="20"/>
                <w:color w:val="auto"/>
              </w:rPr>
            </w:pPr>
            <w:r>
              <w:rPr>
                <w:rFonts w:ascii="Arial" w:cs="Arial" w:eastAsia="Arial" w:hAnsi="Arial"/>
                <w:sz w:val="18"/>
                <w:szCs w:val="18"/>
                <w:color w:val="auto"/>
                <w:w w:val="89"/>
              </w:rPr>
              <w:t>Exercisable at December 31, 2022</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represents the difference between the total pre-tax value (i.e., the difference between our stock price and the exercise price) of stock options outstanding as of December 31, 2022, based on our common stock closing price of $2.85 per share, which would have been received by the option holders if all their in-the-money options had been exercised as of that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2022, 2021 and 2020, was $30 thousand, $1.7 million, and $2.7 million,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grant-date estimated fair value of options granted during the years ended December 31, 2022, 2021 and 2020 was $0.63, $3.92 and $4.82 per share, respectively. The estimated grant date fair value of employee stock options was calculated using the Black-Scholes option-pricing model, based on the following weighted-average assumptions:</w:t>
      </w:r>
    </w:p>
    <w:p>
      <w:pPr>
        <w:spacing w:after="0" w:line="94"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92.1 %</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77.0 %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83.0 %</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60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863"/>
        </w:trPr>
        <w:tc>
          <w:tcPr>
            <w:tcW w:w="6640" w:type="dxa"/>
            <w:vAlign w:val="bottom"/>
          </w:tcPr>
          <w:p>
            <w:pPr>
              <w:ind w:left="5540"/>
              <w:spacing w:after="0"/>
              <w:rPr>
                <w:sz w:val="20"/>
                <w:szCs w:val="20"/>
                <w:color w:val="auto"/>
              </w:rPr>
            </w:pPr>
            <w:r>
              <w:rPr>
                <w:rFonts w:ascii="Arial" w:cs="Arial" w:eastAsia="Arial" w:hAnsi="Arial"/>
                <w:sz w:val="18"/>
                <w:szCs w:val="18"/>
                <w:color w:val="auto"/>
              </w:rPr>
              <w:t>99</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6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have limited historical information to develop reasonable expectations about future exercise patterns and post-vesting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behavior for its stock-option grants. As such, the expected term was initially estimated using the simplified method whereby the expected term equals the arithmetic average of the vesting term and the original contractual term of the option. Beginning in 2021, we estimate the expected term of our options based upon historical exercises and post-vesting termination behavior, which has not resulted in a material difference as compared to using the simplified method.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January 1, 2017, we use the historic volatility of our own stock over the retrospective period corresponding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 of the options, or the period since our shares were first quoted on The Nasdaq Global Market, if that is shorter, to compute our expected stock price volatility.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zero-coupon U.S. treasury instruments on the date of grant with a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date consistent with the expected term of our stock option grants.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—To date, we have not declared or paid any cash dividends and does not have any plans to do so in the future. Therefore, we use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our RSUs activity and related information for the twelve months ended December 31, 2022 is as follows (in thousands, except per share dollar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9"/>
              </w:rPr>
              <w:t>Value Per Share</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2,195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estimated fair value of RSUs vested during the years ended December 31, 2022, 2021 and 2020 was $2.6 million, $0.8 million and zero,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2018, we granted 0.9 million PRSUs to our employees that vested upon the achievement of certain performance conditions, subject to the employees’ continued service relationship with us through the achievement date. During 2020, we granted an additional 30 thousand PRSUs subject to the same performance conditions. All 0.9 million of these PRSUs vested in September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2022, 2021 and 2020, we issued approximately 0.7 million, 26 thousand and 42 thousand shares, respectively, of common stock to members of the board of directors who elected to receive stock in lieu of their cash fees under our Non-Employee Director Compensation Program. The shares issued during the years ended December 31, 2022, 2021 and 2020 were valued at $0.4 million, $0.2 million and $0.3 million for each year, respectively, based on the fair value of the common stock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the 2014 Employee Stock Purchase Plan (“ESPP”) and initially reserved approximately 0.2 million shares of common stock as of its effective date of June 18, 2014. If approved by the administrator of the ESPP, on the first day of each calendar year, ending in 2024, the number of shares in the reserve will increase by an amount equal to the lesser of (i) one percent (1.0%) of the shares of common stock outstanding on the last day of the immediately preceding fiscal year and (ii) such number of shares of common stock as determined by the board of directors; provided, however, no more than 2.2 million shares of our common stock may be issued under the ESPP.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ESPP activity during the twelve months ended December 31, 2022 is as follows (in thousands, except per share dollar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Available</w:t>
            </w:r>
          </w:p>
        </w:tc>
        <w:tc>
          <w:tcPr>
            <w:tcW w:w="1540" w:type="dxa"/>
            <w:vAlign w:val="bottom"/>
          </w:tcPr>
          <w:p>
            <w:pPr>
              <w:jc w:val="right"/>
              <w:ind w:right="137"/>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Average Purchase Price</w:t>
            </w:r>
          </w:p>
        </w:tc>
        <w:tc>
          <w:tcPr>
            <w:tcW w:w="200" w:type="dxa"/>
            <w:vAlign w:val="bottom"/>
          </w:tcPr>
          <w:p>
            <w:pPr>
              <w:spacing w:after="0"/>
              <w:rPr>
                <w:sz w:val="14"/>
                <w:szCs w:val="14"/>
                <w:color w:val="auto"/>
              </w:rPr>
            </w:pPr>
          </w:p>
        </w:tc>
        <w:tc>
          <w:tcPr>
            <w:tcW w:w="13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4"/>
              </w:rPr>
              <w:t>Gross Proceeds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 Grant</w:t>
            </w:r>
          </w:p>
        </w:tc>
        <w:tc>
          <w:tcPr>
            <w:tcW w:w="1540" w:type="dxa"/>
            <w:vAlign w:val="bottom"/>
          </w:tcPr>
          <w:p>
            <w:pPr>
              <w:jc w:val="right"/>
              <w:ind w:right="357"/>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2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40" w:type="dxa"/>
            <w:vAlign w:val="bottom"/>
            <w:tcBorders>
              <w:top w:val="single" w:sz="8" w:color="auto"/>
            </w:tcBorders>
            <w:shd w:val="clear" w:color="auto" w:fill="CCEEFF"/>
          </w:tcPr>
          <w:p>
            <w:pPr>
              <w:jc w:val="center"/>
              <w:ind w:left="1017"/>
              <w:spacing w:after="0"/>
              <w:rPr>
                <w:sz w:val="20"/>
                <w:szCs w:val="20"/>
                <w:color w:val="auto"/>
              </w:rPr>
            </w:pPr>
            <w:r>
              <w:rPr>
                <w:rFonts w:ascii="Arial" w:cs="Arial" w:eastAsia="Arial" w:hAnsi="Arial"/>
                <w:sz w:val="18"/>
                <w:szCs w:val="18"/>
                <w:color w:val="auto"/>
                <w:w w:val="93"/>
              </w:rPr>
              <w:t>899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Shares purchased</w:t>
            </w:r>
          </w:p>
        </w:tc>
        <w:tc>
          <w:tcPr>
            <w:tcW w:w="1540" w:type="dxa"/>
            <w:vAlign w:val="bottom"/>
            <w:tcBorders>
              <w:bottom w:val="single" w:sz="8" w:color="auto"/>
            </w:tcBorders>
          </w:tcPr>
          <w:p>
            <w:pPr>
              <w:jc w:val="center"/>
              <w:ind w:left="997"/>
              <w:spacing w:after="0"/>
              <w:rPr>
                <w:sz w:val="20"/>
                <w:szCs w:val="20"/>
                <w:color w:val="auto"/>
              </w:rPr>
            </w:pPr>
            <w:r>
              <w:rPr>
                <w:rFonts w:ascii="Arial" w:cs="Arial" w:eastAsia="Arial" w:hAnsi="Arial"/>
                <w:sz w:val="18"/>
                <w:szCs w:val="18"/>
                <w:color w:val="auto"/>
                <w:w w:val="90"/>
              </w:rPr>
              <w:t>(308)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0" w:type="dxa"/>
            <w:vAlign w:val="bottom"/>
            <w:tcBorders>
              <w:bottom w:val="single" w:sz="8" w:color="CCEEFF"/>
            </w:tcBorders>
            <w:gridSpan w:val="2"/>
          </w:tcPr>
          <w:p>
            <w:pPr>
              <w:jc w:val="right"/>
              <w:ind w:right="10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40" w:type="dxa"/>
            <w:vAlign w:val="bottom"/>
            <w:tcBorders>
              <w:bottom w:val="single" w:sz="8" w:color="auto"/>
            </w:tcBorders>
            <w:shd w:val="clear" w:color="auto" w:fill="CCEEFF"/>
          </w:tcPr>
          <w:p>
            <w:pPr>
              <w:jc w:val="center"/>
              <w:ind w:left="1017"/>
              <w:spacing w:after="0"/>
              <w:rPr>
                <w:sz w:val="20"/>
                <w:szCs w:val="20"/>
                <w:color w:val="auto"/>
              </w:rPr>
            </w:pPr>
            <w:r>
              <w:rPr>
                <w:rFonts w:ascii="Arial" w:cs="Arial" w:eastAsia="Arial" w:hAnsi="Arial"/>
                <w:sz w:val="18"/>
                <w:szCs w:val="18"/>
                <w:color w:val="auto"/>
                <w:w w:val="93"/>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illustrates the weighted-average assumptions for the Black-Scholes option-pricing model used in determining the fair value of ESPP purchase rights granted to our employees:</w:t>
      </w:r>
    </w:p>
    <w:p>
      <w:pPr>
        <w:spacing w:after="0" w:line="200" w:lineRule="exact"/>
        <w:rPr>
          <w:sz w:val="20"/>
          <w:szCs w:val="20"/>
          <w:color w:val="auto"/>
        </w:rPr>
      </w:pPr>
    </w:p>
    <w:p>
      <w:pPr>
        <w:spacing w:after="0" w:line="245"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97.2 %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79.4 %</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recognized for stock options, RSUs, PRSUs and our ESPP are recorded as operating expenses in our statements of operations and comprehensive loss,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our total unrecognized stock-based compensation expense, net of estimated forfeitures, as of December 31, 2022 is as follows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40" w:type="dxa"/>
            <w:vAlign w:val="bottom"/>
            <w:gridSpan w:val="3"/>
          </w:tcPr>
          <w:p>
            <w:pPr>
              <w:ind w:left="19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Unrecognized Compensation Expense</w:t>
            </w:r>
          </w:p>
        </w:tc>
        <w:tc>
          <w:tcPr>
            <w:tcW w:w="2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Average Remaining Vesting Period</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 grant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2.55</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RSU grants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5"/>
              </w:rPr>
              <w:t>2.95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ESPP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we implemented restructuring plans in August and October following the receipt of a Complete Response Letter (“CRL”) from the U.S. FDA relating to our new drug application (“NDA”) for XPHOZAH and following the conclusion of an End of Review Type A meeting with the FDA, respectively. Both restructuring plans were substantially completed in December 2021 and most of the cash payments related to the reduction in workforce were disbursed prior to December 31,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Impacted employees were eligible to receive severance benefits and additional Company funded COBRA premiums, contingent upon an impacted employee’s execution (and non-revocation) of a separation agreement, which included a general release of claims against us. In connection with restructuring, we incurred restructuring charges of $6.2 million, which were recorded during the twelve months ended December 31, 2021, related to one-time termination notice and severance payments and other employee-related costs. We did not incur any significant contract termination costs pursuant to restructuring. Of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charges, $2.7 million was recorded in research and development expenses, and $3.5 million was recorded in selling, general and administrative expense in the accompanying statements of operations and comprehensive loss. Most of the cash payments related to the reduction in workforce were disbursed during the twelve months ended December 31, 2021. We reported the remaining estimated restructuring liability of zero and $0.5 million as accrued compensation and benefits in our balance sheet as of December 31, 2022 and 2021,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in October, 2021, our Board approved, and management has implemented a retention program consisting of cash payments and grants of RSUs to our employees, including our executives, not impacted by the reduction in force.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15.   PROPERTY AND EQUIPMENT, NET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Office equipment and furniture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r>
      <w:tr>
        <w:trPr>
          <w:trHeight w:val="223"/>
        </w:trPr>
        <w:tc>
          <w:tcPr>
            <w:tcW w:w="8440" w:type="dxa"/>
            <w:vAlign w:val="bottom"/>
          </w:tcPr>
          <w:p>
            <w:pPr>
              <w:ind w:left="140"/>
              <w:spacing w:after="0"/>
              <w:rPr>
                <w:sz w:val="20"/>
                <w:szCs w:val="20"/>
                <w:color w:val="auto"/>
              </w:rPr>
            </w:pPr>
            <w:r>
              <w:rPr>
                <w:rFonts w:ascii="Arial" w:cs="Arial" w:eastAsia="Arial" w:hAnsi="Arial"/>
                <w:sz w:val="18"/>
                <w:szCs w:val="18"/>
                <w:color w:val="auto"/>
              </w:rPr>
              <w:t>Property and equipment, gross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18,253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w:t>
            </w:r>
          </w:p>
        </w:tc>
      </w:tr>
      <w:tr>
        <w:trPr>
          <w:trHeight w:val="223"/>
        </w:trPr>
        <w:tc>
          <w:tcPr>
            <w:tcW w:w="844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depreciation expense in the amount of $0.7 million, $1.4 million, and $1.8 million for the years ended December 31, 2022, 2021 and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following the elimination of our internal research organization in the fourth quarter of 2021, we sold laboratory equipment with total net carrying value of $0.5 million and received cash proceeds of $1.8 million, resulting in a gain of $1.3 million which has been reported within other income, net on our statement of operations and comprehensive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16.  ACCRUED EXPENSES AND OTHER 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56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payments due to AstraZeneca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Accrued gross to net revenue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manufacturing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Derivative liability for exit fees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non-clinical research and development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Accrued professional and consulting services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marketing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Accrued clinical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provision for income taxes for the years ended December 31, 2022, 2021 and 2020,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4"/>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State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w:t>
            </w: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our effective tax rate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42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w w:val="97"/>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the federal statutory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Executive compensation disallowed under IRC Sec 162(m)</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9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Significant components of our deferred tax assets are as follows as of December 31, 2022 and 2021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Amortization and depreciation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64,111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61,098</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74,989</w:t>
            </w: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13,827</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r>
      <w:tr>
        <w:trPr>
          <w:trHeight w:val="22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r>
      <w:tr>
        <w:trPr>
          <w:trHeight w:val="22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deferred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157,835</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(175,670)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(155,141)</w:t>
            </w:r>
          </w:p>
        </w:tc>
      </w:tr>
      <w:tr>
        <w:trPr>
          <w:trHeight w:val="223"/>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 net of valuation allowance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Realization of deferred tax assets is dependent on future taxable income, if any, the timing and the amount of which are uncertain. We assess the available positive and negative evidence to estimate whether sufficient future taxable income will be generated to permit use of the existing deferred tax assets. A significant component of objective negative evidence evaluated was our cumulative loss incurred over the three-year period ended December 31, 2022. Such objective evidence limits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ability to consider other subjective evidence, such as our projections for future growth. On the basis of this evaluation, as of December 31, 2022, December 31, 2021 and December 31, 2020, a full valuation allowance has been recorded against our net deferred tax asset. The valuation allowance increased by $20.5 million in 2022 primarily due to increases in net operating losses.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had net operating loss carryforwards for federal income tax purposes of approximately $433.6 million, of which approximately $283.4 million can be carried forward indefinitely and the remaining net operating losses expire beginning in 2030, if not utilized. Federal research and development tax credit carryforwards of approximately $17.2 million that expire beginning in 2027, if not utilized, and foreign tax credit carryforwards of approximately $1.2 million that expire in 2027, if not utilized.</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had net operating loss carryforwards for California income tax purposes of approximately $89.8 million that expire beginning of 2030, if not utilized, and state research and development tax credit carryforwards of approximately $8.6 million which can be carried forward indefinitely. We had approximately $0.1 million of minimum tax credit carryovers for California income tax purposes. The minimum tax credits have no expiration date. We had other state net operating losses of approximately $19.0 million that begin to expire in 2031.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our effective tax rate.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Tax Cuts and Jobs Act of 2017, research and development costs are no longer fully deductible and are required to be capitalized and amortized for U.S. tax purposes effective January 1, 2022. The mandatory capitalization requirement did not have a material impact on our deferred tax assets and did not result in a cash tax liability as we have historically elected to capitalized research and development expenses for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Subtractions related to lapse of statute of limitation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Subtractions based on tax positions related to prior year</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48"/>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None of our unrecognized tax benefits would impact the effective tax rate if recognized, because the benefit would be offset by an increase in the valuation allowance.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elected to include interest and penalties as a component of tax expense. During the years ended December 31, 2022, 2021 and 2020,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12 months.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a U.S. federal income tax return and income tax returns in various state and local jurisdictions. Due to our net operating loss and tax credit carryforwards, the income tax returns remain open to U.S. federal and state tax examinations. We are not currently under examination in any tax jurisdiction.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GEOGRAPHIC INFORMATION AND CONCENTRATIONS</w:t>
      </w:r>
    </w:p>
    <w:p>
      <w:pPr>
        <w:spacing w:after="0" w:line="229"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Revenues are attributed to geographical areas based on the location at which we earned revenue for product sales of IBSRELA or the domicile of our collaboration partners. A summary of our revenue by geographic areas for the years ended December 31, 2022, 2021 and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 (2)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 (3)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4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Revenues from the United States are comprised of amounts earned from sales of IBSRELA.</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Revenues from Asia Pacific are primarily comprised of amounts earned in accordance with the 2017 KKC Agreement and the 2019 KKC Agreement.</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Revenues from North America are comprised of amounts earned from Canada in accordance with the Knight Agreement.</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Revenues from Customers and collaboration partnerships accounting for more than 10% of total revenues during the years ended December 31, 2022, 2021 and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7"/>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KKC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Knight</w:t>
            </w:r>
          </w:p>
        </w:tc>
        <w:tc>
          <w:tcPr>
            <w:tcW w:w="14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AmerisourceBergen Drug Corporation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8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Historically, we have not experienced credit losses from our accounts receivable. We have not recorded a reserve for credit losses as of December 31, 2022 and 2021.</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years ended December 31, 2022, 2021 and 2020, all potential common shares were determined to be anti-dilutive.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 dollar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(67,207)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(158,165)</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(94,313)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Denominator:</w:t>
            </w: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Weighted average common shares outstanding - basic and diluted</w:t>
            </w:r>
          </w:p>
        </w:tc>
        <w:tc>
          <w:tcPr>
            <w:tcW w:w="18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158,690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per share - basic and diluted</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years ended December 31, 2022, 2021 and 2020, the total numbers of securities that could potentially dilute net income per share in the future that were not considered in the diluted net loss per share calculations because the effect would have been anti-dilutive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5"/>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issuable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Warrants to purchase common stock</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48"/>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2022, 2021 and 2020, was approximately 0.6 million, 1.1 million and 2.1 million, respectively.</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indemnify each of our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maximum amount of potential future indemnification is unlimited; however, we currently hold director and officer liability insurance, which allows the transfer of risk associated with our exposure and may enable us to recover a portion of any future amounts paid. We believe that the fair value of these indemnification obligations is minimal. Accordingly, we have not recognized any liabilities relating to these obligations for any period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Claims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Arial" w:cs="Arial" w:eastAsia="Arial" w:hAnsi="Arial"/>
          <w:sz w:val="16"/>
          <w:szCs w:val="16"/>
          <w:i w:val="1"/>
          <w:iCs w:val="1"/>
          <w:color w:val="auto"/>
        </w:rPr>
        <w:t>Strezsak v. Ardelyx, Inc., et al.</w:t>
      </w:r>
      <w:r>
        <w:rPr>
          <w:rFonts w:ascii="Arial" w:cs="Arial" w:eastAsia="Arial" w:hAnsi="Arial"/>
          <w:sz w:val="16"/>
          <w:szCs w:val="16"/>
          <w:color w:val="auto"/>
        </w:rPr>
        <w:t xml:space="preserve">, Case No. 4:21-cv-05868-HSG, and Siegel </w:t>
      </w:r>
      <w:r>
        <w:rPr>
          <w:rFonts w:ascii="Arial" w:cs="Arial" w:eastAsia="Arial" w:hAnsi="Arial"/>
          <w:sz w:val="16"/>
          <w:szCs w:val="16"/>
          <w:i w:val="1"/>
          <w:iCs w:val="1"/>
          <w:color w:val="auto"/>
        </w:rPr>
        <w:t>v.</w:t>
      </w:r>
      <w:r>
        <w:rPr>
          <w:rFonts w:ascii="Arial" w:cs="Arial" w:eastAsia="Arial" w:hAnsi="Arial"/>
          <w:sz w:val="16"/>
          <w:szCs w:val="16"/>
          <w:color w:val="auto"/>
        </w:rPr>
        <w:t xml:space="preserve"> </w:t>
      </w:r>
      <w:r>
        <w:rPr>
          <w:rFonts w:ascii="Arial" w:cs="Arial" w:eastAsia="Arial" w:hAnsi="Arial"/>
          <w:sz w:val="16"/>
          <w:szCs w:val="16"/>
          <w:i w:val="1"/>
          <w:iCs w:val="1"/>
          <w:color w:val="auto"/>
        </w:rPr>
        <w:t>Ardelyx, Inc., et al.</w:t>
      </w:r>
      <w:r>
        <w:rPr>
          <w:rFonts w:ascii="Arial" w:cs="Arial" w:eastAsia="Arial" w:hAnsi="Arial"/>
          <w:sz w:val="16"/>
          <w:szCs w:val="16"/>
          <w:color w:val="auto"/>
        </w:rPr>
        <w:t>, Case No. 5:21-cv-06228-HSG (together, the “Securities Class Actions”). The complaints allege that the defendants violated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10(b) and 20(a) of the Securities Exchange Act of 1934, as amended, and Rule 10b-5 thereunder, by making false and misleading statements and omissions of material fact related to tenapanor. The plaintiffs seek to represent all persons who purchased or otherwise acquired Ardelyx securities between August 6, 2020, and July 19, 2021.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compliant and defendants filed an opposition to the motion for leave to further amend the complaint. A hearing on the motion for leave to further amend the complaint is scheduled for mid-May 2023. We believe the plaintiff’s claims are without merit and we have not recorded any accrual for a contingent liability associated with these legal proceedings.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December 31, 2022, there is no litigation pending that would reasonably be expected to have a material adverse effect on our results of operations and financial condition, and no contingent liabilities were accrued as of December 31, 2022.</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LLC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9, 2023, we entered into a second amendment (“Second Amendment”) to our Loan Agreement with the Lenders. The Second Amendment extends the interest-only term of the loan by twelve months to March 31, 2025 provided that we either (i) receive approval from the FDA for our NDA for the control of serum phosphorus in adult patients with CKD on dialysis on or prior to November 30, 2023 or (ii) achieve certain product revenue milestone targets as described in the Second Amendment for the year ending December 31, 2023. The Second Amendment also extends the period under which we may draw the Term B Loan from July 25, 2023 to December 20, 2023, and amends the milestone that we must achieve in order to draw the Term B Loan by extending the time period for the receipt of approval by the FDA of the NDA for the control of serum phosphorus in adult patients with CKD on dialysis until November 30, 2023. In addition, the Second Amendment replaces the floating per annum interest rate with 7.95% plus the greater of (a) one percent (1.00%) per annum and (b)(i) 0.022% plus (ii) 1-month CME Term SOFR reference rate as published by the CME Term SOFR Administrator on the CME Term SOFR Administrator’s Website.</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management, with the participation of our Chief Executive Officer ("CEO") and Chief Financial and Operations Officer ("CFOO"),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CEO and the CFOO, to allow timely decisions regarding required disclosures.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CEO and CFOO concluded that, as of December 31, 2022, the design and operation of our disclosure controls and procedures were effective at a reasonable assurance level.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1" w:lineRule="exact"/>
        <w:rPr>
          <w:sz w:val="20"/>
          <w:szCs w:val="20"/>
          <w:color w:val="auto"/>
        </w:rPr>
      </w:pPr>
    </w:p>
    <w:p>
      <w:pPr>
        <w:ind w:left="340" w:right="20" w:hanging="332"/>
        <w:spacing w:after="0" w:line="277" w:lineRule="auto"/>
        <w:tabs>
          <w:tab w:leader="none" w:pos="335"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accurately and fairly reflect in reasonable detail the transactions and dispositions of the assets of our company;</w:t>
      </w:r>
    </w:p>
    <w:p>
      <w:pPr>
        <w:spacing w:after="0" w:line="170" w:lineRule="exact"/>
        <w:rPr>
          <w:rFonts w:ascii="Arial" w:cs="Arial" w:eastAsia="Arial" w:hAnsi="Arial"/>
          <w:sz w:val="18"/>
          <w:szCs w:val="18"/>
          <w:b w:val="1"/>
          <w:bCs w:val="1"/>
          <w:color w:val="auto"/>
        </w:rPr>
      </w:pPr>
    </w:p>
    <w:p>
      <w:pPr>
        <w:jc w:val="both"/>
        <w:ind w:left="340" w:hanging="332"/>
        <w:spacing w:after="0" w:line="263"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assurances regarding prevention or timely detection of unauthorized acquisition, use or disposition of our assets that could have a material adverse effect on our financial statements.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assessed our internal control over financial reporting as of December 31, 2022,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2022, our internal control over financial reporting was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Securities and Exchange Commission on Schedule 14A in connection with our 2023 Annual Meeting of Stockholders (“Proxy Statement”), which will be filed not later than 120 days after the end of our fiscal year ended December 31, 2022, under the headings “Executive Officers,” “Election of Directors,” “Corporate Governance,” and “ Section 16(a) Beneficial Ownership Reporting Compliance,” and is incorporated herein by reference.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If we make any amendment to, or waiver from, a provision of our Code of Conduct that we are required to disclose under SEC rules, we intend to satisfy that disclosure requirement by posting such information to our website at www.ardelyx.com. The contents of our websites are not intended to be incorporated by reference into this Form 10-K or in any other report or document we file with the SEC, and any references to our websites are intended to be inactive textual references only.</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66" w:lineRule="exact"/>
        <w:rPr>
          <w:sz w:val="20"/>
          <w:szCs w:val="20"/>
          <w:color w:val="auto"/>
        </w:rPr>
      </w:pPr>
    </w:p>
    <w:p>
      <w:pPr>
        <w:ind w:left="820" w:right="4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to Financial Statements at Item 8 herein.</w:t>
      </w:r>
    </w:p>
    <w:p>
      <w:pPr>
        <w:spacing w:after="0" w:line="225"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the Exhibit Index immediately following this page.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ind w:left="660"/>
              <w:spacing w:after="0"/>
              <w:rPr>
                <w:sz w:val="20"/>
                <w:szCs w:val="20"/>
                <w:color w:val="auto"/>
              </w:rPr>
            </w:pPr>
            <w:r>
              <w:rPr>
                <w:rFonts w:ascii="Arial" w:cs="Arial" w:eastAsia="Arial" w:hAnsi="Arial"/>
                <w:sz w:val="18"/>
                <w:szCs w:val="18"/>
                <w:color w:val="auto"/>
                <w:w w:val="99"/>
              </w:rPr>
              <w:t>None.</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3"/>
          </w:tcPr>
          <w:p>
            <w:pPr>
              <w:ind w:left="10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60" w:type="dxa"/>
            <w:vAlign w:val="bottom"/>
            <w:gridSpan w:val="20"/>
            <w:vMerge w:val="restart"/>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78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60" w:type="dxa"/>
            <w:vAlign w:val="bottom"/>
            <w:gridSpan w:val="20"/>
            <w:vMerge w:val="continue"/>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Date</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53">
              <w:r>
                <w:rPr>
                  <w:rFonts w:ascii="Arial" w:cs="Arial" w:eastAsia="Arial" w:hAnsi="Arial"/>
                  <w:sz w:val="18"/>
                  <w:szCs w:val="18"/>
                  <w:color w:val="0000FF"/>
                  <w:w w:val="90"/>
                </w:rPr>
                <w:t>Amended and Restated Certificate of Incorporation</w:t>
              </w:r>
            </w:hyperlink>
          </w:p>
        </w:tc>
        <w:tc>
          <w:tcPr>
            <w:tcW w:w="2600" w:type="dxa"/>
            <w:vAlign w:val="bottom"/>
            <w:gridSpan w:val="14"/>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6/24/2014</w:t>
            </w:r>
          </w:p>
        </w:tc>
        <w:tc>
          <w:tcPr>
            <w:tcW w:w="1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gridSpan w:val="23"/>
          </w:tcPr>
          <w:p>
            <w:pPr>
              <w:spacing w:after="0"/>
              <w:rPr>
                <w:rFonts w:ascii="Arial" w:cs="Arial" w:eastAsia="Arial" w:hAnsi="Arial"/>
                <w:sz w:val="18"/>
                <w:szCs w:val="18"/>
                <w:color w:val="0000FF"/>
              </w:rPr>
            </w:pPr>
            <w:hyperlink r:id="rId154">
              <w:r>
                <w:rPr>
                  <w:rFonts w:ascii="Arial" w:cs="Arial" w:eastAsia="Arial" w:hAnsi="Arial"/>
                  <w:sz w:val="18"/>
                  <w:szCs w:val="18"/>
                  <w:color w:val="0000FF"/>
                </w:rPr>
                <w:t>Amended and Restated Bylaws</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6/24/2014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23"/>
          </w:tcPr>
          <w:p>
            <w:pPr>
              <w:spacing w:after="0"/>
              <w:rPr>
                <w:sz w:val="20"/>
                <w:szCs w:val="20"/>
                <w:color w:val="auto"/>
              </w:rPr>
            </w:pPr>
            <w:r>
              <w:rPr>
                <w:rFonts w:ascii="Arial" w:cs="Arial" w:eastAsia="Arial" w:hAnsi="Arial"/>
                <w:sz w:val="18"/>
                <w:szCs w:val="18"/>
                <w:color w:val="auto"/>
              </w:rPr>
              <w:t>Reference is made to Exhibits 3.1 and 3.2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Form of Common Stock Certificate</w:t>
              </w:r>
            </w:hyperlink>
          </w:p>
        </w:tc>
        <w:tc>
          <w:tcPr>
            <w:tcW w:w="3740" w:type="dxa"/>
            <w:vAlign w:val="bottom"/>
            <w:gridSpan w:val="17"/>
          </w:tcPr>
          <w:p>
            <w:pPr>
              <w:spacing w:after="0"/>
              <w:rPr>
                <w:sz w:val="19"/>
                <w:szCs w:val="19"/>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6/18/2014</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tcBorders>
              <w:bottom w:val="single" w:sz="8" w:color="0000FF"/>
            </w:tcBorders>
            <w:gridSpan w:val="16"/>
          </w:tcPr>
          <w:p>
            <w:pPr>
              <w:spacing w:after="0"/>
              <w:rPr>
                <w:rFonts w:ascii="Arial" w:cs="Arial" w:eastAsia="Arial" w:hAnsi="Arial"/>
                <w:sz w:val="18"/>
                <w:szCs w:val="18"/>
                <w:color w:val="0000FF"/>
                <w:w w:val="89"/>
              </w:rPr>
            </w:pPr>
            <w:hyperlink r:id="rId156">
              <w:r>
                <w:rPr>
                  <w:rFonts w:ascii="Arial" w:cs="Arial" w:eastAsia="Arial" w:hAnsi="Arial"/>
                  <w:sz w:val="18"/>
                  <w:szCs w:val="18"/>
                  <w:color w:val="0000FF"/>
                  <w:w w:val="89"/>
                </w:rPr>
                <w:t>Description of the Registrant’s Securities Registered Pursuant to Section 12 of the</w:t>
              </w:r>
            </w:hyperlink>
          </w:p>
        </w:tc>
        <w:tc>
          <w:tcPr>
            <w:tcW w:w="400" w:type="dxa"/>
            <w:vAlign w:val="bottom"/>
            <w:gridSpan w:val="7"/>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23"/>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Securities Exchange Act of 1934</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10.1(a)</w:t>
            </w:r>
          </w:p>
        </w:tc>
        <w:tc>
          <w:tcPr>
            <w:tcW w:w="20" w:type="dxa"/>
            <w:vAlign w:val="bottom"/>
          </w:tcPr>
          <w:p>
            <w:pPr>
              <w:spacing w:after="0"/>
              <w:rPr>
                <w:sz w:val="21"/>
                <w:szCs w:val="21"/>
                <w:color w:val="auto"/>
              </w:rPr>
            </w:pPr>
          </w:p>
        </w:tc>
        <w:tc>
          <w:tcPr>
            <w:tcW w:w="6300" w:type="dxa"/>
            <w:vAlign w:val="bottom"/>
            <w:gridSpan w:val="23"/>
          </w:tcPr>
          <w:p>
            <w:pPr>
              <w:spacing w:after="0"/>
              <w:rPr>
                <w:rFonts w:ascii="Arial" w:cs="Arial" w:eastAsia="Arial" w:hAnsi="Arial"/>
                <w:sz w:val="18"/>
                <w:szCs w:val="18"/>
                <w:color w:val="0000FF"/>
                <w:w w:val="95"/>
              </w:rPr>
            </w:pPr>
            <w:hyperlink r:id="rId157">
              <w:r>
                <w:rPr>
                  <w:rFonts w:ascii="Arial" w:cs="Arial" w:eastAsia="Arial" w:hAnsi="Arial"/>
                  <w:sz w:val="18"/>
                  <w:szCs w:val="18"/>
                  <w:color w:val="0000FF"/>
                  <w:w w:val="95"/>
                </w:rPr>
                <w:t>Termination Agreement, dated June 2, 2015, by and between AstraZeneca AB and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8/12/2015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Ardelyx, Inc.</w:t>
              </w:r>
            </w:hyperlink>
          </w:p>
        </w:tc>
        <w:tc>
          <w:tcPr>
            <w:tcW w:w="3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10.1(b)</w:t>
            </w:r>
          </w:p>
        </w:tc>
        <w:tc>
          <w:tcPr>
            <w:tcW w:w="20" w:type="dxa"/>
            <w:vAlign w:val="bottom"/>
          </w:tcPr>
          <w:p>
            <w:pPr>
              <w:spacing w:after="0"/>
              <w:rPr>
                <w:sz w:val="21"/>
                <w:szCs w:val="21"/>
                <w:color w:val="auto"/>
              </w:rPr>
            </w:pPr>
          </w:p>
        </w:tc>
        <w:tc>
          <w:tcPr>
            <w:tcW w:w="6300" w:type="dxa"/>
            <w:vAlign w:val="bottom"/>
            <w:gridSpan w:val="23"/>
          </w:tcPr>
          <w:p>
            <w:pPr>
              <w:spacing w:after="0"/>
              <w:rPr>
                <w:rFonts w:ascii="Arial" w:cs="Arial" w:eastAsia="Arial" w:hAnsi="Arial"/>
                <w:sz w:val="18"/>
                <w:szCs w:val="18"/>
                <w:color w:val="0000FF"/>
              </w:rPr>
            </w:pPr>
            <w:hyperlink r:id="rId158">
              <w:r>
                <w:rPr>
                  <w:rFonts w:ascii="Arial" w:cs="Arial" w:eastAsia="Arial" w:hAnsi="Arial"/>
                  <w:sz w:val="18"/>
                  <w:szCs w:val="18"/>
                  <w:color w:val="0000FF"/>
                </w:rPr>
                <w:t>Amendment No. 1 to Termination Agreement and to Manufacturing and Supply</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10.1(d)</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15"/>
          </w:tcPr>
          <w:p>
            <w:pPr>
              <w:spacing w:after="0" w:line="196"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Agreement, dated November 2, 2015 by and between AstraZeneca AB and</w:t>
              </w:r>
            </w:hyperlink>
          </w:p>
        </w:tc>
        <w:tc>
          <w:tcPr>
            <w:tcW w:w="5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Ardelyx, Inc.</w:t>
              </w:r>
            </w:hyperlink>
          </w:p>
        </w:tc>
        <w:tc>
          <w:tcPr>
            <w:tcW w:w="9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10.2(a)</w:t>
            </w:r>
          </w:p>
        </w:tc>
        <w:tc>
          <w:tcPr>
            <w:tcW w:w="20" w:type="dxa"/>
            <w:vAlign w:val="bottom"/>
          </w:tcPr>
          <w:p>
            <w:pPr>
              <w:spacing w:after="0"/>
              <w:rPr>
                <w:sz w:val="21"/>
                <w:szCs w:val="21"/>
                <w:color w:val="auto"/>
              </w:rPr>
            </w:pPr>
          </w:p>
        </w:tc>
        <w:tc>
          <w:tcPr>
            <w:tcW w:w="6000" w:type="dxa"/>
            <w:vAlign w:val="bottom"/>
            <w:tcBorders>
              <w:bottom w:val="single" w:sz="8" w:color="0000FF"/>
            </w:tcBorders>
            <w:gridSpan w:val="19"/>
          </w:tcPr>
          <w:p>
            <w:pPr>
              <w:spacing w:after="0"/>
              <w:rPr>
                <w:rFonts w:ascii="Arial" w:cs="Arial" w:eastAsia="Arial" w:hAnsi="Arial"/>
                <w:sz w:val="18"/>
                <w:szCs w:val="18"/>
                <w:color w:val="0000FF"/>
                <w:w w:val="89"/>
              </w:rPr>
            </w:pPr>
            <w:hyperlink r:id="rId159">
              <w:r>
                <w:rPr>
                  <w:rFonts w:ascii="Arial" w:cs="Arial" w:eastAsia="Arial" w:hAnsi="Arial"/>
                  <w:sz w:val="18"/>
                  <w:szCs w:val="18"/>
                  <w:color w:val="0000FF"/>
                  <w:w w:val="89"/>
                </w:rPr>
                <w:t>Lease, dated August 8, 2008, by and between 34175 Ardenwood Venture, LLC and</w:t>
              </w:r>
            </w:hyperlink>
          </w:p>
        </w:tc>
        <w:tc>
          <w:tcPr>
            <w:tcW w:w="300" w:type="dxa"/>
            <w:vAlign w:val="bottom"/>
            <w:gridSpan w:val="4"/>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10.4(a)</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23"/>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Ardelyx, Inc.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10.2(b)</w:t>
            </w:r>
          </w:p>
        </w:tc>
        <w:tc>
          <w:tcPr>
            <w:tcW w:w="20" w:type="dxa"/>
            <w:vAlign w:val="bottom"/>
          </w:tcPr>
          <w:p>
            <w:pPr>
              <w:spacing w:after="0"/>
              <w:rPr>
                <w:sz w:val="21"/>
                <w:szCs w:val="21"/>
                <w:color w:val="auto"/>
              </w:rPr>
            </w:pPr>
          </w:p>
        </w:tc>
        <w:tc>
          <w:tcPr>
            <w:tcW w:w="5560" w:type="dxa"/>
            <w:vAlign w:val="bottom"/>
            <w:tcBorders>
              <w:bottom w:val="single" w:sz="8" w:color="0000FF"/>
            </w:tcBorders>
            <w:gridSpan w:val="13"/>
          </w:tcPr>
          <w:p>
            <w:pPr>
              <w:spacing w:after="0"/>
              <w:rPr>
                <w:rFonts w:ascii="Arial" w:cs="Arial" w:eastAsia="Arial" w:hAnsi="Arial"/>
                <w:sz w:val="18"/>
                <w:szCs w:val="18"/>
                <w:color w:val="0000FF"/>
                <w:w w:val="89"/>
              </w:rPr>
            </w:pPr>
            <w:hyperlink r:id="rId160">
              <w:r>
                <w:rPr>
                  <w:rFonts w:ascii="Arial" w:cs="Arial" w:eastAsia="Arial" w:hAnsi="Arial"/>
                  <w:sz w:val="18"/>
                  <w:szCs w:val="18"/>
                  <w:color w:val="0000FF"/>
                  <w:w w:val="89"/>
                </w:rPr>
                <w:t>First Amendment to Lease, dated December 20, 2012, by and between 34175</w:t>
              </w:r>
            </w:hyperlink>
          </w:p>
        </w:tc>
        <w:tc>
          <w:tcPr>
            <w:tcW w:w="740" w:type="dxa"/>
            <w:vAlign w:val="bottom"/>
            <w:gridSpan w:val="10"/>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10.4(b)</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23"/>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Ardenwood Venture, LLC and Ardelyx, Inc.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10.2(c)</w:t>
            </w:r>
          </w:p>
        </w:tc>
        <w:tc>
          <w:tcPr>
            <w:tcW w:w="20" w:type="dxa"/>
            <w:vAlign w:val="bottom"/>
          </w:tcPr>
          <w:p>
            <w:pPr>
              <w:spacing w:after="0"/>
              <w:rPr>
                <w:sz w:val="21"/>
                <w:szCs w:val="21"/>
                <w:color w:val="auto"/>
              </w:rPr>
            </w:pPr>
          </w:p>
        </w:tc>
        <w:tc>
          <w:tcPr>
            <w:tcW w:w="6300" w:type="dxa"/>
            <w:vAlign w:val="bottom"/>
            <w:gridSpan w:val="23"/>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Second Amendment to Lease, dated September 5, 2014, by and between</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9/9/2014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Ardelyx, Inc. and 34175 Ardenwood Venture, LLC</w:t>
              </w:r>
            </w:hyperlink>
          </w:p>
        </w:tc>
        <w:tc>
          <w:tcPr>
            <w:tcW w:w="1520" w:type="dxa"/>
            <w:vAlign w:val="bottom"/>
            <w:tcBorders>
              <w:top w:val="single" w:sz="8" w:color="0000FF"/>
            </w:tcBorders>
            <w:gridSpan w:val="3"/>
          </w:tcPr>
          <w:p>
            <w:pPr>
              <w:spacing w:after="0"/>
              <w:rPr>
                <w:sz w:val="17"/>
                <w:szCs w:val="17"/>
                <w:color w:val="auto"/>
              </w:rPr>
            </w:pPr>
          </w:p>
        </w:tc>
        <w:tc>
          <w:tcPr>
            <w:tcW w:w="11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10.2(d)</w:t>
            </w:r>
          </w:p>
        </w:tc>
        <w:tc>
          <w:tcPr>
            <w:tcW w:w="20" w:type="dxa"/>
            <w:vAlign w:val="bottom"/>
          </w:tcPr>
          <w:p>
            <w:pPr>
              <w:spacing w:after="0"/>
              <w:rPr>
                <w:sz w:val="21"/>
                <w:szCs w:val="21"/>
                <w:color w:val="auto"/>
              </w:rPr>
            </w:pPr>
          </w:p>
        </w:tc>
        <w:tc>
          <w:tcPr>
            <w:tcW w:w="6080" w:type="dxa"/>
            <w:vAlign w:val="bottom"/>
            <w:tcBorders>
              <w:bottom w:val="single" w:sz="8" w:color="0000FF"/>
            </w:tcBorders>
            <w:gridSpan w:val="20"/>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Third Amendment to Lease, dated April 28, 2016, by and between Ardelyx, Inc. and</w:t>
              </w:r>
            </w:hyperlink>
          </w:p>
        </w:tc>
        <w:tc>
          <w:tcPr>
            <w:tcW w:w="220" w:type="dxa"/>
            <w:vAlign w:val="bottom"/>
            <w:gridSpan w:val="3"/>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34175 Ardenwood Venture, LLC</w:t>
              </w:r>
            </w:hyperlink>
          </w:p>
        </w:tc>
        <w:tc>
          <w:tcPr>
            <w:tcW w:w="392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10.2(e)</w:t>
            </w:r>
          </w:p>
        </w:tc>
        <w:tc>
          <w:tcPr>
            <w:tcW w:w="20" w:type="dxa"/>
            <w:vAlign w:val="bottom"/>
          </w:tcPr>
          <w:p>
            <w:pPr>
              <w:spacing w:after="0"/>
              <w:rPr>
                <w:sz w:val="21"/>
                <w:szCs w:val="21"/>
                <w:color w:val="auto"/>
              </w:rPr>
            </w:pPr>
          </w:p>
        </w:tc>
        <w:tc>
          <w:tcPr>
            <w:tcW w:w="6300" w:type="dxa"/>
            <w:vAlign w:val="bottom"/>
            <w:gridSpan w:val="23"/>
          </w:tcPr>
          <w:p>
            <w:pPr>
              <w:spacing w:after="0"/>
              <w:rPr>
                <w:sz w:val="20"/>
                <w:szCs w:val="20"/>
                <w:color w:val="auto"/>
              </w:rPr>
            </w:pPr>
            <w:r>
              <w:rPr>
                <w:rFonts w:ascii="Arial" w:cs="Arial" w:eastAsia="Arial" w:hAnsi="Arial"/>
                <w:sz w:val="18"/>
                <w:szCs w:val="18"/>
                <w:color w:val="0000FF"/>
                <w:w w:val="93"/>
              </w:rPr>
              <w:t>Fourth Amendment to Lease, dated May 25, 2021, by and between Ardelyx, Inc. and</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1"/>
              </w:rPr>
              <w:t>34175 Ardenwood Venture, LLC</w:t>
            </w:r>
          </w:p>
        </w:tc>
        <w:tc>
          <w:tcPr>
            <w:tcW w:w="3720" w:type="dxa"/>
            <w:vAlign w:val="bottom"/>
            <w:tcBorders>
              <w:top w:val="single" w:sz="8" w:color="0000FF"/>
            </w:tcBorders>
            <w:gridSpan w:val="16"/>
          </w:tcPr>
          <w:p>
            <w:pPr>
              <w:spacing w:after="0"/>
              <w:rPr>
                <w:sz w:val="17"/>
                <w:szCs w:val="17"/>
                <w:color w:val="auto"/>
              </w:rPr>
            </w:pPr>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10.2(f)</w:t>
            </w:r>
          </w:p>
        </w:tc>
        <w:tc>
          <w:tcPr>
            <w:tcW w:w="20" w:type="dxa"/>
            <w:vAlign w:val="bottom"/>
          </w:tcPr>
          <w:p>
            <w:pPr>
              <w:spacing w:after="0"/>
              <w:rPr>
                <w:sz w:val="21"/>
                <w:szCs w:val="21"/>
                <w:color w:val="auto"/>
              </w:rPr>
            </w:pPr>
          </w:p>
        </w:tc>
        <w:tc>
          <w:tcPr>
            <w:tcW w:w="5980" w:type="dxa"/>
            <w:vAlign w:val="bottom"/>
            <w:tcBorders>
              <w:bottom w:val="single" w:sz="8" w:color="0000FF"/>
            </w:tcBorders>
            <w:gridSpan w:val="18"/>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Fifth Amendment to Lease, dated May 25, 2021, by and between Ardelyx, Inc. and</w:t>
              </w:r>
            </w:hyperlink>
          </w:p>
        </w:tc>
        <w:tc>
          <w:tcPr>
            <w:tcW w:w="320" w:type="dxa"/>
            <w:vAlign w:val="bottom"/>
            <w:gridSpan w:val="5"/>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6/1/2021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34175 Ardenwood Venture, LLC</w:t>
              </w:r>
            </w:hyperlink>
          </w:p>
        </w:tc>
        <w:tc>
          <w:tcPr>
            <w:tcW w:w="392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tcBorders>
              <w:bottom w:val="single" w:sz="8" w:color="0000FF"/>
            </w:tcBorders>
            <w:gridSpan w:val="14"/>
          </w:tcPr>
          <w:p>
            <w:pPr>
              <w:spacing w:after="0"/>
              <w:rPr>
                <w:rFonts w:ascii="Arial" w:cs="Arial" w:eastAsia="Arial" w:hAnsi="Arial"/>
                <w:sz w:val="18"/>
                <w:szCs w:val="18"/>
                <w:color w:val="0000FF"/>
                <w:w w:val="89"/>
              </w:rPr>
            </w:pPr>
            <w:hyperlink r:id="rId164">
              <w:r>
                <w:rPr>
                  <w:rFonts w:ascii="Arial" w:cs="Arial" w:eastAsia="Arial" w:hAnsi="Arial"/>
                  <w:sz w:val="18"/>
                  <w:szCs w:val="18"/>
                  <w:color w:val="0000FF"/>
                  <w:w w:val="89"/>
                </w:rPr>
                <w:t>Lease Agreement, dated December 30, 2020, by and between Ardelyx, Inc. and</w:t>
              </w:r>
            </w:hyperlink>
          </w:p>
        </w:tc>
        <w:tc>
          <w:tcPr>
            <w:tcW w:w="580" w:type="dxa"/>
            <w:vAlign w:val="bottom"/>
            <w:gridSpan w:val="9"/>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Prospect Fifth Ave, LLC.</w:t>
              </w:r>
            </w:hyperlink>
          </w:p>
        </w:tc>
        <w:tc>
          <w:tcPr>
            <w:tcW w:w="448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10.4(a)#</w:t>
            </w:r>
          </w:p>
        </w:tc>
        <w:tc>
          <w:tcPr>
            <w:tcW w:w="20" w:type="dxa"/>
            <w:vAlign w:val="bottom"/>
          </w:tcPr>
          <w:p>
            <w:pPr>
              <w:spacing w:after="0"/>
              <w:rPr>
                <w:sz w:val="21"/>
                <w:szCs w:val="21"/>
                <w:color w:val="auto"/>
              </w:rPr>
            </w:pPr>
          </w:p>
        </w:tc>
        <w:tc>
          <w:tcPr>
            <w:tcW w:w="6300" w:type="dxa"/>
            <w:vAlign w:val="bottom"/>
            <w:gridSpan w:val="2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Ardelyx, Inc. 2008 Stock Incentive Plan, as amended</w:t>
              </w:r>
            </w:hyperlink>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10.5(a)</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8"/>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2"/>
          </w:tcPr>
          <w:p>
            <w:pPr>
              <w:ind w:left="200"/>
              <w:spacing w:after="0"/>
              <w:rPr>
                <w:sz w:val="20"/>
                <w:szCs w:val="20"/>
                <w:color w:val="auto"/>
              </w:rPr>
            </w:pPr>
            <w:r>
              <w:rPr>
                <w:rFonts w:ascii="Arial" w:cs="Arial" w:eastAsia="Arial" w:hAnsi="Arial"/>
                <w:sz w:val="18"/>
                <w:szCs w:val="18"/>
                <w:b w:val="1"/>
                <w:bCs w:val="1"/>
                <w:color w:val="auto"/>
              </w:rPr>
              <w:t>Exhibit Description</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10.4(b)#</w:t>
            </w:r>
          </w:p>
        </w:tc>
        <w:tc>
          <w:tcPr>
            <w:tcW w:w="20" w:type="dxa"/>
            <w:vAlign w:val="bottom"/>
          </w:tcPr>
          <w:p>
            <w:pPr>
              <w:spacing w:after="0"/>
              <w:rPr>
                <w:sz w:val="17"/>
                <w:szCs w:val="17"/>
                <w:color w:val="auto"/>
              </w:rPr>
            </w:pPr>
          </w:p>
        </w:tc>
        <w:tc>
          <w:tcPr>
            <w:tcW w:w="584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167">
              <w:r>
                <w:rPr>
                  <w:rFonts w:ascii="Arial" w:cs="Arial" w:eastAsia="Arial" w:hAnsi="Arial"/>
                  <w:sz w:val="18"/>
                  <w:szCs w:val="18"/>
                  <w:color w:val="0000FF"/>
                  <w:w w:val="91"/>
                </w:rPr>
                <w:t>Form of Stock Option Grant Notice and Stock Option Agreement under the 2008</w:t>
              </w:r>
            </w:hyperlink>
          </w:p>
        </w:tc>
        <w:tc>
          <w:tcPr>
            <w:tcW w:w="3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Stock Incentive Plan, as amended</w:t>
              </w:r>
            </w:hyperlink>
          </w:p>
        </w:tc>
        <w:tc>
          <w:tcPr>
            <w:tcW w:w="3780" w:type="dxa"/>
            <w:vAlign w:val="bottom"/>
            <w:gridSpan w:val="31"/>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10.4(c)#</w:t>
            </w:r>
          </w:p>
        </w:tc>
        <w:tc>
          <w:tcPr>
            <w:tcW w:w="20" w:type="dxa"/>
            <w:vAlign w:val="bottom"/>
          </w:tcPr>
          <w:p>
            <w:pPr>
              <w:spacing w:after="0"/>
              <w:rPr>
                <w:sz w:val="21"/>
                <w:szCs w:val="21"/>
                <w:color w:val="auto"/>
              </w:rPr>
            </w:pPr>
          </w:p>
        </w:tc>
        <w:tc>
          <w:tcPr>
            <w:tcW w:w="5720" w:type="dxa"/>
            <w:vAlign w:val="bottom"/>
            <w:tcBorders>
              <w:bottom w:val="single" w:sz="8" w:color="0000FF"/>
            </w:tcBorders>
            <w:gridSpan w:val="28"/>
          </w:tcPr>
          <w:p>
            <w:pPr>
              <w:spacing w:after="0"/>
              <w:rPr>
                <w:rFonts w:ascii="Arial" w:cs="Arial" w:eastAsia="Arial" w:hAnsi="Arial"/>
                <w:sz w:val="18"/>
                <w:szCs w:val="18"/>
                <w:color w:val="0000FF"/>
                <w:w w:val="89"/>
              </w:rPr>
            </w:pPr>
            <w:hyperlink r:id="rId168">
              <w:r>
                <w:rPr>
                  <w:rFonts w:ascii="Arial" w:cs="Arial" w:eastAsia="Arial" w:hAnsi="Arial"/>
                  <w:sz w:val="18"/>
                  <w:szCs w:val="18"/>
                  <w:color w:val="0000FF"/>
                  <w:w w:val="89"/>
                </w:rPr>
                <w:t>Form of Restricted Stock Purchase Grant Notice and Restricted Stock Purchase</w:t>
              </w:r>
            </w:hyperlink>
          </w:p>
        </w:tc>
        <w:tc>
          <w:tcPr>
            <w:tcW w:w="480" w:type="dxa"/>
            <w:vAlign w:val="bottom"/>
            <w:gridSpan w:val="9"/>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Agreement under the 2008 Stock Incentive Plan, as amended</w:t>
              </w:r>
            </w:hyperlink>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10.5(a)#</w:t>
            </w:r>
          </w:p>
        </w:tc>
        <w:tc>
          <w:tcPr>
            <w:tcW w:w="20" w:type="dxa"/>
            <w:vAlign w:val="bottom"/>
          </w:tcPr>
          <w:p>
            <w:pPr>
              <w:spacing w:after="0"/>
              <w:rPr>
                <w:sz w:val="21"/>
                <w:szCs w:val="21"/>
                <w:color w:val="auto"/>
              </w:rPr>
            </w:pPr>
          </w:p>
        </w:tc>
        <w:tc>
          <w:tcPr>
            <w:tcW w:w="34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Ardelyx, Inc. 2014 Equity Incentive Award Plan</w:t>
              </w:r>
            </w:hyperlink>
          </w:p>
        </w:tc>
        <w:tc>
          <w:tcPr>
            <w:tcW w:w="900" w:type="dxa"/>
            <w:vAlign w:val="bottom"/>
            <w:tcBorders>
              <w:top w:val="single" w:sz="8" w:color="0000FF"/>
            </w:tcBorders>
            <w:gridSpan w:val="4"/>
          </w:tcPr>
          <w:p>
            <w:pPr>
              <w:spacing w:after="0"/>
              <w:rPr>
                <w:sz w:val="21"/>
                <w:szCs w:val="21"/>
                <w:color w:val="auto"/>
              </w:rPr>
            </w:pPr>
          </w:p>
        </w:tc>
        <w:tc>
          <w:tcPr>
            <w:tcW w:w="1820" w:type="dxa"/>
            <w:vAlign w:val="bottom"/>
            <w:gridSpan w:val="19"/>
          </w:tcPr>
          <w:p>
            <w:pPr>
              <w:spacing w:after="0"/>
              <w:rPr>
                <w:sz w:val="21"/>
                <w:szCs w:val="2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10.5(b)#</w:t>
            </w:r>
          </w:p>
        </w:tc>
        <w:tc>
          <w:tcPr>
            <w:tcW w:w="20" w:type="dxa"/>
            <w:vAlign w:val="bottom"/>
          </w:tcPr>
          <w:p>
            <w:pPr>
              <w:spacing w:after="0"/>
              <w:rPr>
                <w:sz w:val="21"/>
                <w:szCs w:val="21"/>
                <w:color w:val="auto"/>
              </w:rPr>
            </w:pPr>
          </w:p>
        </w:tc>
        <w:tc>
          <w:tcPr>
            <w:tcW w:w="5840" w:type="dxa"/>
            <w:vAlign w:val="bottom"/>
            <w:tcBorders>
              <w:bottom w:val="single" w:sz="8" w:color="0000FF"/>
            </w:tcBorders>
            <w:gridSpan w:val="30"/>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Form of Stock Option Grant Notice and Stock Option Agreement under the 2014</w:t>
              </w:r>
            </w:hyperlink>
          </w:p>
        </w:tc>
        <w:tc>
          <w:tcPr>
            <w:tcW w:w="360" w:type="dxa"/>
            <w:vAlign w:val="bottom"/>
            <w:gridSpan w:val="7"/>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Equity Incentive Award Plan</w:t>
              </w:r>
            </w:hyperlink>
          </w:p>
        </w:tc>
        <w:tc>
          <w:tcPr>
            <w:tcW w:w="4120" w:type="dxa"/>
            <w:vAlign w:val="bottom"/>
            <w:gridSpan w:val="33"/>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10.5(c)#</w:t>
            </w: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Form of Restricted Stock Award Agreement and Restricted Stock Unit Award Grant</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Notice under the 2014 Equity Incentive Award Plan</w:t>
              </w:r>
            </w:hyperlink>
          </w:p>
        </w:tc>
        <w:tc>
          <w:tcPr>
            <w:tcW w:w="2320" w:type="dxa"/>
            <w:vAlign w:val="bottom"/>
            <w:tcBorders>
              <w:top w:val="single" w:sz="8" w:color="0000FF"/>
            </w:tcBorders>
            <w:gridSpan w:val="17"/>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Ardelyx, Inc. 2014 Employee Stock Purchase Plan</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10.7(a)#</w:t>
            </w:r>
          </w:p>
        </w:tc>
        <w:tc>
          <w:tcPr>
            <w:tcW w:w="20" w:type="dxa"/>
            <w:vAlign w:val="bottom"/>
          </w:tcPr>
          <w:p>
            <w:pPr>
              <w:spacing w:after="0"/>
              <w:rPr>
                <w:sz w:val="21"/>
                <w:szCs w:val="21"/>
                <w:color w:val="auto"/>
              </w:rPr>
            </w:pPr>
          </w:p>
        </w:tc>
        <w:tc>
          <w:tcPr>
            <w:tcW w:w="4640" w:type="dxa"/>
            <w:vAlign w:val="bottom"/>
            <w:tcBorders>
              <w:bottom w:val="single" w:sz="8" w:color="0000FF"/>
            </w:tcBorders>
            <w:gridSpan w:val="20"/>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Ardelyx, Inc. 2016 Employment Commencement Incentive Plan</w:t>
              </w:r>
            </w:hyperlink>
          </w:p>
        </w:tc>
        <w:tc>
          <w:tcPr>
            <w:tcW w:w="1560" w:type="dxa"/>
            <w:vAlign w:val="bottom"/>
            <w:gridSpan w:val="17"/>
          </w:tcPr>
          <w:p>
            <w:pPr>
              <w:spacing w:after="0"/>
              <w:rPr>
                <w:sz w:val="21"/>
                <w:szCs w:val="2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10.7(b)#</w:t>
            </w:r>
          </w:p>
        </w:tc>
        <w:tc>
          <w:tcPr>
            <w:tcW w:w="20" w:type="dxa"/>
            <w:vAlign w:val="bottom"/>
          </w:tcPr>
          <w:p>
            <w:pPr>
              <w:spacing w:after="0"/>
              <w:rPr>
                <w:sz w:val="21"/>
                <w:szCs w:val="21"/>
                <w:color w:val="auto"/>
              </w:rPr>
            </w:pPr>
          </w:p>
        </w:tc>
        <w:tc>
          <w:tcPr>
            <w:tcW w:w="5840" w:type="dxa"/>
            <w:vAlign w:val="bottom"/>
            <w:tcBorders>
              <w:bottom w:val="single" w:sz="8" w:color="0000FF"/>
            </w:tcBorders>
            <w:gridSpan w:val="30"/>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Form of Stock Option Grant Notice and Stock Option Agreement under the 2016</w:t>
              </w:r>
            </w:hyperlink>
          </w:p>
        </w:tc>
        <w:tc>
          <w:tcPr>
            <w:tcW w:w="360" w:type="dxa"/>
            <w:vAlign w:val="bottom"/>
            <w:gridSpan w:val="7"/>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Employment Commencement Incentive Plan</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10.7(c)#</w:t>
            </w:r>
          </w:p>
        </w:tc>
        <w:tc>
          <w:tcPr>
            <w:tcW w:w="20" w:type="dxa"/>
            <w:vAlign w:val="bottom"/>
          </w:tcPr>
          <w:p>
            <w:pPr>
              <w:spacing w:after="0"/>
              <w:rPr>
                <w:sz w:val="21"/>
                <w:szCs w:val="21"/>
                <w:color w:val="auto"/>
              </w:rPr>
            </w:pPr>
          </w:p>
        </w:tc>
        <w:tc>
          <w:tcPr>
            <w:tcW w:w="6100" w:type="dxa"/>
            <w:vAlign w:val="bottom"/>
            <w:tcBorders>
              <w:bottom w:val="single" w:sz="8" w:color="0000FF"/>
            </w:tcBorders>
            <w:gridSpan w:val="36"/>
          </w:tcPr>
          <w:p>
            <w:pPr>
              <w:spacing w:after="0"/>
              <w:rPr>
                <w:rFonts w:ascii="Arial" w:cs="Arial" w:eastAsia="Arial" w:hAnsi="Arial"/>
                <w:sz w:val="18"/>
                <w:szCs w:val="18"/>
                <w:color w:val="0000FF"/>
                <w:w w:val="91"/>
              </w:rPr>
            </w:pPr>
            <w:hyperlink r:id="rId175">
              <w:r>
                <w:rPr>
                  <w:rFonts w:ascii="Arial" w:cs="Arial" w:eastAsia="Arial" w:hAnsi="Arial"/>
                  <w:sz w:val="18"/>
                  <w:szCs w:val="18"/>
                  <w:color w:val="0000FF"/>
                  <w:w w:val="91"/>
                </w:rPr>
                <w:t>Form of Restricted Stock Unit Award Grant Notice and Restricted Stock Unit Award</w:t>
              </w:r>
            </w:hyperlink>
          </w:p>
        </w:tc>
        <w:tc>
          <w:tcPr>
            <w:tcW w:w="10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Agreement under the 2016 Employment Commencement Incentive Plan</w:t>
              </w:r>
            </w:hyperlink>
          </w:p>
        </w:tc>
        <w:tc>
          <w:tcPr>
            <w:tcW w:w="960" w:type="dxa"/>
            <w:vAlign w:val="bottom"/>
            <w:gridSpan w:val="16"/>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10.7(d)#</w:t>
            </w:r>
          </w:p>
        </w:tc>
        <w:tc>
          <w:tcPr>
            <w:tcW w:w="20" w:type="dxa"/>
            <w:vAlign w:val="bottom"/>
          </w:tcPr>
          <w:p>
            <w:pPr>
              <w:spacing w:after="0"/>
              <w:rPr>
                <w:sz w:val="21"/>
                <w:szCs w:val="21"/>
                <w:color w:val="auto"/>
              </w:rPr>
            </w:pPr>
          </w:p>
        </w:tc>
        <w:tc>
          <w:tcPr>
            <w:tcW w:w="5360" w:type="dxa"/>
            <w:vAlign w:val="bottom"/>
            <w:tcBorders>
              <w:bottom w:val="single" w:sz="8" w:color="0000FF"/>
            </w:tcBorders>
            <w:gridSpan w:val="22"/>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Form of Restricted Stock Award Grant Notice and Restricted Stock Award</w:t>
              </w:r>
            </w:hyperlink>
          </w:p>
        </w:tc>
        <w:tc>
          <w:tcPr>
            <w:tcW w:w="840" w:type="dxa"/>
            <w:vAlign w:val="bottom"/>
            <w:gridSpan w:val="15"/>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Agreement under the 2016 Employment Commencement Incentive Plan</w:t>
              </w:r>
            </w:hyperlink>
          </w:p>
        </w:tc>
        <w:tc>
          <w:tcPr>
            <w:tcW w:w="960" w:type="dxa"/>
            <w:vAlign w:val="bottom"/>
            <w:gridSpan w:val="16"/>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24"/>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Registration Rights Agreement by and among Ardelyx, Inc. and the investors</w:t>
              </w:r>
            </w:hyperlink>
          </w:p>
        </w:tc>
        <w:tc>
          <w:tcPr>
            <w:tcW w:w="640" w:type="dxa"/>
            <w:vAlign w:val="bottom"/>
            <w:gridSpan w:val="1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signatory thereto, dated June 2, 2015</w:t>
              </w:r>
            </w:hyperlink>
          </w:p>
        </w:tc>
        <w:tc>
          <w:tcPr>
            <w:tcW w:w="3540" w:type="dxa"/>
            <w:vAlign w:val="bottom"/>
            <w:gridSpan w:val="28"/>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24"/>
          </w:tcPr>
          <w:p>
            <w:pPr>
              <w:spacing w:after="0"/>
              <w:rPr>
                <w:rFonts w:ascii="Arial" w:cs="Arial" w:eastAsia="Arial" w:hAnsi="Arial"/>
                <w:sz w:val="18"/>
                <w:szCs w:val="18"/>
                <w:color w:val="0000FF"/>
                <w:w w:val="90"/>
              </w:rPr>
            </w:pPr>
            <w:hyperlink r:id="rId178">
              <w:r>
                <w:rPr>
                  <w:rFonts w:ascii="Arial" w:cs="Arial" w:eastAsia="Arial" w:hAnsi="Arial"/>
                  <w:sz w:val="18"/>
                  <w:szCs w:val="18"/>
                  <w:color w:val="0000FF"/>
                  <w:w w:val="90"/>
                </w:rPr>
                <w:t>Registration Rights Agreement by and among Ardelyx, Inc. and the investors</w:t>
              </w:r>
            </w:hyperlink>
          </w:p>
        </w:tc>
        <w:tc>
          <w:tcPr>
            <w:tcW w:w="640" w:type="dxa"/>
            <w:vAlign w:val="bottom"/>
            <w:gridSpan w:val="1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signatory thereto, dated July 14, 2016</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Indemnification Agreement for directors and officers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tcBorders>
              <w:bottom w:val="single" w:sz="8" w:color="0000FF"/>
            </w:tcBorders>
            <w:gridSpan w:val="32"/>
          </w:tcPr>
          <w:p>
            <w:pPr>
              <w:spacing w:after="0"/>
              <w:rPr>
                <w:rFonts w:ascii="Arial" w:cs="Arial" w:eastAsia="Arial" w:hAnsi="Arial"/>
                <w:sz w:val="18"/>
                <w:szCs w:val="18"/>
                <w:color w:val="0000FF"/>
                <w:w w:val="89"/>
              </w:rPr>
            </w:pPr>
            <w:hyperlink r:id="rId180">
              <w:r>
                <w:rPr>
                  <w:rFonts w:ascii="Arial" w:cs="Arial" w:eastAsia="Arial" w:hAnsi="Arial"/>
                  <w:sz w:val="18"/>
                  <w:szCs w:val="18"/>
                  <w:color w:val="0000FF"/>
                  <w:w w:val="89"/>
                </w:rPr>
                <w:t>Amended and Restated Executive Employment Agreement, dated June 6, 2014, by</w:t>
              </w:r>
            </w:hyperlink>
          </w:p>
        </w:tc>
        <w:tc>
          <w:tcPr>
            <w:tcW w:w="240" w:type="dxa"/>
            <w:vAlign w:val="bottom"/>
            <w:gridSpan w:val="5"/>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and between Ardelyx, Inc. and Michael Raab</w:t>
              </w:r>
            </w:hyperlink>
          </w:p>
        </w:tc>
        <w:tc>
          <w:tcPr>
            <w:tcW w:w="2940" w:type="dxa"/>
            <w:vAlign w:val="bottom"/>
            <w:gridSpan w:val="25"/>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0" w:type="dxa"/>
            <w:vAlign w:val="bottom"/>
            <w:tcBorders>
              <w:bottom w:val="single" w:sz="8" w:color="0000FF"/>
            </w:tcBorders>
            <w:gridSpan w:val="29"/>
          </w:tcPr>
          <w:p>
            <w:pPr>
              <w:spacing w:after="0"/>
              <w:rPr>
                <w:rFonts w:ascii="Arial" w:cs="Arial" w:eastAsia="Arial" w:hAnsi="Arial"/>
                <w:sz w:val="18"/>
                <w:szCs w:val="18"/>
                <w:color w:val="0000FF"/>
                <w:w w:val="90"/>
              </w:rPr>
            </w:pPr>
            <w:hyperlink r:id="rId181">
              <w:r>
                <w:rPr>
                  <w:rFonts w:ascii="Arial" w:cs="Arial" w:eastAsia="Arial" w:hAnsi="Arial"/>
                  <w:sz w:val="18"/>
                  <w:szCs w:val="18"/>
                  <w:color w:val="0000FF"/>
                  <w:w w:val="90"/>
                </w:rPr>
                <w:t>Offer Letter, dated December 28, 2009, by and between Ardelyx, Inc. and David</w:t>
              </w:r>
            </w:hyperlink>
          </w:p>
        </w:tc>
        <w:tc>
          <w:tcPr>
            <w:tcW w:w="400" w:type="dxa"/>
            <w:vAlign w:val="bottom"/>
            <w:gridSpan w:val="8"/>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Rosenbaum, Ph.D.</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10.13(a)#</w:t>
            </w:r>
          </w:p>
        </w:tc>
        <w:tc>
          <w:tcPr>
            <w:tcW w:w="20" w:type="dxa"/>
            <w:vAlign w:val="bottom"/>
          </w:tcPr>
          <w:p>
            <w:pPr>
              <w:spacing w:after="0"/>
              <w:rPr>
                <w:sz w:val="21"/>
                <w:szCs w:val="21"/>
                <w:color w:val="auto"/>
              </w:rPr>
            </w:pPr>
          </w:p>
        </w:tc>
        <w:tc>
          <w:tcPr>
            <w:tcW w:w="6080" w:type="dxa"/>
            <w:vAlign w:val="bottom"/>
            <w:tcBorders>
              <w:bottom w:val="single" w:sz="8" w:color="0000FF"/>
            </w:tcBorders>
            <w:gridSpan w:val="35"/>
          </w:tcPr>
          <w:p>
            <w:pPr>
              <w:spacing w:after="0"/>
              <w:rPr>
                <w:rFonts w:ascii="Arial" w:cs="Arial" w:eastAsia="Arial" w:hAnsi="Arial"/>
                <w:sz w:val="18"/>
                <w:szCs w:val="18"/>
                <w:color w:val="0000FF"/>
                <w:w w:val="88"/>
              </w:rPr>
            </w:pPr>
            <w:hyperlink r:id="rId182">
              <w:r>
                <w:rPr>
                  <w:rFonts w:ascii="Arial" w:cs="Arial" w:eastAsia="Arial" w:hAnsi="Arial"/>
                  <w:sz w:val="18"/>
                  <w:szCs w:val="18"/>
                  <w:color w:val="0000FF"/>
                  <w:w w:val="88"/>
                </w:rPr>
                <w:t>Second Amended and Restated Change in Control and Severance Agreement by and</w:t>
              </w:r>
            </w:hyperlink>
          </w:p>
        </w:tc>
        <w:tc>
          <w:tcPr>
            <w:tcW w:w="120" w:type="dxa"/>
            <w:vAlign w:val="bottom"/>
            <w:gridSpan w:val="2"/>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between Ardelyx, Inc. and David P. Rosenbaum, Ph.D.</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10.13(b)#</w:t>
            </w:r>
          </w:p>
        </w:tc>
        <w:tc>
          <w:tcPr>
            <w:tcW w:w="20" w:type="dxa"/>
            <w:vAlign w:val="bottom"/>
          </w:tcPr>
          <w:p>
            <w:pPr>
              <w:spacing w:after="0"/>
              <w:rPr>
                <w:sz w:val="21"/>
                <w:szCs w:val="21"/>
                <w:color w:val="auto"/>
              </w:rPr>
            </w:pPr>
          </w:p>
        </w:tc>
        <w:tc>
          <w:tcPr>
            <w:tcW w:w="5720" w:type="dxa"/>
            <w:vAlign w:val="bottom"/>
            <w:tcBorders>
              <w:bottom w:val="single" w:sz="8" w:color="0000FF"/>
            </w:tcBorders>
            <w:gridSpan w:val="28"/>
          </w:tcPr>
          <w:p>
            <w:pPr>
              <w:spacing w:after="0"/>
              <w:rPr>
                <w:rFonts w:ascii="Arial" w:cs="Arial" w:eastAsia="Arial" w:hAnsi="Arial"/>
                <w:sz w:val="18"/>
                <w:szCs w:val="18"/>
                <w:color w:val="0000FF"/>
                <w:w w:val="89"/>
              </w:rPr>
            </w:pPr>
            <w:hyperlink r:id="rId183">
              <w:r>
                <w:rPr>
                  <w:rFonts w:ascii="Arial" w:cs="Arial" w:eastAsia="Arial" w:hAnsi="Arial"/>
                  <w:sz w:val="18"/>
                  <w:szCs w:val="18"/>
                  <w:color w:val="0000FF"/>
                  <w:w w:val="89"/>
                </w:rPr>
                <w:t>Amendment Number One to Second Amended and Restated Change in Control</w:t>
              </w:r>
            </w:hyperlink>
          </w:p>
        </w:tc>
        <w:tc>
          <w:tcPr>
            <w:tcW w:w="480" w:type="dxa"/>
            <w:vAlign w:val="bottom"/>
            <w:gridSpan w:val="9"/>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31"/>
          </w:tcPr>
          <w:p>
            <w:pPr>
              <w:spacing w:after="0" w:line="196"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Severance Agreement and Retention Agreement dated December 1, 2021 between</w:t>
              </w:r>
            </w:hyperlink>
          </w:p>
        </w:tc>
        <w:tc>
          <w:tcPr>
            <w:tcW w:w="2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Ardelyx, Inc. and David Rosenbaum</w:t>
              </w:r>
            </w:hyperlink>
          </w:p>
        </w:tc>
        <w:tc>
          <w:tcPr>
            <w:tcW w:w="3560" w:type="dxa"/>
            <w:vAlign w:val="bottom"/>
            <w:gridSpan w:val="29"/>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60" w:type="dxa"/>
            <w:vAlign w:val="bottom"/>
            <w:tcBorders>
              <w:bottom w:val="single" w:sz="8" w:color="0000FF"/>
            </w:tcBorders>
            <w:gridSpan w:val="34"/>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Offer Letter, dated November 21, 2012, by and between Ardelyx, Inc. and Elizabeth</w:t>
              </w:r>
            </w:hyperlink>
          </w:p>
        </w:tc>
        <w:tc>
          <w:tcPr>
            <w:tcW w:w="14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7"/>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Grammer, Esq.</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80" w:type="dxa"/>
            <w:vAlign w:val="bottom"/>
            <w:tcBorders>
              <w:bottom w:val="single" w:sz="8" w:color="0000FF"/>
            </w:tcBorders>
            <w:gridSpan w:val="35"/>
          </w:tcPr>
          <w:p>
            <w:pPr>
              <w:spacing w:after="0"/>
              <w:rPr>
                <w:rFonts w:ascii="Arial" w:cs="Arial" w:eastAsia="Arial" w:hAnsi="Arial"/>
                <w:sz w:val="18"/>
                <w:szCs w:val="18"/>
                <w:color w:val="0000FF"/>
                <w:w w:val="88"/>
              </w:rPr>
            </w:pPr>
            <w:hyperlink r:id="rId185">
              <w:r>
                <w:rPr>
                  <w:rFonts w:ascii="Arial" w:cs="Arial" w:eastAsia="Arial" w:hAnsi="Arial"/>
                  <w:sz w:val="18"/>
                  <w:szCs w:val="18"/>
                  <w:color w:val="0000FF"/>
                  <w:w w:val="88"/>
                </w:rPr>
                <w:t>Second Amended and Restated Change in Control and Severance Agreement by and</w:t>
              </w:r>
            </w:hyperlink>
          </w:p>
        </w:tc>
        <w:tc>
          <w:tcPr>
            <w:tcW w:w="120" w:type="dxa"/>
            <w:vAlign w:val="bottom"/>
            <w:gridSpan w:val="2"/>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between Ardelyx, Inc. and Elizabeth Grammer.</w:t>
              </w:r>
            </w:hyperlink>
          </w:p>
        </w:tc>
        <w:tc>
          <w:tcPr>
            <w:tcW w:w="2800" w:type="dxa"/>
            <w:vAlign w:val="bottom"/>
            <w:gridSpan w:val="24"/>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rPr>
            </w:pPr>
            <w:hyperlink r:id="rId186">
              <w:r>
                <w:rPr>
                  <w:rFonts w:ascii="Arial" w:cs="Arial" w:eastAsia="Arial" w:hAnsi="Arial"/>
                  <w:sz w:val="18"/>
                  <w:szCs w:val="18"/>
                  <w:color w:val="0000FF"/>
                </w:rPr>
                <w:t>Offer Letter, dated April 27, 2020, by and between Ardelyx, Inc. and Susan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Rodriguez</w:t>
              </w:r>
            </w:hyperlink>
          </w:p>
        </w:tc>
        <w:tc>
          <w:tcPr>
            <w:tcW w:w="78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w w:val="98"/>
              </w:rPr>
            </w:pPr>
            <w:hyperlink r:id="rId187">
              <w:r>
                <w:rPr>
                  <w:rFonts w:ascii="Arial" w:cs="Arial" w:eastAsia="Arial" w:hAnsi="Arial"/>
                  <w:sz w:val="18"/>
                  <w:szCs w:val="18"/>
                  <w:color w:val="0000FF"/>
                  <w:w w:val="98"/>
                </w:rPr>
                <w:t>Change in Control Severance Agreement dated June 2, 2020, by and between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Ardelyx, Inc. and Susan Rodriguez</w:t>
              </w:r>
            </w:hyperlink>
          </w:p>
        </w:tc>
        <w:tc>
          <w:tcPr>
            <w:tcW w:w="64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w w:val="98"/>
              </w:rPr>
            </w:pPr>
            <w:hyperlink r:id="rId188">
              <w:r>
                <w:rPr>
                  <w:rFonts w:ascii="Arial" w:cs="Arial" w:eastAsia="Arial" w:hAnsi="Arial"/>
                  <w:sz w:val="18"/>
                  <w:szCs w:val="18"/>
                  <w:color w:val="0000FF"/>
                  <w:w w:val="98"/>
                </w:rPr>
                <w:t>Offer Letter, dated June 2, 2020, by and between Ardelyx, Inc. and Justin Renz</w:t>
              </w:r>
            </w:hyperlink>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tcBorders>
              <w:top w:val="single" w:sz="8" w:color="0000FF"/>
            </w:tcBorders>
            <w:gridSpan w:val="26"/>
          </w:tcPr>
          <w:p>
            <w:pPr>
              <w:spacing w:after="0"/>
              <w:rPr>
                <w:rFonts w:ascii="Arial" w:cs="Arial" w:eastAsia="Arial" w:hAnsi="Arial"/>
                <w:sz w:val="18"/>
                <w:szCs w:val="18"/>
                <w:color w:val="0000FF"/>
                <w:w w:val="89"/>
              </w:rPr>
            </w:pPr>
            <w:hyperlink r:id="rId189">
              <w:r>
                <w:rPr>
                  <w:rFonts w:ascii="Arial" w:cs="Arial" w:eastAsia="Arial" w:hAnsi="Arial"/>
                  <w:sz w:val="18"/>
                  <w:szCs w:val="18"/>
                  <w:color w:val="0000FF"/>
                  <w:w w:val="89"/>
                </w:rPr>
                <w:t>Change in Control Severance Agreement, dated June 8, 2020, by and between</w:t>
              </w:r>
            </w:hyperlink>
          </w:p>
        </w:tc>
        <w:tc>
          <w:tcPr>
            <w:tcW w:w="520" w:type="dxa"/>
            <w:vAlign w:val="bottom"/>
            <w:gridSpan w:val="11"/>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Ardelyx, Inc. and Justin Renz</w:t>
              </w:r>
            </w:hyperlink>
          </w:p>
        </w:tc>
        <w:tc>
          <w:tcPr>
            <w:tcW w:w="3460" w:type="dxa"/>
            <w:vAlign w:val="bottom"/>
            <w:tcBorders>
              <w:top w:val="single" w:sz="8" w:color="0000FF"/>
            </w:tcBorders>
            <w:gridSpan w:val="20"/>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10.20(a)#</w:t>
            </w: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rPr>
            </w:pPr>
            <w:hyperlink r:id="rId190">
              <w:r>
                <w:rPr>
                  <w:rFonts w:ascii="Arial" w:cs="Arial" w:eastAsia="Arial" w:hAnsi="Arial"/>
                  <w:sz w:val="18"/>
                  <w:szCs w:val="18"/>
                  <w:color w:val="0000FF"/>
                </w:rPr>
                <w:t>Non-Employee Director Compensation Program</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14"/>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10.20(b)#</w:t>
            </w:r>
          </w:p>
        </w:tc>
        <w:tc>
          <w:tcPr>
            <w:tcW w:w="20" w:type="dxa"/>
            <w:vAlign w:val="bottom"/>
          </w:tcPr>
          <w:p>
            <w:pPr>
              <w:spacing w:after="0"/>
              <w:rPr>
                <w:sz w:val="21"/>
                <w:szCs w:val="21"/>
                <w:color w:val="auto"/>
              </w:rPr>
            </w:pPr>
          </w:p>
        </w:tc>
        <w:tc>
          <w:tcPr>
            <w:tcW w:w="6200" w:type="dxa"/>
            <w:vAlign w:val="bottom"/>
            <w:gridSpan w:val="37"/>
          </w:tcPr>
          <w:p>
            <w:pPr>
              <w:spacing w:after="0"/>
              <w:rPr>
                <w:rFonts w:ascii="Arial" w:cs="Arial" w:eastAsia="Arial" w:hAnsi="Arial"/>
                <w:sz w:val="18"/>
                <w:szCs w:val="18"/>
                <w:color w:val="0000FF"/>
                <w:w w:val="98"/>
              </w:rPr>
            </w:pPr>
            <w:hyperlink r:id="rId191">
              <w:r>
                <w:rPr>
                  <w:rFonts w:ascii="Arial" w:cs="Arial" w:eastAsia="Arial" w:hAnsi="Arial"/>
                  <w:sz w:val="18"/>
                  <w:szCs w:val="18"/>
                  <w:color w:val="0000FF"/>
                  <w:w w:val="98"/>
                </w:rPr>
                <w:t>Description of amendments to Non-Employee Director Compensation Program</w:t>
              </w:r>
            </w:hyperlink>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10.20(c)#</w:t>
            </w:r>
          </w:p>
        </w:tc>
        <w:tc>
          <w:tcPr>
            <w:tcW w:w="20" w:type="dxa"/>
            <w:vAlign w:val="bottom"/>
          </w:tcPr>
          <w:p>
            <w:pPr>
              <w:spacing w:after="0"/>
              <w:rPr>
                <w:sz w:val="21"/>
                <w:szCs w:val="21"/>
                <w:color w:val="auto"/>
              </w:rPr>
            </w:pPr>
          </w:p>
        </w:tc>
        <w:tc>
          <w:tcPr>
            <w:tcW w:w="5700" w:type="dxa"/>
            <w:vAlign w:val="bottom"/>
            <w:tcBorders>
              <w:top w:val="single" w:sz="8" w:color="0000FF"/>
            </w:tcBorders>
            <w:gridSpan w:val="27"/>
          </w:tcPr>
          <w:p>
            <w:pPr>
              <w:spacing w:after="0"/>
              <w:rPr>
                <w:rFonts w:ascii="Arial" w:cs="Arial" w:eastAsia="Arial" w:hAnsi="Arial"/>
                <w:sz w:val="18"/>
                <w:szCs w:val="18"/>
                <w:color w:val="0000FF"/>
                <w:w w:val="97"/>
              </w:rPr>
            </w:pPr>
            <w:hyperlink r:id="rId192">
              <w:r>
                <w:rPr>
                  <w:rFonts w:ascii="Arial" w:cs="Arial" w:eastAsia="Arial" w:hAnsi="Arial"/>
                  <w:sz w:val="18"/>
                  <w:szCs w:val="18"/>
                  <w:color w:val="0000FF"/>
                  <w:w w:val="97"/>
                </w:rPr>
                <w:t>Amended and Restated Non-Employee Director Compensation Program.</w:t>
              </w:r>
            </w:hyperlink>
          </w:p>
        </w:tc>
        <w:tc>
          <w:tcPr>
            <w:tcW w:w="500" w:type="dxa"/>
            <w:vAlign w:val="bottom"/>
            <w:gridSpan w:val="10"/>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8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10.5(b)</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10.5(c)</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10.6(b)</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10.6(c)</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7/14/2014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7/13/2015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2/28/2022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5/8/2018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3/9/2017</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80" w:space="100"/>
            <w:col w:w="376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8"/>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gridSpan w:val="26"/>
          </w:tcPr>
          <w:p>
            <w:pPr>
              <w:ind w:left="220"/>
              <w:spacing w:after="0"/>
              <w:rPr>
                <w:sz w:val="20"/>
                <w:szCs w:val="20"/>
                <w:color w:val="auto"/>
              </w:rPr>
            </w:pPr>
            <w:r>
              <w:rPr>
                <w:rFonts w:ascii="Arial" w:cs="Arial" w:eastAsia="Arial" w:hAnsi="Arial"/>
                <w:sz w:val="18"/>
                <w:szCs w:val="18"/>
                <w:b w:val="1"/>
                <w:bCs w:val="1"/>
                <w:color w:val="auto"/>
              </w:rPr>
              <w:t>Exhibit Description</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10.20(d)#</w:t>
            </w:r>
          </w:p>
        </w:tc>
        <w:tc>
          <w:tcPr>
            <w:tcW w:w="20" w:type="dxa"/>
            <w:vAlign w:val="bottom"/>
          </w:tcPr>
          <w:p>
            <w:pPr>
              <w:spacing w:after="0"/>
              <w:rPr>
                <w:sz w:val="17"/>
                <w:szCs w:val="17"/>
                <w:color w:val="auto"/>
              </w:rPr>
            </w:pPr>
          </w:p>
        </w:tc>
        <w:tc>
          <w:tcPr>
            <w:tcW w:w="578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Second Amended and Restated Non-Employee Director Compensation Program</w:t>
              </w:r>
            </w:hyperlink>
          </w:p>
        </w:tc>
        <w:tc>
          <w:tcPr>
            <w:tcW w:w="420" w:type="dxa"/>
            <w:vAlign w:val="bottom"/>
            <w:gridSpan w:val="14"/>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10.21(a)††</w:t>
            </w:r>
          </w:p>
        </w:tc>
        <w:tc>
          <w:tcPr>
            <w:tcW w:w="20" w:type="dxa"/>
            <w:vAlign w:val="bottom"/>
          </w:tcPr>
          <w:p>
            <w:pPr>
              <w:spacing w:after="0"/>
              <w:rPr>
                <w:sz w:val="21"/>
                <w:szCs w:val="21"/>
                <w:color w:val="auto"/>
              </w:rPr>
            </w:pPr>
          </w:p>
        </w:tc>
        <w:tc>
          <w:tcPr>
            <w:tcW w:w="6100" w:type="dxa"/>
            <w:vAlign w:val="bottom"/>
            <w:tcBorders>
              <w:bottom w:val="single" w:sz="8" w:color="0000FF"/>
            </w:tcBorders>
            <w:gridSpan w:val="2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License Agreement, dated November 27, 2017, by and between Kyowa Hakko Kirin</w:t>
              </w:r>
            </w:hyperlink>
          </w:p>
        </w:tc>
        <w:tc>
          <w:tcPr>
            <w:tcW w:w="100" w:type="dxa"/>
            <w:vAlign w:val="bottom"/>
            <w:gridSpan w:val="6"/>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1"/>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Co. , Ltd. and Ardelyx, Inc.</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10.21(b)</w:t>
            </w:r>
          </w:p>
        </w:tc>
        <w:tc>
          <w:tcPr>
            <w:tcW w:w="20" w:type="dxa"/>
            <w:vAlign w:val="bottom"/>
          </w:tcPr>
          <w:p>
            <w:pPr>
              <w:spacing w:after="0"/>
              <w:rPr>
                <w:sz w:val="21"/>
                <w:szCs w:val="21"/>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0000FF"/>
                <w:w w:val="94"/>
              </w:rPr>
              <w:t>Amendment Number 1 to License Agreement, dated as of November 27, 2017, by</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3"/>
              </w:rPr>
              <w:t>and among Ardelyx, Inc., and Kyowa Kirin Co., Ltd.</w:t>
            </w:r>
          </w:p>
        </w:tc>
        <w:tc>
          <w:tcPr>
            <w:tcW w:w="2080" w:type="dxa"/>
            <w:vAlign w:val="bottom"/>
            <w:tcBorders>
              <w:top w:val="single" w:sz="8" w:color="0000FF"/>
            </w:tcBorders>
            <w:gridSpan w:val="11"/>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10.21(c)††</w:t>
            </w:r>
          </w:p>
        </w:tc>
        <w:tc>
          <w:tcPr>
            <w:tcW w:w="20" w:type="dxa"/>
            <w:vAlign w:val="bottom"/>
          </w:tcPr>
          <w:p>
            <w:pPr>
              <w:spacing w:after="0"/>
              <w:rPr>
                <w:sz w:val="21"/>
                <w:szCs w:val="21"/>
                <w:color w:val="auto"/>
              </w:rPr>
            </w:pPr>
          </w:p>
        </w:tc>
        <w:tc>
          <w:tcPr>
            <w:tcW w:w="6200" w:type="dxa"/>
            <w:vAlign w:val="bottom"/>
            <w:gridSpan w:val="31"/>
          </w:tcPr>
          <w:p>
            <w:pPr>
              <w:spacing w:after="0"/>
              <w:rPr>
                <w:rFonts w:ascii="Arial" w:cs="Arial" w:eastAsia="Arial" w:hAnsi="Arial"/>
                <w:sz w:val="18"/>
                <w:szCs w:val="18"/>
                <w:color w:val="0000FF"/>
                <w:w w:val="96"/>
              </w:rPr>
            </w:pPr>
            <w:hyperlink r:id="rId196">
              <w:r>
                <w:rPr>
                  <w:rFonts w:ascii="Arial" w:cs="Arial" w:eastAsia="Arial" w:hAnsi="Arial"/>
                  <w:sz w:val="18"/>
                  <w:szCs w:val="18"/>
                  <w:color w:val="0000FF"/>
                  <w:w w:val="96"/>
                </w:rPr>
                <w:t>Amendment Number 2 to License Agreement, dated as of April 11, 2022, by and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among Ardelyx, Inc., and Kyowa Kirin Co., Ltd.</w:t>
              </w:r>
            </w:hyperlink>
          </w:p>
        </w:tc>
        <w:tc>
          <w:tcPr>
            <w:tcW w:w="380" w:type="dxa"/>
            <w:vAlign w:val="bottom"/>
            <w:gridSpan w:val="13"/>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1"/>
                <w:szCs w:val="21"/>
                <w:color w:val="auto"/>
              </w:rPr>
            </w:pPr>
          </w:p>
        </w:tc>
        <w:tc>
          <w:tcPr>
            <w:tcW w:w="6200" w:type="dxa"/>
            <w:vAlign w:val="bottom"/>
            <w:gridSpan w:val="31"/>
          </w:tcPr>
          <w:p>
            <w:pPr>
              <w:spacing w:after="0"/>
              <w:rPr>
                <w:rFonts w:ascii="Arial" w:cs="Arial" w:eastAsia="Arial" w:hAnsi="Arial"/>
                <w:sz w:val="18"/>
                <w:szCs w:val="18"/>
                <w:color w:val="0000FF"/>
                <w:w w:val="95"/>
              </w:rPr>
            </w:pPr>
            <w:hyperlink r:id="rId197">
              <w:r>
                <w:rPr>
                  <w:rFonts w:ascii="Arial" w:cs="Arial" w:eastAsia="Arial" w:hAnsi="Arial"/>
                  <w:sz w:val="18"/>
                  <w:szCs w:val="18"/>
                  <w:color w:val="0000FF"/>
                  <w:w w:val="95"/>
                </w:rPr>
                <w:t>License Agreement, dated December 11, 2017, by and between Shanghai Fosun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Pharmaceutical Industrial Development Co. Ltd. and Ardelyx, Inc.</w:t>
              </w:r>
            </w:hyperlink>
          </w:p>
        </w:tc>
        <w:tc>
          <w:tcPr>
            <w:tcW w:w="940" w:type="dxa"/>
            <w:vAlign w:val="bottom"/>
            <w:tcBorders>
              <w:top w:val="single" w:sz="8" w:color="0000FF"/>
            </w:tcBorders>
            <w:gridSpan w:val="2"/>
          </w:tcPr>
          <w:p>
            <w:pPr>
              <w:spacing w:after="0"/>
              <w:rPr>
                <w:sz w:val="17"/>
                <w:szCs w:val="17"/>
                <w:color w:val="auto"/>
              </w:rPr>
            </w:pPr>
          </w:p>
        </w:tc>
        <w:tc>
          <w:tcPr>
            <w:tcW w:w="460" w:type="dxa"/>
            <w:vAlign w:val="bottom"/>
            <w:gridSpan w:val="15"/>
          </w:tcPr>
          <w:p>
            <w:pPr>
              <w:spacing w:after="0"/>
              <w:rPr>
                <w:sz w:val="17"/>
                <w:szCs w:val="17"/>
                <w:color w:val="auto"/>
              </w:rPr>
            </w:pPr>
          </w:p>
        </w:tc>
      </w:tr>
      <w:tr>
        <w:trPr>
          <w:trHeight w:val="23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0"/>
                <w:szCs w:val="20"/>
                <w:color w:val="auto"/>
              </w:rPr>
            </w:pPr>
          </w:p>
        </w:tc>
        <w:tc>
          <w:tcPr>
            <w:tcW w:w="6140" w:type="dxa"/>
            <w:vAlign w:val="bottom"/>
            <w:tcBorders>
              <w:bottom w:val="single" w:sz="8" w:color="0000FF"/>
            </w:tcBorders>
            <w:gridSpan w:val="27"/>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Royalty and Sales Milestone Interest Acquisition Agreement dated June 29, 2022, by</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bottom w:val="single" w:sz="8" w:color="0000FF"/>
            </w:tcBorders>
            <w:gridSpan w:val="15"/>
          </w:tcPr>
          <w:p>
            <w:pPr>
              <w:spacing w:after="0" w:line="15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and between Ardelyx, Inc. and Healthcare Royalty Partners IV, L.P.</w:t>
              </w:r>
            </w:hyperlink>
          </w:p>
        </w:tc>
        <w:tc>
          <w:tcPr>
            <w:tcW w:w="12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10.24(a)</w:t>
            </w:r>
          </w:p>
        </w:tc>
        <w:tc>
          <w:tcPr>
            <w:tcW w:w="20" w:type="dxa"/>
            <w:vAlign w:val="bottom"/>
          </w:tcPr>
          <w:p>
            <w:pPr>
              <w:spacing w:after="0"/>
              <w:rPr>
                <w:sz w:val="19"/>
                <w:szCs w:val="19"/>
                <w:color w:val="auto"/>
              </w:rPr>
            </w:pPr>
          </w:p>
        </w:tc>
        <w:tc>
          <w:tcPr>
            <w:tcW w:w="6200" w:type="dxa"/>
            <w:vAlign w:val="bottom"/>
            <w:gridSpan w:val="31"/>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Loan and Security Agreement dated February 23, 2022, by and between Ardelyx, Inc.</w:t>
              </w:r>
            </w:hyperlink>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and SLR Investment Corp.</w:t>
              </w:r>
            </w:hyperlink>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10.24(b)</w:t>
            </w:r>
          </w:p>
        </w:tc>
        <w:tc>
          <w:tcPr>
            <w:tcW w:w="20" w:type="dxa"/>
            <w:vAlign w:val="bottom"/>
          </w:tcPr>
          <w:p>
            <w:pPr>
              <w:spacing w:after="0"/>
              <w:rPr>
                <w:sz w:val="19"/>
                <w:szCs w:val="19"/>
                <w:color w:val="auto"/>
              </w:rPr>
            </w:pPr>
          </w:p>
        </w:tc>
        <w:tc>
          <w:tcPr>
            <w:tcW w:w="6080" w:type="dxa"/>
            <w:vAlign w:val="bottom"/>
            <w:tcBorders>
              <w:bottom w:val="single" w:sz="8" w:color="0000FF"/>
            </w:tcBorders>
            <w:gridSpan w:val="24"/>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First Amendment to the Loan and Security Agreement dated August 1, 2022, by and</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24"/>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between Ardelyx, Inc. and SLR Investment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10.24(c)</w:t>
            </w:r>
          </w:p>
        </w:tc>
        <w:tc>
          <w:tcPr>
            <w:tcW w:w="20" w:type="dxa"/>
            <w:vAlign w:val="bottom"/>
          </w:tcPr>
          <w:p>
            <w:pPr>
              <w:spacing w:after="0"/>
              <w:rPr>
                <w:sz w:val="19"/>
                <w:szCs w:val="19"/>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0000FF"/>
                <w:w w:val="91"/>
              </w:rPr>
              <w:t>Second Amendment to the Loan and Security Agreement dated February 9, 2023, by</w:t>
            </w: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0"/>
              </w:rPr>
              <w:t>and between Ardelyx, Inc. and SLR Investment Corp.</w:t>
            </w:r>
          </w:p>
        </w:tc>
        <w:tc>
          <w:tcPr>
            <w:tcW w:w="22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80" w:type="dxa"/>
            <w:vAlign w:val="bottom"/>
            <w:tcBorders>
              <w:bottom w:val="single" w:sz="8" w:color="0000FF"/>
            </w:tcBorders>
            <w:gridSpan w:val="29"/>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Exit Fee Agreement dated February 23, 2022, by and between Ardelyx, Inc. and SLR</w:t>
              </w:r>
            </w:hyperlink>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gridSpan w:val="29"/>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Investment Corp.</w:t>
              </w:r>
            </w:hyperlink>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tcBorders>
              <w:bottom w:val="single" w:sz="8" w:color="0000FF"/>
            </w:tcBorders>
            <w:gridSpan w:val="22"/>
          </w:tcPr>
          <w:p>
            <w:pPr>
              <w:spacing w:after="0"/>
              <w:rPr>
                <w:rFonts w:ascii="Arial" w:cs="Arial" w:eastAsia="Arial" w:hAnsi="Arial"/>
                <w:sz w:val="18"/>
                <w:szCs w:val="18"/>
                <w:color w:val="0000FF"/>
                <w:w w:val="89"/>
              </w:rPr>
            </w:pPr>
            <w:hyperlink r:id="rId202">
              <w:r>
                <w:rPr>
                  <w:rFonts w:ascii="Arial" w:cs="Arial" w:eastAsia="Arial" w:hAnsi="Arial"/>
                  <w:sz w:val="18"/>
                  <w:szCs w:val="18"/>
                  <w:color w:val="0000FF"/>
                  <w:w w:val="89"/>
                </w:rPr>
                <w:t>Exit Fee Agreement, dated May 16, 2018, by and between the Company and Solar</w:t>
              </w:r>
            </w:hyperlink>
          </w:p>
        </w:tc>
        <w:tc>
          <w:tcPr>
            <w:tcW w:w="260" w:type="dxa"/>
            <w:vAlign w:val="bottom"/>
            <w:gridSpan w:val="9"/>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202">
              <w:r>
                <w:rPr>
                  <w:rFonts w:ascii="Arial" w:cs="Arial" w:eastAsia="Arial" w:hAnsi="Arial"/>
                  <w:sz w:val="18"/>
                  <w:szCs w:val="18"/>
                  <w:color w:val="0000FF"/>
                  <w:w w:val="93"/>
                </w:rPr>
                <w:t>Capital Ltd. and Western Alliance Bank.</w:t>
              </w:r>
            </w:hyperlink>
          </w:p>
        </w:tc>
        <w:tc>
          <w:tcPr>
            <w:tcW w:w="3200" w:type="dxa"/>
            <w:vAlign w:val="bottom"/>
            <w:gridSpan w:val="25"/>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10.27(a)††</w:t>
            </w:r>
          </w:p>
        </w:tc>
        <w:tc>
          <w:tcPr>
            <w:tcW w:w="20" w:type="dxa"/>
            <w:vAlign w:val="bottom"/>
          </w:tcPr>
          <w:p>
            <w:pPr>
              <w:spacing w:after="0"/>
              <w:rPr>
                <w:sz w:val="21"/>
                <w:szCs w:val="21"/>
                <w:color w:val="auto"/>
              </w:rPr>
            </w:pPr>
          </w:p>
        </w:tc>
        <w:tc>
          <w:tcPr>
            <w:tcW w:w="6100" w:type="dxa"/>
            <w:vAlign w:val="bottom"/>
            <w:tcBorders>
              <w:bottom w:val="single" w:sz="8" w:color="0000FF"/>
            </w:tcBorders>
            <w:gridSpan w:val="25"/>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Manufacturing Services Agreement, dated May 18, 2020, between Ardelyx, Inc. and</w:t>
              </w:r>
            </w:hyperlink>
          </w:p>
        </w:tc>
        <w:tc>
          <w:tcPr>
            <w:tcW w:w="100" w:type="dxa"/>
            <w:vAlign w:val="bottom"/>
            <w:gridSpan w:val="6"/>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rFonts w:ascii="Arial" w:cs="Arial" w:eastAsia="Arial" w:hAnsi="Arial"/>
                <w:sz w:val="18"/>
                <w:szCs w:val="18"/>
                <w:color w:val="0000FF"/>
                <w:w w:val="87"/>
              </w:rPr>
            </w:pPr>
            <w:hyperlink r:id="rId203">
              <w:r>
                <w:rPr>
                  <w:rFonts w:ascii="Arial" w:cs="Arial" w:eastAsia="Arial" w:hAnsi="Arial"/>
                  <w:sz w:val="18"/>
                  <w:szCs w:val="18"/>
                  <w:color w:val="0000FF"/>
                  <w:w w:val="87"/>
                </w:rPr>
                <w:t>Patheon Pharmaceuticals Inc.</w:t>
              </w:r>
            </w:hyperlink>
          </w:p>
        </w:tc>
        <w:tc>
          <w:tcPr>
            <w:tcW w:w="4080" w:type="dxa"/>
            <w:vAlign w:val="bottom"/>
            <w:gridSpan w:val="26"/>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10.27(b)††</w:t>
            </w:r>
          </w:p>
        </w:tc>
        <w:tc>
          <w:tcPr>
            <w:tcW w:w="20" w:type="dxa"/>
            <w:vAlign w:val="bottom"/>
          </w:tcPr>
          <w:p>
            <w:pPr>
              <w:spacing w:after="0"/>
              <w:rPr>
                <w:sz w:val="21"/>
                <w:szCs w:val="21"/>
                <w:color w:val="auto"/>
              </w:rPr>
            </w:pPr>
          </w:p>
        </w:tc>
        <w:tc>
          <w:tcPr>
            <w:tcW w:w="618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0"/>
              </w:rPr>
              <w:t>First Amendment to the Manufacturing Services Agreement dated February 27, 2023,</w:t>
            </w:r>
          </w:p>
        </w:tc>
        <w:tc>
          <w:tcPr>
            <w:tcW w:w="2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1"/>
          </w:tcPr>
          <w:p>
            <w:pPr>
              <w:spacing w:after="0" w:line="196" w:lineRule="exact"/>
              <w:rPr>
                <w:sz w:val="20"/>
                <w:szCs w:val="20"/>
                <w:color w:val="auto"/>
              </w:rPr>
            </w:pPr>
            <w:r>
              <w:rPr>
                <w:rFonts w:ascii="Arial" w:cs="Arial" w:eastAsia="Arial" w:hAnsi="Arial"/>
                <w:sz w:val="18"/>
                <w:szCs w:val="18"/>
                <w:color w:val="0000FF"/>
              </w:rPr>
              <w:t>between Ardelyx, Inc. and Patheon Pharmaceuticals Inc.</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1"/>
          </w:tcPr>
          <w:p>
            <w:pPr>
              <w:spacing w:after="0"/>
              <w:rPr>
                <w:rFonts w:ascii="Arial" w:cs="Arial" w:eastAsia="Arial" w:hAnsi="Arial"/>
                <w:sz w:val="18"/>
                <w:szCs w:val="18"/>
                <w:color w:val="0000FF"/>
                <w:w w:val="95"/>
              </w:rPr>
            </w:pPr>
            <w:hyperlink r:id="rId204">
              <w:r>
                <w:rPr>
                  <w:rFonts w:ascii="Arial" w:cs="Arial" w:eastAsia="Arial" w:hAnsi="Arial"/>
                  <w:sz w:val="18"/>
                  <w:szCs w:val="18"/>
                  <w:color w:val="0000FF"/>
                  <w:w w:val="95"/>
                </w:rPr>
                <w:t>Open Market Sales Agreement, dated August 31, 2021 between Ardelyx, Inc. and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Jefferies LLC.</w:t>
              </w:r>
            </w:hyperlink>
          </w:p>
        </w:tc>
        <w:tc>
          <w:tcPr>
            <w:tcW w:w="32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gridSpan w:val="31"/>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Open Market Sales Agreement, dated January 18, 2023 between Ardelyx, Inc. and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Jefferies LLC.</w:t>
              </w:r>
            </w:hyperlink>
          </w:p>
        </w:tc>
        <w:tc>
          <w:tcPr>
            <w:tcW w:w="28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1880" w:type="dxa"/>
            <w:vAlign w:val="bottom"/>
            <w:gridSpan w:val="18"/>
          </w:tcPr>
          <w:p>
            <w:pPr>
              <w:spacing w:after="0"/>
              <w:rPr>
                <w:sz w:val="21"/>
                <w:szCs w:val="2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2"/>
              </w:rPr>
              <w:t>Certification of Principal Executive Officer Required Under Rule 13a-14(a) and 15d-</w:t>
            </w:r>
          </w:p>
        </w:tc>
        <w:tc>
          <w:tcPr>
            <w:tcW w:w="4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1"/>
          </w:tcPr>
          <w:p>
            <w:pPr>
              <w:spacing w:after="0" w:line="196" w:lineRule="exact"/>
              <w:rPr>
                <w:sz w:val="20"/>
                <w:szCs w:val="20"/>
                <w:color w:val="auto"/>
              </w:rPr>
            </w:pPr>
            <w:r>
              <w:rPr>
                <w:rFonts w:ascii="Arial" w:cs="Arial" w:eastAsia="Arial" w:hAnsi="Arial"/>
                <w:sz w:val="18"/>
                <w:szCs w:val="18"/>
                <w:color w:val="0000FF"/>
              </w:rPr>
              <w:t>14(a) of the Securities Exchange Act of 1934, as amended</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60" w:type="dxa"/>
            <w:vAlign w:val="bottom"/>
            <w:gridSpan w:val="11"/>
            <w:shd w:val="clear" w:color="auto" w:fill="0000FF"/>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2"/>
              </w:rPr>
              <w:t>Certification of Principal Financial Officer Required Under Rule 13a-14(a) and 15d-</w:t>
            </w:r>
          </w:p>
        </w:tc>
        <w:tc>
          <w:tcPr>
            <w:tcW w:w="100" w:type="dxa"/>
            <w:vAlign w:val="bottom"/>
            <w:gridSpan w:val="6"/>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1"/>
          </w:tcPr>
          <w:p>
            <w:pPr>
              <w:spacing w:after="0" w:line="196" w:lineRule="exact"/>
              <w:rPr>
                <w:sz w:val="20"/>
                <w:szCs w:val="20"/>
                <w:color w:val="auto"/>
              </w:rPr>
            </w:pPr>
            <w:r>
              <w:rPr>
                <w:rFonts w:ascii="Arial" w:cs="Arial" w:eastAsia="Arial" w:hAnsi="Arial"/>
                <w:sz w:val="18"/>
                <w:szCs w:val="18"/>
                <w:color w:val="0000FF"/>
              </w:rPr>
              <w:t>14(a) of the Securities Exchange Act of 1934, as amended</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60" w:type="dxa"/>
            <w:vAlign w:val="bottom"/>
            <w:gridSpan w:val="11"/>
            <w:shd w:val="clear" w:color="auto" w:fill="0000FF"/>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Required</w:t>
            </w:r>
          </w:p>
        </w:tc>
        <w:tc>
          <w:tcPr>
            <w:tcW w:w="100" w:type="dxa"/>
            <w:vAlign w:val="bottom"/>
            <w:gridSpan w:val="6"/>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31"/>
          </w:tcPr>
          <w:p>
            <w:pPr>
              <w:spacing w:after="0" w:line="196" w:lineRule="exact"/>
              <w:rPr>
                <w:sz w:val="20"/>
                <w:szCs w:val="20"/>
                <w:color w:val="auto"/>
              </w:rPr>
            </w:pPr>
            <w:r>
              <w:rPr>
                <w:rFonts w:ascii="Arial" w:cs="Arial" w:eastAsia="Arial" w:hAnsi="Arial"/>
                <w:sz w:val="18"/>
                <w:szCs w:val="18"/>
                <w:color w:val="0000FF"/>
                <w:w w:val="93"/>
              </w:rPr>
              <w:t>Under Rule 13a</w:t>
            </w:r>
            <w:r>
              <w:rPr>
                <w:rFonts w:ascii="MS PGothic" w:cs="MS PGothic" w:eastAsia="MS PGothic" w:hAnsi="MS PGothic"/>
                <w:sz w:val="18"/>
                <w:szCs w:val="18"/>
                <w:color w:val="0000FF"/>
                <w:w w:val="93"/>
              </w:rPr>
              <w:t>‑</w:t>
            </w:r>
            <w:r>
              <w:rPr>
                <w:rFonts w:ascii="Arial" w:cs="Arial" w:eastAsia="Arial" w:hAnsi="Arial"/>
                <w:sz w:val="18"/>
                <w:szCs w:val="18"/>
                <w:color w:val="0000FF"/>
                <w:w w:val="93"/>
              </w:rPr>
              <w:t>14(b) of the Securities Exchange Act of 1934, as amended, and 18</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18"/>
                <w:szCs w:val="18"/>
                <w:color w:val="0000FF"/>
              </w:rPr>
              <w:t>U.S.C §1350</w:t>
            </w:r>
          </w:p>
        </w:tc>
        <w:tc>
          <w:tcPr>
            <w:tcW w:w="240" w:type="dxa"/>
            <w:vAlign w:val="bottom"/>
            <w:gridSpan w:val="8"/>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80" w:type="dxa"/>
            <w:vAlign w:val="bottom"/>
            <w:gridSpan w:val="30"/>
          </w:tcPr>
          <w:p>
            <w:pPr>
              <w:spacing w:after="0" w:line="20" w:lineRule="exact"/>
              <w:rPr>
                <w:sz w:val="1"/>
                <w:szCs w:val="1"/>
                <w:color w:val="auto"/>
              </w:rPr>
            </w:pPr>
          </w:p>
        </w:tc>
      </w:tr>
      <w:tr>
        <w:trPr>
          <w:trHeight w:val="29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6200" w:type="dxa"/>
            <w:vAlign w:val="bottom"/>
            <w:gridSpan w:val="3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8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8/4/2022</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4/11/2022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8/4/2022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5/5/2022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8/4/2022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5/5/2022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8/7/2018</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8/13/2021</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1/19/2023</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ectPr>
          <w:pgSz w:w="11900" w:h="16838" w:orient="portrait"/>
          <w:cols w:equalWidth="0" w:num="2">
            <w:col w:w="7380" w:space="100"/>
            <w:col w:w="376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Confidential treatment granted as to portions of this Exhibit. The confidential portions of this Exhibit have been omitted and are marked by asterisks.</w:t>
      </w:r>
    </w:p>
    <w:p>
      <w:pPr>
        <w:spacing w:after="0" w:line="212" w:lineRule="exact"/>
        <w:rPr>
          <w:sz w:val="20"/>
          <w:szCs w:val="20"/>
          <w:color w:val="auto"/>
        </w:rPr>
      </w:pPr>
    </w:p>
    <w:p>
      <w:pPr>
        <w:ind w:left="340" w:hanging="332"/>
        <w:spacing w:after="0" w:line="261" w:lineRule="auto"/>
        <w:tabs>
          <w:tab w:leader="none" w:pos="4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8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Ardelyx, Inc.</w:t>
      </w:r>
    </w:p>
    <w:p>
      <w:pPr>
        <w:spacing w:after="0" w:line="337" w:lineRule="exact"/>
        <w:rPr>
          <w:sz w:val="20"/>
          <w:szCs w:val="20"/>
          <w:color w:val="auto"/>
        </w:rPr>
      </w:pPr>
    </w:p>
    <w:p>
      <w:pPr>
        <w:ind w:left="20"/>
        <w:spacing w:after="0"/>
        <w:tabs>
          <w:tab w:leader="none" w:pos="5380" w:val="left"/>
          <w:tab w:leader="none" w:pos="592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31750</wp:posOffset>
            </wp:positionV>
            <wp:extent cx="3351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Robert Felsch</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(Principal Accounting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Michael Raab, Justin Renz, and Robert Felsch,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p>
      <w:pPr>
        <w:ind w:left="1640"/>
        <w:spacing w:after="0"/>
        <w:tabs>
          <w:tab w:leader="none" w:pos="6200" w:val="left"/>
          <w:tab w:leader="none" w:pos="9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Michael Raab</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Justin Renz</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Robert Felsch</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David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David Mott</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Robert 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Robert Bazemore</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William 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William Bertrand, Jr., J.D.</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Muna Bhanji, R.Ph</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Geoffrey A.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Geoffrey A. Block, M.D.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 Onaiza 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4517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Onaiza Cadoret-Manier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President, Chief Executive Officer and Director</w:t>
      </w:r>
    </w:p>
    <w:p>
      <w:pPr>
        <w:spacing w:after="0" w:line="46" w:lineRule="exact"/>
        <w:rPr>
          <w:sz w:val="20"/>
          <w:szCs w:val="20"/>
          <w:color w:val="auto"/>
        </w:rPr>
      </w:pPr>
    </w:p>
    <w:p>
      <w:pPr>
        <w:jc w:val="center"/>
        <w:ind w:right="72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Chief Financial and Operations Officer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8"/>
          <w:szCs w:val="18"/>
          <w:i w:val="1"/>
          <w:iCs w:val="1"/>
          <w:color w:val="auto"/>
        </w:rPr>
        <w:t>(Principal Financial Officer)</w:t>
      </w:r>
    </w:p>
    <w:p>
      <w:pPr>
        <w:spacing w:after="0" w:line="37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8"/>
          <w:szCs w:val="18"/>
          <w:i w:val="1"/>
          <w:iCs w:val="1"/>
          <w:color w:val="auto"/>
        </w:rPr>
        <w:t>(Principal Accounting Officer)</w:t>
      </w:r>
    </w:p>
    <w:p>
      <w:pPr>
        <w:spacing w:after="0" w:line="3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 2023</w:t>
      </w:r>
    </w:p>
    <w:p>
      <w:pPr>
        <w:spacing w:after="0" w:line="506" w:lineRule="exact"/>
        <w:rPr>
          <w:sz w:val="20"/>
          <w:szCs w:val="20"/>
          <w:color w:val="auto"/>
        </w:rPr>
      </w:pPr>
    </w:p>
    <w:p>
      <w:pPr>
        <w:sectPr>
          <w:pgSz w:w="11900" w:h="16838" w:orient="portrait"/>
          <w:cols w:equalWidth="0" w:num="3">
            <w:col w:w="3920" w:space="720"/>
            <w:col w:w="4140" w:space="720"/>
            <w:col w:w="1740"/>
          </w:cols>
          <w:pgMar w:left="320" w:top="125" w:right="339" w:bottom="1440" w:gutter="0" w:footer="0" w:header="0"/>
          <w:type w:val="continuous"/>
        </w:sectPr>
      </w:pPr>
    </w:p>
    <w:p>
      <w:pPr>
        <w:spacing w:after="0" w:line="133"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/s/ Jan M. 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1460"/>
        <w:spacing w:after="0"/>
        <w:rPr>
          <w:sz w:val="20"/>
          <w:szCs w:val="20"/>
          <w:color w:val="auto"/>
        </w:rPr>
      </w:pPr>
      <w:r>
        <w:rPr>
          <w:rFonts w:ascii="Arial" w:cs="Arial" w:eastAsia="Arial" w:hAnsi="Arial"/>
          <w:sz w:val="16"/>
          <w:szCs w:val="16"/>
          <w:color w:val="auto"/>
        </w:rPr>
        <w:t>Jan M. Lundberg, Ph.D.</w:t>
      </w:r>
    </w:p>
    <w:p>
      <w:pPr>
        <w:spacing w:after="0" w:line="356"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/s/ Richard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517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Richard Rodgers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4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4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 2023</w:t>
      </w:r>
    </w:p>
    <w:p>
      <w:pPr>
        <w:spacing w:after="0" w:line="506" w:lineRule="exact"/>
        <w:rPr>
          <w:sz w:val="20"/>
          <w:szCs w:val="20"/>
          <w:color w:val="auto"/>
        </w:rPr>
      </w:pPr>
    </w:p>
    <w:p>
      <w:pPr>
        <w:sectPr>
          <w:pgSz w:w="11900" w:h="16838" w:orient="portrait"/>
          <w:cols w:equalWidth="0" w:num="2">
            <w:col w:w="5340" w:space="720"/>
            <w:col w:w="51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40"/>
          </w:cols>
          <w:pgMar w:left="320" w:top="125"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 10.2(e)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FOURTH AMENDMENT TO LEASE</w:t>
      </w:r>
    </w:p>
    <w:p>
      <w:pPr>
        <w:spacing w:after="0" w:line="225" w:lineRule="exact"/>
        <w:rPr>
          <w:sz w:val="20"/>
          <w:szCs w:val="20"/>
          <w:color w:val="auto"/>
        </w:rPr>
      </w:pPr>
    </w:p>
    <w:p>
      <w:pPr>
        <w:jc w:val="both"/>
        <w:ind w:left="40" w:right="120" w:firstLine="627"/>
        <w:spacing w:after="0" w:line="211" w:lineRule="auto"/>
        <w:rPr>
          <w:sz w:val="20"/>
          <w:szCs w:val="20"/>
          <w:color w:val="auto"/>
        </w:rPr>
      </w:pPr>
      <w:r>
        <w:rPr>
          <w:rFonts w:ascii="Arial" w:cs="Arial" w:eastAsia="Arial" w:hAnsi="Arial"/>
          <w:sz w:val="19"/>
          <w:szCs w:val="19"/>
          <w:color w:val="auto"/>
        </w:rPr>
        <w:t xml:space="preserve">THIS FOURTH AMENDMENT TO LEASE (this </w:t>
      </w:r>
      <w:r>
        <w:rPr>
          <w:rFonts w:ascii="Arial" w:cs="Arial" w:eastAsia="Arial" w:hAnsi="Arial"/>
          <w:sz w:val="19"/>
          <w:szCs w:val="19"/>
          <w:u w:val="single" w:color="auto"/>
          <w:color w:val="auto"/>
        </w:rPr>
        <w:t>"Fourth Amendment")</w:t>
      </w:r>
      <w:r>
        <w:rPr>
          <w:rFonts w:ascii="Arial" w:cs="Arial" w:eastAsia="Arial" w:hAnsi="Arial"/>
          <w:sz w:val="19"/>
          <w:szCs w:val="19"/>
          <w:color w:val="auto"/>
        </w:rPr>
        <w:t xml:space="preserve"> is entered into as of this ll</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May, 2018 (the </w:t>
      </w:r>
      <w:r>
        <w:rPr>
          <w:rFonts w:ascii="Arial" w:cs="Arial" w:eastAsia="Arial" w:hAnsi="Arial"/>
          <w:sz w:val="19"/>
          <w:szCs w:val="19"/>
          <w:u w:val="single" w:color="auto"/>
          <w:color w:val="auto"/>
        </w:rPr>
        <w:t>"Execution Date"),</w:t>
      </w:r>
      <w:r>
        <w:rPr>
          <w:rFonts w:ascii="Arial" w:cs="Arial" w:eastAsia="Arial" w:hAnsi="Arial"/>
          <w:sz w:val="19"/>
          <w:szCs w:val="19"/>
          <w:color w:val="auto"/>
        </w:rPr>
        <w:t xml:space="preserve"> by and between 34175 ARDENWOOD VENTURE, LLC, a Delaware limited liability company </w:t>
      </w:r>
      <w:r>
        <w:rPr>
          <w:rFonts w:ascii="Arial" w:cs="Arial" w:eastAsia="Arial" w:hAnsi="Arial"/>
          <w:sz w:val="19"/>
          <w:szCs w:val="19"/>
          <w:u w:val="single" w:color="auto"/>
          <w:color w:val="auto"/>
        </w:rPr>
        <w:t>("Landlord"),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1"/>
          <w:szCs w:val="21"/>
          <w:color w:val="auto"/>
        </w:rPr>
        <w:t xml:space="preserve">and ARDELYX, INC., a Delaware corporation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formerly known as Nteryx, Inc.).</w:t>
      </w: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RECITALS</w:t>
      </w:r>
    </w:p>
    <w:p>
      <w:pPr>
        <w:spacing w:after="0" w:line="225" w:lineRule="exact"/>
        <w:rPr>
          <w:sz w:val="20"/>
          <w:szCs w:val="20"/>
          <w:color w:val="auto"/>
        </w:rPr>
      </w:pPr>
    </w:p>
    <w:p>
      <w:pPr>
        <w:jc w:val="both"/>
        <w:ind w:left="20" w:right="100" w:firstLine="638"/>
        <w:spacing w:after="0" w:line="224" w:lineRule="auto"/>
        <w:tabs>
          <w:tab w:leader="none" w:pos="1199"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WHEREAS, Landlord and Tenant entered into that certain Lease dated as of August 8, 2008, as amended by that certain First Amendment to Lease dated as of December 20, 2012, as further amended by that certain Second Amendment to Lease dated as of September 5, 2014, and as further amended by that certain Third Amendment to Lease dated as of April 28, 20I6 (collectively, and as the same may have been further amended, amended and restated, supplemented or modified from time to time, the </w:t>
      </w:r>
      <w:r>
        <w:rPr>
          <w:rFonts w:ascii="Arial" w:cs="Arial" w:eastAsia="Arial" w:hAnsi="Arial"/>
          <w:sz w:val="20"/>
          <w:szCs w:val="20"/>
          <w:u w:val="single" w:color="auto"/>
          <w:color w:val="auto"/>
        </w:rPr>
        <w:t>"Existing Lease"),</w:t>
      </w:r>
      <w:r>
        <w:rPr>
          <w:rFonts w:ascii="Arial" w:cs="Arial" w:eastAsia="Arial" w:hAnsi="Arial"/>
          <w:sz w:val="20"/>
          <w:szCs w:val="20"/>
          <w:color w:val="auto"/>
        </w:rPr>
        <w:t xml:space="preserve"> whereby Tenant leases certain premises (the </w:t>
      </w:r>
      <w:r>
        <w:rPr>
          <w:rFonts w:ascii="Arial" w:cs="Arial" w:eastAsia="Arial" w:hAnsi="Arial"/>
          <w:sz w:val="20"/>
          <w:szCs w:val="20"/>
          <w:u w:val="single" w:color="auto"/>
          <w:color w:val="auto"/>
        </w:rPr>
        <w:t>"Existing Premises")</w:t>
      </w:r>
      <w:r>
        <w:rPr>
          <w:rFonts w:ascii="Arial" w:cs="Arial" w:eastAsia="Arial" w:hAnsi="Arial"/>
          <w:sz w:val="20"/>
          <w:szCs w:val="20"/>
          <w:color w:val="auto"/>
        </w:rPr>
        <w:t xml:space="preserve"> from Landlord at 34175 Ardenwood Boulevard in Fremont, California (the </w:t>
      </w:r>
      <w:r>
        <w:rPr>
          <w:rFonts w:ascii="Arial" w:cs="Arial" w:eastAsia="Arial" w:hAnsi="Arial"/>
          <w:sz w:val="20"/>
          <w:szCs w:val="20"/>
          <w:u w:val="single" w:color="auto"/>
          <w:color w:val="auto"/>
        </w:rPr>
        <w:t>"Building"):</w:t>
      </w:r>
    </w:p>
    <w:p>
      <w:pPr>
        <w:spacing w:after="0" w:line="197"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B.</w:t>
      </w:r>
      <w:r>
        <w:rPr>
          <w:rFonts w:ascii="Arial" w:cs="Arial" w:eastAsia="Arial" w:hAnsi="Arial"/>
          <w:sz w:val="18"/>
          <w:szCs w:val="18"/>
          <w:color w:val="auto"/>
        </w:rPr>
        <w:t>WHEREAS, Tenant desires to amend its notice address under the Lease; and</w:t>
      </w:r>
    </w:p>
    <w:p>
      <w:pPr>
        <w:spacing w:after="0" w:line="202" w:lineRule="exact"/>
        <w:rPr>
          <w:rFonts w:ascii="Arial" w:cs="Arial" w:eastAsia="Arial" w:hAnsi="Arial"/>
          <w:sz w:val="20"/>
          <w:szCs w:val="20"/>
          <w:color w:val="auto"/>
        </w:rPr>
      </w:pPr>
    </w:p>
    <w:p>
      <w:pPr>
        <w:ind w:left="20" w:right="120" w:firstLine="629"/>
        <w:spacing w:after="0" w:line="264" w:lineRule="auto"/>
        <w:rPr>
          <w:rFonts w:ascii="Arial" w:cs="Arial" w:eastAsia="Arial" w:hAnsi="Arial"/>
          <w:sz w:val="20"/>
          <w:szCs w:val="20"/>
          <w:color w:val="auto"/>
        </w:rPr>
      </w:pPr>
      <w:r>
        <w:rPr>
          <w:rFonts w:ascii="Arial" w:cs="Arial" w:eastAsia="Arial" w:hAnsi="Arial"/>
          <w:sz w:val="21"/>
          <w:szCs w:val="21"/>
          <w:color w:val="auto"/>
        </w:rPr>
        <w:t>C. WHEREAS, Landlord and Tenant desire to modify and amend the Existing Lease only in the respects and on the conditions hereinafter stated.</w:t>
      </w: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AGREEMENT</w:t>
      </w:r>
    </w:p>
    <w:p>
      <w:pPr>
        <w:spacing w:after="0" w:line="225" w:lineRule="exact"/>
        <w:rPr>
          <w:sz w:val="20"/>
          <w:szCs w:val="20"/>
          <w:color w:val="auto"/>
        </w:rPr>
      </w:pPr>
    </w:p>
    <w:p>
      <w:pPr>
        <w:jc w:val="both"/>
        <w:ind w:right="120" w:firstLine="634"/>
        <w:spacing w:after="0" w:line="221" w:lineRule="auto"/>
        <w:rPr>
          <w:sz w:val="20"/>
          <w:szCs w:val="20"/>
          <w:color w:val="auto"/>
        </w:rPr>
      </w:pPr>
      <w:r>
        <w:rPr>
          <w:rFonts w:ascii="Arial" w:cs="Arial" w:eastAsia="Arial" w:hAnsi="Arial"/>
          <w:sz w:val="21"/>
          <w:szCs w:val="21"/>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For purposes of this Fourth Amendment, capitalized terms shall have the meanings ascribed to them in the Existing</w:t>
      </w:r>
    </w:p>
    <w:p>
      <w:pPr>
        <w:spacing w:after="0" w:line="16" w:lineRule="exact"/>
        <w:rPr>
          <w:sz w:val="20"/>
          <w:szCs w:val="20"/>
          <w:color w:val="auto"/>
        </w:rPr>
      </w:pPr>
    </w:p>
    <w:p>
      <w:pPr>
        <w:jc w:val="both"/>
        <w:ind w:right="120"/>
        <w:spacing w:after="0" w:line="215" w:lineRule="auto"/>
        <w:rPr>
          <w:sz w:val="20"/>
          <w:szCs w:val="20"/>
          <w:color w:val="auto"/>
        </w:rPr>
      </w:pPr>
      <w:r>
        <w:rPr>
          <w:rFonts w:ascii="Arial" w:cs="Arial" w:eastAsia="Arial" w:hAnsi="Arial"/>
          <w:sz w:val="21"/>
          <w:szCs w:val="21"/>
          <w:color w:val="auto"/>
        </w:rPr>
        <w:t xml:space="preserve">Lease unless otherwise defined herein. The Existing Lease, as amended by this Fourth Amendment, is referred to collectively herein as the </w:t>
      </w:r>
      <w:r>
        <w:rPr>
          <w:rFonts w:ascii="Arial" w:cs="Arial" w:eastAsia="Arial" w:hAnsi="Arial"/>
          <w:sz w:val="21"/>
          <w:szCs w:val="21"/>
          <w:u w:val="single" w:color="auto"/>
          <w:color w:val="auto"/>
        </w:rPr>
        <w:t>"Lease."</w:t>
      </w:r>
      <w:r>
        <w:rPr>
          <w:rFonts w:ascii="Arial" w:cs="Arial" w:eastAsia="Arial" w:hAnsi="Arial"/>
          <w:sz w:val="21"/>
          <w:szCs w:val="21"/>
          <w:color w:val="auto"/>
        </w:rPr>
        <w:t xml:space="preserve"> From and after the date hereof, the term "Lease," as used in the Existing Lease, shall mean the Existing Lease, as amended by this Fourth Amendment.</w:t>
      </w:r>
    </w:p>
    <w:p>
      <w:pPr>
        <w:spacing w:after="0" w:line="211" w:lineRule="exact"/>
        <w:rPr>
          <w:sz w:val="20"/>
          <w:szCs w:val="20"/>
          <w:color w:val="auto"/>
        </w:rPr>
      </w:pPr>
    </w:p>
    <w:p>
      <w:pPr>
        <w:ind w:right="120"/>
        <w:spacing w:after="0" w:line="250" w:lineRule="auto"/>
        <w:tabs>
          <w:tab w:leader="none" w:pos="54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Notwithstanding anything in the Lease to the contrary, notices delivered to Tenant pursuant to the Lease should be sent to:</w:t>
      </w:r>
    </w:p>
    <w:p>
      <w:pPr>
        <w:spacing w:after="0" w:line="191"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Ardelyx, Inc.</w:t>
      </w:r>
    </w:p>
    <w:p>
      <w:pPr>
        <w:ind w:left="1880"/>
        <w:spacing w:after="0" w:line="228" w:lineRule="auto"/>
        <w:rPr>
          <w:sz w:val="20"/>
          <w:szCs w:val="20"/>
          <w:color w:val="auto"/>
        </w:rPr>
      </w:pPr>
      <w:r>
        <w:rPr>
          <w:rFonts w:ascii="Arial" w:cs="Arial" w:eastAsia="Arial" w:hAnsi="Arial"/>
          <w:sz w:val="21"/>
          <w:szCs w:val="21"/>
          <w:color w:val="auto"/>
        </w:rPr>
        <w:t>34175 Ardenwood Blvd.</w:t>
      </w:r>
    </w:p>
    <w:p>
      <w:pPr>
        <w:ind w:left="1880"/>
        <w:spacing w:after="0"/>
        <w:rPr>
          <w:sz w:val="20"/>
          <w:szCs w:val="20"/>
          <w:color w:val="auto"/>
        </w:rPr>
      </w:pPr>
      <w:r>
        <w:rPr>
          <w:rFonts w:ascii="Arial" w:cs="Arial" w:eastAsia="Arial" w:hAnsi="Arial"/>
          <w:sz w:val="21"/>
          <w:szCs w:val="21"/>
          <w:color w:val="auto"/>
        </w:rPr>
        <w:t>Fremont, California 94555 Attn: Director of Facilities</w:t>
      </w:r>
    </w:p>
    <w:p>
      <w:pPr>
        <w:spacing w:after="0" w:line="227"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With a copy to:</w:t>
      </w:r>
    </w:p>
    <w:p>
      <w:pPr>
        <w:spacing w:after="0" w:line="278"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Ardelyx, Inc.</w:t>
      </w:r>
    </w:p>
    <w:p>
      <w:pPr>
        <w:ind w:left="1880"/>
        <w:spacing w:after="0"/>
        <w:rPr>
          <w:sz w:val="20"/>
          <w:szCs w:val="20"/>
          <w:color w:val="auto"/>
        </w:rPr>
      </w:pPr>
      <w:r>
        <w:rPr>
          <w:rFonts w:ascii="Arial" w:cs="Arial" w:eastAsia="Arial" w:hAnsi="Arial"/>
          <w:sz w:val="21"/>
          <w:szCs w:val="21"/>
          <w:color w:val="auto"/>
        </w:rPr>
        <w:t>34175 Ardenwood Blvd.</w:t>
      </w:r>
    </w:p>
    <w:p>
      <w:pPr>
        <w:sectPr>
          <w:pgSz w:w="11900" w:h="16838" w:orient="portrait"/>
          <w:cols w:equalWidth="0" w:num="1">
            <w:col w:w="11140"/>
          </w:cols>
          <w:pgMar w:left="420" w:top="104" w:right="339" w:bottom="1440" w:gutter="0" w:footer="0" w:header="0"/>
        </w:sectPr>
      </w:pPr>
    </w:p>
    <w:bookmarkStart w:id="118" w:name="page119"/>
    <w:bookmarkEnd w:id="118"/>
    <w:p>
      <w:pPr>
        <w:spacing w:after="0" w:line="104" w:lineRule="exact"/>
        <w:rPr>
          <w:sz w:val="20"/>
          <w:szCs w:val="20"/>
          <w:color w:val="auto"/>
        </w:rPr>
      </w:pPr>
    </w:p>
    <w:p>
      <w:pPr>
        <w:ind w:left="1916"/>
        <w:spacing w:after="0"/>
        <w:rPr>
          <w:sz w:val="20"/>
          <w:szCs w:val="20"/>
          <w:color w:val="auto"/>
        </w:rPr>
      </w:pPr>
      <w:r>
        <w:rPr>
          <w:rFonts w:ascii="Arial" w:cs="Arial" w:eastAsia="Arial" w:hAnsi="Arial"/>
          <w:sz w:val="21"/>
          <w:szCs w:val="21"/>
          <w:color w:val="auto"/>
        </w:rPr>
        <w:t>Fremont, California 94555 Attn: General Counsel</w:t>
      </w:r>
    </w:p>
    <w:p>
      <w:pPr>
        <w:spacing w:after="0" w:line="231" w:lineRule="exact"/>
        <w:rPr>
          <w:sz w:val="20"/>
          <w:szCs w:val="20"/>
          <w:color w:val="auto"/>
        </w:rPr>
      </w:pPr>
    </w:p>
    <w:p>
      <w:pPr>
        <w:ind w:left="1916"/>
        <w:spacing w:after="0"/>
        <w:rPr>
          <w:sz w:val="20"/>
          <w:szCs w:val="20"/>
          <w:color w:val="auto"/>
        </w:rPr>
      </w:pPr>
      <w:r>
        <w:rPr>
          <w:rFonts w:ascii="Arial" w:cs="Arial" w:eastAsia="Arial" w:hAnsi="Arial"/>
          <w:sz w:val="21"/>
          <w:szCs w:val="21"/>
          <w:color w:val="auto"/>
        </w:rPr>
        <w:t>And a copy to:</w:t>
      </w:r>
    </w:p>
    <w:p>
      <w:pPr>
        <w:spacing w:after="0" w:line="231" w:lineRule="exact"/>
        <w:rPr>
          <w:sz w:val="20"/>
          <w:szCs w:val="20"/>
          <w:color w:val="auto"/>
        </w:rPr>
      </w:pPr>
    </w:p>
    <w:p>
      <w:pPr>
        <w:ind w:left="1916"/>
        <w:spacing w:after="0"/>
        <w:rPr>
          <w:sz w:val="20"/>
          <w:szCs w:val="20"/>
          <w:color w:val="auto"/>
        </w:rPr>
      </w:pPr>
      <w:r>
        <w:rPr>
          <w:rFonts w:ascii="Arial" w:cs="Arial" w:eastAsia="Arial" w:hAnsi="Arial"/>
          <w:sz w:val="21"/>
          <w:szCs w:val="21"/>
          <w:color w:val="auto"/>
        </w:rPr>
        <w:t>Solar Capital Ltd.</w:t>
      </w:r>
    </w:p>
    <w:p>
      <w:pPr>
        <w:spacing w:after="0" w:line="6" w:lineRule="exact"/>
        <w:rPr>
          <w:sz w:val="20"/>
          <w:szCs w:val="20"/>
          <w:color w:val="auto"/>
        </w:rPr>
      </w:pPr>
    </w:p>
    <w:p>
      <w:pPr>
        <w:ind w:left="1916"/>
        <w:spacing w:after="0"/>
        <w:rPr>
          <w:sz w:val="20"/>
          <w:szCs w:val="20"/>
          <w:color w:val="auto"/>
        </w:rPr>
      </w:pPr>
      <w:r>
        <w:rPr>
          <w:rFonts w:ascii="Arial" w:cs="Arial" w:eastAsia="Arial" w:hAnsi="Arial"/>
          <w:sz w:val="21"/>
          <w:szCs w:val="21"/>
          <w:color w:val="auto"/>
        </w:rPr>
        <w:t xml:space="preserve">500 Park Avenue, </w:t>
      </w:r>
      <w:r>
        <w:rPr>
          <w:rFonts w:ascii="Arial" w:cs="Arial" w:eastAsia="Arial" w:hAnsi="Arial"/>
          <w:sz w:val="19"/>
          <w:szCs w:val="19"/>
          <w:color w:val="auto"/>
        </w:rPr>
        <w:t>3,d</w:t>
      </w:r>
      <w:r>
        <w:rPr>
          <w:rFonts w:ascii="Arial" w:cs="Arial" w:eastAsia="Arial" w:hAnsi="Arial"/>
          <w:sz w:val="21"/>
          <w:szCs w:val="21"/>
          <w:color w:val="auto"/>
        </w:rPr>
        <w:t xml:space="preserve"> Floor New York, NY 10022 Attn:</w:t>
      </w:r>
    </w:p>
    <w:p>
      <w:pPr>
        <w:spacing w:after="0" w:line="2" w:lineRule="exact"/>
        <w:rPr>
          <w:sz w:val="20"/>
          <w:szCs w:val="20"/>
          <w:color w:val="auto"/>
        </w:rPr>
      </w:pPr>
    </w:p>
    <w:p>
      <w:pPr>
        <w:ind w:left="1916"/>
        <w:spacing w:after="0"/>
        <w:rPr>
          <w:sz w:val="20"/>
          <w:szCs w:val="20"/>
          <w:color w:val="auto"/>
        </w:rPr>
      </w:pPr>
      <w:r>
        <w:rPr>
          <w:rFonts w:ascii="Arial" w:cs="Arial" w:eastAsia="Arial" w:hAnsi="Arial"/>
          <w:sz w:val="21"/>
          <w:szCs w:val="21"/>
          <w:color w:val="auto"/>
        </w:rPr>
        <w:t>Anthony Storino</w:t>
      </w:r>
    </w:p>
    <w:p>
      <w:pPr>
        <w:spacing w:after="0" w:line="227" w:lineRule="exact"/>
        <w:rPr>
          <w:sz w:val="20"/>
          <w:szCs w:val="20"/>
          <w:color w:val="auto"/>
        </w:rPr>
      </w:pPr>
    </w:p>
    <w:p>
      <w:pPr>
        <w:jc w:val="both"/>
        <w:ind w:left="16" w:right="20" w:firstLine="15"/>
        <w:spacing w:after="0" w:line="216" w:lineRule="auto"/>
        <w:tabs>
          <w:tab w:leader="none" w:pos="543" w:val="left"/>
        </w:tabs>
        <w:numPr>
          <w:ilvl w:val="2"/>
          <w:numId w:val="62"/>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xml:space="preserve"> Tenant represents and warrants that it has not dealt with any broker or agent in the negotiation for or the obtaining of this Fourth Amendment, and agrees to reimburse, indenmify, save, defend (at Landlord's option and with counsel reasonably acceptable to Landlord, at Tenant's sole cost and expense) and hold harmless the Landlord Parties for, from and against any and all cost or liability for compensation claimed by any such broker or agent, other than Broker, employed or engaged by it or claiming to have been employed or engaged by it.</w:t>
      </w:r>
    </w:p>
    <w:p>
      <w:pPr>
        <w:spacing w:after="0" w:line="195" w:lineRule="exact"/>
        <w:rPr>
          <w:rFonts w:ascii="Arial" w:cs="Arial" w:eastAsia="Arial" w:hAnsi="Arial"/>
          <w:sz w:val="21"/>
          <w:szCs w:val="21"/>
          <w:color w:val="auto"/>
        </w:rPr>
      </w:pPr>
    </w:p>
    <w:p>
      <w:pPr>
        <w:jc w:val="both"/>
        <w:ind w:left="16" w:right="20" w:firstLine="7"/>
        <w:spacing w:after="0" w:line="237" w:lineRule="auto"/>
        <w:tabs>
          <w:tab w:leader="none" w:pos="540" w:val="left"/>
        </w:tabs>
        <w:numPr>
          <w:ilvl w:val="2"/>
          <w:numId w:val="62"/>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xml:space="preserve"> Tenant represents, warrants and covenants that, to the best of Tenant's knowledge, Landlord and Tenant are not in default of any of their respective obligations under the Existing Lease and no event has occurred that, with the passage of time or the giving of notice (or both) would constitute a default by either Landlord or Tenant thereunder.</w:t>
      </w:r>
    </w:p>
    <w:p>
      <w:pPr>
        <w:spacing w:after="0" w:line="182" w:lineRule="exact"/>
        <w:rPr>
          <w:rFonts w:ascii="Arial" w:cs="Arial" w:eastAsia="Arial" w:hAnsi="Arial"/>
          <w:sz w:val="20"/>
          <w:szCs w:val="20"/>
          <w:color w:val="auto"/>
        </w:rPr>
      </w:pPr>
    </w:p>
    <w:p>
      <w:pPr>
        <w:jc w:val="both"/>
        <w:ind w:left="16"/>
        <w:spacing w:after="0" w:line="219" w:lineRule="auto"/>
        <w:tabs>
          <w:tab w:leader="none" w:pos="555"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Effect of Amendment.</w:t>
      </w:r>
      <w:r>
        <w:rPr>
          <w:rFonts w:ascii="Arial" w:cs="Arial" w:eastAsia="Arial" w:hAnsi="Arial"/>
          <w:sz w:val="21"/>
          <w:szCs w:val="21"/>
          <w:color w:val="auto"/>
        </w:rPr>
        <w:t xml:space="preserve"> Except as modified by this Fourth Amendment, the Existing Lease and all the covenants, agreements, terms, provisions and conditions thereof shall remain in full force and effect and are hereby ratified and affirmed. In the event of any conflict between the tenns contained in this Fourth Amendment and the Existing Lease, the terms herein contained shall supersede and control the obligations and liabilities of the parties.</w:t>
      </w:r>
    </w:p>
    <w:p>
      <w:pPr>
        <w:spacing w:after="0" w:line="185" w:lineRule="exact"/>
        <w:rPr>
          <w:rFonts w:ascii="Arial" w:cs="Arial" w:eastAsia="Arial" w:hAnsi="Arial"/>
          <w:sz w:val="21"/>
          <w:szCs w:val="21"/>
          <w:color w:val="auto"/>
        </w:rPr>
      </w:pPr>
    </w:p>
    <w:p>
      <w:pPr>
        <w:jc w:val="both"/>
        <w:ind w:left="16" w:hanging="5"/>
        <w:spacing w:after="0" w:line="219" w:lineRule="auto"/>
        <w:tabs>
          <w:tab w:leader="none" w:pos="553"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Each of the covenants, conditions and agreements contained in this Fourth Amendment shall inure to the benefit of and shall apply to and be binding upon the parties hereto and their respective heirs, legatees, devisees, executors, administrators and permitted successors and assigns and sublessees. Nothing in this Section shall in any way alter the provisions of the Lease restricting assignment or subletting.</w:t>
      </w:r>
    </w:p>
    <w:p>
      <w:pPr>
        <w:spacing w:after="0" w:line="212" w:lineRule="exact"/>
        <w:rPr>
          <w:rFonts w:ascii="Arial" w:cs="Arial" w:eastAsia="Arial" w:hAnsi="Arial"/>
          <w:sz w:val="21"/>
          <w:szCs w:val="21"/>
          <w:color w:val="auto"/>
        </w:rPr>
      </w:pPr>
    </w:p>
    <w:p>
      <w:pPr>
        <w:jc w:val="both"/>
        <w:ind w:left="-4" w:firstLine="9"/>
        <w:spacing w:after="0" w:line="248" w:lineRule="auto"/>
        <w:tabs>
          <w:tab w:leader="none" w:pos="54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This Fourth Amendment becomes effective only upon execution and delivery hereof by Landlord and Tenant. The captions of the paragraphs and subparagraphs in this Fourth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76" w:lineRule="exact"/>
        <w:rPr>
          <w:rFonts w:ascii="Arial" w:cs="Arial" w:eastAsia="Arial" w:hAnsi="Arial"/>
          <w:sz w:val="21"/>
          <w:szCs w:val="21"/>
          <w:color w:val="auto"/>
        </w:rPr>
      </w:pPr>
    </w:p>
    <w:p>
      <w:pPr>
        <w:jc w:val="both"/>
        <w:ind w:left="-4" w:firstLine="4"/>
        <w:spacing w:after="0" w:line="252" w:lineRule="auto"/>
        <w:tabs>
          <w:tab w:leader="none" w:pos="546"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xml:space="preserve"> Tenant guarantees, warrants and represents that the individual or individuals signing this Fourth Amendment have the power, authority and legal capacity to sign this Fourth Amendment on behalf of and to bind all entities, corporations, partnerships, limited liability</w:t>
      </w:r>
    </w:p>
    <w:p>
      <w:pPr>
        <w:sectPr>
          <w:pgSz w:w="11900" w:h="16838" w:orient="portrait"/>
          <w:cols w:equalWidth="0" w:num="1">
            <w:col w:w="11036"/>
          </w:cols>
          <w:pgMar w:left="424" w:top="1440" w:right="439" w:bottom="1440" w:gutter="0" w:footer="0" w:header="0"/>
        </w:sectPr>
      </w:pPr>
    </w:p>
    <w:bookmarkStart w:id="119" w:name="page120"/>
    <w:bookmarkEnd w:id="119"/>
    <w:p>
      <w:pPr>
        <w:spacing w:after="0" w:line="128" w:lineRule="exact"/>
        <w:rPr>
          <w:sz w:val="20"/>
          <w:szCs w:val="20"/>
          <w:color w:val="auto"/>
        </w:rPr>
      </w:pPr>
    </w:p>
    <w:p>
      <w:pPr>
        <w:ind w:left="5"/>
        <w:spacing w:after="0"/>
        <w:rPr>
          <w:sz w:val="20"/>
          <w:szCs w:val="20"/>
          <w:color w:val="auto"/>
        </w:rPr>
      </w:pPr>
      <w:r>
        <w:rPr>
          <w:rFonts w:ascii="Arial" w:cs="Arial" w:eastAsia="Arial" w:hAnsi="Arial"/>
          <w:sz w:val="20"/>
          <w:szCs w:val="20"/>
          <w:color w:val="auto"/>
        </w:rPr>
        <w:t>companies, joint venturers or other organizations and entities on whose behalf such individual or individuals have signed.</w:t>
      </w:r>
    </w:p>
    <w:p>
      <w:pPr>
        <w:spacing w:after="0" w:line="256" w:lineRule="exact"/>
        <w:rPr>
          <w:sz w:val="20"/>
          <w:szCs w:val="20"/>
          <w:color w:val="auto"/>
        </w:rPr>
      </w:pPr>
    </w:p>
    <w:p>
      <w:pPr>
        <w:jc w:val="both"/>
        <w:ind w:left="5" w:hanging="5"/>
        <w:spacing w:after="0" w:line="277" w:lineRule="auto"/>
        <w:tabs>
          <w:tab w:leader="none" w:pos="519"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Counterparts: Facsimile and PDF Signatures</w:t>
      </w:r>
      <w:r>
        <w:rPr>
          <w:rFonts w:ascii="Arial" w:cs="Arial" w:eastAsia="Arial" w:hAnsi="Arial"/>
          <w:sz w:val="19"/>
          <w:szCs w:val="19"/>
          <w:color w:val="auto"/>
        </w:rPr>
        <w:t>. This Fourth Amendment may be executed in one or more counterparts, each of which, when taken together, shall constitute one and the same document. A facsimile or portable document format (PDF) signature on this Fourth Amendment shall be equivalent to, and have the same force and effect as, an original signature.</w:t>
      </w:r>
    </w:p>
    <w:p>
      <w:pPr>
        <w:spacing w:after="0" w:line="202" w:lineRule="exact"/>
        <w:rPr>
          <w:sz w:val="20"/>
          <w:szCs w:val="20"/>
          <w:color w:val="auto"/>
        </w:rPr>
      </w:pPr>
    </w:p>
    <w:p>
      <w:pPr>
        <w:jc w:val="center"/>
        <w:ind w:right="15"/>
        <w:spacing w:after="0"/>
        <w:rPr>
          <w:sz w:val="20"/>
          <w:szCs w:val="20"/>
          <w:color w:val="auto"/>
        </w:rPr>
      </w:pPr>
      <w:r>
        <w:rPr>
          <w:rFonts w:ascii="Arial" w:cs="Arial" w:eastAsia="Arial" w:hAnsi="Arial"/>
          <w:sz w:val="20"/>
          <w:szCs w:val="20"/>
          <w:color w:val="auto"/>
        </w:rPr>
        <w:t>[REMAINDER OF THIS PAGE INTENTIONALLY LEFT BLANK]</w:t>
      </w:r>
    </w:p>
    <w:p>
      <w:pPr>
        <w:sectPr>
          <w:pgSz w:w="11900" w:h="16838" w:orient="portrait"/>
          <w:cols w:equalWidth="0" w:num="1">
            <w:col w:w="11005"/>
          </w:cols>
          <w:pgMar w:left="455" w:top="1440" w:right="439" w:bottom="1440" w:gutter="0" w:footer="0" w:header="0"/>
        </w:sectPr>
      </w:pPr>
    </w:p>
    <w:bookmarkStart w:id="120" w:name="page121"/>
    <w:bookmarkEnd w:id="120"/>
    <w:p>
      <w:pPr>
        <w:spacing w:after="0" w:line="357" w:lineRule="exact"/>
        <w:rPr>
          <w:sz w:val="20"/>
          <w:szCs w:val="20"/>
          <w:color w:val="auto"/>
        </w:rPr>
      </w:pPr>
    </w:p>
    <w:p>
      <w:pPr>
        <w:ind w:left="640"/>
        <w:spacing w:after="0"/>
        <w:rPr>
          <w:sz w:val="20"/>
          <w:szCs w:val="20"/>
          <w:color w:val="auto"/>
        </w:rPr>
      </w:pPr>
      <w:r>
        <w:rPr>
          <w:rFonts w:ascii="Arial" w:cs="Arial" w:eastAsia="Arial" w:hAnsi="Arial"/>
          <w:sz w:val="18"/>
          <w:szCs w:val="18"/>
          <w:color w:val="464B4B"/>
        </w:rPr>
        <w:t>IN WITNESS WHEREOF, Landlord and Tenant have executed this Fourth Amendment as of the date and year first above written.</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464B4B"/>
        </w:rPr>
        <w:t>LANDLORD: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464B4B"/>
        </w:rPr>
        <w:t>34175 ARDENWOOD VENTURE, LLC,</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464B4B"/>
        </w:rPr>
        <w:t xml:space="preserve">a Delaware </w:t>
      </w:r>
      <w:r>
        <w:rPr>
          <w:rFonts w:ascii="Arial" w:cs="Arial" w:eastAsia="Arial" w:hAnsi="Arial"/>
          <w:sz w:val="20"/>
          <w:szCs w:val="20"/>
          <w:color w:val="313636"/>
        </w:rPr>
        <w:t>limited</w:t>
      </w:r>
      <w:r>
        <w:rPr>
          <w:rFonts w:ascii="Arial" w:cs="Arial" w:eastAsia="Arial" w:hAnsi="Arial"/>
          <w:sz w:val="20"/>
          <w:szCs w:val="20"/>
          <w:color w:val="464B4B"/>
        </w:rPr>
        <w:t xml:space="preserve"> liability company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464B4B"/>
        </w:rPr>
        <w:t>By: /s/ Kevin M. Simonsen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464B4B"/>
        </w:rPr>
        <w:t>Name: Kevin M. Simonsen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464B4B"/>
        </w:rPr>
        <w:t>Title: Sr. Vice President, Sr. Counsel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464B4B"/>
        </w:rPr>
        <w:t>TENANT: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464B4B"/>
        </w:rPr>
        <w:t>ARDELYX,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464B4B"/>
        </w:rPr>
        <w:t>a Delaware corporation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464B4B"/>
        </w:rPr>
        <w:t>By: /s/ Mark Kaufmann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464B4B"/>
        </w:rPr>
        <w:t>Name: Mark Kaufmann</w:t>
      </w:r>
    </w:p>
    <w:p>
      <w:pPr>
        <w:spacing w:after="0"/>
        <w:rPr>
          <w:sz w:val="20"/>
          <w:szCs w:val="20"/>
          <w:color w:val="auto"/>
        </w:rPr>
      </w:pPr>
      <w:r>
        <w:rPr>
          <w:rFonts w:ascii="Arial" w:cs="Arial" w:eastAsia="Arial" w:hAnsi="Arial"/>
          <w:sz w:val="20"/>
          <w:szCs w:val="20"/>
          <w:color w:val="464B4B"/>
        </w:rPr>
        <w:t>Title: Chief Financial Officer</w:t>
      </w:r>
    </w:p>
    <w:p>
      <w:pPr>
        <w:sectPr>
          <w:pgSz w:w="11900" w:h="16838" w:orient="portrait"/>
          <w:cols w:equalWidth="0" w:num="1">
            <w:col w:w="10980"/>
          </w:cols>
          <w:pgMar w:left="440" w:top="1440" w:right="47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 10.21(b)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 xml:space="preserve">AMENDMENT </w:t>
      </w:r>
      <w:r>
        <w:rPr>
          <w:rFonts w:ascii="Arial" w:cs="Arial" w:eastAsia="Arial" w:hAnsi="Arial"/>
          <w:sz w:val="17"/>
          <w:szCs w:val="17"/>
          <w:color w:val="auto"/>
        </w:rPr>
        <w:t>NO.</w:t>
      </w:r>
      <w:r>
        <w:rPr>
          <w:rFonts w:ascii="Arial" w:cs="Arial" w:eastAsia="Arial" w:hAnsi="Arial"/>
          <w:sz w:val="19"/>
          <w:szCs w:val="19"/>
          <w:color w:val="auto"/>
        </w:rPr>
        <w:t xml:space="preserve"> </w:t>
      </w:r>
      <w:r>
        <w:rPr>
          <w:rFonts w:ascii="Arial" w:cs="Arial" w:eastAsia="Arial" w:hAnsi="Arial"/>
          <w:sz w:val="17"/>
          <w:szCs w:val="17"/>
          <w:color w:val="auto"/>
        </w:rPr>
        <w:t>1</w:t>
      </w:r>
      <w:r>
        <w:rPr>
          <w:rFonts w:ascii="Arial" w:cs="Arial" w:eastAsia="Arial" w:hAnsi="Arial"/>
          <w:sz w:val="19"/>
          <w:szCs w:val="19"/>
          <w:color w:val="auto"/>
        </w:rPr>
        <w:t xml:space="preserve"> to</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LICENSE AGREEMENT</w:t>
      </w:r>
    </w:p>
    <w:p>
      <w:pPr>
        <w:spacing w:after="0" w:line="220" w:lineRule="exact"/>
        <w:rPr>
          <w:sz w:val="20"/>
          <w:szCs w:val="20"/>
          <w:color w:val="auto"/>
        </w:rPr>
      </w:pPr>
    </w:p>
    <w:p>
      <w:pPr>
        <w:ind w:left="20" w:right="100" w:firstLine="627"/>
        <w:spacing w:after="0" w:line="245" w:lineRule="auto"/>
        <w:rPr>
          <w:sz w:val="20"/>
          <w:szCs w:val="20"/>
          <w:color w:val="auto"/>
        </w:rPr>
      </w:pPr>
      <w:r>
        <w:rPr>
          <w:rFonts w:ascii="Arial" w:cs="Arial" w:eastAsia="Arial" w:hAnsi="Arial"/>
          <w:sz w:val="19"/>
          <w:szCs w:val="19"/>
          <w:color w:val="auto"/>
        </w:rPr>
        <w:t xml:space="preserve">This FIRST AMENDMENT (the ”Amendment”), effective as of the date last </w:t>
      </w:r>
      <w:r>
        <w:rPr>
          <w:rFonts w:ascii="Arial" w:cs="Arial" w:eastAsia="Arial" w:hAnsi="Arial"/>
          <w:sz w:val="17"/>
          <w:szCs w:val="17"/>
          <w:color w:val="auto"/>
        </w:rPr>
        <w:t>signed</w:t>
      </w:r>
      <w:r>
        <w:rPr>
          <w:rFonts w:ascii="Arial" w:cs="Arial" w:eastAsia="Arial" w:hAnsi="Arial"/>
          <w:sz w:val="19"/>
          <w:szCs w:val="19"/>
          <w:color w:val="auto"/>
        </w:rPr>
        <w:t xml:space="preserve"> below (the </w:t>
      </w:r>
      <w:r>
        <w:rPr>
          <w:rFonts w:ascii="Arial" w:cs="Arial" w:eastAsia="Arial" w:hAnsi="Arial"/>
          <w:sz w:val="20"/>
          <w:szCs w:val="20"/>
          <w:color w:val="auto"/>
        </w:rPr>
        <w:t>”Amendment</w:t>
      </w:r>
      <w:r>
        <w:rPr>
          <w:rFonts w:ascii="Arial" w:cs="Arial" w:eastAsia="Arial" w:hAnsi="Arial"/>
          <w:sz w:val="19"/>
          <w:szCs w:val="19"/>
          <w:color w:val="auto"/>
        </w:rPr>
        <w:t xml:space="preserve"> </w:t>
      </w:r>
      <w:r>
        <w:rPr>
          <w:rFonts w:ascii="Arial" w:cs="Arial" w:eastAsia="Arial" w:hAnsi="Arial"/>
          <w:sz w:val="17"/>
          <w:szCs w:val="17"/>
          <w:color w:val="auto"/>
        </w:rPr>
        <w:t>Date”),</w:t>
      </w:r>
      <w:r>
        <w:rPr>
          <w:rFonts w:ascii="Arial" w:cs="Arial" w:eastAsia="Arial" w:hAnsi="Arial"/>
          <w:sz w:val="19"/>
          <w:szCs w:val="19"/>
          <w:color w:val="auto"/>
        </w:rPr>
        <w:t xml:space="preserve"> amends that </w:t>
      </w:r>
      <w:r>
        <w:rPr>
          <w:rFonts w:ascii="Arial" w:cs="Arial" w:eastAsia="Arial" w:hAnsi="Arial"/>
          <w:sz w:val="17"/>
          <w:szCs w:val="17"/>
          <w:color w:val="auto"/>
        </w:rPr>
        <w:t xml:space="preserve">certain </w:t>
      </w:r>
      <w:r>
        <w:rPr>
          <w:rFonts w:ascii="Arial" w:cs="Arial" w:eastAsia="Arial" w:hAnsi="Arial"/>
          <w:sz w:val="18"/>
          <w:szCs w:val="18"/>
          <w:color w:val="auto"/>
        </w:rPr>
        <w:t>License</w:t>
      </w:r>
      <w:r>
        <w:rPr>
          <w:rFonts w:ascii="Arial" w:cs="Arial" w:eastAsia="Arial" w:hAnsi="Arial"/>
          <w:sz w:val="17"/>
          <w:szCs w:val="17"/>
          <w:color w:val="auto"/>
        </w:rPr>
        <w:t xml:space="preserve"> Agreement </w:t>
      </w:r>
      <w:r>
        <w:rPr>
          <w:rFonts w:ascii="Arial" w:cs="Arial" w:eastAsia="Arial" w:hAnsi="Arial"/>
          <w:sz w:val="18"/>
          <w:szCs w:val="18"/>
          <w:color w:val="auto"/>
        </w:rPr>
        <w:t>dated November</w:t>
      </w:r>
      <w:r>
        <w:rPr>
          <w:rFonts w:ascii="Arial" w:cs="Arial" w:eastAsia="Arial" w:hAnsi="Arial"/>
          <w:sz w:val="17"/>
          <w:szCs w:val="17"/>
          <w:color w:val="auto"/>
        </w:rPr>
        <w:t xml:space="preserve"> 27, </w:t>
      </w:r>
      <w:r>
        <w:rPr>
          <w:rFonts w:ascii="Arial" w:cs="Arial" w:eastAsia="Arial" w:hAnsi="Arial"/>
          <w:sz w:val="18"/>
          <w:szCs w:val="18"/>
          <w:color w:val="auto"/>
        </w:rPr>
        <w:t>2017 (together with</w:t>
      </w:r>
      <w:r>
        <w:rPr>
          <w:rFonts w:ascii="Arial" w:cs="Arial" w:eastAsia="Arial" w:hAnsi="Arial"/>
          <w:sz w:val="17"/>
          <w:szCs w:val="17"/>
          <w:color w:val="auto"/>
        </w:rPr>
        <w:t xml:space="preserve"> </w:t>
      </w:r>
      <w:r>
        <w:rPr>
          <w:rFonts w:ascii="Arial" w:cs="Arial" w:eastAsia="Arial" w:hAnsi="Arial"/>
          <w:sz w:val="19"/>
          <w:szCs w:val="19"/>
          <w:color w:val="auto"/>
        </w:rPr>
        <w:t>all</w:t>
      </w:r>
      <w:r>
        <w:rPr>
          <w:rFonts w:ascii="Arial" w:cs="Arial" w:eastAsia="Arial" w:hAnsi="Arial"/>
          <w:sz w:val="17"/>
          <w:szCs w:val="17"/>
          <w:color w:val="auto"/>
        </w:rPr>
        <w:t xml:space="preserve"> </w:t>
      </w:r>
      <w:r>
        <w:rPr>
          <w:rFonts w:ascii="Arial" w:cs="Arial" w:eastAsia="Arial" w:hAnsi="Arial"/>
          <w:sz w:val="18"/>
          <w:szCs w:val="18"/>
          <w:color w:val="auto"/>
        </w:rPr>
        <w:t>exhibits,</w:t>
      </w:r>
      <w:r>
        <w:rPr>
          <w:rFonts w:ascii="Arial" w:cs="Arial" w:eastAsia="Arial" w:hAnsi="Arial"/>
          <w:sz w:val="17"/>
          <w:szCs w:val="17"/>
          <w:color w:val="auto"/>
        </w:rPr>
        <w:t xml:space="preserve"> </w:t>
      </w:r>
      <w:r>
        <w:rPr>
          <w:rFonts w:ascii="Arial" w:cs="Arial" w:eastAsia="Arial" w:hAnsi="Arial"/>
          <w:sz w:val="19"/>
          <w:szCs w:val="19"/>
          <w:color w:val="auto"/>
        </w:rPr>
        <w:t>amendments</w:t>
      </w:r>
      <w:r>
        <w:rPr>
          <w:rFonts w:ascii="Arial" w:cs="Arial" w:eastAsia="Arial" w:hAnsi="Arial"/>
          <w:sz w:val="17"/>
          <w:szCs w:val="17"/>
          <w:color w:val="auto"/>
        </w:rPr>
        <w:t xml:space="preserve"> </w:t>
      </w:r>
      <w:r>
        <w:rPr>
          <w:rFonts w:ascii="Arial" w:cs="Arial" w:eastAsia="Arial" w:hAnsi="Arial"/>
          <w:sz w:val="18"/>
          <w:szCs w:val="18"/>
          <w:color w:val="auto"/>
        </w:rPr>
        <w:t>and</w:t>
      </w:r>
      <w:r>
        <w:rPr>
          <w:rFonts w:ascii="Arial" w:cs="Arial" w:eastAsia="Arial" w:hAnsi="Arial"/>
          <w:sz w:val="17"/>
          <w:szCs w:val="17"/>
          <w:color w:val="auto"/>
        </w:rPr>
        <w:t xml:space="preserve"> </w:t>
      </w:r>
      <w:r>
        <w:rPr>
          <w:rFonts w:ascii="Arial" w:cs="Arial" w:eastAsia="Arial" w:hAnsi="Arial"/>
          <w:sz w:val="19"/>
          <w:szCs w:val="19"/>
          <w:color w:val="auto"/>
        </w:rPr>
        <w:t>attachments</w:t>
      </w:r>
      <w:r>
        <w:rPr>
          <w:rFonts w:ascii="Arial" w:cs="Arial" w:eastAsia="Arial" w:hAnsi="Arial"/>
          <w:sz w:val="17"/>
          <w:szCs w:val="17"/>
          <w:color w:val="auto"/>
        </w:rPr>
        <w:t xml:space="preserve"> </w:t>
      </w:r>
      <w:r>
        <w:rPr>
          <w:rFonts w:ascii="Arial" w:cs="Arial" w:eastAsia="Arial" w:hAnsi="Arial"/>
          <w:sz w:val="18"/>
          <w:szCs w:val="18"/>
          <w:color w:val="auto"/>
        </w:rPr>
        <w:t>thereto, the "Original Agreement”)</w:t>
      </w:r>
      <w:r>
        <w:rPr>
          <w:rFonts w:ascii="Arial" w:cs="Arial" w:eastAsia="Arial" w:hAnsi="Arial"/>
          <w:sz w:val="17"/>
          <w:szCs w:val="17"/>
          <w:color w:val="auto"/>
        </w:rPr>
        <w:t xml:space="preserve"> </w:t>
      </w:r>
      <w:r>
        <w:rPr>
          <w:rFonts w:ascii="Arial" w:cs="Arial" w:eastAsia="Arial" w:hAnsi="Arial"/>
          <w:sz w:val="18"/>
          <w:szCs w:val="18"/>
          <w:color w:val="auto"/>
        </w:rPr>
        <w:t xml:space="preserve">by and </w:t>
      </w:r>
      <w:r>
        <w:rPr>
          <w:rFonts w:ascii="Arial" w:cs="Arial" w:eastAsia="Arial" w:hAnsi="Arial"/>
          <w:sz w:val="19"/>
          <w:szCs w:val="19"/>
          <w:color w:val="auto"/>
        </w:rPr>
        <w:t>between</w:t>
      </w:r>
      <w:r>
        <w:rPr>
          <w:rFonts w:ascii="Arial" w:cs="Arial" w:eastAsia="Arial" w:hAnsi="Arial"/>
          <w:sz w:val="18"/>
          <w:szCs w:val="18"/>
          <w:color w:val="auto"/>
        </w:rPr>
        <w:t xml:space="preserve"> </w:t>
      </w:r>
      <w:r>
        <w:rPr>
          <w:rFonts w:ascii="Arial" w:cs="Arial" w:eastAsia="Arial" w:hAnsi="Arial"/>
          <w:sz w:val="17"/>
          <w:szCs w:val="17"/>
          <w:color w:val="auto"/>
        </w:rPr>
        <w:t>Kyowa Kirin Co.,</w:t>
      </w:r>
      <w:r>
        <w:rPr>
          <w:rFonts w:ascii="Arial" w:cs="Arial" w:eastAsia="Arial" w:hAnsi="Arial"/>
          <w:sz w:val="18"/>
          <w:szCs w:val="18"/>
          <w:color w:val="auto"/>
        </w:rPr>
        <w:t xml:space="preserve"> Ltd. (f/k/a </w:t>
      </w:r>
      <w:r>
        <w:rPr>
          <w:rFonts w:ascii="Arial" w:cs="Arial" w:eastAsia="Arial" w:hAnsi="Arial"/>
          <w:sz w:val="17"/>
          <w:szCs w:val="17"/>
          <w:color w:val="auto"/>
        </w:rPr>
        <w:t>Kyowa</w:t>
      </w:r>
      <w:r>
        <w:rPr>
          <w:rFonts w:ascii="Arial" w:cs="Arial" w:eastAsia="Arial" w:hAnsi="Arial"/>
          <w:sz w:val="18"/>
          <w:szCs w:val="18"/>
          <w:color w:val="auto"/>
        </w:rPr>
        <w:t xml:space="preserve"> Hakko Kirin </w:t>
      </w:r>
      <w:r>
        <w:rPr>
          <w:rFonts w:ascii="Arial" w:cs="Arial" w:eastAsia="Arial" w:hAnsi="Arial"/>
          <w:sz w:val="17"/>
          <w:szCs w:val="17"/>
          <w:color w:val="auto"/>
        </w:rPr>
        <w:t>Co.,</w:t>
      </w:r>
      <w:r>
        <w:rPr>
          <w:rFonts w:ascii="Arial" w:cs="Arial" w:eastAsia="Arial" w:hAnsi="Arial"/>
          <w:sz w:val="18"/>
          <w:szCs w:val="18"/>
          <w:color w:val="auto"/>
        </w:rPr>
        <w:t xml:space="preserve"> Ltd.), </w:t>
      </w:r>
      <w:r>
        <w:rPr>
          <w:rFonts w:ascii="Arial" w:cs="Arial" w:eastAsia="Arial" w:hAnsi="Arial"/>
          <w:sz w:val="19"/>
          <w:szCs w:val="19"/>
          <w:color w:val="auto"/>
        </w:rPr>
        <w:t>a</w:t>
      </w:r>
      <w:r>
        <w:rPr>
          <w:rFonts w:ascii="Arial" w:cs="Arial" w:eastAsia="Arial" w:hAnsi="Arial"/>
          <w:sz w:val="18"/>
          <w:szCs w:val="18"/>
          <w:color w:val="auto"/>
        </w:rPr>
        <w:t xml:space="preserve"> </w:t>
      </w:r>
      <w:r>
        <w:rPr>
          <w:rFonts w:ascii="Arial" w:cs="Arial" w:eastAsia="Arial" w:hAnsi="Arial"/>
          <w:sz w:val="17"/>
          <w:szCs w:val="17"/>
          <w:color w:val="auto"/>
        </w:rPr>
        <w:t>Japanese corporation</w:t>
      </w:r>
      <w:r>
        <w:rPr>
          <w:rFonts w:ascii="Arial" w:cs="Arial" w:eastAsia="Arial" w:hAnsi="Arial"/>
          <w:sz w:val="18"/>
          <w:szCs w:val="18"/>
          <w:color w:val="auto"/>
        </w:rPr>
        <w:t xml:space="preserve"> </w:t>
      </w:r>
      <w:r>
        <w:rPr>
          <w:rFonts w:ascii="Arial" w:cs="Arial" w:eastAsia="Arial" w:hAnsi="Arial"/>
          <w:sz w:val="19"/>
          <w:szCs w:val="19"/>
          <w:color w:val="auto"/>
        </w:rPr>
        <w:t>with</w:t>
      </w:r>
      <w:r>
        <w:rPr>
          <w:rFonts w:ascii="Arial" w:cs="Arial" w:eastAsia="Arial" w:hAnsi="Arial"/>
          <w:sz w:val="18"/>
          <w:szCs w:val="18"/>
          <w:color w:val="auto"/>
        </w:rPr>
        <w:t xml:space="preserve"> </w:t>
      </w:r>
      <w:r>
        <w:rPr>
          <w:rFonts w:ascii="Arial" w:cs="Arial" w:eastAsia="Arial" w:hAnsi="Arial"/>
          <w:sz w:val="20"/>
          <w:szCs w:val="20"/>
          <w:color w:val="auto"/>
        </w:rPr>
        <w:t>a</w:t>
      </w:r>
      <w:r>
        <w:rPr>
          <w:rFonts w:ascii="Arial" w:cs="Arial" w:eastAsia="Arial" w:hAnsi="Arial"/>
          <w:sz w:val="18"/>
          <w:szCs w:val="18"/>
          <w:color w:val="auto"/>
        </w:rPr>
        <w:t xml:space="preserve"> place </w:t>
      </w:r>
      <w:r>
        <w:rPr>
          <w:rFonts w:ascii="Arial" w:cs="Arial" w:eastAsia="Arial" w:hAnsi="Arial"/>
          <w:sz w:val="19"/>
          <w:szCs w:val="19"/>
          <w:color w:val="auto"/>
        </w:rPr>
        <w:t>of business at</w:t>
      </w:r>
      <w:r>
        <w:rPr>
          <w:rFonts w:ascii="Arial" w:cs="Arial" w:eastAsia="Arial" w:hAnsi="Arial"/>
          <w:sz w:val="18"/>
          <w:szCs w:val="18"/>
          <w:color w:val="auto"/>
        </w:rPr>
        <w:t xml:space="preserve"> 1—9— 2 </w:t>
      </w:r>
      <w:r>
        <w:rPr>
          <w:rFonts w:ascii="Arial" w:cs="Arial" w:eastAsia="Arial" w:hAnsi="Arial"/>
          <w:sz w:val="17"/>
          <w:szCs w:val="17"/>
          <w:color w:val="auto"/>
        </w:rPr>
        <w:t>Otemachi,</w:t>
      </w:r>
      <w:r>
        <w:rPr>
          <w:rFonts w:ascii="Arial" w:cs="Arial" w:eastAsia="Arial" w:hAnsi="Arial"/>
          <w:sz w:val="18"/>
          <w:szCs w:val="18"/>
          <w:color w:val="auto"/>
        </w:rPr>
        <w:t xml:space="preserve"> </w:t>
      </w:r>
      <w:r>
        <w:rPr>
          <w:rFonts w:ascii="Arial" w:cs="Arial" w:eastAsia="Arial" w:hAnsi="Arial"/>
          <w:sz w:val="17"/>
          <w:szCs w:val="17"/>
          <w:color w:val="auto"/>
        </w:rPr>
        <w:t xml:space="preserve">Chiyoda—ku, Tokyo 100-0004, Japan ("KKC"), </w:t>
      </w:r>
      <w:r>
        <w:rPr>
          <w:rFonts w:ascii="Arial" w:cs="Arial" w:eastAsia="Arial" w:hAnsi="Arial"/>
          <w:sz w:val="18"/>
          <w:szCs w:val="18"/>
          <w:color w:val="auto"/>
        </w:rPr>
        <w:t>and</w:t>
      </w:r>
      <w:r>
        <w:rPr>
          <w:rFonts w:ascii="Arial" w:cs="Arial" w:eastAsia="Arial" w:hAnsi="Arial"/>
          <w:sz w:val="17"/>
          <w:szCs w:val="17"/>
          <w:color w:val="auto"/>
        </w:rPr>
        <w:t xml:space="preserve"> Ardelyx, Inc., </w:t>
      </w:r>
      <w:r>
        <w:rPr>
          <w:rFonts w:ascii="Arial" w:cs="Arial" w:eastAsia="Arial" w:hAnsi="Arial"/>
          <w:sz w:val="19"/>
          <w:szCs w:val="19"/>
          <w:color w:val="auto"/>
        </w:rPr>
        <w:t>a</w:t>
      </w:r>
      <w:r>
        <w:rPr>
          <w:rFonts w:ascii="Arial" w:cs="Arial" w:eastAsia="Arial" w:hAnsi="Arial"/>
          <w:sz w:val="17"/>
          <w:szCs w:val="17"/>
          <w:color w:val="auto"/>
        </w:rPr>
        <w:t xml:space="preserve"> </w:t>
      </w:r>
      <w:r>
        <w:rPr>
          <w:rFonts w:ascii="Arial" w:cs="Arial" w:eastAsia="Arial" w:hAnsi="Arial"/>
          <w:sz w:val="18"/>
          <w:szCs w:val="18"/>
          <w:color w:val="auto"/>
        </w:rPr>
        <w:t>Delaware</w:t>
      </w:r>
      <w:r>
        <w:rPr>
          <w:rFonts w:ascii="Arial" w:cs="Arial" w:eastAsia="Arial" w:hAnsi="Arial"/>
          <w:sz w:val="17"/>
          <w:szCs w:val="17"/>
          <w:color w:val="auto"/>
        </w:rPr>
        <w:t xml:space="preserve"> corporation having its principal </w:t>
      </w:r>
      <w:r>
        <w:rPr>
          <w:rFonts w:ascii="Arial" w:cs="Arial" w:eastAsia="Arial" w:hAnsi="Arial"/>
          <w:sz w:val="18"/>
          <w:szCs w:val="18"/>
          <w:color w:val="auto"/>
        </w:rPr>
        <w:t>place of business at</w:t>
      </w:r>
      <w:r>
        <w:rPr>
          <w:rFonts w:ascii="Arial" w:cs="Arial" w:eastAsia="Arial" w:hAnsi="Arial"/>
          <w:sz w:val="17"/>
          <w:szCs w:val="17"/>
          <w:color w:val="auto"/>
        </w:rPr>
        <w:t xml:space="preserve"> 34175 </w:t>
      </w:r>
      <w:r>
        <w:rPr>
          <w:rFonts w:ascii="Arial" w:cs="Arial" w:eastAsia="Arial" w:hAnsi="Arial"/>
          <w:sz w:val="18"/>
          <w:szCs w:val="18"/>
          <w:color w:val="auto"/>
        </w:rPr>
        <w:t>Ardenwood</w:t>
      </w:r>
      <w:r>
        <w:rPr>
          <w:rFonts w:ascii="Arial" w:cs="Arial" w:eastAsia="Arial" w:hAnsi="Arial"/>
          <w:sz w:val="17"/>
          <w:szCs w:val="17"/>
          <w:color w:val="auto"/>
        </w:rPr>
        <w:t xml:space="preserve"> Boulevard, </w:t>
      </w:r>
      <w:r>
        <w:rPr>
          <w:rFonts w:ascii="Arial" w:cs="Arial" w:eastAsia="Arial" w:hAnsi="Arial"/>
          <w:sz w:val="18"/>
          <w:szCs w:val="18"/>
          <w:color w:val="auto"/>
        </w:rPr>
        <w:t>Fremont,</w:t>
      </w:r>
      <w:r>
        <w:rPr>
          <w:rFonts w:ascii="Arial" w:cs="Arial" w:eastAsia="Arial" w:hAnsi="Arial"/>
          <w:sz w:val="17"/>
          <w:szCs w:val="17"/>
          <w:color w:val="auto"/>
        </w:rPr>
        <w:t xml:space="preserve"> </w:t>
      </w:r>
      <w:r>
        <w:rPr>
          <w:rFonts w:ascii="Arial" w:cs="Arial" w:eastAsia="Arial" w:hAnsi="Arial"/>
          <w:sz w:val="19"/>
          <w:szCs w:val="19"/>
          <w:color w:val="auto"/>
        </w:rPr>
        <w:t>California</w:t>
      </w:r>
      <w:r>
        <w:rPr>
          <w:rFonts w:ascii="Arial" w:cs="Arial" w:eastAsia="Arial" w:hAnsi="Arial"/>
          <w:sz w:val="17"/>
          <w:szCs w:val="17"/>
          <w:color w:val="auto"/>
        </w:rPr>
        <w:t xml:space="preserve"> United </w:t>
      </w:r>
      <w:r>
        <w:rPr>
          <w:rFonts w:ascii="Arial" w:cs="Arial" w:eastAsia="Arial" w:hAnsi="Arial"/>
          <w:sz w:val="18"/>
          <w:szCs w:val="18"/>
          <w:color w:val="auto"/>
        </w:rPr>
        <w:t>States of</w:t>
      </w:r>
      <w:r>
        <w:rPr>
          <w:rFonts w:ascii="Arial" w:cs="Arial" w:eastAsia="Arial" w:hAnsi="Arial"/>
          <w:sz w:val="17"/>
          <w:szCs w:val="17"/>
          <w:color w:val="auto"/>
        </w:rPr>
        <w:t xml:space="preserve"> America </w:t>
      </w:r>
      <w:r>
        <w:rPr>
          <w:rFonts w:ascii="Arial" w:cs="Arial" w:eastAsia="Arial" w:hAnsi="Arial"/>
          <w:sz w:val="18"/>
          <w:szCs w:val="18"/>
          <w:color w:val="auto"/>
        </w:rPr>
        <w:t>94555 ("Ardelyx").</w:t>
      </w:r>
      <w:r>
        <w:rPr>
          <w:rFonts w:ascii="Arial" w:cs="Arial" w:eastAsia="Arial" w:hAnsi="Arial"/>
          <w:sz w:val="17"/>
          <w:szCs w:val="17"/>
          <w:color w:val="auto"/>
        </w:rPr>
        <w:t xml:space="preserve"> KKC </w:t>
      </w:r>
      <w:r>
        <w:rPr>
          <w:rFonts w:ascii="Arial" w:cs="Arial" w:eastAsia="Arial" w:hAnsi="Arial"/>
          <w:sz w:val="18"/>
          <w:szCs w:val="18"/>
          <w:color w:val="auto"/>
        </w:rPr>
        <w:t>and Ardelyx shall each be hereinafter referred</w:t>
      </w:r>
      <w:r>
        <w:rPr>
          <w:rFonts w:ascii="Arial" w:cs="Arial" w:eastAsia="Arial" w:hAnsi="Arial"/>
          <w:sz w:val="17"/>
          <w:szCs w:val="17"/>
          <w:color w:val="auto"/>
        </w:rPr>
        <w:t xml:space="preserve"> </w:t>
      </w:r>
      <w:r>
        <w:rPr>
          <w:rFonts w:ascii="Arial" w:cs="Arial" w:eastAsia="Arial" w:hAnsi="Arial"/>
          <w:sz w:val="19"/>
          <w:szCs w:val="19"/>
          <w:color w:val="auto"/>
        </w:rPr>
        <w:t>to</w:t>
      </w:r>
      <w:r>
        <w:rPr>
          <w:rFonts w:ascii="Arial" w:cs="Arial" w:eastAsia="Arial" w:hAnsi="Arial"/>
          <w:sz w:val="17"/>
          <w:szCs w:val="17"/>
          <w:color w:val="auto"/>
        </w:rPr>
        <w:t xml:space="preserve"> </w:t>
      </w:r>
      <w:r>
        <w:rPr>
          <w:rFonts w:ascii="Arial" w:cs="Arial" w:eastAsia="Arial" w:hAnsi="Arial"/>
          <w:sz w:val="20"/>
          <w:szCs w:val="20"/>
          <w:color w:val="auto"/>
        </w:rPr>
        <w:t>as</w:t>
      </w:r>
      <w:r>
        <w:rPr>
          <w:rFonts w:ascii="Arial" w:cs="Arial" w:eastAsia="Arial" w:hAnsi="Arial"/>
          <w:sz w:val="17"/>
          <w:szCs w:val="17"/>
          <w:color w:val="auto"/>
        </w:rPr>
        <w:t xml:space="preserve"> </w:t>
      </w:r>
      <w:r>
        <w:rPr>
          <w:rFonts w:ascii="Arial" w:cs="Arial" w:eastAsia="Arial" w:hAnsi="Arial"/>
          <w:sz w:val="19"/>
          <w:szCs w:val="19"/>
          <w:color w:val="auto"/>
        </w:rPr>
        <w:t>a "Party"</w:t>
      </w:r>
      <w:r>
        <w:rPr>
          <w:rFonts w:ascii="Arial" w:cs="Arial" w:eastAsia="Arial" w:hAnsi="Arial"/>
          <w:sz w:val="17"/>
          <w:szCs w:val="17"/>
          <w:color w:val="auto"/>
        </w:rPr>
        <w:t xml:space="preserve"> </w:t>
      </w:r>
      <w:r>
        <w:rPr>
          <w:rFonts w:ascii="Arial" w:cs="Arial" w:eastAsia="Arial" w:hAnsi="Arial"/>
          <w:sz w:val="18"/>
          <w:szCs w:val="18"/>
          <w:color w:val="auto"/>
        </w:rPr>
        <w:t xml:space="preserve">and collectively </w:t>
      </w:r>
      <w:r>
        <w:rPr>
          <w:rFonts w:ascii="Arial" w:cs="Arial" w:eastAsia="Arial" w:hAnsi="Arial"/>
          <w:sz w:val="20"/>
          <w:szCs w:val="20"/>
          <w:color w:val="auto"/>
        </w:rPr>
        <w:t>as</w:t>
      </w:r>
      <w:r>
        <w:rPr>
          <w:rFonts w:ascii="Arial" w:cs="Arial" w:eastAsia="Arial" w:hAnsi="Arial"/>
          <w:sz w:val="18"/>
          <w:szCs w:val="18"/>
          <w:color w:val="auto"/>
        </w:rPr>
        <w:t xml:space="preserve"> </w:t>
      </w:r>
      <w:r>
        <w:rPr>
          <w:rFonts w:ascii="Arial" w:cs="Arial" w:eastAsia="Arial" w:hAnsi="Arial"/>
          <w:sz w:val="19"/>
          <w:szCs w:val="19"/>
          <w:color w:val="auto"/>
        </w:rPr>
        <w:t>the ”Parties”.</w:t>
      </w:r>
      <w:r>
        <w:rPr>
          <w:rFonts w:ascii="Arial" w:cs="Arial" w:eastAsia="Arial" w:hAnsi="Arial"/>
          <w:sz w:val="18"/>
          <w:szCs w:val="18"/>
          <w:color w:val="auto"/>
        </w:rPr>
        <w:t xml:space="preserve"> Capitalized </w:t>
      </w:r>
      <w:r>
        <w:rPr>
          <w:rFonts w:ascii="Arial" w:cs="Arial" w:eastAsia="Arial" w:hAnsi="Arial"/>
          <w:sz w:val="19"/>
          <w:szCs w:val="19"/>
          <w:color w:val="auto"/>
        </w:rPr>
        <w:t>terms used but not otherwise defined</w:t>
      </w:r>
      <w:r>
        <w:rPr>
          <w:rFonts w:ascii="Arial" w:cs="Arial" w:eastAsia="Arial" w:hAnsi="Arial"/>
          <w:sz w:val="18"/>
          <w:szCs w:val="18"/>
          <w:color w:val="auto"/>
        </w:rPr>
        <w:t xml:space="preserve"> herein </w:t>
      </w:r>
      <w:r>
        <w:rPr>
          <w:rFonts w:ascii="Arial" w:cs="Arial" w:eastAsia="Arial" w:hAnsi="Arial"/>
          <w:sz w:val="19"/>
          <w:szCs w:val="19"/>
          <w:color w:val="auto"/>
        </w:rPr>
        <w:t>shall have the</w:t>
      </w:r>
      <w:r>
        <w:rPr>
          <w:rFonts w:ascii="Arial" w:cs="Arial" w:eastAsia="Arial" w:hAnsi="Arial"/>
          <w:sz w:val="18"/>
          <w:szCs w:val="18"/>
          <w:color w:val="auto"/>
        </w:rPr>
        <w:t xml:space="preserve"> </w:t>
      </w:r>
      <w:r>
        <w:rPr>
          <w:rFonts w:ascii="Arial" w:cs="Arial" w:eastAsia="Arial" w:hAnsi="Arial"/>
          <w:sz w:val="17"/>
          <w:szCs w:val="17"/>
          <w:color w:val="auto"/>
        </w:rPr>
        <w:t>meanings</w:t>
      </w:r>
      <w:r>
        <w:rPr>
          <w:rFonts w:ascii="Arial" w:cs="Arial" w:eastAsia="Arial" w:hAnsi="Arial"/>
          <w:sz w:val="18"/>
          <w:szCs w:val="18"/>
          <w:color w:val="auto"/>
        </w:rPr>
        <w:t xml:space="preserve"> </w:t>
      </w:r>
      <w:r>
        <w:rPr>
          <w:rFonts w:ascii="Arial" w:cs="Arial" w:eastAsia="Arial" w:hAnsi="Arial"/>
          <w:sz w:val="19"/>
          <w:szCs w:val="19"/>
          <w:color w:val="auto"/>
        </w:rPr>
        <w:t>ascribed to them</w:t>
      </w:r>
      <w:r>
        <w:rPr>
          <w:rFonts w:ascii="Arial" w:cs="Arial" w:eastAsia="Arial" w:hAnsi="Arial"/>
          <w:sz w:val="18"/>
          <w:szCs w:val="18"/>
          <w:color w:val="auto"/>
        </w:rPr>
        <w:t xml:space="preserve"> in </w:t>
      </w:r>
      <w:r>
        <w:rPr>
          <w:rFonts w:ascii="Arial" w:cs="Arial" w:eastAsia="Arial" w:hAnsi="Arial"/>
          <w:sz w:val="19"/>
          <w:szCs w:val="19"/>
          <w:color w:val="auto"/>
        </w:rPr>
        <w:t>the</w:t>
      </w:r>
      <w:r>
        <w:rPr>
          <w:rFonts w:ascii="Arial" w:cs="Arial" w:eastAsia="Arial" w:hAnsi="Arial"/>
          <w:sz w:val="18"/>
          <w:szCs w:val="18"/>
          <w:color w:val="auto"/>
        </w:rPr>
        <w:t xml:space="preserve"> </w:t>
      </w:r>
      <w:r>
        <w:rPr>
          <w:rFonts w:ascii="Arial" w:cs="Arial" w:eastAsia="Arial" w:hAnsi="Arial"/>
          <w:sz w:val="17"/>
          <w:szCs w:val="17"/>
          <w:color w:val="auto"/>
        </w:rPr>
        <w:t>Original Agreement.</w:t>
      </w:r>
    </w:p>
    <w:p>
      <w:pPr>
        <w:spacing w:after="0" w:line="236" w:lineRule="exact"/>
        <w:rPr>
          <w:sz w:val="20"/>
          <w:szCs w:val="20"/>
          <w:color w:val="auto"/>
        </w:rPr>
      </w:pPr>
    </w:p>
    <w:p>
      <w:pPr>
        <w:ind w:right="2980" w:firstLine="632"/>
        <w:spacing w:after="0" w:line="316" w:lineRule="auto"/>
        <w:rPr>
          <w:sz w:val="20"/>
          <w:szCs w:val="20"/>
          <w:color w:val="auto"/>
        </w:rPr>
      </w:pPr>
      <w:r>
        <w:rPr>
          <w:rFonts w:ascii="Arial" w:cs="Arial" w:eastAsia="Arial" w:hAnsi="Arial"/>
          <w:sz w:val="19"/>
          <w:szCs w:val="19"/>
          <w:color w:val="auto"/>
        </w:rPr>
        <w:t xml:space="preserve">WHEREAS, KKC has no further need for Licensed Product </w:t>
      </w:r>
      <w:r>
        <w:rPr>
          <w:rFonts w:ascii="Arial" w:cs="Arial" w:eastAsia="Arial" w:hAnsi="Arial"/>
          <w:sz w:val="17"/>
          <w:szCs w:val="17"/>
          <w:color w:val="auto"/>
        </w:rPr>
        <w:t>supply</w:t>
      </w:r>
      <w:r>
        <w:rPr>
          <w:rFonts w:ascii="Arial" w:cs="Arial" w:eastAsia="Arial" w:hAnsi="Arial"/>
          <w:sz w:val="19"/>
          <w:szCs w:val="19"/>
          <w:color w:val="auto"/>
        </w:rPr>
        <w:t xml:space="preserve"> from </w:t>
      </w:r>
      <w:r>
        <w:rPr>
          <w:rFonts w:ascii="Arial" w:cs="Arial" w:eastAsia="Arial" w:hAnsi="Arial"/>
          <w:sz w:val="17"/>
          <w:szCs w:val="17"/>
          <w:color w:val="auto"/>
        </w:rPr>
        <w:t>Ardelyx</w:t>
      </w:r>
      <w:r>
        <w:rPr>
          <w:rFonts w:ascii="Arial" w:cs="Arial" w:eastAsia="Arial" w:hAnsi="Arial"/>
          <w:sz w:val="19"/>
          <w:szCs w:val="19"/>
          <w:color w:val="auto"/>
        </w:rPr>
        <w:t xml:space="preserve"> and desires only to </w:t>
      </w:r>
      <w:r>
        <w:rPr>
          <w:rFonts w:ascii="Arial" w:cs="Arial" w:eastAsia="Arial" w:hAnsi="Arial"/>
          <w:sz w:val="17"/>
          <w:szCs w:val="17"/>
          <w:color w:val="auto"/>
        </w:rPr>
        <w:t>receive API</w:t>
      </w:r>
      <w:r>
        <w:rPr>
          <w:rFonts w:ascii="Arial" w:cs="Arial" w:eastAsia="Arial" w:hAnsi="Arial"/>
          <w:sz w:val="19"/>
          <w:szCs w:val="19"/>
          <w:color w:val="auto"/>
        </w:rPr>
        <w:t xml:space="preserve"> </w:t>
      </w:r>
      <w:r>
        <w:rPr>
          <w:rFonts w:ascii="Arial" w:cs="Arial" w:eastAsia="Arial" w:hAnsi="Arial"/>
          <w:sz w:val="18"/>
          <w:szCs w:val="18"/>
          <w:color w:val="auto"/>
        </w:rPr>
        <w:t>supply</w:t>
      </w:r>
      <w:r>
        <w:rPr>
          <w:rFonts w:ascii="Arial" w:cs="Arial" w:eastAsia="Arial" w:hAnsi="Arial"/>
          <w:sz w:val="19"/>
          <w:szCs w:val="19"/>
          <w:color w:val="auto"/>
        </w:rPr>
        <w:t xml:space="preserve"> </w:t>
      </w:r>
      <w:r>
        <w:rPr>
          <w:rFonts w:ascii="Arial" w:cs="Arial" w:eastAsia="Arial" w:hAnsi="Arial"/>
          <w:sz w:val="17"/>
          <w:szCs w:val="17"/>
          <w:color w:val="auto"/>
        </w:rPr>
        <w:t>in</w:t>
      </w:r>
      <w:r>
        <w:rPr>
          <w:rFonts w:ascii="Arial" w:cs="Arial" w:eastAsia="Arial" w:hAnsi="Arial"/>
          <w:sz w:val="19"/>
          <w:szCs w:val="19"/>
          <w:color w:val="auto"/>
        </w:rPr>
        <w:t xml:space="preserve"> </w:t>
      </w:r>
      <w:r>
        <w:rPr>
          <w:rFonts w:ascii="Arial" w:cs="Arial" w:eastAsia="Arial" w:hAnsi="Arial"/>
          <w:sz w:val="18"/>
          <w:szCs w:val="18"/>
          <w:color w:val="auto"/>
        </w:rPr>
        <w:t>accordance</w:t>
      </w:r>
      <w:r>
        <w:rPr>
          <w:rFonts w:ascii="Arial" w:cs="Arial" w:eastAsia="Arial" w:hAnsi="Arial"/>
          <w:sz w:val="19"/>
          <w:szCs w:val="19"/>
          <w:color w:val="auto"/>
        </w:rPr>
        <w:t xml:space="preserve"> with </w:t>
      </w:r>
      <w:r>
        <w:rPr>
          <w:rFonts w:ascii="Arial" w:cs="Arial" w:eastAsia="Arial" w:hAnsi="Arial"/>
          <w:sz w:val="18"/>
          <w:szCs w:val="18"/>
          <w:color w:val="auto"/>
        </w:rPr>
        <w:t>the</w:t>
      </w:r>
      <w:r>
        <w:rPr>
          <w:rFonts w:ascii="Arial" w:cs="Arial" w:eastAsia="Arial" w:hAnsi="Arial"/>
          <w:sz w:val="19"/>
          <w:szCs w:val="19"/>
          <w:color w:val="auto"/>
        </w:rPr>
        <w:t xml:space="preserve"> </w:t>
      </w:r>
      <w:r>
        <w:rPr>
          <w:rFonts w:ascii="Arial" w:cs="Arial" w:eastAsia="Arial" w:hAnsi="Arial"/>
          <w:sz w:val="17"/>
          <w:szCs w:val="17"/>
          <w:color w:val="auto"/>
        </w:rPr>
        <w:t>Original Agreement</w:t>
      </w:r>
      <w:r>
        <w:rPr>
          <w:rFonts w:ascii="Arial" w:cs="Arial" w:eastAsia="Arial" w:hAnsi="Arial"/>
          <w:sz w:val="19"/>
          <w:szCs w:val="19"/>
          <w:color w:val="auto"/>
        </w:rPr>
        <w:t xml:space="preserve"> </w:t>
      </w:r>
      <w:r>
        <w:rPr>
          <w:rFonts w:ascii="Arial" w:cs="Arial" w:eastAsia="Arial" w:hAnsi="Arial"/>
          <w:sz w:val="18"/>
          <w:szCs w:val="18"/>
          <w:color w:val="auto"/>
        </w:rPr>
        <w:t>and the</w:t>
      </w:r>
      <w:r>
        <w:rPr>
          <w:rFonts w:ascii="Arial" w:cs="Arial" w:eastAsia="Arial" w:hAnsi="Arial"/>
          <w:sz w:val="19"/>
          <w:szCs w:val="19"/>
          <w:color w:val="auto"/>
        </w:rPr>
        <w:t xml:space="preserve"> </w:t>
      </w:r>
      <w:r>
        <w:rPr>
          <w:rFonts w:ascii="Arial" w:cs="Arial" w:eastAsia="Arial" w:hAnsi="Arial"/>
          <w:sz w:val="17"/>
          <w:szCs w:val="17"/>
          <w:color w:val="auto"/>
        </w:rPr>
        <w:t>MSA; and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WHEREAS, the Parties wish </w:t>
      </w:r>
      <w:r>
        <w:rPr>
          <w:rFonts w:ascii="Arial" w:cs="Arial" w:eastAsia="Arial" w:hAnsi="Arial"/>
          <w:sz w:val="19"/>
          <w:szCs w:val="19"/>
          <w:color w:val="auto"/>
        </w:rPr>
        <w:t>to</w:t>
      </w:r>
      <w:r>
        <w:rPr>
          <w:rFonts w:ascii="Arial" w:cs="Arial" w:eastAsia="Arial" w:hAnsi="Arial"/>
          <w:sz w:val="18"/>
          <w:szCs w:val="18"/>
          <w:color w:val="auto"/>
        </w:rPr>
        <w:t xml:space="preserve"> amend the Original Agreement to reflect the foregoing;</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NOW, THEREFORE, in consideration ofthe </w:t>
      </w:r>
      <w:r>
        <w:rPr>
          <w:rFonts w:ascii="Arial" w:cs="Arial" w:eastAsia="Arial" w:hAnsi="Arial"/>
          <w:sz w:val="17"/>
          <w:szCs w:val="17"/>
          <w:color w:val="auto"/>
        </w:rPr>
        <w:t>premises</w:t>
      </w:r>
      <w:r>
        <w:rPr>
          <w:rFonts w:ascii="Arial" w:cs="Arial" w:eastAsia="Arial" w:hAnsi="Arial"/>
          <w:sz w:val="18"/>
          <w:szCs w:val="18"/>
          <w:color w:val="auto"/>
        </w:rPr>
        <w:t xml:space="preserve"> and the terms and conditions contained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herein, the Parties </w:t>
      </w:r>
      <w:r>
        <w:rPr>
          <w:rFonts w:ascii="Arial" w:cs="Arial" w:eastAsia="Arial" w:hAnsi="Arial"/>
          <w:sz w:val="19"/>
          <w:szCs w:val="19"/>
          <w:color w:val="auto"/>
        </w:rPr>
        <w:t>agree</w:t>
      </w:r>
      <w:r>
        <w:rPr>
          <w:rFonts w:ascii="Arial" w:cs="Arial" w:eastAsia="Arial" w:hAnsi="Arial"/>
          <w:sz w:val="18"/>
          <w:szCs w:val="18"/>
          <w:color w:val="auto"/>
        </w:rPr>
        <w:t xml:space="preserve"> </w:t>
      </w:r>
      <w:r>
        <w:rPr>
          <w:rFonts w:ascii="Arial" w:cs="Arial" w:eastAsia="Arial" w:hAnsi="Arial"/>
          <w:sz w:val="21"/>
          <w:szCs w:val="21"/>
          <w:color w:val="auto"/>
        </w:rPr>
        <w:t>as</w:t>
      </w:r>
      <w:r>
        <w:rPr>
          <w:rFonts w:ascii="Arial" w:cs="Arial" w:eastAsia="Arial" w:hAnsi="Arial"/>
          <w:sz w:val="18"/>
          <w:szCs w:val="18"/>
          <w:color w:val="auto"/>
        </w:rPr>
        <w:t xml:space="preserve"> follows:</w:t>
      </w:r>
    </w:p>
    <w:p>
      <w:pPr>
        <w:spacing w:after="0" w:line="263" w:lineRule="exact"/>
        <w:rPr>
          <w:sz w:val="20"/>
          <w:szCs w:val="20"/>
          <w:color w:val="auto"/>
        </w:rPr>
      </w:pPr>
    </w:p>
    <w:p>
      <w:pPr>
        <w:ind w:right="160" w:firstLine="646"/>
        <w:spacing w:after="0" w:line="257" w:lineRule="auto"/>
        <w:tabs>
          <w:tab w:leader="none" w:pos="1196" w:val="left"/>
        </w:tabs>
        <w:numPr>
          <w:ilvl w:val="1"/>
          <w:numId w:val="66"/>
        </w:numPr>
        <w:rPr>
          <w:rFonts w:ascii="Arial" w:cs="Arial" w:eastAsia="Arial" w:hAnsi="Arial"/>
          <w:sz w:val="18"/>
          <w:szCs w:val="18"/>
          <w:color w:val="auto"/>
        </w:rPr>
      </w:pPr>
      <w:r>
        <w:rPr>
          <w:rFonts w:ascii="Arial" w:cs="Arial" w:eastAsia="Arial" w:hAnsi="Arial"/>
          <w:sz w:val="19"/>
          <w:szCs w:val="19"/>
          <w:color w:val="auto"/>
        </w:rPr>
        <w:t xml:space="preserve">Development Product Supply. The </w:t>
      </w:r>
      <w:r>
        <w:rPr>
          <w:rFonts w:ascii="Arial" w:cs="Arial" w:eastAsia="Arial" w:hAnsi="Arial"/>
          <w:sz w:val="17"/>
          <w:szCs w:val="17"/>
          <w:color w:val="auto"/>
        </w:rPr>
        <w:t>Parties</w:t>
      </w:r>
      <w:r>
        <w:rPr>
          <w:rFonts w:ascii="Arial" w:cs="Arial" w:eastAsia="Arial" w:hAnsi="Arial"/>
          <w:sz w:val="19"/>
          <w:szCs w:val="19"/>
          <w:color w:val="auto"/>
        </w:rPr>
        <w:t xml:space="preserve"> agree that </w:t>
      </w:r>
      <w:r>
        <w:rPr>
          <w:rFonts w:ascii="Arial" w:cs="Arial" w:eastAsia="Arial" w:hAnsi="Arial"/>
          <w:sz w:val="17"/>
          <w:szCs w:val="17"/>
          <w:color w:val="auto"/>
        </w:rPr>
        <w:t>Ardelyx</w:t>
      </w:r>
      <w:r>
        <w:rPr>
          <w:rFonts w:ascii="Arial" w:cs="Arial" w:eastAsia="Arial" w:hAnsi="Arial"/>
          <w:sz w:val="19"/>
          <w:szCs w:val="19"/>
          <w:color w:val="auto"/>
        </w:rPr>
        <w:t xml:space="preserve"> shall have no further obligation to supply to </w:t>
      </w:r>
      <w:r>
        <w:rPr>
          <w:rFonts w:ascii="Arial" w:cs="Arial" w:eastAsia="Arial" w:hAnsi="Arial"/>
          <w:sz w:val="17"/>
          <w:szCs w:val="17"/>
          <w:color w:val="auto"/>
        </w:rPr>
        <w:t>KKC,</w:t>
      </w:r>
      <w:r>
        <w:rPr>
          <w:rFonts w:ascii="Arial" w:cs="Arial" w:eastAsia="Arial" w:hAnsi="Arial"/>
          <w:sz w:val="19"/>
          <w:szCs w:val="19"/>
          <w:color w:val="auto"/>
        </w:rPr>
        <w:t xml:space="preserve"> and KKC shall have </w:t>
      </w:r>
      <w:r>
        <w:rPr>
          <w:rFonts w:ascii="Arial" w:cs="Arial" w:eastAsia="Arial" w:hAnsi="Arial"/>
          <w:sz w:val="20"/>
          <w:szCs w:val="20"/>
          <w:color w:val="auto"/>
        </w:rPr>
        <w:t>no</w:t>
      </w:r>
      <w:r>
        <w:rPr>
          <w:rFonts w:ascii="Arial" w:cs="Arial" w:eastAsia="Arial" w:hAnsi="Arial"/>
          <w:sz w:val="19"/>
          <w:szCs w:val="19"/>
          <w:color w:val="auto"/>
        </w:rPr>
        <w:t xml:space="preserve"> further </w:t>
      </w:r>
      <w:r>
        <w:rPr>
          <w:rFonts w:ascii="Arial" w:cs="Arial" w:eastAsia="Arial" w:hAnsi="Arial"/>
          <w:sz w:val="17"/>
          <w:szCs w:val="17"/>
          <w:color w:val="auto"/>
        </w:rPr>
        <w:t>obligation</w:t>
      </w:r>
      <w:r>
        <w:rPr>
          <w:rFonts w:ascii="Arial" w:cs="Arial" w:eastAsia="Arial" w:hAnsi="Arial"/>
          <w:sz w:val="19"/>
          <w:szCs w:val="19"/>
          <w:color w:val="auto"/>
        </w:rPr>
        <w:t xml:space="preserve"> to purchase from </w:t>
      </w:r>
      <w:r>
        <w:rPr>
          <w:rFonts w:ascii="Arial" w:cs="Arial" w:eastAsia="Arial" w:hAnsi="Arial"/>
          <w:sz w:val="17"/>
          <w:szCs w:val="17"/>
          <w:color w:val="auto"/>
        </w:rPr>
        <w:t>Ardelyx, any</w:t>
      </w:r>
      <w:r>
        <w:rPr>
          <w:rFonts w:ascii="Arial" w:cs="Arial" w:eastAsia="Arial" w:hAnsi="Arial"/>
          <w:sz w:val="19"/>
          <w:szCs w:val="19"/>
          <w:color w:val="auto"/>
        </w:rPr>
        <w:t xml:space="preserve"> Development Product </w:t>
      </w:r>
      <w:r>
        <w:rPr>
          <w:rFonts w:ascii="Arial" w:cs="Arial" w:eastAsia="Arial" w:hAnsi="Arial"/>
          <w:sz w:val="17"/>
          <w:szCs w:val="17"/>
          <w:color w:val="auto"/>
        </w:rPr>
        <w:t>Supply pursuant</w:t>
      </w:r>
      <w:r>
        <w:rPr>
          <w:rFonts w:ascii="Arial" w:cs="Arial" w:eastAsia="Arial" w:hAnsi="Arial"/>
          <w:sz w:val="19"/>
          <w:szCs w:val="19"/>
          <w:color w:val="auto"/>
        </w:rPr>
        <w:t xml:space="preserve"> to </w:t>
      </w:r>
      <w:r>
        <w:rPr>
          <w:rFonts w:ascii="Arial" w:cs="Arial" w:eastAsia="Arial" w:hAnsi="Arial"/>
          <w:sz w:val="17"/>
          <w:szCs w:val="17"/>
          <w:u w:val="single" w:color="auto"/>
          <w:color w:val="auto"/>
        </w:rPr>
        <w:t>Section 5.01(a)</w:t>
      </w:r>
      <w:r>
        <w:rPr>
          <w:rFonts w:ascii="Arial" w:cs="Arial" w:eastAsia="Arial" w:hAnsi="Arial"/>
          <w:sz w:val="19"/>
          <w:szCs w:val="19"/>
          <w:color w:val="auto"/>
        </w:rPr>
        <w:t xml:space="preserve"> of the </w:t>
      </w:r>
      <w:r>
        <w:rPr>
          <w:rFonts w:ascii="Arial" w:cs="Arial" w:eastAsia="Arial" w:hAnsi="Arial"/>
          <w:sz w:val="17"/>
          <w:szCs w:val="17"/>
          <w:color w:val="auto"/>
        </w:rPr>
        <w:t>Original Agreement.</w:t>
      </w:r>
      <w:r>
        <w:rPr>
          <w:rFonts w:ascii="Arial" w:cs="Arial" w:eastAsia="Arial" w:hAnsi="Arial"/>
          <w:sz w:val="19"/>
          <w:szCs w:val="19"/>
          <w:color w:val="auto"/>
        </w:rPr>
        <w:t xml:space="preserve"> KKC acknowledges and agrees that: </w:t>
      </w:r>
      <w:r>
        <w:rPr>
          <w:rFonts w:ascii="Arial" w:cs="Arial" w:eastAsia="Arial" w:hAnsi="Arial"/>
          <w:sz w:val="17"/>
          <w:szCs w:val="17"/>
          <w:color w:val="auto"/>
        </w:rPr>
        <w:t>(a)</w:t>
      </w:r>
      <w:r>
        <w:rPr>
          <w:rFonts w:ascii="Arial" w:cs="Arial" w:eastAsia="Arial" w:hAnsi="Arial"/>
          <w:sz w:val="19"/>
          <w:szCs w:val="19"/>
          <w:color w:val="auto"/>
        </w:rPr>
        <w:t xml:space="preserve"> Ardelyx has fulfilled all of </w:t>
      </w:r>
      <w:r>
        <w:rPr>
          <w:rFonts w:ascii="Arial" w:cs="Arial" w:eastAsia="Arial" w:hAnsi="Arial"/>
          <w:sz w:val="17"/>
          <w:szCs w:val="17"/>
          <w:color w:val="auto"/>
        </w:rPr>
        <w:t>its</w:t>
      </w:r>
      <w:r>
        <w:rPr>
          <w:rFonts w:ascii="Arial" w:cs="Arial" w:eastAsia="Arial" w:hAnsi="Arial"/>
          <w:sz w:val="19"/>
          <w:szCs w:val="19"/>
          <w:color w:val="auto"/>
        </w:rPr>
        <w:t xml:space="preserve"> obligations with respect to Development Product Supply under the </w:t>
      </w:r>
      <w:r>
        <w:rPr>
          <w:rFonts w:ascii="Arial" w:cs="Arial" w:eastAsia="Arial" w:hAnsi="Arial"/>
          <w:sz w:val="17"/>
          <w:szCs w:val="17"/>
          <w:color w:val="auto"/>
        </w:rPr>
        <w:t xml:space="preserve">Original Agreement, </w:t>
      </w:r>
      <w:r>
        <w:rPr>
          <w:rFonts w:ascii="Arial" w:cs="Arial" w:eastAsia="Arial" w:hAnsi="Arial"/>
          <w:sz w:val="19"/>
          <w:szCs w:val="19"/>
          <w:color w:val="auto"/>
        </w:rPr>
        <w:t>as amended</w:t>
      </w:r>
      <w:r>
        <w:rPr>
          <w:rFonts w:ascii="Arial" w:cs="Arial" w:eastAsia="Arial" w:hAnsi="Arial"/>
          <w:sz w:val="17"/>
          <w:szCs w:val="17"/>
          <w:color w:val="auto"/>
        </w:rPr>
        <w:t xml:space="preserve"> </w:t>
      </w:r>
      <w:r>
        <w:rPr>
          <w:rFonts w:ascii="Arial" w:cs="Arial" w:eastAsia="Arial" w:hAnsi="Arial"/>
          <w:sz w:val="18"/>
          <w:szCs w:val="18"/>
          <w:color w:val="auto"/>
        </w:rPr>
        <w:t>by</w:t>
      </w:r>
      <w:r>
        <w:rPr>
          <w:rFonts w:ascii="Arial" w:cs="Arial" w:eastAsia="Arial" w:hAnsi="Arial"/>
          <w:sz w:val="17"/>
          <w:szCs w:val="17"/>
          <w:color w:val="auto"/>
        </w:rPr>
        <w:t xml:space="preserve"> </w:t>
      </w:r>
      <w:r>
        <w:rPr>
          <w:rFonts w:ascii="Arial" w:cs="Arial" w:eastAsia="Arial" w:hAnsi="Arial"/>
          <w:sz w:val="19"/>
          <w:szCs w:val="19"/>
          <w:color w:val="auto"/>
        </w:rPr>
        <w:t>this</w:t>
      </w:r>
      <w:r>
        <w:rPr>
          <w:rFonts w:ascii="Arial" w:cs="Arial" w:eastAsia="Arial" w:hAnsi="Arial"/>
          <w:sz w:val="17"/>
          <w:szCs w:val="17"/>
          <w:color w:val="auto"/>
        </w:rPr>
        <w:t xml:space="preserve"> </w:t>
      </w:r>
      <w:r>
        <w:rPr>
          <w:rFonts w:ascii="Arial" w:cs="Arial" w:eastAsia="Arial" w:hAnsi="Arial"/>
          <w:sz w:val="18"/>
          <w:szCs w:val="18"/>
          <w:color w:val="auto"/>
        </w:rPr>
        <w:t>Amendment, and that (b) other</w:t>
      </w:r>
      <w:r>
        <w:rPr>
          <w:rFonts w:ascii="Arial" w:cs="Arial" w:eastAsia="Arial" w:hAnsi="Arial"/>
          <w:sz w:val="17"/>
          <w:szCs w:val="17"/>
          <w:color w:val="auto"/>
        </w:rPr>
        <w:t xml:space="preserve"> </w:t>
      </w:r>
      <w:r>
        <w:rPr>
          <w:rFonts w:ascii="Arial" w:cs="Arial" w:eastAsia="Arial" w:hAnsi="Arial"/>
          <w:sz w:val="19"/>
          <w:szCs w:val="19"/>
          <w:color w:val="auto"/>
        </w:rPr>
        <w:t>than</w:t>
      </w:r>
      <w:r>
        <w:rPr>
          <w:rFonts w:ascii="Arial" w:cs="Arial" w:eastAsia="Arial" w:hAnsi="Arial"/>
          <w:sz w:val="17"/>
          <w:szCs w:val="17"/>
          <w:color w:val="auto"/>
        </w:rPr>
        <w:t xml:space="preserve"> provisions </w:t>
      </w:r>
      <w:r>
        <w:rPr>
          <w:rFonts w:ascii="Arial" w:cs="Arial" w:eastAsia="Arial" w:hAnsi="Arial"/>
          <w:sz w:val="19"/>
          <w:szCs w:val="19"/>
          <w:color w:val="auto"/>
        </w:rPr>
        <w:t>which</w:t>
      </w:r>
      <w:r>
        <w:rPr>
          <w:rFonts w:ascii="Arial" w:cs="Arial" w:eastAsia="Arial" w:hAnsi="Arial"/>
          <w:sz w:val="17"/>
          <w:szCs w:val="17"/>
          <w:color w:val="auto"/>
        </w:rPr>
        <w:t xml:space="preserve"> </w:t>
      </w:r>
      <w:r>
        <w:rPr>
          <w:rFonts w:ascii="Arial" w:cs="Arial" w:eastAsia="Arial" w:hAnsi="Arial"/>
          <w:sz w:val="18"/>
          <w:szCs w:val="18"/>
          <w:color w:val="auto"/>
        </w:rPr>
        <w:t>expressly</w:t>
      </w:r>
      <w:r>
        <w:rPr>
          <w:rFonts w:ascii="Arial" w:cs="Arial" w:eastAsia="Arial" w:hAnsi="Arial"/>
          <w:sz w:val="17"/>
          <w:szCs w:val="17"/>
          <w:color w:val="auto"/>
        </w:rPr>
        <w:t xml:space="preserve"> survive </w:t>
      </w:r>
      <w:r>
        <w:rPr>
          <w:rFonts w:ascii="Arial" w:cs="Arial" w:eastAsia="Arial" w:hAnsi="Arial"/>
          <w:sz w:val="18"/>
          <w:szCs w:val="18"/>
          <w:color w:val="auto"/>
        </w:rPr>
        <w:t>termination</w:t>
      </w:r>
      <w:r>
        <w:rPr>
          <w:rFonts w:ascii="Arial" w:cs="Arial" w:eastAsia="Arial" w:hAnsi="Arial"/>
          <w:sz w:val="17"/>
          <w:szCs w:val="17"/>
          <w:color w:val="auto"/>
        </w:rPr>
        <w:t xml:space="preserve"> </w:t>
      </w:r>
      <w:r>
        <w:rPr>
          <w:rFonts w:ascii="Arial" w:cs="Arial" w:eastAsia="Arial" w:hAnsi="Arial"/>
          <w:sz w:val="20"/>
          <w:szCs w:val="20"/>
          <w:color w:val="auto"/>
        </w:rPr>
        <w:t>or</w:t>
      </w:r>
      <w:r>
        <w:rPr>
          <w:rFonts w:ascii="Arial" w:cs="Arial" w:eastAsia="Arial" w:hAnsi="Arial"/>
          <w:sz w:val="17"/>
          <w:szCs w:val="17"/>
          <w:color w:val="auto"/>
        </w:rPr>
        <w:t xml:space="preserve"> expiration, </w:t>
      </w:r>
      <w:r>
        <w:rPr>
          <w:rFonts w:ascii="Arial" w:cs="Arial" w:eastAsia="Arial" w:hAnsi="Arial"/>
          <w:sz w:val="18"/>
          <w:szCs w:val="18"/>
          <w:color w:val="auto"/>
        </w:rPr>
        <w:t>all</w:t>
      </w:r>
      <w:r>
        <w:rPr>
          <w:rFonts w:ascii="Arial" w:cs="Arial" w:eastAsia="Arial" w:hAnsi="Arial"/>
          <w:sz w:val="17"/>
          <w:szCs w:val="17"/>
          <w:color w:val="auto"/>
        </w:rPr>
        <w:t xml:space="preserve"> </w:t>
      </w:r>
      <w:r>
        <w:rPr>
          <w:rFonts w:ascii="Arial" w:cs="Arial" w:eastAsia="Arial" w:hAnsi="Arial"/>
          <w:sz w:val="19"/>
          <w:szCs w:val="19"/>
          <w:color w:val="auto"/>
        </w:rPr>
        <w:t>of</w:t>
      </w:r>
      <w:r>
        <w:rPr>
          <w:rFonts w:ascii="Arial" w:cs="Arial" w:eastAsia="Arial" w:hAnsi="Arial"/>
          <w:sz w:val="17"/>
          <w:szCs w:val="17"/>
          <w:color w:val="auto"/>
        </w:rPr>
        <w:t xml:space="preserve"> </w:t>
      </w:r>
      <w:r>
        <w:rPr>
          <w:rFonts w:ascii="Arial" w:cs="Arial" w:eastAsia="Arial" w:hAnsi="Arial"/>
          <w:sz w:val="18"/>
          <w:szCs w:val="18"/>
          <w:color w:val="auto"/>
        </w:rPr>
        <w:t xml:space="preserve">Ardelyx's obligations under the Original </w:t>
      </w:r>
      <w:r>
        <w:rPr>
          <w:rFonts w:ascii="Arial" w:cs="Arial" w:eastAsia="Arial" w:hAnsi="Arial"/>
          <w:sz w:val="17"/>
          <w:szCs w:val="17"/>
          <w:color w:val="auto"/>
        </w:rPr>
        <w:t>Agreement</w:t>
      </w:r>
      <w:r>
        <w:rPr>
          <w:rFonts w:ascii="Arial" w:cs="Arial" w:eastAsia="Arial" w:hAnsi="Arial"/>
          <w:sz w:val="18"/>
          <w:szCs w:val="18"/>
          <w:color w:val="auto"/>
        </w:rPr>
        <w:t xml:space="preserve"> </w:t>
      </w:r>
      <w:r>
        <w:rPr>
          <w:rFonts w:ascii="Arial" w:cs="Arial" w:eastAsia="Arial" w:hAnsi="Arial"/>
          <w:sz w:val="19"/>
          <w:szCs w:val="19"/>
          <w:color w:val="auto"/>
        </w:rPr>
        <w:t>with</w:t>
      </w:r>
      <w:r>
        <w:rPr>
          <w:rFonts w:ascii="Arial" w:cs="Arial" w:eastAsia="Arial" w:hAnsi="Arial"/>
          <w:sz w:val="18"/>
          <w:szCs w:val="18"/>
          <w:color w:val="auto"/>
        </w:rPr>
        <w:t xml:space="preserve"> respect </w:t>
      </w:r>
      <w:r>
        <w:rPr>
          <w:rFonts w:ascii="Arial" w:cs="Arial" w:eastAsia="Arial" w:hAnsi="Arial"/>
          <w:sz w:val="19"/>
          <w:szCs w:val="19"/>
          <w:color w:val="auto"/>
        </w:rPr>
        <w:t>to</w:t>
      </w:r>
      <w:r>
        <w:rPr>
          <w:rFonts w:ascii="Arial" w:cs="Arial" w:eastAsia="Arial" w:hAnsi="Arial"/>
          <w:sz w:val="18"/>
          <w:szCs w:val="18"/>
          <w:color w:val="auto"/>
        </w:rPr>
        <w:t xml:space="preserve"> Development Product Supply </w:t>
      </w:r>
      <w:r>
        <w:rPr>
          <w:rFonts w:ascii="Arial" w:cs="Arial" w:eastAsia="Arial" w:hAnsi="Arial"/>
          <w:sz w:val="19"/>
          <w:szCs w:val="19"/>
          <w:color w:val="auto"/>
        </w:rPr>
        <w:t>shall</w:t>
      </w:r>
      <w:r>
        <w:rPr>
          <w:rFonts w:ascii="Arial" w:cs="Arial" w:eastAsia="Arial" w:hAnsi="Arial"/>
          <w:sz w:val="18"/>
          <w:szCs w:val="18"/>
          <w:color w:val="auto"/>
        </w:rPr>
        <w:t xml:space="preserve"> </w:t>
      </w:r>
      <w:r>
        <w:rPr>
          <w:rFonts w:ascii="Arial" w:cs="Arial" w:eastAsia="Arial" w:hAnsi="Arial"/>
          <w:sz w:val="17"/>
          <w:szCs w:val="17"/>
          <w:color w:val="auto"/>
        </w:rPr>
        <w:t>expire</w:t>
      </w:r>
      <w:r>
        <w:rPr>
          <w:rFonts w:ascii="Arial" w:cs="Arial" w:eastAsia="Arial" w:hAnsi="Arial"/>
          <w:sz w:val="18"/>
          <w:szCs w:val="18"/>
          <w:color w:val="auto"/>
        </w:rPr>
        <w:t xml:space="preserve"> automatically </w:t>
      </w:r>
      <w:r>
        <w:rPr>
          <w:rFonts w:ascii="Arial" w:cs="Arial" w:eastAsia="Arial" w:hAnsi="Arial"/>
          <w:sz w:val="19"/>
          <w:szCs w:val="19"/>
          <w:color w:val="auto"/>
        </w:rPr>
        <w:t>on the Amendment</w:t>
      </w:r>
      <w:r>
        <w:rPr>
          <w:rFonts w:ascii="Arial" w:cs="Arial" w:eastAsia="Arial" w:hAnsi="Arial"/>
          <w:sz w:val="18"/>
          <w:szCs w:val="18"/>
          <w:color w:val="auto"/>
        </w:rPr>
        <w:t xml:space="preserve"> Date. Notwithstanding </w:t>
      </w:r>
      <w:r>
        <w:rPr>
          <w:rFonts w:ascii="Arial" w:cs="Arial" w:eastAsia="Arial" w:hAnsi="Arial"/>
          <w:sz w:val="19"/>
          <w:szCs w:val="19"/>
          <w:color w:val="auto"/>
        </w:rPr>
        <w:t>the</w:t>
      </w:r>
      <w:r>
        <w:rPr>
          <w:rFonts w:ascii="Arial" w:cs="Arial" w:eastAsia="Arial" w:hAnsi="Arial"/>
          <w:sz w:val="18"/>
          <w:szCs w:val="18"/>
          <w:color w:val="auto"/>
        </w:rPr>
        <w:t xml:space="preserve"> foregoing, </w:t>
      </w:r>
      <w:r>
        <w:rPr>
          <w:rFonts w:ascii="Arial" w:cs="Arial" w:eastAsia="Arial" w:hAnsi="Arial"/>
          <w:sz w:val="19"/>
          <w:szCs w:val="19"/>
          <w:color w:val="auto"/>
        </w:rPr>
        <w:t>if</w:t>
      </w:r>
      <w:r>
        <w:rPr>
          <w:rFonts w:ascii="Arial" w:cs="Arial" w:eastAsia="Arial" w:hAnsi="Arial"/>
          <w:sz w:val="18"/>
          <w:szCs w:val="18"/>
          <w:color w:val="auto"/>
        </w:rPr>
        <w:t xml:space="preserve"> KKC </w:t>
      </w:r>
      <w:r>
        <w:rPr>
          <w:rFonts w:ascii="Arial" w:cs="Arial" w:eastAsia="Arial" w:hAnsi="Arial"/>
          <w:sz w:val="17"/>
          <w:szCs w:val="17"/>
          <w:color w:val="auto"/>
        </w:rPr>
        <w:t>requests</w:t>
      </w:r>
      <w:r>
        <w:rPr>
          <w:rFonts w:ascii="Arial" w:cs="Arial" w:eastAsia="Arial" w:hAnsi="Arial"/>
          <w:sz w:val="18"/>
          <w:szCs w:val="18"/>
          <w:color w:val="auto"/>
        </w:rPr>
        <w:t xml:space="preserve"> Ardelyx </w:t>
      </w:r>
      <w:r>
        <w:rPr>
          <w:rFonts w:ascii="Arial" w:cs="Arial" w:eastAsia="Arial" w:hAnsi="Arial"/>
          <w:sz w:val="19"/>
          <w:szCs w:val="19"/>
          <w:color w:val="auto"/>
        </w:rPr>
        <w:t>to</w:t>
      </w:r>
      <w:r>
        <w:rPr>
          <w:rFonts w:ascii="Arial" w:cs="Arial" w:eastAsia="Arial" w:hAnsi="Arial"/>
          <w:sz w:val="18"/>
          <w:szCs w:val="18"/>
          <w:color w:val="auto"/>
        </w:rPr>
        <w:t xml:space="preserve"> supply </w:t>
      </w:r>
      <w:r>
        <w:rPr>
          <w:rFonts w:ascii="Arial" w:cs="Arial" w:eastAsia="Arial" w:hAnsi="Arial"/>
          <w:sz w:val="19"/>
          <w:szCs w:val="19"/>
          <w:color w:val="auto"/>
        </w:rPr>
        <w:t>to</w:t>
      </w:r>
      <w:r>
        <w:rPr>
          <w:rFonts w:ascii="Arial" w:cs="Arial" w:eastAsia="Arial" w:hAnsi="Arial"/>
          <w:sz w:val="18"/>
          <w:szCs w:val="18"/>
          <w:color w:val="auto"/>
        </w:rPr>
        <w:t xml:space="preserve"> KKC </w:t>
      </w:r>
      <w:r>
        <w:rPr>
          <w:rFonts w:ascii="Arial" w:cs="Arial" w:eastAsia="Arial" w:hAnsi="Arial"/>
          <w:sz w:val="19"/>
          <w:szCs w:val="19"/>
          <w:color w:val="auto"/>
        </w:rPr>
        <w:t>the Lead</w:t>
      </w:r>
      <w:r>
        <w:rPr>
          <w:rFonts w:ascii="Arial" w:cs="Arial" w:eastAsia="Arial" w:hAnsi="Arial"/>
          <w:sz w:val="18"/>
          <w:szCs w:val="18"/>
          <w:color w:val="auto"/>
        </w:rPr>
        <w:t xml:space="preserve"> Licensed Product and </w:t>
      </w:r>
      <w:r>
        <w:rPr>
          <w:rFonts w:ascii="Arial" w:cs="Arial" w:eastAsia="Arial" w:hAnsi="Arial"/>
          <w:sz w:val="17"/>
          <w:szCs w:val="17"/>
          <w:color w:val="auto"/>
        </w:rPr>
        <w:t>placebos</w:t>
      </w:r>
      <w:r>
        <w:rPr>
          <w:rFonts w:ascii="Arial" w:cs="Arial" w:eastAsia="Arial" w:hAnsi="Arial"/>
          <w:sz w:val="18"/>
          <w:szCs w:val="18"/>
          <w:color w:val="auto"/>
        </w:rPr>
        <w:t xml:space="preserve"> </w:t>
      </w:r>
      <w:r>
        <w:rPr>
          <w:rFonts w:ascii="Arial" w:cs="Arial" w:eastAsia="Arial" w:hAnsi="Arial"/>
          <w:sz w:val="19"/>
          <w:szCs w:val="19"/>
          <w:color w:val="auto"/>
        </w:rPr>
        <w:t>that</w:t>
      </w:r>
      <w:r>
        <w:rPr>
          <w:rFonts w:ascii="Arial" w:cs="Arial" w:eastAsia="Arial" w:hAnsi="Arial"/>
          <w:sz w:val="18"/>
          <w:szCs w:val="18"/>
          <w:color w:val="auto"/>
        </w:rPr>
        <w:t xml:space="preserve"> </w:t>
      </w:r>
      <w:r>
        <w:rPr>
          <w:rFonts w:ascii="Arial" w:cs="Arial" w:eastAsia="Arial" w:hAnsi="Arial"/>
          <w:sz w:val="20"/>
          <w:szCs w:val="20"/>
          <w:color w:val="auto"/>
        </w:rPr>
        <w:t>are</w:t>
      </w:r>
      <w:r>
        <w:rPr>
          <w:rFonts w:ascii="Arial" w:cs="Arial" w:eastAsia="Arial" w:hAnsi="Arial"/>
          <w:sz w:val="18"/>
          <w:szCs w:val="18"/>
          <w:color w:val="auto"/>
        </w:rPr>
        <w:t xml:space="preserve"> manufactured for the US market </w:t>
      </w:r>
      <w:r>
        <w:rPr>
          <w:rFonts w:ascii="Arial" w:cs="Arial" w:eastAsia="Arial" w:hAnsi="Arial"/>
          <w:sz w:val="17"/>
          <w:szCs w:val="17"/>
          <w:color w:val="auto"/>
        </w:rPr>
        <w:t>in</w:t>
      </w:r>
      <w:r>
        <w:rPr>
          <w:rFonts w:ascii="Arial" w:cs="Arial" w:eastAsia="Arial" w:hAnsi="Arial"/>
          <w:sz w:val="18"/>
          <w:szCs w:val="18"/>
          <w:color w:val="auto"/>
        </w:rPr>
        <w:t xml:space="preserve"> </w:t>
      </w:r>
      <w:r>
        <w:rPr>
          <w:rFonts w:ascii="Arial" w:cs="Arial" w:eastAsia="Arial" w:hAnsi="Arial"/>
          <w:sz w:val="19"/>
          <w:szCs w:val="19"/>
          <w:color w:val="auto"/>
        </w:rPr>
        <w:t>order for</w:t>
      </w:r>
      <w:r>
        <w:rPr>
          <w:rFonts w:ascii="Arial" w:cs="Arial" w:eastAsia="Arial" w:hAnsi="Arial"/>
          <w:sz w:val="18"/>
          <w:szCs w:val="18"/>
          <w:color w:val="auto"/>
        </w:rPr>
        <w:t xml:space="preserve"> </w:t>
      </w:r>
      <w:r>
        <w:rPr>
          <w:rFonts w:ascii="Arial" w:cs="Arial" w:eastAsia="Arial" w:hAnsi="Arial"/>
          <w:sz w:val="17"/>
          <w:szCs w:val="17"/>
          <w:color w:val="auto"/>
        </w:rPr>
        <w:t>KKC</w:t>
      </w:r>
      <w:r>
        <w:rPr>
          <w:rFonts w:ascii="Arial" w:cs="Arial" w:eastAsia="Arial" w:hAnsi="Arial"/>
          <w:sz w:val="18"/>
          <w:szCs w:val="18"/>
          <w:color w:val="auto"/>
        </w:rPr>
        <w:t xml:space="preserve"> </w:t>
      </w:r>
      <w:r>
        <w:rPr>
          <w:rFonts w:ascii="Arial" w:cs="Arial" w:eastAsia="Arial" w:hAnsi="Arial"/>
          <w:sz w:val="19"/>
          <w:szCs w:val="19"/>
          <w:color w:val="auto"/>
        </w:rPr>
        <w:t>to conduct</w:t>
      </w:r>
      <w:r>
        <w:rPr>
          <w:rFonts w:ascii="Arial" w:cs="Arial" w:eastAsia="Arial" w:hAnsi="Arial"/>
          <w:sz w:val="18"/>
          <w:szCs w:val="18"/>
          <w:color w:val="auto"/>
        </w:rPr>
        <w:t xml:space="preserve"> the CMC </w:t>
      </w:r>
      <w:r>
        <w:rPr>
          <w:rFonts w:ascii="Arial" w:cs="Arial" w:eastAsia="Arial" w:hAnsi="Arial"/>
          <w:sz w:val="17"/>
          <w:szCs w:val="17"/>
          <w:color w:val="auto"/>
        </w:rPr>
        <w:t>Development</w:t>
      </w:r>
      <w:r>
        <w:rPr>
          <w:rFonts w:ascii="Arial" w:cs="Arial" w:eastAsia="Arial" w:hAnsi="Arial"/>
          <w:sz w:val="18"/>
          <w:szCs w:val="18"/>
          <w:color w:val="auto"/>
        </w:rPr>
        <w:t xml:space="preserve"> of the Lead Licensed </w:t>
      </w:r>
      <w:r>
        <w:rPr>
          <w:rFonts w:ascii="Arial" w:cs="Arial" w:eastAsia="Arial" w:hAnsi="Arial"/>
          <w:sz w:val="17"/>
          <w:szCs w:val="17"/>
          <w:color w:val="auto"/>
        </w:rPr>
        <w:t>Product and placebos</w:t>
      </w:r>
      <w:r>
        <w:rPr>
          <w:rFonts w:ascii="Arial" w:cs="Arial" w:eastAsia="Arial" w:hAnsi="Arial"/>
          <w:sz w:val="18"/>
          <w:szCs w:val="18"/>
          <w:color w:val="auto"/>
        </w:rPr>
        <w:t xml:space="preserve"> by </w:t>
      </w:r>
      <w:r>
        <w:rPr>
          <w:rFonts w:ascii="Arial" w:cs="Arial" w:eastAsia="Arial" w:hAnsi="Arial"/>
          <w:sz w:val="17"/>
          <w:szCs w:val="17"/>
          <w:color w:val="auto"/>
        </w:rPr>
        <w:t>KKC in</w:t>
      </w:r>
      <w:r>
        <w:rPr>
          <w:rFonts w:ascii="Arial" w:cs="Arial" w:eastAsia="Arial" w:hAnsi="Arial"/>
          <w:sz w:val="18"/>
          <w:szCs w:val="18"/>
          <w:color w:val="auto"/>
        </w:rPr>
        <w:t xml:space="preserve"> the </w:t>
      </w:r>
      <w:r>
        <w:rPr>
          <w:rFonts w:ascii="Arial" w:cs="Arial" w:eastAsia="Arial" w:hAnsi="Arial"/>
          <w:sz w:val="17"/>
          <w:szCs w:val="17"/>
          <w:color w:val="auto"/>
        </w:rPr>
        <w:t>Territory, the</w:t>
      </w:r>
      <w:r>
        <w:rPr>
          <w:rFonts w:ascii="Arial" w:cs="Arial" w:eastAsia="Arial" w:hAnsi="Arial"/>
          <w:sz w:val="18"/>
          <w:szCs w:val="18"/>
          <w:color w:val="auto"/>
        </w:rPr>
        <w:t xml:space="preserve"> </w:t>
      </w:r>
      <w:r>
        <w:rPr>
          <w:rFonts w:ascii="Arial" w:cs="Arial" w:eastAsia="Arial" w:hAnsi="Arial"/>
          <w:sz w:val="17"/>
          <w:szCs w:val="17"/>
          <w:color w:val="auto"/>
        </w:rPr>
        <w:t xml:space="preserve">Parties </w:t>
      </w:r>
      <w:r>
        <w:rPr>
          <w:rFonts w:ascii="Arial" w:cs="Arial" w:eastAsia="Arial" w:hAnsi="Arial"/>
          <w:sz w:val="18"/>
          <w:szCs w:val="18"/>
          <w:color w:val="auto"/>
        </w:rPr>
        <w:t>shall discuss KKC’s</w:t>
      </w:r>
      <w:r>
        <w:rPr>
          <w:rFonts w:ascii="Arial" w:cs="Arial" w:eastAsia="Arial" w:hAnsi="Arial"/>
          <w:sz w:val="17"/>
          <w:szCs w:val="17"/>
          <w:color w:val="auto"/>
        </w:rPr>
        <w:t xml:space="preserve"> request in good </w:t>
      </w:r>
      <w:r>
        <w:rPr>
          <w:rFonts w:ascii="Arial" w:cs="Arial" w:eastAsia="Arial" w:hAnsi="Arial"/>
          <w:sz w:val="18"/>
          <w:szCs w:val="18"/>
          <w:color w:val="auto"/>
        </w:rPr>
        <w:t>faith.</w:t>
      </w:r>
    </w:p>
    <w:p>
      <w:pPr>
        <w:spacing w:after="0" w:line="196" w:lineRule="exact"/>
        <w:rPr>
          <w:rFonts w:ascii="Arial" w:cs="Arial" w:eastAsia="Arial" w:hAnsi="Arial"/>
          <w:sz w:val="18"/>
          <w:szCs w:val="18"/>
          <w:color w:val="auto"/>
        </w:rPr>
      </w:pPr>
    </w:p>
    <w:p>
      <w:pPr>
        <w:ind w:right="480" w:firstLine="635"/>
        <w:spacing w:after="0" w:line="315" w:lineRule="auto"/>
        <w:tabs>
          <w:tab w:leader="none" w:pos="1197"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Amendment. In </w:t>
      </w:r>
      <w:r>
        <w:rPr>
          <w:rFonts w:ascii="Arial" w:cs="Arial" w:eastAsia="Arial" w:hAnsi="Arial"/>
          <w:sz w:val="15"/>
          <w:szCs w:val="15"/>
          <w:color w:val="auto"/>
        </w:rPr>
        <w:t>connection</w:t>
      </w:r>
      <w:r>
        <w:rPr>
          <w:rFonts w:ascii="Arial" w:cs="Arial" w:eastAsia="Arial" w:hAnsi="Arial"/>
          <w:sz w:val="17"/>
          <w:szCs w:val="17"/>
          <w:color w:val="auto"/>
        </w:rPr>
        <w:t xml:space="preserve"> with the foregoing, Exhibit F to the </w:t>
      </w:r>
      <w:r>
        <w:rPr>
          <w:rFonts w:ascii="Arial" w:cs="Arial" w:eastAsia="Arial" w:hAnsi="Arial"/>
          <w:sz w:val="15"/>
          <w:szCs w:val="15"/>
          <w:color w:val="auto"/>
        </w:rPr>
        <w:t>Original</w:t>
      </w:r>
      <w:r>
        <w:rPr>
          <w:rFonts w:ascii="Arial" w:cs="Arial" w:eastAsia="Arial" w:hAnsi="Arial"/>
          <w:sz w:val="17"/>
          <w:szCs w:val="17"/>
          <w:color w:val="auto"/>
        </w:rPr>
        <w:t xml:space="preserve"> </w:t>
      </w:r>
      <w:r>
        <w:rPr>
          <w:rFonts w:ascii="Arial" w:cs="Arial" w:eastAsia="Arial" w:hAnsi="Arial"/>
          <w:sz w:val="15"/>
          <w:szCs w:val="15"/>
          <w:color w:val="auto"/>
        </w:rPr>
        <w:t>Agreement</w:t>
      </w:r>
      <w:r>
        <w:rPr>
          <w:rFonts w:ascii="Arial" w:cs="Arial" w:eastAsia="Arial" w:hAnsi="Arial"/>
          <w:sz w:val="17"/>
          <w:szCs w:val="17"/>
          <w:color w:val="auto"/>
        </w:rPr>
        <w:t xml:space="preserve"> </w:t>
      </w:r>
      <w:r>
        <w:rPr>
          <w:rFonts w:ascii="Arial" w:cs="Arial" w:eastAsia="Arial" w:hAnsi="Arial"/>
          <w:sz w:val="15"/>
          <w:szCs w:val="15"/>
          <w:color w:val="auto"/>
        </w:rPr>
        <w:t>is</w:t>
      </w:r>
      <w:r>
        <w:rPr>
          <w:rFonts w:ascii="Arial" w:cs="Arial" w:eastAsia="Arial" w:hAnsi="Arial"/>
          <w:sz w:val="17"/>
          <w:szCs w:val="17"/>
          <w:color w:val="auto"/>
        </w:rPr>
        <w:t xml:space="preserve"> </w:t>
      </w:r>
      <w:r>
        <w:rPr>
          <w:rFonts w:ascii="Arial" w:cs="Arial" w:eastAsia="Arial" w:hAnsi="Arial"/>
          <w:sz w:val="15"/>
          <w:szCs w:val="15"/>
          <w:color w:val="auto"/>
        </w:rPr>
        <w:t>hereby</w:t>
      </w:r>
      <w:r>
        <w:rPr>
          <w:rFonts w:ascii="Arial" w:cs="Arial" w:eastAsia="Arial" w:hAnsi="Arial"/>
          <w:sz w:val="17"/>
          <w:szCs w:val="17"/>
          <w:color w:val="auto"/>
        </w:rPr>
        <w:t xml:space="preserve"> amended to delete </w:t>
      </w:r>
      <w:r>
        <w:rPr>
          <w:rFonts w:ascii="Arial" w:cs="Arial" w:eastAsia="Arial" w:hAnsi="Arial"/>
          <w:sz w:val="15"/>
          <w:szCs w:val="15"/>
          <w:color w:val="auto"/>
        </w:rPr>
        <w:t>the tables listed</w:t>
      </w:r>
      <w:r>
        <w:rPr>
          <w:rFonts w:ascii="Arial" w:cs="Arial" w:eastAsia="Arial" w:hAnsi="Arial"/>
          <w:sz w:val="17"/>
          <w:szCs w:val="17"/>
          <w:color w:val="auto"/>
        </w:rPr>
        <w:t xml:space="preserve"> </w:t>
      </w:r>
      <w:r>
        <w:rPr>
          <w:rFonts w:ascii="Arial" w:cs="Arial" w:eastAsia="Arial" w:hAnsi="Arial"/>
          <w:sz w:val="15"/>
          <w:szCs w:val="15"/>
          <w:color w:val="auto"/>
        </w:rPr>
        <w:t xml:space="preserve">under clauses (i)-(iii) and to </w:t>
      </w:r>
      <w:r>
        <w:rPr>
          <w:rFonts w:ascii="Arial" w:cs="Arial" w:eastAsia="Arial" w:hAnsi="Arial"/>
          <w:sz w:val="14"/>
          <w:szCs w:val="14"/>
          <w:color w:val="auto"/>
        </w:rPr>
        <w:t>insert</w:t>
      </w:r>
      <w:r>
        <w:rPr>
          <w:rFonts w:ascii="Arial" w:cs="Arial" w:eastAsia="Arial" w:hAnsi="Arial"/>
          <w:sz w:val="15"/>
          <w:szCs w:val="15"/>
          <w:color w:val="auto"/>
        </w:rPr>
        <w:t xml:space="preserve"> the following language in </w:t>
      </w:r>
      <w:r>
        <w:rPr>
          <w:rFonts w:ascii="Arial" w:cs="Arial" w:eastAsia="Arial" w:hAnsi="Arial"/>
          <w:sz w:val="16"/>
          <w:szCs w:val="16"/>
          <w:color w:val="auto"/>
        </w:rPr>
        <w:t>their</w:t>
      </w:r>
      <w:r>
        <w:rPr>
          <w:rFonts w:ascii="Arial" w:cs="Arial" w:eastAsia="Arial" w:hAnsi="Arial"/>
          <w:sz w:val="15"/>
          <w:szCs w:val="15"/>
          <w:color w:val="auto"/>
        </w:rPr>
        <w:t xml:space="preserve"> place: </w:t>
      </w:r>
      <w:r>
        <w:rPr>
          <w:rFonts w:ascii="Arial" w:cs="Arial" w:eastAsia="Arial" w:hAnsi="Arial"/>
          <w:sz w:val="16"/>
          <w:szCs w:val="16"/>
          <w:color w:val="auto"/>
        </w:rPr>
        <w:t>”As</w:t>
      </w:r>
      <w:r>
        <w:rPr>
          <w:rFonts w:ascii="Arial" w:cs="Arial" w:eastAsia="Arial" w:hAnsi="Arial"/>
          <w:sz w:val="15"/>
          <w:szCs w:val="15"/>
          <w:color w:val="auto"/>
        </w:rPr>
        <w:t xml:space="preserve"> </w:t>
      </w:r>
      <w:r>
        <w:rPr>
          <w:rFonts w:ascii="Arial" w:cs="Arial" w:eastAsia="Arial" w:hAnsi="Arial"/>
          <w:sz w:val="17"/>
          <w:szCs w:val="17"/>
          <w:color w:val="auto"/>
        </w:rPr>
        <w:t>set forth</w:t>
      </w:r>
      <w:r>
        <w:rPr>
          <w:rFonts w:ascii="Arial" w:cs="Arial" w:eastAsia="Arial" w:hAnsi="Arial"/>
          <w:sz w:val="15"/>
          <w:szCs w:val="15"/>
          <w:color w:val="auto"/>
        </w:rPr>
        <w:t xml:space="preserve"> in </w:t>
      </w:r>
      <w:r>
        <w:rPr>
          <w:rFonts w:ascii="Arial" w:cs="Arial" w:eastAsia="Arial" w:hAnsi="Arial"/>
          <w:sz w:val="16"/>
          <w:szCs w:val="16"/>
          <w:color w:val="auto"/>
        </w:rPr>
        <w:t>Exhibit C</w:t>
      </w:r>
      <w:r>
        <w:rPr>
          <w:rFonts w:ascii="Arial" w:cs="Arial" w:eastAsia="Arial" w:hAnsi="Arial"/>
          <w:sz w:val="15"/>
          <w:szCs w:val="15"/>
          <w:color w:val="auto"/>
        </w:rPr>
        <w:t xml:space="preserve"> </w:t>
      </w:r>
      <w:r>
        <w:rPr>
          <w:rFonts w:ascii="Arial" w:cs="Arial" w:eastAsia="Arial" w:hAnsi="Arial"/>
          <w:sz w:val="17"/>
          <w:szCs w:val="17"/>
          <w:color w:val="auto"/>
        </w:rPr>
        <w:t>to</w:t>
      </w:r>
      <w:r>
        <w:rPr>
          <w:rFonts w:ascii="Arial" w:cs="Arial" w:eastAsia="Arial" w:hAnsi="Arial"/>
          <w:sz w:val="15"/>
          <w:szCs w:val="15"/>
          <w:color w:val="auto"/>
        </w:rPr>
        <w:t xml:space="preserve"> </w:t>
      </w:r>
      <w:r>
        <w:rPr>
          <w:rFonts w:ascii="Arial" w:cs="Arial" w:eastAsia="Arial" w:hAnsi="Arial"/>
          <w:sz w:val="16"/>
          <w:szCs w:val="16"/>
          <w:color w:val="auto"/>
        </w:rPr>
        <w:t>the</w:t>
      </w:r>
      <w:r>
        <w:rPr>
          <w:rFonts w:ascii="Arial" w:cs="Arial" w:eastAsia="Arial" w:hAnsi="Arial"/>
          <w:sz w:val="15"/>
          <w:szCs w:val="15"/>
          <w:color w:val="auto"/>
        </w:rPr>
        <w:t xml:space="preserve"> MSA </w:t>
      </w:r>
      <w:r>
        <w:rPr>
          <w:rFonts w:ascii="Arial" w:cs="Arial" w:eastAsia="Arial" w:hAnsi="Arial"/>
          <w:sz w:val="16"/>
          <w:szCs w:val="16"/>
          <w:color w:val="auto"/>
        </w:rPr>
        <w:t>dated</w:t>
      </w:r>
      <w:r>
        <w:rPr>
          <w:rFonts w:ascii="Arial" w:cs="Arial" w:eastAsia="Arial" w:hAnsi="Arial"/>
          <w:sz w:val="15"/>
          <w:szCs w:val="15"/>
          <w:color w:val="auto"/>
        </w:rPr>
        <w:t xml:space="preserve"> April 9, 2018, </w:t>
      </w:r>
      <w:r>
        <w:rPr>
          <w:rFonts w:ascii="Arial" w:cs="Arial" w:eastAsia="Arial" w:hAnsi="Arial"/>
          <w:sz w:val="17"/>
          <w:szCs w:val="17"/>
          <w:color w:val="auto"/>
        </w:rPr>
        <w:t>as</w:t>
      </w:r>
      <w:r>
        <w:rPr>
          <w:rFonts w:ascii="Arial" w:cs="Arial" w:eastAsia="Arial" w:hAnsi="Arial"/>
          <w:sz w:val="15"/>
          <w:szCs w:val="15"/>
          <w:color w:val="auto"/>
        </w:rPr>
        <w:t xml:space="preserve"> </w:t>
      </w:r>
      <w:r>
        <w:rPr>
          <w:rFonts w:ascii="Arial" w:cs="Arial" w:eastAsia="Arial" w:hAnsi="Arial"/>
          <w:sz w:val="16"/>
          <w:szCs w:val="16"/>
          <w:color w:val="auto"/>
        </w:rPr>
        <w:t>amended."</w:t>
      </w:r>
    </w:p>
    <w:p>
      <w:pPr>
        <w:spacing w:after="0" w:line="57" w:lineRule="exact"/>
        <w:rPr>
          <w:rFonts w:ascii="Arial" w:cs="Arial" w:eastAsia="Arial" w:hAnsi="Arial"/>
          <w:sz w:val="17"/>
          <w:szCs w:val="17"/>
          <w:color w:val="auto"/>
        </w:rPr>
      </w:pPr>
    </w:p>
    <w:p>
      <w:pPr>
        <w:ind w:right="340" w:firstLine="630"/>
        <w:spacing w:after="0" w:line="239" w:lineRule="auto"/>
        <w:tabs>
          <w:tab w:leader="none" w:pos="1206" w:val="left"/>
        </w:tabs>
        <w:numPr>
          <w:ilvl w:val="1"/>
          <w:numId w:val="66"/>
        </w:numPr>
        <w:rPr>
          <w:rFonts w:ascii="Arial" w:cs="Arial" w:eastAsia="Arial" w:hAnsi="Arial"/>
          <w:sz w:val="19"/>
          <w:szCs w:val="19"/>
          <w:color w:val="auto"/>
        </w:rPr>
      </w:pPr>
      <w:r>
        <w:rPr>
          <w:rFonts w:ascii="Arial" w:cs="Arial" w:eastAsia="Arial" w:hAnsi="Arial"/>
          <w:sz w:val="20"/>
          <w:szCs w:val="20"/>
          <w:color w:val="auto"/>
        </w:rPr>
        <w:t xml:space="preserve">Commercial Product </w:t>
      </w:r>
      <w:r>
        <w:rPr>
          <w:rFonts w:ascii="Arial" w:cs="Arial" w:eastAsia="Arial" w:hAnsi="Arial"/>
          <w:sz w:val="18"/>
          <w:szCs w:val="18"/>
          <w:color w:val="auto"/>
        </w:rPr>
        <w:t>Supply. KKC</w:t>
      </w:r>
      <w:r>
        <w:rPr>
          <w:rFonts w:ascii="Arial" w:cs="Arial" w:eastAsia="Arial" w:hAnsi="Arial"/>
          <w:sz w:val="20"/>
          <w:szCs w:val="20"/>
          <w:color w:val="auto"/>
        </w:rPr>
        <w:t xml:space="preserve"> has elected to assume </w:t>
      </w:r>
      <w:r>
        <w:rPr>
          <w:rFonts w:ascii="Arial" w:cs="Arial" w:eastAsia="Arial" w:hAnsi="Arial"/>
          <w:sz w:val="18"/>
          <w:szCs w:val="18"/>
          <w:color w:val="auto"/>
        </w:rPr>
        <w:t>responsibility</w:t>
      </w:r>
      <w:r>
        <w:rPr>
          <w:rFonts w:ascii="Arial" w:cs="Arial" w:eastAsia="Arial" w:hAnsi="Arial"/>
          <w:sz w:val="20"/>
          <w:szCs w:val="20"/>
          <w:color w:val="auto"/>
        </w:rPr>
        <w:t xml:space="preserve"> for Manufacture </w:t>
      </w:r>
      <w:r>
        <w:rPr>
          <w:rFonts w:ascii="Arial" w:cs="Arial" w:eastAsia="Arial" w:hAnsi="Arial"/>
          <w:sz w:val="18"/>
          <w:szCs w:val="18"/>
          <w:color w:val="auto"/>
        </w:rPr>
        <w:t>of</w:t>
      </w:r>
      <w:r>
        <w:rPr>
          <w:rFonts w:ascii="Arial" w:cs="Arial" w:eastAsia="Arial" w:hAnsi="Arial"/>
          <w:sz w:val="20"/>
          <w:szCs w:val="20"/>
          <w:color w:val="auto"/>
        </w:rPr>
        <w:t xml:space="preserve"> Licensed </w:t>
      </w:r>
      <w:r>
        <w:rPr>
          <w:rFonts w:ascii="Arial" w:cs="Arial" w:eastAsia="Arial" w:hAnsi="Arial"/>
          <w:sz w:val="18"/>
          <w:szCs w:val="18"/>
          <w:color w:val="auto"/>
        </w:rPr>
        <w:t>Products and does</w:t>
      </w:r>
      <w:r>
        <w:rPr>
          <w:rFonts w:ascii="Arial" w:cs="Arial" w:eastAsia="Arial" w:hAnsi="Arial"/>
          <w:sz w:val="20"/>
          <w:szCs w:val="20"/>
          <w:color w:val="auto"/>
        </w:rPr>
        <w:t xml:space="preserve"> not desire </w:t>
      </w:r>
      <w:r>
        <w:rPr>
          <w:rFonts w:ascii="Arial" w:cs="Arial" w:eastAsia="Arial" w:hAnsi="Arial"/>
          <w:sz w:val="17"/>
          <w:szCs w:val="17"/>
          <w:color w:val="auto"/>
        </w:rPr>
        <w:t>Ardelyx</w:t>
      </w:r>
      <w:r>
        <w:rPr>
          <w:rFonts w:ascii="Arial" w:cs="Arial" w:eastAsia="Arial" w:hAnsi="Arial"/>
          <w:sz w:val="20"/>
          <w:szCs w:val="20"/>
          <w:color w:val="auto"/>
        </w:rPr>
        <w:t xml:space="preserve"> to </w:t>
      </w:r>
      <w:r>
        <w:rPr>
          <w:rFonts w:ascii="Arial" w:cs="Arial" w:eastAsia="Arial" w:hAnsi="Arial"/>
          <w:sz w:val="17"/>
          <w:szCs w:val="17"/>
          <w:color w:val="auto"/>
        </w:rPr>
        <w:t>provide Temporary</w:t>
      </w:r>
      <w:r>
        <w:rPr>
          <w:rFonts w:ascii="Arial" w:cs="Arial" w:eastAsia="Arial" w:hAnsi="Arial"/>
          <w:sz w:val="20"/>
          <w:szCs w:val="20"/>
          <w:color w:val="auto"/>
        </w:rPr>
        <w:t xml:space="preserve"> </w:t>
      </w:r>
      <w:r>
        <w:rPr>
          <w:rFonts w:ascii="Arial" w:cs="Arial" w:eastAsia="Arial" w:hAnsi="Arial"/>
          <w:sz w:val="18"/>
          <w:szCs w:val="18"/>
          <w:color w:val="auto"/>
        </w:rPr>
        <w:t>Commercial</w:t>
      </w:r>
      <w:r>
        <w:rPr>
          <w:rFonts w:ascii="Arial" w:cs="Arial" w:eastAsia="Arial" w:hAnsi="Arial"/>
          <w:sz w:val="20"/>
          <w:szCs w:val="20"/>
          <w:color w:val="auto"/>
        </w:rPr>
        <w:t xml:space="preserve"> Product </w:t>
      </w:r>
      <w:r>
        <w:rPr>
          <w:rFonts w:ascii="Arial" w:cs="Arial" w:eastAsia="Arial" w:hAnsi="Arial"/>
          <w:sz w:val="18"/>
          <w:szCs w:val="18"/>
          <w:color w:val="auto"/>
        </w:rPr>
        <w:t>Supply</w:t>
      </w:r>
      <w:r>
        <w:rPr>
          <w:rFonts w:ascii="Arial" w:cs="Arial" w:eastAsia="Arial" w:hAnsi="Arial"/>
          <w:sz w:val="20"/>
          <w:szCs w:val="20"/>
          <w:color w:val="auto"/>
        </w:rPr>
        <w:t xml:space="preserve"> </w:t>
      </w:r>
      <w:r>
        <w:rPr>
          <w:rFonts w:ascii="Arial" w:cs="Arial" w:eastAsia="Arial" w:hAnsi="Arial"/>
          <w:sz w:val="17"/>
          <w:szCs w:val="17"/>
          <w:color w:val="auto"/>
        </w:rPr>
        <w:t>pursuant</w:t>
      </w:r>
      <w:r>
        <w:rPr>
          <w:rFonts w:ascii="Arial" w:cs="Arial" w:eastAsia="Arial" w:hAnsi="Arial"/>
          <w:sz w:val="20"/>
          <w:szCs w:val="20"/>
          <w:color w:val="auto"/>
        </w:rPr>
        <w:t xml:space="preserve"> to </w:t>
      </w:r>
      <w:r>
        <w:rPr>
          <w:rFonts w:ascii="Arial" w:cs="Arial" w:eastAsia="Arial" w:hAnsi="Arial"/>
          <w:sz w:val="18"/>
          <w:szCs w:val="18"/>
          <w:u w:val="single" w:color="auto"/>
          <w:color w:val="auto"/>
        </w:rPr>
        <w:t>Section 5.01(b)</w:t>
      </w:r>
      <w:r>
        <w:rPr>
          <w:rFonts w:ascii="Arial" w:cs="Arial" w:eastAsia="Arial" w:hAnsi="Arial"/>
          <w:sz w:val="20"/>
          <w:szCs w:val="20"/>
          <w:color w:val="auto"/>
        </w:rPr>
        <w:t xml:space="preserve"> </w:t>
      </w:r>
      <w:r>
        <w:rPr>
          <w:rFonts w:ascii="Arial" w:cs="Arial" w:eastAsia="Arial" w:hAnsi="Arial"/>
          <w:sz w:val="18"/>
          <w:szCs w:val="18"/>
          <w:color w:val="auto"/>
        </w:rPr>
        <w:t>of the</w:t>
      </w:r>
      <w:r>
        <w:rPr>
          <w:rFonts w:ascii="Arial" w:cs="Arial" w:eastAsia="Arial" w:hAnsi="Arial"/>
          <w:sz w:val="20"/>
          <w:szCs w:val="20"/>
          <w:color w:val="auto"/>
        </w:rPr>
        <w:t xml:space="preserve"> </w:t>
      </w:r>
      <w:r>
        <w:rPr>
          <w:rFonts w:ascii="Arial" w:cs="Arial" w:eastAsia="Arial" w:hAnsi="Arial"/>
          <w:sz w:val="17"/>
          <w:szCs w:val="17"/>
          <w:color w:val="auto"/>
        </w:rPr>
        <w:t>Original</w:t>
      </w:r>
      <w:r>
        <w:rPr>
          <w:rFonts w:ascii="Arial" w:cs="Arial" w:eastAsia="Arial" w:hAnsi="Arial"/>
          <w:sz w:val="20"/>
          <w:szCs w:val="20"/>
          <w:color w:val="auto"/>
        </w:rPr>
        <w:t xml:space="preserve"> </w:t>
      </w:r>
      <w:r>
        <w:rPr>
          <w:rFonts w:ascii="Arial" w:cs="Arial" w:eastAsia="Arial" w:hAnsi="Arial"/>
          <w:sz w:val="17"/>
          <w:szCs w:val="17"/>
          <w:color w:val="auto"/>
        </w:rPr>
        <w:t>Agreement.</w:t>
      </w:r>
      <w:r>
        <w:rPr>
          <w:rFonts w:ascii="Arial" w:cs="Arial" w:eastAsia="Arial" w:hAnsi="Arial"/>
          <w:sz w:val="20"/>
          <w:szCs w:val="20"/>
          <w:color w:val="auto"/>
        </w:rPr>
        <w:t xml:space="preserve"> </w:t>
      </w:r>
      <w:r>
        <w:rPr>
          <w:rFonts w:ascii="Arial" w:cs="Arial" w:eastAsia="Arial" w:hAnsi="Arial"/>
          <w:sz w:val="18"/>
          <w:szCs w:val="18"/>
          <w:color w:val="auto"/>
        </w:rPr>
        <w:t>The Parties</w:t>
      </w:r>
      <w:r>
        <w:rPr>
          <w:rFonts w:ascii="Arial" w:cs="Arial" w:eastAsia="Arial" w:hAnsi="Arial"/>
          <w:sz w:val="20"/>
          <w:szCs w:val="20"/>
          <w:color w:val="auto"/>
        </w:rPr>
        <w:t xml:space="preserve"> therefore </w:t>
      </w:r>
      <w:r>
        <w:rPr>
          <w:rFonts w:ascii="Arial" w:cs="Arial" w:eastAsia="Arial" w:hAnsi="Arial"/>
          <w:sz w:val="18"/>
          <w:szCs w:val="18"/>
          <w:color w:val="auto"/>
        </w:rPr>
        <w:t xml:space="preserve">agree </w:t>
      </w:r>
      <w:r>
        <w:rPr>
          <w:rFonts w:ascii="Arial" w:cs="Arial" w:eastAsia="Arial" w:hAnsi="Arial"/>
          <w:sz w:val="19"/>
          <w:szCs w:val="19"/>
          <w:color w:val="auto"/>
        </w:rPr>
        <w:t>that:</w:t>
      </w:r>
      <w:r>
        <w:rPr>
          <w:rFonts w:ascii="Arial" w:cs="Arial" w:eastAsia="Arial" w:hAnsi="Arial"/>
          <w:sz w:val="18"/>
          <w:szCs w:val="18"/>
          <w:color w:val="auto"/>
        </w:rPr>
        <w:t xml:space="preserve"> (a) Ardelyx shall have </w:t>
      </w:r>
      <w:r>
        <w:rPr>
          <w:rFonts w:ascii="Arial" w:cs="Arial" w:eastAsia="Arial" w:hAnsi="Arial"/>
          <w:sz w:val="20"/>
          <w:szCs w:val="20"/>
          <w:color w:val="auto"/>
        </w:rPr>
        <w:t>no</w:t>
      </w:r>
      <w:r>
        <w:rPr>
          <w:rFonts w:ascii="Arial" w:cs="Arial" w:eastAsia="Arial" w:hAnsi="Arial"/>
          <w:sz w:val="18"/>
          <w:szCs w:val="18"/>
          <w:color w:val="auto"/>
        </w:rPr>
        <w:t xml:space="preserve"> </w:t>
      </w:r>
      <w:r>
        <w:rPr>
          <w:rFonts w:ascii="Arial" w:cs="Arial" w:eastAsia="Arial" w:hAnsi="Arial"/>
          <w:sz w:val="17"/>
          <w:szCs w:val="17"/>
          <w:color w:val="auto"/>
        </w:rPr>
        <w:t>obligation</w:t>
      </w:r>
      <w:r>
        <w:rPr>
          <w:rFonts w:ascii="Arial" w:cs="Arial" w:eastAsia="Arial" w:hAnsi="Arial"/>
          <w:sz w:val="18"/>
          <w:szCs w:val="18"/>
          <w:color w:val="auto"/>
        </w:rPr>
        <w:t xml:space="preserve"> to supply </w:t>
      </w:r>
      <w:r>
        <w:rPr>
          <w:rFonts w:ascii="Arial" w:cs="Arial" w:eastAsia="Arial" w:hAnsi="Arial"/>
          <w:sz w:val="17"/>
          <w:szCs w:val="17"/>
          <w:color w:val="auto"/>
        </w:rPr>
        <w:t>Temporary</w:t>
      </w:r>
      <w:r>
        <w:rPr>
          <w:rFonts w:ascii="Arial" w:cs="Arial" w:eastAsia="Arial" w:hAnsi="Arial"/>
          <w:sz w:val="18"/>
          <w:szCs w:val="18"/>
          <w:color w:val="auto"/>
        </w:rPr>
        <w:t xml:space="preserve"> </w:t>
      </w:r>
      <w:r>
        <w:rPr>
          <w:rFonts w:ascii="Arial" w:cs="Arial" w:eastAsia="Arial" w:hAnsi="Arial"/>
          <w:sz w:val="19"/>
          <w:szCs w:val="19"/>
          <w:color w:val="auto"/>
        </w:rPr>
        <w:t>Commercial</w:t>
      </w:r>
      <w:r>
        <w:rPr>
          <w:rFonts w:ascii="Arial" w:cs="Arial" w:eastAsia="Arial" w:hAnsi="Arial"/>
          <w:sz w:val="18"/>
          <w:szCs w:val="18"/>
          <w:color w:val="auto"/>
        </w:rPr>
        <w:t xml:space="preserve"> Product Supply, and (b) each </w:t>
      </w:r>
      <w:r>
        <w:rPr>
          <w:rFonts w:ascii="Arial" w:cs="Arial" w:eastAsia="Arial" w:hAnsi="Arial"/>
          <w:sz w:val="21"/>
          <w:szCs w:val="21"/>
          <w:color w:val="auto"/>
        </w:rPr>
        <w:t>occurrence</w:t>
      </w:r>
      <w:r>
        <w:rPr>
          <w:rFonts w:ascii="Arial" w:cs="Arial" w:eastAsia="Arial" w:hAnsi="Arial"/>
          <w:sz w:val="18"/>
          <w:szCs w:val="18"/>
          <w:color w:val="auto"/>
        </w:rPr>
        <w:t xml:space="preserve"> </w:t>
      </w:r>
      <w:r>
        <w:rPr>
          <w:rFonts w:ascii="Arial" w:cs="Arial" w:eastAsia="Arial" w:hAnsi="Arial"/>
          <w:sz w:val="19"/>
          <w:szCs w:val="19"/>
          <w:color w:val="auto"/>
        </w:rPr>
        <w:t>of</w:t>
      </w:r>
      <w:r>
        <w:rPr>
          <w:rFonts w:ascii="Arial" w:cs="Arial" w:eastAsia="Arial" w:hAnsi="Arial"/>
          <w:sz w:val="18"/>
          <w:szCs w:val="18"/>
          <w:color w:val="auto"/>
        </w:rPr>
        <w:t xml:space="preserve"> the term ”Temporary </w:t>
      </w:r>
      <w:r>
        <w:rPr>
          <w:rFonts w:ascii="Arial" w:cs="Arial" w:eastAsia="Arial" w:hAnsi="Arial"/>
          <w:sz w:val="17"/>
          <w:szCs w:val="17"/>
          <w:color w:val="auto"/>
        </w:rPr>
        <w:t>Commercial</w:t>
      </w:r>
      <w:r>
        <w:rPr>
          <w:rFonts w:ascii="Arial" w:cs="Arial" w:eastAsia="Arial" w:hAnsi="Arial"/>
          <w:sz w:val="18"/>
          <w:szCs w:val="18"/>
          <w:color w:val="auto"/>
        </w:rPr>
        <w:t xml:space="preserve"> Product Supply” throughout </w:t>
      </w:r>
      <w:r>
        <w:rPr>
          <w:rFonts w:ascii="Arial" w:cs="Arial" w:eastAsia="Arial" w:hAnsi="Arial"/>
          <w:sz w:val="17"/>
          <w:szCs w:val="17"/>
          <w:color w:val="auto"/>
        </w:rPr>
        <w:t>the Original Agreement is hereby omitted and surrounding language adjusted</w:t>
      </w:r>
      <w:r>
        <w:rPr>
          <w:rFonts w:ascii="Arial" w:cs="Arial" w:eastAsia="Arial" w:hAnsi="Arial"/>
          <w:sz w:val="18"/>
          <w:szCs w:val="18"/>
          <w:color w:val="auto"/>
        </w:rPr>
        <w:t xml:space="preserve"> </w:t>
      </w:r>
      <w:r>
        <w:rPr>
          <w:rFonts w:ascii="Arial" w:cs="Arial" w:eastAsia="Arial" w:hAnsi="Arial"/>
          <w:sz w:val="19"/>
          <w:szCs w:val="19"/>
          <w:color w:val="auto"/>
        </w:rPr>
        <w:t>to</w:t>
      </w:r>
      <w:r>
        <w:rPr>
          <w:rFonts w:ascii="Arial" w:cs="Arial" w:eastAsia="Arial" w:hAnsi="Arial"/>
          <w:sz w:val="18"/>
          <w:szCs w:val="18"/>
          <w:color w:val="auto"/>
        </w:rPr>
        <w:t xml:space="preserve"> reflect </w:t>
      </w:r>
      <w:r>
        <w:rPr>
          <w:rFonts w:ascii="Arial" w:cs="Arial" w:eastAsia="Arial" w:hAnsi="Arial"/>
          <w:sz w:val="17"/>
          <w:szCs w:val="17"/>
          <w:color w:val="auto"/>
        </w:rPr>
        <w:t>such</w:t>
      </w:r>
      <w:r>
        <w:rPr>
          <w:rFonts w:ascii="Arial" w:cs="Arial" w:eastAsia="Arial" w:hAnsi="Arial"/>
          <w:sz w:val="18"/>
          <w:szCs w:val="18"/>
          <w:color w:val="auto"/>
        </w:rPr>
        <w:t xml:space="preserve"> </w:t>
      </w:r>
      <w:r>
        <w:rPr>
          <w:rFonts w:ascii="Arial" w:cs="Arial" w:eastAsia="Arial" w:hAnsi="Arial"/>
          <w:sz w:val="17"/>
          <w:szCs w:val="17"/>
          <w:color w:val="auto"/>
        </w:rPr>
        <w:t>omission.</w:t>
      </w:r>
    </w:p>
    <w:p>
      <w:pPr>
        <w:spacing w:after="0" w:line="228" w:lineRule="exact"/>
        <w:rPr>
          <w:rFonts w:ascii="Arial" w:cs="Arial" w:eastAsia="Arial" w:hAnsi="Arial"/>
          <w:sz w:val="19"/>
          <w:szCs w:val="19"/>
          <w:color w:val="auto"/>
        </w:rPr>
      </w:pPr>
    </w:p>
    <w:p>
      <w:pPr>
        <w:jc w:val="both"/>
        <w:ind w:right="380" w:firstLine="625"/>
        <w:spacing w:after="0" w:line="252" w:lineRule="auto"/>
        <w:tabs>
          <w:tab w:leader="none" w:pos="1194" w:val="left"/>
        </w:tabs>
        <w:numPr>
          <w:ilvl w:val="0"/>
          <w:numId w:val="67"/>
        </w:numPr>
        <w:rPr>
          <w:rFonts w:ascii="Arial" w:cs="Arial" w:eastAsia="Arial" w:hAnsi="Arial"/>
          <w:sz w:val="18"/>
          <w:szCs w:val="18"/>
          <w:color w:val="auto"/>
        </w:rPr>
      </w:pPr>
      <w:r>
        <w:rPr>
          <w:rFonts w:ascii="Arial" w:cs="Arial" w:eastAsia="Arial" w:hAnsi="Arial"/>
          <w:sz w:val="19"/>
          <w:szCs w:val="19"/>
          <w:color w:val="auto"/>
        </w:rPr>
        <w:t xml:space="preserve">Third </w:t>
      </w:r>
      <w:r>
        <w:rPr>
          <w:rFonts w:ascii="Arial" w:cs="Arial" w:eastAsia="Arial" w:hAnsi="Arial"/>
          <w:sz w:val="17"/>
          <w:szCs w:val="17"/>
          <w:color w:val="auto"/>
        </w:rPr>
        <w:t>Party</w:t>
      </w:r>
      <w:r>
        <w:rPr>
          <w:rFonts w:ascii="Arial" w:cs="Arial" w:eastAsia="Arial" w:hAnsi="Arial"/>
          <w:sz w:val="19"/>
          <w:szCs w:val="19"/>
          <w:color w:val="auto"/>
        </w:rPr>
        <w:t xml:space="preserve"> Manufacturers. The Parties acknowledge that Ardelyx may </w:t>
      </w:r>
      <w:r>
        <w:rPr>
          <w:rFonts w:ascii="Arial" w:cs="Arial" w:eastAsia="Arial" w:hAnsi="Arial"/>
          <w:sz w:val="17"/>
          <w:szCs w:val="17"/>
          <w:color w:val="auto"/>
        </w:rPr>
        <w:t>in</w:t>
      </w:r>
      <w:r>
        <w:rPr>
          <w:rFonts w:ascii="Arial" w:cs="Arial" w:eastAsia="Arial" w:hAnsi="Arial"/>
          <w:sz w:val="19"/>
          <w:szCs w:val="19"/>
          <w:color w:val="auto"/>
        </w:rPr>
        <w:t xml:space="preserve"> its discretion </w:t>
      </w:r>
      <w:r>
        <w:rPr>
          <w:rFonts w:ascii="Arial" w:cs="Arial" w:eastAsia="Arial" w:hAnsi="Arial"/>
          <w:sz w:val="17"/>
          <w:szCs w:val="17"/>
          <w:color w:val="auto"/>
        </w:rPr>
        <w:t>provide</w:t>
      </w:r>
      <w:r>
        <w:rPr>
          <w:rFonts w:ascii="Arial" w:cs="Arial" w:eastAsia="Arial" w:hAnsi="Arial"/>
          <w:sz w:val="19"/>
          <w:szCs w:val="19"/>
          <w:color w:val="auto"/>
        </w:rPr>
        <w:t xml:space="preserve"> assistance to </w:t>
      </w:r>
      <w:r>
        <w:rPr>
          <w:rFonts w:ascii="Arial" w:cs="Arial" w:eastAsia="Arial" w:hAnsi="Arial"/>
          <w:sz w:val="17"/>
          <w:szCs w:val="17"/>
          <w:color w:val="auto"/>
        </w:rPr>
        <w:t>KKC in engaging</w:t>
      </w:r>
      <w:r>
        <w:rPr>
          <w:rFonts w:ascii="Arial" w:cs="Arial" w:eastAsia="Arial" w:hAnsi="Arial"/>
          <w:sz w:val="19"/>
          <w:szCs w:val="19"/>
          <w:color w:val="auto"/>
        </w:rPr>
        <w:t xml:space="preserve"> one or </w:t>
      </w:r>
      <w:r>
        <w:rPr>
          <w:rFonts w:ascii="Arial" w:cs="Arial" w:eastAsia="Arial" w:hAnsi="Arial"/>
          <w:sz w:val="20"/>
          <w:szCs w:val="20"/>
          <w:color w:val="auto"/>
        </w:rPr>
        <w:t>more</w:t>
      </w:r>
      <w:r>
        <w:rPr>
          <w:rFonts w:ascii="Arial" w:cs="Arial" w:eastAsia="Arial" w:hAnsi="Arial"/>
          <w:sz w:val="19"/>
          <w:szCs w:val="19"/>
          <w:color w:val="auto"/>
        </w:rPr>
        <w:t xml:space="preserve"> of </w:t>
      </w:r>
      <w:r>
        <w:rPr>
          <w:rFonts w:ascii="Arial" w:cs="Arial" w:eastAsia="Arial" w:hAnsi="Arial"/>
          <w:sz w:val="18"/>
          <w:szCs w:val="18"/>
          <w:color w:val="auto"/>
        </w:rPr>
        <w:t>Ardelyx’s Third</w:t>
      </w:r>
      <w:r>
        <w:rPr>
          <w:rFonts w:ascii="Arial" w:cs="Arial" w:eastAsia="Arial" w:hAnsi="Arial"/>
          <w:sz w:val="19"/>
          <w:szCs w:val="19"/>
          <w:color w:val="auto"/>
        </w:rPr>
        <w:t xml:space="preserve"> </w:t>
      </w:r>
      <w:r>
        <w:rPr>
          <w:rFonts w:ascii="Arial" w:cs="Arial" w:eastAsia="Arial" w:hAnsi="Arial"/>
          <w:sz w:val="17"/>
          <w:szCs w:val="17"/>
          <w:color w:val="auto"/>
        </w:rPr>
        <w:t>Party</w:t>
      </w:r>
      <w:r>
        <w:rPr>
          <w:rFonts w:ascii="Arial" w:cs="Arial" w:eastAsia="Arial" w:hAnsi="Arial"/>
          <w:sz w:val="19"/>
          <w:szCs w:val="19"/>
          <w:color w:val="auto"/>
        </w:rPr>
        <w:t xml:space="preserve"> contractors </w:t>
      </w:r>
      <w:r>
        <w:rPr>
          <w:rFonts w:ascii="Arial" w:cs="Arial" w:eastAsia="Arial" w:hAnsi="Arial"/>
          <w:sz w:val="17"/>
          <w:szCs w:val="17"/>
          <w:color w:val="auto"/>
        </w:rPr>
        <w:t>(each</w:t>
      </w:r>
      <w:r>
        <w:rPr>
          <w:rFonts w:ascii="Arial" w:cs="Arial" w:eastAsia="Arial" w:hAnsi="Arial"/>
          <w:sz w:val="19"/>
          <w:szCs w:val="19"/>
          <w:color w:val="auto"/>
        </w:rPr>
        <w:t xml:space="preserve"> </w:t>
      </w:r>
      <w:r>
        <w:rPr>
          <w:rFonts w:ascii="Arial" w:cs="Arial" w:eastAsia="Arial" w:hAnsi="Arial"/>
          <w:sz w:val="20"/>
          <w:szCs w:val="20"/>
          <w:color w:val="auto"/>
        </w:rPr>
        <w:t>an "Ardelyx</w:t>
      </w:r>
      <w:r>
        <w:rPr>
          <w:rFonts w:ascii="Arial" w:cs="Arial" w:eastAsia="Arial" w:hAnsi="Arial"/>
          <w:sz w:val="19"/>
          <w:szCs w:val="19"/>
          <w:color w:val="auto"/>
        </w:rPr>
        <w:t xml:space="preserve"> </w:t>
      </w:r>
      <w:r>
        <w:rPr>
          <w:rFonts w:ascii="Arial" w:cs="Arial" w:eastAsia="Arial" w:hAnsi="Arial"/>
          <w:sz w:val="18"/>
          <w:szCs w:val="18"/>
          <w:color w:val="auto"/>
        </w:rPr>
        <w:t>Contractor”)</w:t>
      </w:r>
      <w:r>
        <w:rPr>
          <w:rFonts w:ascii="Arial" w:cs="Arial" w:eastAsia="Arial" w:hAnsi="Arial"/>
          <w:sz w:val="19"/>
          <w:szCs w:val="19"/>
          <w:color w:val="auto"/>
        </w:rPr>
        <w:t xml:space="preserve"> to </w:t>
      </w:r>
      <w:r>
        <w:rPr>
          <w:rFonts w:ascii="Arial" w:cs="Arial" w:eastAsia="Arial" w:hAnsi="Arial"/>
          <w:sz w:val="18"/>
          <w:szCs w:val="18"/>
          <w:color w:val="auto"/>
        </w:rPr>
        <w:t>perform Manufacturing activities</w:t>
      </w:r>
      <w:r>
        <w:rPr>
          <w:rFonts w:ascii="Arial" w:cs="Arial" w:eastAsia="Arial" w:hAnsi="Arial"/>
          <w:sz w:val="19"/>
          <w:szCs w:val="19"/>
          <w:color w:val="auto"/>
        </w:rPr>
        <w:t xml:space="preserve"> for </w:t>
      </w:r>
      <w:r>
        <w:rPr>
          <w:rFonts w:ascii="Arial" w:cs="Arial" w:eastAsia="Arial" w:hAnsi="Arial"/>
          <w:sz w:val="18"/>
          <w:szCs w:val="18"/>
          <w:color w:val="auto"/>
        </w:rPr>
        <w:t>KCC. The Parties</w:t>
      </w:r>
      <w:r>
        <w:rPr>
          <w:rFonts w:ascii="Arial" w:cs="Arial" w:eastAsia="Arial" w:hAnsi="Arial"/>
          <w:sz w:val="19"/>
          <w:szCs w:val="19"/>
          <w:color w:val="auto"/>
        </w:rPr>
        <w:t xml:space="preserve"> </w:t>
      </w:r>
      <w:r>
        <w:rPr>
          <w:rFonts w:ascii="Arial" w:cs="Arial" w:eastAsia="Arial" w:hAnsi="Arial"/>
          <w:sz w:val="18"/>
          <w:szCs w:val="18"/>
          <w:color w:val="auto"/>
        </w:rPr>
        <w:t xml:space="preserve">agree </w:t>
      </w:r>
      <w:r>
        <w:rPr>
          <w:rFonts w:ascii="Arial" w:cs="Arial" w:eastAsia="Arial" w:hAnsi="Arial"/>
          <w:sz w:val="17"/>
          <w:szCs w:val="17"/>
          <w:color w:val="auto"/>
        </w:rPr>
        <w:t>that,</w:t>
      </w:r>
      <w:r>
        <w:rPr>
          <w:rFonts w:ascii="Arial" w:cs="Arial" w:eastAsia="Arial" w:hAnsi="Arial"/>
          <w:sz w:val="18"/>
          <w:szCs w:val="18"/>
          <w:color w:val="auto"/>
        </w:rPr>
        <w:t xml:space="preserve"> in </w:t>
      </w:r>
      <w:r>
        <w:rPr>
          <w:rFonts w:ascii="Arial" w:cs="Arial" w:eastAsia="Arial" w:hAnsi="Arial"/>
          <w:sz w:val="17"/>
          <w:szCs w:val="17"/>
          <w:color w:val="auto"/>
        </w:rPr>
        <w:t>connection</w:t>
      </w:r>
      <w:r>
        <w:rPr>
          <w:rFonts w:ascii="Arial" w:cs="Arial" w:eastAsia="Arial" w:hAnsi="Arial"/>
          <w:sz w:val="18"/>
          <w:szCs w:val="18"/>
          <w:color w:val="auto"/>
        </w:rPr>
        <w:t xml:space="preserve"> with KKC’s </w:t>
      </w:r>
      <w:r>
        <w:rPr>
          <w:rFonts w:ascii="Arial" w:cs="Arial" w:eastAsia="Arial" w:hAnsi="Arial"/>
          <w:sz w:val="17"/>
          <w:szCs w:val="17"/>
          <w:color w:val="auto"/>
        </w:rPr>
        <w:t>engagement</w:t>
      </w:r>
      <w:r>
        <w:rPr>
          <w:rFonts w:ascii="Arial" w:cs="Arial" w:eastAsia="Arial" w:hAnsi="Arial"/>
          <w:sz w:val="18"/>
          <w:szCs w:val="18"/>
          <w:color w:val="auto"/>
        </w:rPr>
        <w:t xml:space="preserve"> </w:t>
      </w:r>
      <w:r>
        <w:rPr>
          <w:rFonts w:ascii="Arial" w:cs="Arial" w:eastAsia="Arial" w:hAnsi="Arial"/>
          <w:sz w:val="19"/>
          <w:szCs w:val="19"/>
          <w:color w:val="auto"/>
        </w:rPr>
        <w:t>of</w:t>
      </w:r>
      <w:r>
        <w:rPr>
          <w:rFonts w:ascii="Arial" w:cs="Arial" w:eastAsia="Arial" w:hAnsi="Arial"/>
          <w:sz w:val="18"/>
          <w:szCs w:val="18"/>
          <w:color w:val="auto"/>
        </w:rPr>
        <w:t xml:space="preserve"> any </w:t>
      </w:r>
      <w:r>
        <w:rPr>
          <w:rFonts w:ascii="Arial" w:cs="Arial" w:eastAsia="Arial" w:hAnsi="Arial"/>
          <w:sz w:val="17"/>
          <w:szCs w:val="17"/>
          <w:color w:val="auto"/>
        </w:rPr>
        <w:t>Ardelyx Contractor,</w:t>
      </w:r>
      <w:r>
        <w:rPr>
          <w:rFonts w:ascii="Arial" w:cs="Arial" w:eastAsia="Arial" w:hAnsi="Arial"/>
          <w:sz w:val="18"/>
          <w:szCs w:val="18"/>
          <w:color w:val="auto"/>
        </w:rPr>
        <w:t xml:space="preserve"> each </w:t>
      </w:r>
      <w:r>
        <w:rPr>
          <w:rFonts w:ascii="Arial" w:cs="Arial" w:eastAsia="Arial" w:hAnsi="Arial"/>
          <w:sz w:val="17"/>
          <w:szCs w:val="17"/>
          <w:color w:val="auto"/>
        </w:rPr>
        <w:t>Party</w:t>
      </w:r>
      <w:r>
        <w:rPr>
          <w:rFonts w:ascii="Arial" w:cs="Arial" w:eastAsia="Arial" w:hAnsi="Arial"/>
          <w:sz w:val="18"/>
          <w:szCs w:val="18"/>
          <w:color w:val="auto"/>
        </w:rPr>
        <w:t xml:space="preserve"> will </w:t>
      </w:r>
      <w:r>
        <w:rPr>
          <w:rFonts w:ascii="Arial" w:cs="Arial" w:eastAsia="Arial" w:hAnsi="Arial"/>
          <w:sz w:val="20"/>
          <w:szCs w:val="20"/>
          <w:color w:val="auto"/>
        </w:rPr>
        <w:t>use</w:t>
      </w:r>
      <w:r>
        <w:rPr>
          <w:rFonts w:ascii="Arial" w:cs="Arial" w:eastAsia="Arial" w:hAnsi="Arial"/>
          <w:sz w:val="18"/>
          <w:szCs w:val="18"/>
          <w:color w:val="auto"/>
        </w:rPr>
        <w:t xml:space="preserve"> </w:t>
      </w:r>
      <w:r>
        <w:rPr>
          <w:rFonts w:ascii="Arial" w:cs="Arial" w:eastAsia="Arial" w:hAnsi="Arial"/>
          <w:sz w:val="17"/>
          <w:szCs w:val="17"/>
          <w:color w:val="auto"/>
        </w:rPr>
        <w:t>Commercially</w:t>
      </w:r>
      <w:r>
        <w:rPr>
          <w:rFonts w:ascii="Arial" w:cs="Arial" w:eastAsia="Arial" w:hAnsi="Arial"/>
          <w:sz w:val="18"/>
          <w:szCs w:val="18"/>
          <w:color w:val="auto"/>
        </w:rPr>
        <w:t xml:space="preserve"> Reasonable Efforts </w:t>
      </w:r>
      <w:r>
        <w:rPr>
          <w:rFonts w:ascii="Arial" w:cs="Arial" w:eastAsia="Arial" w:hAnsi="Arial"/>
          <w:sz w:val="19"/>
          <w:szCs w:val="19"/>
          <w:color w:val="auto"/>
        </w:rPr>
        <w:t>to</w:t>
      </w:r>
      <w:r>
        <w:rPr>
          <w:rFonts w:ascii="Arial" w:cs="Arial" w:eastAsia="Arial" w:hAnsi="Arial"/>
          <w:sz w:val="18"/>
          <w:szCs w:val="18"/>
          <w:color w:val="auto"/>
        </w:rPr>
        <w:t xml:space="preserve"> avoid </w:t>
      </w:r>
      <w:r>
        <w:rPr>
          <w:rFonts w:ascii="Arial" w:cs="Arial" w:eastAsia="Arial" w:hAnsi="Arial"/>
          <w:sz w:val="19"/>
          <w:szCs w:val="19"/>
          <w:color w:val="auto"/>
        </w:rPr>
        <w:t xml:space="preserve">interference </w:t>
      </w:r>
      <w:r>
        <w:rPr>
          <w:rFonts w:ascii="Arial" w:cs="Arial" w:eastAsia="Arial" w:hAnsi="Arial"/>
          <w:sz w:val="18"/>
          <w:szCs w:val="18"/>
          <w:color w:val="auto"/>
        </w:rPr>
        <w:t>with the</w:t>
      </w:r>
      <w:r>
        <w:rPr>
          <w:rFonts w:ascii="Arial" w:cs="Arial" w:eastAsia="Arial" w:hAnsi="Arial"/>
          <w:sz w:val="19"/>
          <w:szCs w:val="19"/>
          <w:color w:val="auto"/>
        </w:rPr>
        <w:t xml:space="preserve"> other </w:t>
      </w:r>
      <w:r>
        <w:rPr>
          <w:rFonts w:ascii="Arial" w:cs="Arial" w:eastAsia="Arial" w:hAnsi="Arial"/>
          <w:sz w:val="18"/>
          <w:szCs w:val="18"/>
          <w:color w:val="auto"/>
        </w:rPr>
        <w:t>Party‘s</w:t>
      </w:r>
      <w:r>
        <w:rPr>
          <w:rFonts w:ascii="Arial" w:cs="Arial" w:eastAsia="Arial" w:hAnsi="Arial"/>
          <w:sz w:val="19"/>
          <w:szCs w:val="19"/>
          <w:color w:val="auto"/>
        </w:rPr>
        <w:t xml:space="preserve"> </w:t>
      </w:r>
      <w:r>
        <w:rPr>
          <w:rFonts w:ascii="Arial" w:cs="Arial" w:eastAsia="Arial" w:hAnsi="Arial"/>
          <w:sz w:val="20"/>
          <w:szCs w:val="20"/>
          <w:color w:val="auto"/>
        </w:rPr>
        <w:t>own</w:t>
      </w:r>
      <w:r>
        <w:rPr>
          <w:rFonts w:ascii="Arial" w:cs="Arial" w:eastAsia="Arial" w:hAnsi="Arial"/>
          <w:sz w:val="19"/>
          <w:szCs w:val="19"/>
          <w:color w:val="auto"/>
        </w:rPr>
        <w:t xml:space="preserve"> </w:t>
      </w:r>
      <w:r>
        <w:rPr>
          <w:rFonts w:ascii="Arial" w:cs="Arial" w:eastAsia="Arial" w:hAnsi="Arial"/>
          <w:sz w:val="17"/>
          <w:szCs w:val="17"/>
          <w:color w:val="auto"/>
        </w:rPr>
        <w:t>supply requirements</w:t>
      </w:r>
      <w:r>
        <w:rPr>
          <w:rFonts w:ascii="Arial" w:cs="Arial" w:eastAsia="Arial" w:hAnsi="Arial"/>
          <w:sz w:val="19"/>
          <w:szCs w:val="19"/>
          <w:color w:val="auto"/>
        </w:rPr>
        <w:t xml:space="preserve"> </w:t>
      </w:r>
      <w:r>
        <w:rPr>
          <w:rFonts w:ascii="Arial" w:cs="Arial" w:eastAsia="Arial" w:hAnsi="Arial"/>
          <w:sz w:val="18"/>
          <w:szCs w:val="18"/>
          <w:color w:val="auto"/>
        </w:rPr>
        <w:t>from</w:t>
      </w:r>
      <w:r>
        <w:rPr>
          <w:rFonts w:ascii="Arial" w:cs="Arial" w:eastAsia="Arial" w:hAnsi="Arial"/>
          <w:sz w:val="19"/>
          <w:szCs w:val="19"/>
          <w:color w:val="auto"/>
        </w:rPr>
        <w:t xml:space="preserve"> such </w:t>
      </w:r>
      <w:r>
        <w:rPr>
          <w:rFonts w:ascii="Arial" w:cs="Arial" w:eastAsia="Arial" w:hAnsi="Arial"/>
          <w:sz w:val="18"/>
          <w:szCs w:val="18"/>
          <w:color w:val="auto"/>
        </w:rPr>
        <w:t>Ardelyx Contractor.</w:t>
      </w:r>
    </w:p>
    <w:p>
      <w:pPr>
        <w:sectPr>
          <w:pgSz w:w="11900" w:h="16838" w:orient="portrait"/>
          <w:cols w:equalWidth="0" w:num="1">
            <w:col w:w="11140"/>
          </w:cols>
          <w:pgMar w:left="420" w:top="104"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right="100"/>
        <w:spacing w:after="0" w:line="305" w:lineRule="auto"/>
        <w:rPr>
          <w:sz w:val="20"/>
          <w:szCs w:val="20"/>
          <w:color w:val="auto"/>
        </w:rPr>
      </w:pPr>
      <w:r>
        <w:rPr>
          <w:rFonts w:ascii="Arial" w:cs="Arial" w:eastAsia="Arial" w:hAnsi="Arial"/>
          <w:sz w:val="19"/>
          <w:szCs w:val="19"/>
          <w:color w:val="auto"/>
        </w:rPr>
        <w:t xml:space="preserve">Without </w:t>
      </w:r>
      <w:r>
        <w:rPr>
          <w:rFonts w:ascii="Arial" w:cs="Arial" w:eastAsia="Arial" w:hAnsi="Arial"/>
          <w:sz w:val="17"/>
          <w:szCs w:val="17"/>
          <w:color w:val="auto"/>
        </w:rPr>
        <w:t>limiting</w:t>
      </w:r>
      <w:r>
        <w:rPr>
          <w:rFonts w:ascii="Arial" w:cs="Arial" w:eastAsia="Arial" w:hAnsi="Arial"/>
          <w:sz w:val="19"/>
          <w:szCs w:val="19"/>
          <w:color w:val="auto"/>
        </w:rPr>
        <w:t xml:space="preserve"> the foregoing, KKC shall obtain Ardelyx’s </w:t>
      </w:r>
      <w:r>
        <w:rPr>
          <w:rFonts w:ascii="Arial" w:cs="Arial" w:eastAsia="Arial" w:hAnsi="Arial"/>
          <w:sz w:val="17"/>
          <w:szCs w:val="17"/>
          <w:color w:val="auto"/>
        </w:rPr>
        <w:t>prior</w:t>
      </w:r>
      <w:r>
        <w:rPr>
          <w:rFonts w:ascii="Arial" w:cs="Arial" w:eastAsia="Arial" w:hAnsi="Arial"/>
          <w:sz w:val="19"/>
          <w:szCs w:val="19"/>
          <w:color w:val="auto"/>
        </w:rPr>
        <w:t xml:space="preserve"> written approval for any Manufacturing </w:t>
      </w:r>
      <w:r>
        <w:rPr>
          <w:rFonts w:ascii="Arial" w:cs="Arial" w:eastAsia="Arial" w:hAnsi="Arial"/>
          <w:sz w:val="17"/>
          <w:szCs w:val="17"/>
          <w:color w:val="auto"/>
        </w:rPr>
        <w:t>services</w:t>
      </w:r>
      <w:r>
        <w:rPr>
          <w:rFonts w:ascii="Arial" w:cs="Arial" w:eastAsia="Arial" w:hAnsi="Arial"/>
          <w:sz w:val="19"/>
          <w:szCs w:val="19"/>
          <w:color w:val="auto"/>
        </w:rPr>
        <w:t xml:space="preserve"> to be scheduled in the same physical location being used for </w:t>
      </w:r>
      <w:r>
        <w:rPr>
          <w:rFonts w:ascii="Arial" w:cs="Arial" w:eastAsia="Arial" w:hAnsi="Arial"/>
          <w:sz w:val="20"/>
          <w:szCs w:val="20"/>
          <w:color w:val="auto"/>
        </w:rPr>
        <w:t>Manufacture</w:t>
      </w:r>
      <w:r>
        <w:rPr>
          <w:rFonts w:ascii="Arial" w:cs="Arial" w:eastAsia="Arial" w:hAnsi="Arial"/>
          <w:sz w:val="19"/>
          <w:szCs w:val="19"/>
          <w:color w:val="auto"/>
        </w:rPr>
        <w:t xml:space="preserve"> of Ardelyx’s </w:t>
      </w:r>
      <w:r>
        <w:rPr>
          <w:rFonts w:ascii="Arial" w:cs="Arial" w:eastAsia="Arial" w:hAnsi="Arial"/>
          <w:sz w:val="20"/>
          <w:szCs w:val="20"/>
          <w:color w:val="auto"/>
        </w:rPr>
        <w:t>own</w:t>
      </w:r>
      <w:r>
        <w:rPr>
          <w:rFonts w:ascii="Arial" w:cs="Arial" w:eastAsia="Arial" w:hAnsi="Arial"/>
          <w:sz w:val="19"/>
          <w:szCs w:val="19"/>
          <w:color w:val="auto"/>
        </w:rPr>
        <w:t xml:space="preserve"> </w:t>
      </w:r>
      <w:r>
        <w:rPr>
          <w:rFonts w:ascii="Arial" w:cs="Arial" w:eastAsia="Arial" w:hAnsi="Arial"/>
          <w:sz w:val="17"/>
          <w:szCs w:val="17"/>
          <w:color w:val="auto"/>
        </w:rPr>
        <w:t>supply</w:t>
      </w:r>
      <w:r>
        <w:rPr>
          <w:rFonts w:ascii="Arial" w:cs="Arial" w:eastAsia="Arial" w:hAnsi="Arial"/>
          <w:sz w:val="19"/>
          <w:szCs w:val="19"/>
          <w:color w:val="auto"/>
        </w:rPr>
        <w:t xml:space="preserve"> </w:t>
      </w:r>
      <w:r>
        <w:rPr>
          <w:rFonts w:ascii="Arial" w:cs="Arial" w:eastAsia="Arial" w:hAnsi="Arial"/>
          <w:sz w:val="17"/>
          <w:szCs w:val="17"/>
          <w:color w:val="auto"/>
        </w:rPr>
        <w:t>requirements by</w:t>
      </w:r>
      <w:r>
        <w:rPr>
          <w:rFonts w:ascii="Arial" w:cs="Arial" w:eastAsia="Arial" w:hAnsi="Arial"/>
          <w:sz w:val="19"/>
          <w:szCs w:val="19"/>
          <w:color w:val="auto"/>
        </w:rPr>
        <w:t xml:space="preserve"> </w:t>
      </w:r>
      <w:r>
        <w:rPr>
          <w:rFonts w:ascii="Arial" w:cs="Arial" w:eastAsia="Arial" w:hAnsi="Arial"/>
          <w:sz w:val="17"/>
          <w:szCs w:val="17"/>
          <w:color w:val="auto"/>
        </w:rPr>
        <w:t>such Ardelyx Contractor.</w:t>
      </w:r>
    </w:p>
    <w:p>
      <w:pPr>
        <w:spacing w:after="0" w:line="163" w:lineRule="exact"/>
        <w:rPr>
          <w:sz w:val="20"/>
          <w:szCs w:val="20"/>
          <w:color w:val="auto"/>
        </w:rPr>
      </w:pPr>
    </w:p>
    <w:p>
      <w:pPr>
        <w:ind w:left="120" w:firstLine="652"/>
        <w:spacing w:after="0" w:line="262" w:lineRule="auto"/>
        <w:tabs>
          <w:tab w:leader="none" w:pos="1289" w:val="left"/>
        </w:tabs>
        <w:numPr>
          <w:ilvl w:val="0"/>
          <w:numId w:val="68"/>
        </w:numPr>
        <w:rPr>
          <w:rFonts w:ascii="Arial" w:cs="Arial" w:eastAsia="Arial" w:hAnsi="Arial"/>
          <w:sz w:val="18"/>
          <w:szCs w:val="18"/>
          <w:color w:val="auto"/>
        </w:rPr>
      </w:pPr>
      <w:r>
        <w:rPr>
          <w:rFonts w:ascii="Arial" w:cs="Arial" w:eastAsia="Arial" w:hAnsi="Arial"/>
          <w:sz w:val="19"/>
          <w:szCs w:val="19"/>
          <w:color w:val="auto"/>
        </w:rPr>
        <w:t xml:space="preserve">Miscellaneous. This Amendment shall be </w:t>
      </w:r>
      <w:r>
        <w:rPr>
          <w:rFonts w:ascii="Arial" w:cs="Arial" w:eastAsia="Arial" w:hAnsi="Arial"/>
          <w:sz w:val="17"/>
          <w:szCs w:val="17"/>
          <w:color w:val="auto"/>
        </w:rPr>
        <w:t>governed</w:t>
      </w:r>
      <w:r>
        <w:rPr>
          <w:rFonts w:ascii="Arial" w:cs="Arial" w:eastAsia="Arial" w:hAnsi="Arial"/>
          <w:sz w:val="19"/>
          <w:szCs w:val="19"/>
          <w:color w:val="auto"/>
        </w:rPr>
        <w:t xml:space="preserve"> </w:t>
      </w:r>
      <w:r>
        <w:rPr>
          <w:rFonts w:ascii="Arial" w:cs="Arial" w:eastAsia="Arial" w:hAnsi="Arial"/>
          <w:sz w:val="17"/>
          <w:szCs w:val="17"/>
          <w:color w:val="auto"/>
        </w:rPr>
        <w:t>and construed in</w:t>
      </w:r>
      <w:r>
        <w:rPr>
          <w:rFonts w:ascii="Arial" w:cs="Arial" w:eastAsia="Arial" w:hAnsi="Arial"/>
          <w:sz w:val="19"/>
          <w:szCs w:val="19"/>
          <w:color w:val="auto"/>
        </w:rPr>
        <w:t xml:space="preserve"> accordance with </w:t>
      </w:r>
      <w:r>
        <w:rPr>
          <w:rFonts w:ascii="Arial" w:cs="Arial" w:eastAsia="Arial" w:hAnsi="Arial"/>
          <w:sz w:val="20"/>
          <w:szCs w:val="20"/>
          <w:color w:val="auto"/>
        </w:rPr>
        <w:t>the laws of</w:t>
      </w:r>
      <w:r>
        <w:rPr>
          <w:rFonts w:ascii="Arial" w:cs="Arial" w:eastAsia="Arial" w:hAnsi="Arial"/>
          <w:sz w:val="19"/>
          <w:szCs w:val="19"/>
          <w:color w:val="auto"/>
        </w:rPr>
        <w:t xml:space="preserve"> the State of New York, without </w:t>
      </w:r>
      <w:r>
        <w:rPr>
          <w:rFonts w:ascii="Arial" w:cs="Arial" w:eastAsia="Arial" w:hAnsi="Arial"/>
          <w:sz w:val="17"/>
          <w:szCs w:val="17"/>
          <w:color w:val="auto"/>
        </w:rPr>
        <w:t xml:space="preserve">giving </w:t>
      </w:r>
      <w:r>
        <w:rPr>
          <w:rFonts w:ascii="Arial" w:cs="Arial" w:eastAsia="Arial" w:hAnsi="Arial"/>
          <w:sz w:val="19"/>
          <w:szCs w:val="19"/>
          <w:color w:val="auto"/>
        </w:rPr>
        <w:t>effect to</w:t>
      </w:r>
      <w:r>
        <w:rPr>
          <w:rFonts w:ascii="Arial" w:cs="Arial" w:eastAsia="Arial" w:hAnsi="Arial"/>
          <w:sz w:val="17"/>
          <w:szCs w:val="17"/>
          <w:color w:val="auto"/>
        </w:rPr>
        <w:t xml:space="preserve"> </w:t>
      </w:r>
      <w:r>
        <w:rPr>
          <w:rFonts w:ascii="Arial" w:cs="Arial" w:eastAsia="Arial" w:hAnsi="Arial"/>
          <w:sz w:val="18"/>
          <w:szCs w:val="18"/>
          <w:color w:val="auto"/>
        </w:rPr>
        <w:t>the</w:t>
      </w:r>
      <w:r>
        <w:rPr>
          <w:rFonts w:ascii="Arial" w:cs="Arial" w:eastAsia="Arial" w:hAnsi="Arial"/>
          <w:sz w:val="17"/>
          <w:szCs w:val="17"/>
          <w:color w:val="auto"/>
        </w:rPr>
        <w:t xml:space="preserve"> </w:t>
      </w:r>
      <w:r>
        <w:rPr>
          <w:rFonts w:ascii="Arial" w:cs="Arial" w:eastAsia="Arial" w:hAnsi="Arial"/>
          <w:sz w:val="19"/>
          <w:szCs w:val="19"/>
          <w:color w:val="auto"/>
        </w:rPr>
        <w:t>conflict</w:t>
      </w:r>
      <w:r>
        <w:rPr>
          <w:rFonts w:ascii="Arial" w:cs="Arial" w:eastAsia="Arial" w:hAnsi="Arial"/>
          <w:sz w:val="17"/>
          <w:szCs w:val="17"/>
          <w:color w:val="auto"/>
        </w:rPr>
        <w:t xml:space="preserve"> </w:t>
      </w:r>
      <w:r>
        <w:rPr>
          <w:rFonts w:ascii="Arial" w:cs="Arial" w:eastAsia="Arial" w:hAnsi="Arial"/>
          <w:sz w:val="18"/>
          <w:szCs w:val="18"/>
          <w:color w:val="auto"/>
        </w:rPr>
        <w:t>of law</w:t>
      </w:r>
      <w:r>
        <w:rPr>
          <w:rFonts w:ascii="Arial" w:cs="Arial" w:eastAsia="Arial" w:hAnsi="Arial"/>
          <w:sz w:val="17"/>
          <w:szCs w:val="17"/>
          <w:color w:val="auto"/>
        </w:rPr>
        <w:t xml:space="preserve"> </w:t>
      </w:r>
      <w:r>
        <w:rPr>
          <w:rFonts w:ascii="Arial" w:cs="Arial" w:eastAsia="Arial" w:hAnsi="Arial"/>
          <w:sz w:val="19"/>
          <w:szCs w:val="19"/>
          <w:color w:val="auto"/>
        </w:rPr>
        <w:t>rules thereof that would</w:t>
      </w:r>
      <w:r>
        <w:rPr>
          <w:rFonts w:ascii="Arial" w:cs="Arial" w:eastAsia="Arial" w:hAnsi="Arial"/>
          <w:sz w:val="17"/>
          <w:szCs w:val="17"/>
          <w:color w:val="auto"/>
        </w:rPr>
        <w:t xml:space="preserve"> require </w:t>
      </w:r>
      <w:r>
        <w:rPr>
          <w:rFonts w:ascii="Arial" w:cs="Arial" w:eastAsia="Arial" w:hAnsi="Arial"/>
          <w:sz w:val="18"/>
          <w:szCs w:val="18"/>
          <w:color w:val="auto"/>
        </w:rPr>
        <w:t>application of the laws</w:t>
      </w:r>
      <w:r>
        <w:rPr>
          <w:rFonts w:ascii="Arial" w:cs="Arial" w:eastAsia="Arial" w:hAnsi="Arial"/>
          <w:sz w:val="17"/>
          <w:szCs w:val="17"/>
          <w:color w:val="auto"/>
        </w:rPr>
        <w:t xml:space="preserve"> </w:t>
      </w:r>
      <w:r>
        <w:rPr>
          <w:rFonts w:ascii="Arial" w:cs="Arial" w:eastAsia="Arial" w:hAnsi="Arial"/>
          <w:sz w:val="19"/>
          <w:szCs w:val="19"/>
          <w:color w:val="auto"/>
        </w:rPr>
        <w:t>of any</w:t>
      </w:r>
      <w:r>
        <w:rPr>
          <w:rFonts w:ascii="Arial" w:cs="Arial" w:eastAsia="Arial" w:hAnsi="Arial"/>
          <w:sz w:val="17"/>
          <w:szCs w:val="17"/>
          <w:color w:val="auto"/>
        </w:rPr>
        <w:t xml:space="preserve"> </w:t>
      </w:r>
      <w:r>
        <w:rPr>
          <w:rFonts w:ascii="Arial" w:cs="Arial" w:eastAsia="Arial" w:hAnsi="Arial"/>
          <w:sz w:val="18"/>
          <w:szCs w:val="18"/>
          <w:color w:val="auto"/>
        </w:rPr>
        <w:t>other jurisdiction. Except</w:t>
      </w:r>
      <w:r>
        <w:rPr>
          <w:rFonts w:ascii="Arial" w:cs="Arial" w:eastAsia="Arial" w:hAnsi="Arial"/>
          <w:sz w:val="17"/>
          <w:szCs w:val="17"/>
          <w:color w:val="auto"/>
        </w:rPr>
        <w:t xml:space="preserve"> </w:t>
      </w:r>
      <w:r>
        <w:rPr>
          <w:rFonts w:ascii="Arial" w:cs="Arial" w:eastAsia="Arial" w:hAnsi="Arial"/>
          <w:sz w:val="20"/>
          <w:szCs w:val="20"/>
          <w:color w:val="auto"/>
        </w:rPr>
        <w:t>as</w:t>
      </w:r>
      <w:r>
        <w:rPr>
          <w:rFonts w:ascii="Arial" w:cs="Arial" w:eastAsia="Arial" w:hAnsi="Arial"/>
          <w:sz w:val="17"/>
          <w:szCs w:val="17"/>
          <w:color w:val="auto"/>
        </w:rPr>
        <w:t xml:space="preserve"> </w:t>
      </w:r>
      <w:r>
        <w:rPr>
          <w:rFonts w:ascii="Arial" w:cs="Arial" w:eastAsia="Arial" w:hAnsi="Arial"/>
          <w:sz w:val="18"/>
          <w:szCs w:val="18"/>
          <w:color w:val="auto"/>
        </w:rPr>
        <w:t>expressly</w:t>
      </w:r>
      <w:r>
        <w:rPr>
          <w:rFonts w:ascii="Arial" w:cs="Arial" w:eastAsia="Arial" w:hAnsi="Arial"/>
          <w:sz w:val="17"/>
          <w:szCs w:val="17"/>
          <w:color w:val="auto"/>
        </w:rPr>
        <w:t xml:space="preserve"> </w:t>
      </w:r>
      <w:r>
        <w:rPr>
          <w:rFonts w:ascii="Arial" w:cs="Arial" w:eastAsia="Arial" w:hAnsi="Arial"/>
          <w:sz w:val="18"/>
          <w:szCs w:val="18"/>
          <w:color w:val="auto"/>
        </w:rPr>
        <w:t xml:space="preserve">amended hereby, </w:t>
      </w:r>
      <w:r>
        <w:rPr>
          <w:rFonts w:ascii="Arial" w:cs="Arial" w:eastAsia="Arial" w:hAnsi="Arial"/>
          <w:sz w:val="19"/>
          <w:szCs w:val="19"/>
          <w:color w:val="auto"/>
        </w:rPr>
        <w:t>the</w:t>
      </w:r>
      <w:r>
        <w:rPr>
          <w:rFonts w:ascii="Arial" w:cs="Arial" w:eastAsia="Arial" w:hAnsi="Arial"/>
          <w:sz w:val="18"/>
          <w:szCs w:val="18"/>
          <w:color w:val="auto"/>
        </w:rPr>
        <w:t xml:space="preserve"> Original </w:t>
      </w:r>
      <w:r>
        <w:rPr>
          <w:rFonts w:ascii="Arial" w:cs="Arial" w:eastAsia="Arial" w:hAnsi="Arial"/>
          <w:sz w:val="17"/>
          <w:szCs w:val="17"/>
          <w:color w:val="auto"/>
        </w:rPr>
        <w:t>Agreement remains</w:t>
      </w:r>
      <w:r>
        <w:rPr>
          <w:rFonts w:ascii="Arial" w:cs="Arial" w:eastAsia="Arial" w:hAnsi="Arial"/>
          <w:sz w:val="18"/>
          <w:szCs w:val="18"/>
          <w:color w:val="auto"/>
        </w:rPr>
        <w:t xml:space="preserve"> unchanged and </w:t>
      </w:r>
      <w:r>
        <w:rPr>
          <w:rFonts w:ascii="Arial" w:cs="Arial" w:eastAsia="Arial" w:hAnsi="Arial"/>
          <w:sz w:val="17"/>
          <w:szCs w:val="17"/>
          <w:color w:val="auto"/>
        </w:rPr>
        <w:t>in</w:t>
      </w:r>
      <w:r>
        <w:rPr>
          <w:rFonts w:ascii="Arial" w:cs="Arial" w:eastAsia="Arial" w:hAnsi="Arial"/>
          <w:sz w:val="18"/>
          <w:szCs w:val="18"/>
          <w:color w:val="auto"/>
        </w:rPr>
        <w:t xml:space="preserve"> </w:t>
      </w:r>
      <w:r>
        <w:rPr>
          <w:rFonts w:ascii="Arial" w:cs="Arial" w:eastAsia="Arial" w:hAnsi="Arial"/>
          <w:sz w:val="19"/>
          <w:szCs w:val="19"/>
          <w:color w:val="auto"/>
        </w:rPr>
        <w:t>full force</w:t>
      </w:r>
      <w:r>
        <w:rPr>
          <w:rFonts w:ascii="Arial" w:cs="Arial" w:eastAsia="Arial" w:hAnsi="Arial"/>
          <w:sz w:val="18"/>
          <w:szCs w:val="18"/>
          <w:color w:val="auto"/>
        </w:rPr>
        <w:t xml:space="preserve"> and </w:t>
      </w:r>
      <w:r>
        <w:rPr>
          <w:rFonts w:ascii="Arial" w:cs="Arial" w:eastAsia="Arial" w:hAnsi="Arial"/>
          <w:sz w:val="19"/>
          <w:szCs w:val="19"/>
          <w:color w:val="auto"/>
        </w:rPr>
        <w:t>effect. The</w:t>
      </w:r>
      <w:r>
        <w:rPr>
          <w:rFonts w:ascii="Arial" w:cs="Arial" w:eastAsia="Arial" w:hAnsi="Arial"/>
          <w:sz w:val="18"/>
          <w:szCs w:val="18"/>
          <w:color w:val="auto"/>
        </w:rPr>
        <w:t xml:space="preserve"> Original </w:t>
      </w:r>
      <w:r>
        <w:rPr>
          <w:rFonts w:ascii="Arial" w:cs="Arial" w:eastAsia="Arial" w:hAnsi="Arial"/>
          <w:sz w:val="17"/>
          <w:szCs w:val="17"/>
          <w:color w:val="auto"/>
        </w:rPr>
        <w:t>Agreement together</w:t>
      </w:r>
      <w:r>
        <w:rPr>
          <w:rFonts w:ascii="Arial" w:cs="Arial" w:eastAsia="Arial" w:hAnsi="Arial"/>
          <w:sz w:val="18"/>
          <w:szCs w:val="18"/>
          <w:color w:val="auto"/>
        </w:rPr>
        <w:t xml:space="preserve"> with this Amendment shall be </w:t>
      </w:r>
      <w:r>
        <w:rPr>
          <w:rFonts w:ascii="Arial" w:cs="Arial" w:eastAsia="Arial" w:hAnsi="Arial"/>
          <w:sz w:val="17"/>
          <w:szCs w:val="17"/>
          <w:color w:val="auto"/>
        </w:rPr>
        <w:t>construed</w:t>
      </w:r>
      <w:r>
        <w:rPr>
          <w:rFonts w:ascii="Arial" w:cs="Arial" w:eastAsia="Arial" w:hAnsi="Arial"/>
          <w:sz w:val="18"/>
          <w:szCs w:val="18"/>
          <w:color w:val="auto"/>
        </w:rPr>
        <w:t xml:space="preserve"> </w:t>
      </w:r>
      <w:r>
        <w:rPr>
          <w:rFonts w:ascii="Arial" w:cs="Arial" w:eastAsia="Arial" w:hAnsi="Arial"/>
          <w:sz w:val="19"/>
          <w:szCs w:val="19"/>
          <w:color w:val="auto"/>
        </w:rPr>
        <w:t>as a</w:t>
      </w:r>
      <w:r>
        <w:rPr>
          <w:rFonts w:ascii="Arial" w:cs="Arial" w:eastAsia="Arial" w:hAnsi="Arial"/>
          <w:sz w:val="18"/>
          <w:szCs w:val="18"/>
          <w:color w:val="auto"/>
        </w:rPr>
        <w:t xml:space="preserve"> </w:t>
      </w:r>
      <w:r>
        <w:rPr>
          <w:rFonts w:ascii="Arial" w:cs="Arial" w:eastAsia="Arial" w:hAnsi="Arial"/>
          <w:sz w:val="17"/>
          <w:szCs w:val="17"/>
          <w:color w:val="auto"/>
        </w:rPr>
        <w:t>single instrument. This Amendment may</w:t>
      </w:r>
      <w:r>
        <w:rPr>
          <w:rFonts w:ascii="Arial" w:cs="Arial" w:eastAsia="Arial" w:hAnsi="Arial"/>
          <w:sz w:val="18"/>
          <w:szCs w:val="18"/>
          <w:color w:val="auto"/>
        </w:rPr>
        <w:t xml:space="preserve"> be executed </w:t>
      </w:r>
      <w:r>
        <w:rPr>
          <w:rFonts w:ascii="Arial" w:cs="Arial" w:eastAsia="Arial" w:hAnsi="Arial"/>
          <w:sz w:val="17"/>
          <w:szCs w:val="17"/>
          <w:color w:val="auto"/>
        </w:rPr>
        <w:t>in</w:t>
      </w:r>
      <w:r>
        <w:rPr>
          <w:rFonts w:ascii="Arial" w:cs="Arial" w:eastAsia="Arial" w:hAnsi="Arial"/>
          <w:sz w:val="18"/>
          <w:szCs w:val="18"/>
          <w:color w:val="auto"/>
        </w:rPr>
        <w:t xml:space="preserve"> </w:t>
      </w:r>
      <w:r>
        <w:rPr>
          <w:rFonts w:ascii="Arial" w:cs="Arial" w:eastAsia="Arial" w:hAnsi="Arial"/>
          <w:sz w:val="19"/>
          <w:szCs w:val="19"/>
          <w:color w:val="auto"/>
        </w:rPr>
        <w:t>any</w:t>
      </w:r>
      <w:r>
        <w:rPr>
          <w:rFonts w:ascii="Arial" w:cs="Arial" w:eastAsia="Arial" w:hAnsi="Arial"/>
          <w:sz w:val="18"/>
          <w:szCs w:val="18"/>
          <w:color w:val="auto"/>
        </w:rPr>
        <w:t xml:space="preserve"> number </w:t>
      </w:r>
      <w:r>
        <w:rPr>
          <w:rFonts w:ascii="Arial" w:cs="Arial" w:eastAsia="Arial" w:hAnsi="Arial"/>
          <w:sz w:val="20"/>
          <w:szCs w:val="20"/>
          <w:color w:val="auto"/>
        </w:rPr>
        <w:t>of</w:t>
      </w:r>
      <w:r>
        <w:rPr>
          <w:rFonts w:ascii="Arial" w:cs="Arial" w:eastAsia="Arial" w:hAnsi="Arial"/>
          <w:sz w:val="18"/>
          <w:szCs w:val="18"/>
          <w:color w:val="auto"/>
        </w:rPr>
        <w:t xml:space="preserve"> counterparts, </w:t>
      </w:r>
      <w:r>
        <w:rPr>
          <w:rFonts w:ascii="Arial" w:cs="Arial" w:eastAsia="Arial" w:hAnsi="Arial"/>
          <w:sz w:val="19"/>
          <w:szCs w:val="19"/>
          <w:color w:val="auto"/>
        </w:rPr>
        <w:t>each of</w:t>
      </w:r>
      <w:r>
        <w:rPr>
          <w:rFonts w:ascii="Arial" w:cs="Arial" w:eastAsia="Arial" w:hAnsi="Arial"/>
          <w:sz w:val="18"/>
          <w:szCs w:val="18"/>
          <w:color w:val="auto"/>
        </w:rPr>
        <w:t xml:space="preserve"> which shall </w:t>
      </w:r>
      <w:r>
        <w:rPr>
          <w:rFonts w:ascii="Arial" w:cs="Arial" w:eastAsia="Arial" w:hAnsi="Arial"/>
          <w:sz w:val="19"/>
          <w:szCs w:val="19"/>
          <w:color w:val="auto"/>
        </w:rPr>
        <w:t>be deemed</w:t>
      </w:r>
      <w:r>
        <w:rPr>
          <w:rFonts w:ascii="Arial" w:cs="Arial" w:eastAsia="Arial" w:hAnsi="Arial"/>
          <w:sz w:val="18"/>
          <w:szCs w:val="18"/>
          <w:color w:val="auto"/>
        </w:rPr>
        <w:t xml:space="preserve"> </w:t>
      </w:r>
      <w:r>
        <w:rPr>
          <w:rFonts w:ascii="Arial" w:cs="Arial" w:eastAsia="Arial" w:hAnsi="Arial"/>
          <w:sz w:val="20"/>
          <w:szCs w:val="20"/>
          <w:color w:val="auto"/>
        </w:rPr>
        <w:t>an</w:t>
      </w:r>
      <w:r>
        <w:rPr>
          <w:rFonts w:ascii="Arial" w:cs="Arial" w:eastAsia="Arial" w:hAnsi="Arial"/>
          <w:sz w:val="18"/>
          <w:szCs w:val="18"/>
          <w:color w:val="auto"/>
        </w:rPr>
        <w:t xml:space="preserve"> </w:t>
      </w:r>
      <w:r>
        <w:rPr>
          <w:rFonts w:ascii="Arial" w:cs="Arial" w:eastAsia="Arial" w:hAnsi="Arial"/>
          <w:sz w:val="17"/>
          <w:szCs w:val="17"/>
          <w:color w:val="auto"/>
        </w:rPr>
        <w:t xml:space="preserve">original </w:t>
      </w:r>
      <w:r>
        <w:rPr>
          <w:rFonts w:ascii="Arial" w:cs="Arial" w:eastAsia="Arial" w:hAnsi="Arial"/>
          <w:sz w:val="18"/>
          <w:szCs w:val="18"/>
          <w:color w:val="auto"/>
        </w:rPr>
        <w:t>and all of which taken together shall be deemed</w:t>
      </w:r>
      <w:r>
        <w:rPr>
          <w:rFonts w:ascii="Arial" w:cs="Arial" w:eastAsia="Arial" w:hAnsi="Arial"/>
          <w:sz w:val="17"/>
          <w:szCs w:val="17"/>
          <w:color w:val="auto"/>
        </w:rPr>
        <w:t xml:space="preserve"> </w:t>
      </w:r>
      <w:r>
        <w:rPr>
          <w:rFonts w:ascii="Arial" w:cs="Arial" w:eastAsia="Arial" w:hAnsi="Arial"/>
          <w:sz w:val="19"/>
          <w:szCs w:val="19"/>
          <w:color w:val="auto"/>
        </w:rPr>
        <w:t>to</w:t>
      </w:r>
      <w:r>
        <w:rPr>
          <w:rFonts w:ascii="Arial" w:cs="Arial" w:eastAsia="Arial" w:hAnsi="Arial"/>
          <w:sz w:val="17"/>
          <w:szCs w:val="17"/>
          <w:color w:val="auto"/>
        </w:rPr>
        <w:t xml:space="preserve"> constitute </w:t>
      </w:r>
      <w:r>
        <w:rPr>
          <w:rFonts w:ascii="Arial" w:cs="Arial" w:eastAsia="Arial" w:hAnsi="Arial"/>
          <w:sz w:val="20"/>
          <w:szCs w:val="20"/>
          <w:color w:val="auto"/>
        </w:rPr>
        <w:t>one</w:t>
      </w:r>
      <w:r>
        <w:rPr>
          <w:rFonts w:ascii="Arial" w:cs="Arial" w:eastAsia="Arial" w:hAnsi="Arial"/>
          <w:sz w:val="17"/>
          <w:szCs w:val="17"/>
          <w:color w:val="auto"/>
        </w:rPr>
        <w:t xml:space="preserve"> and </w:t>
      </w:r>
      <w:r>
        <w:rPr>
          <w:rFonts w:ascii="Arial" w:cs="Arial" w:eastAsia="Arial" w:hAnsi="Arial"/>
          <w:sz w:val="18"/>
          <w:szCs w:val="18"/>
          <w:color w:val="auto"/>
        </w:rPr>
        <w:t>the</w:t>
      </w:r>
      <w:r>
        <w:rPr>
          <w:rFonts w:ascii="Arial" w:cs="Arial" w:eastAsia="Arial" w:hAnsi="Arial"/>
          <w:sz w:val="17"/>
          <w:szCs w:val="17"/>
          <w:color w:val="auto"/>
        </w:rPr>
        <w:t xml:space="preserve"> </w:t>
      </w:r>
      <w:r>
        <w:rPr>
          <w:rFonts w:ascii="Arial" w:cs="Arial" w:eastAsia="Arial" w:hAnsi="Arial"/>
          <w:sz w:val="20"/>
          <w:szCs w:val="20"/>
          <w:color w:val="auto"/>
        </w:rPr>
        <w:t>same</w:t>
      </w:r>
      <w:r>
        <w:rPr>
          <w:rFonts w:ascii="Arial" w:cs="Arial" w:eastAsia="Arial" w:hAnsi="Arial"/>
          <w:sz w:val="17"/>
          <w:szCs w:val="17"/>
          <w:color w:val="auto"/>
        </w:rPr>
        <w:t xml:space="preserve"> instrument.</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301" w:lineRule="exact"/>
        <w:rPr>
          <w:sz w:val="20"/>
          <w:szCs w:val="20"/>
          <w:color w:val="auto"/>
        </w:rPr>
      </w:pPr>
    </w:p>
    <w:p>
      <w:pPr>
        <w:ind w:left="140" w:right="2940" w:firstLine="633"/>
        <w:spacing w:after="0" w:line="291" w:lineRule="auto"/>
        <w:rPr>
          <w:sz w:val="20"/>
          <w:szCs w:val="20"/>
          <w:color w:val="auto"/>
        </w:rPr>
      </w:pPr>
      <w:r>
        <w:rPr>
          <w:rFonts w:ascii="Arial" w:cs="Arial" w:eastAsia="Arial" w:hAnsi="Arial"/>
          <w:sz w:val="17"/>
          <w:szCs w:val="17"/>
          <w:color w:val="auto"/>
        </w:rPr>
        <w:t xml:space="preserve">IN WITNESS WHEREOF, </w:t>
      </w:r>
      <w:r>
        <w:rPr>
          <w:rFonts w:ascii="Arial" w:cs="Arial" w:eastAsia="Arial" w:hAnsi="Arial"/>
          <w:sz w:val="18"/>
          <w:szCs w:val="18"/>
          <w:color w:val="auto"/>
        </w:rPr>
        <w:t>the</w:t>
      </w:r>
      <w:r>
        <w:rPr>
          <w:rFonts w:ascii="Arial" w:cs="Arial" w:eastAsia="Arial" w:hAnsi="Arial"/>
          <w:sz w:val="17"/>
          <w:szCs w:val="17"/>
          <w:color w:val="auto"/>
        </w:rPr>
        <w:t xml:space="preserve"> Parties </w:t>
      </w:r>
      <w:r>
        <w:rPr>
          <w:rFonts w:ascii="Arial" w:cs="Arial" w:eastAsia="Arial" w:hAnsi="Arial"/>
          <w:sz w:val="18"/>
          <w:szCs w:val="18"/>
          <w:color w:val="auto"/>
        </w:rPr>
        <w:t>have</w:t>
      </w:r>
      <w:r>
        <w:rPr>
          <w:rFonts w:ascii="Arial" w:cs="Arial" w:eastAsia="Arial" w:hAnsi="Arial"/>
          <w:sz w:val="17"/>
          <w:szCs w:val="17"/>
          <w:color w:val="auto"/>
        </w:rPr>
        <w:t xml:space="preserve"> caused </w:t>
      </w:r>
      <w:r>
        <w:rPr>
          <w:rFonts w:ascii="Arial" w:cs="Arial" w:eastAsia="Arial" w:hAnsi="Arial"/>
          <w:sz w:val="18"/>
          <w:szCs w:val="18"/>
          <w:color w:val="auto"/>
        </w:rPr>
        <w:t>this</w:t>
      </w:r>
      <w:r>
        <w:rPr>
          <w:rFonts w:ascii="Arial" w:cs="Arial" w:eastAsia="Arial" w:hAnsi="Arial"/>
          <w:sz w:val="17"/>
          <w:szCs w:val="17"/>
          <w:color w:val="auto"/>
        </w:rPr>
        <w:t xml:space="preserve"> First </w:t>
      </w:r>
      <w:r>
        <w:rPr>
          <w:rFonts w:ascii="Arial" w:cs="Arial" w:eastAsia="Arial" w:hAnsi="Arial"/>
          <w:sz w:val="18"/>
          <w:szCs w:val="18"/>
          <w:color w:val="auto"/>
        </w:rPr>
        <w:t>Amendment</w:t>
      </w:r>
      <w:r>
        <w:rPr>
          <w:rFonts w:ascii="Arial" w:cs="Arial" w:eastAsia="Arial" w:hAnsi="Arial"/>
          <w:sz w:val="17"/>
          <w:szCs w:val="17"/>
          <w:color w:val="auto"/>
        </w:rPr>
        <w:t xml:space="preserve"> </w:t>
      </w:r>
      <w:r>
        <w:rPr>
          <w:rFonts w:ascii="Arial" w:cs="Arial" w:eastAsia="Arial" w:hAnsi="Arial"/>
          <w:sz w:val="19"/>
          <w:szCs w:val="19"/>
          <w:color w:val="auto"/>
        </w:rPr>
        <w:t>to</w:t>
      </w:r>
      <w:r>
        <w:rPr>
          <w:rFonts w:ascii="Arial" w:cs="Arial" w:eastAsia="Arial" w:hAnsi="Arial"/>
          <w:sz w:val="17"/>
          <w:szCs w:val="17"/>
          <w:color w:val="auto"/>
        </w:rPr>
        <w:t xml:space="preserve"> </w:t>
      </w:r>
      <w:r>
        <w:rPr>
          <w:rFonts w:ascii="Arial" w:cs="Arial" w:eastAsia="Arial" w:hAnsi="Arial"/>
          <w:sz w:val="18"/>
          <w:szCs w:val="18"/>
          <w:color w:val="auto"/>
        </w:rPr>
        <w:t>License</w:t>
      </w:r>
      <w:r>
        <w:rPr>
          <w:rFonts w:ascii="Arial" w:cs="Arial" w:eastAsia="Arial" w:hAnsi="Arial"/>
          <w:sz w:val="17"/>
          <w:szCs w:val="17"/>
          <w:color w:val="auto"/>
        </w:rPr>
        <w:t xml:space="preserve"> </w:t>
      </w:r>
      <w:r>
        <w:rPr>
          <w:rFonts w:ascii="Arial" w:cs="Arial" w:eastAsia="Arial" w:hAnsi="Arial"/>
          <w:sz w:val="19"/>
          <w:szCs w:val="19"/>
          <w:color w:val="auto"/>
        </w:rPr>
        <w:t>Agreement to</w:t>
      </w:r>
      <w:r>
        <w:rPr>
          <w:rFonts w:ascii="Arial" w:cs="Arial" w:eastAsia="Arial" w:hAnsi="Arial"/>
          <w:sz w:val="17"/>
          <w:szCs w:val="17"/>
          <w:color w:val="auto"/>
        </w:rPr>
        <w:t xml:space="preserve"> </w:t>
      </w:r>
      <w:r>
        <w:rPr>
          <w:rFonts w:ascii="Arial" w:cs="Arial" w:eastAsia="Arial" w:hAnsi="Arial"/>
          <w:sz w:val="18"/>
          <w:szCs w:val="18"/>
          <w:color w:val="auto"/>
        </w:rPr>
        <w:t xml:space="preserve">be executed by their duly </w:t>
      </w:r>
      <w:r>
        <w:rPr>
          <w:rFonts w:ascii="Arial" w:cs="Arial" w:eastAsia="Arial" w:hAnsi="Arial"/>
          <w:sz w:val="19"/>
          <w:szCs w:val="19"/>
          <w:color w:val="auto"/>
        </w:rPr>
        <w:t>authorized</w:t>
      </w:r>
      <w:r>
        <w:rPr>
          <w:rFonts w:ascii="Arial" w:cs="Arial" w:eastAsia="Arial" w:hAnsi="Arial"/>
          <w:sz w:val="18"/>
          <w:szCs w:val="18"/>
          <w:color w:val="auto"/>
        </w:rPr>
        <w:t xml:space="preserve"> </w:t>
      </w:r>
      <w:r>
        <w:rPr>
          <w:rFonts w:ascii="Arial" w:cs="Arial" w:eastAsia="Arial" w:hAnsi="Arial"/>
          <w:sz w:val="17"/>
          <w:szCs w:val="17"/>
          <w:color w:val="auto"/>
        </w:rPr>
        <w:t>representatives</w:t>
      </w:r>
      <w:r>
        <w:rPr>
          <w:rFonts w:ascii="Arial" w:cs="Arial" w:eastAsia="Arial" w:hAnsi="Arial"/>
          <w:sz w:val="18"/>
          <w:szCs w:val="18"/>
          <w:color w:val="auto"/>
        </w:rPr>
        <w:t xml:space="preserve"> </w:t>
      </w:r>
      <w:r>
        <w:rPr>
          <w:rFonts w:ascii="Arial" w:cs="Arial" w:eastAsia="Arial" w:hAnsi="Arial"/>
          <w:sz w:val="20"/>
          <w:szCs w:val="20"/>
          <w:color w:val="auto"/>
        </w:rPr>
        <w:t>as</w:t>
      </w:r>
      <w:r>
        <w:rPr>
          <w:rFonts w:ascii="Arial" w:cs="Arial" w:eastAsia="Arial" w:hAnsi="Arial"/>
          <w:sz w:val="18"/>
          <w:szCs w:val="18"/>
          <w:color w:val="auto"/>
        </w:rPr>
        <w:t xml:space="preserve"> of </w:t>
      </w:r>
      <w:r>
        <w:rPr>
          <w:rFonts w:ascii="Arial" w:cs="Arial" w:eastAsia="Arial" w:hAnsi="Arial"/>
          <w:sz w:val="19"/>
          <w:szCs w:val="19"/>
          <w:color w:val="auto"/>
        </w:rPr>
        <w:t>the</w:t>
      </w:r>
      <w:r>
        <w:rPr>
          <w:rFonts w:ascii="Arial" w:cs="Arial" w:eastAsia="Arial" w:hAnsi="Arial"/>
          <w:sz w:val="18"/>
          <w:szCs w:val="18"/>
          <w:color w:val="auto"/>
        </w:rPr>
        <w:t xml:space="preserve"> Amendment Date.</w:t>
      </w:r>
    </w:p>
    <w:p>
      <w:pPr>
        <w:spacing w:after="0" w:line="172" w:lineRule="exact"/>
        <w:rPr>
          <w:sz w:val="20"/>
          <w:szCs w:val="20"/>
          <w:color w:val="auto"/>
        </w:rPr>
      </w:pPr>
    </w:p>
    <w:p>
      <w:pPr>
        <w:ind w:left="760"/>
        <w:spacing w:after="0"/>
        <w:tabs>
          <w:tab w:leader="none" w:pos="2700" w:val="left"/>
        </w:tabs>
        <w:rPr>
          <w:sz w:val="20"/>
          <w:szCs w:val="20"/>
          <w:color w:val="auto"/>
        </w:rPr>
      </w:pPr>
      <w:r>
        <w:rPr>
          <w:rFonts w:ascii="Arial" w:cs="Arial" w:eastAsia="Arial" w:hAnsi="Arial"/>
          <w:sz w:val="19"/>
          <w:szCs w:val="19"/>
          <w:color w:val="auto"/>
        </w:rPr>
        <w:t xml:space="preserve">Kyowa </w:t>
      </w:r>
      <w:r>
        <w:rPr>
          <w:rFonts w:ascii="Arial" w:cs="Arial" w:eastAsia="Arial" w:hAnsi="Arial"/>
          <w:sz w:val="17"/>
          <w:szCs w:val="17"/>
          <w:color w:val="auto"/>
        </w:rPr>
        <w:t>Kirin</w:t>
      </w:r>
      <w:r>
        <w:rPr>
          <w:rFonts w:ascii="Arial" w:cs="Arial" w:eastAsia="Arial" w:hAnsi="Arial"/>
          <w:sz w:val="19"/>
          <w:szCs w:val="19"/>
          <w:color w:val="auto"/>
        </w:rPr>
        <w:t xml:space="preserve"> Co., Ltd.</w:t>
      </w:r>
      <w:r>
        <w:rPr>
          <w:sz w:val="20"/>
          <w:szCs w:val="20"/>
          <w:color w:val="auto"/>
        </w:rPr>
        <w:tab/>
      </w:r>
      <w:r>
        <w:rPr>
          <w:rFonts w:ascii="Arial" w:cs="Arial" w:eastAsia="Arial" w:hAnsi="Arial"/>
          <w:sz w:val="18"/>
          <w:szCs w:val="18"/>
          <w:color w:val="auto"/>
        </w:rPr>
        <w:t xml:space="preserve">Ardelyx, </w:t>
      </w:r>
      <w:r>
        <w:rPr>
          <w:rFonts w:ascii="Arial" w:cs="Arial" w:eastAsia="Arial" w:hAnsi="Arial"/>
          <w:sz w:val="16"/>
          <w:szCs w:val="16"/>
          <w:color w:val="auto"/>
        </w:rPr>
        <w:t>Inc.</w:t>
      </w:r>
    </w:p>
    <w:p>
      <w:pPr>
        <w:ind w:left="760"/>
        <w:spacing w:after="0"/>
        <w:tabs>
          <w:tab w:leader="none" w:pos="2080" w:val="left"/>
        </w:tabs>
        <w:rPr>
          <w:sz w:val="20"/>
          <w:szCs w:val="20"/>
          <w:color w:val="auto"/>
        </w:rPr>
      </w:pPr>
      <w:r>
        <w:rPr>
          <w:rFonts w:ascii="Arial" w:cs="Arial" w:eastAsia="Arial" w:hAnsi="Arial"/>
          <w:sz w:val="20"/>
          <w:szCs w:val="20"/>
          <w:u w:val="single" w:color="auto"/>
          <w:color w:val="auto"/>
        </w:rPr>
        <w:t>/s/ Yasou Fujii</w:t>
      </w:r>
      <w:r>
        <w:rPr>
          <w:sz w:val="20"/>
          <w:szCs w:val="20"/>
          <w:color w:val="auto"/>
        </w:rPr>
        <w:tab/>
      </w:r>
      <w:r>
        <w:rPr>
          <w:rFonts w:ascii="Arial" w:cs="Arial" w:eastAsia="Arial" w:hAnsi="Arial"/>
          <w:sz w:val="18"/>
          <w:szCs w:val="18"/>
          <w:u w:val="single" w:color="auto"/>
          <w:color w:val="auto"/>
        </w:rPr>
        <w:t>/s/ Michael Raab</w:t>
      </w:r>
    </w:p>
    <w:p>
      <w:pPr>
        <w:spacing w:after="0" w:line="207" w:lineRule="exact"/>
        <w:rPr>
          <w:sz w:val="20"/>
          <w:szCs w:val="20"/>
          <w:color w:val="auto"/>
        </w:rPr>
      </w:pPr>
    </w:p>
    <w:p>
      <w:pPr>
        <w:ind w:left="10180"/>
        <w:spacing w:after="0"/>
        <w:rPr>
          <w:sz w:val="20"/>
          <w:szCs w:val="20"/>
          <w:color w:val="auto"/>
        </w:rPr>
      </w:pPr>
      <w:r>
        <w:rPr>
          <w:rFonts w:ascii="Arial" w:cs="Arial" w:eastAsia="Arial" w:hAnsi="Arial"/>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4"/>
          <w:szCs w:val="4"/>
          <w:color w:val="auto"/>
        </w:rPr>
        <w:t>/s</w:t>
      </w:r>
    </w:p>
    <w:p>
      <w:pPr>
        <w:spacing w:after="0" w:line="259" w:lineRule="exact"/>
        <w:rPr>
          <w:sz w:val="20"/>
          <w:szCs w:val="20"/>
          <w:color w:val="auto"/>
        </w:rPr>
      </w:pPr>
    </w:p>
    <w:p>
      <w:pPr>
        <w:ind w:left="760" w:hanging="104"/>
        <w:spacing w:after="0"/>
        <w:tabs>
          <w:tab w:leader="none" w:pos="760" w:val="left"/>
        </w:tabs>
        <w:numPr>
          <w:ilvl w:val="0"/>
          <w:numId w:val="69"/>
        </w:numPr>
        <w:rPr>
          <w:rFonts w:ascii="Arial" w:cs="Arial" w:eastAsia="Arial" w:hAnsi="Arial"/>
          <w:sz w:val="9"/>
          <w:szCs w:val="9"/>
          <w:color w:val="auto"/>
          <w:vertAlign w:val="superscript"/>
        </w:rPr>
      </w:pPr>
      <w:r>
        <w:rPr>
          <w:rFonts w:ascii="Arial" w:cs="Arial" w:eastAsia="Arial" w:hAnsi="Arial"/>
          <w:sz w:val="20"/>
          <w:szCs w:val="20"/>
          <w:color w:val="auto"/>
        </w:rPr>
        <w:t>Name: Yasuo Fujii Name: Michael Raab</w:t>
      </w:r>
    </w:p>
    <w:p>
      <w:pPr>
        <w:ind w:left="660"/>
        <w:spacing w:after="0"/>
        <w:tabs>
          <w:tab w:leader="none" w:pos="3320" w:val="left"/>
        </w:tabs>
        <w:rPr>
          <w:sz w:val="20"/>
          <w:szCs w:val="20"/>
          <w:color w:val="auto"/>
        </w:rPr>
      </w:pPr>
      <w:r>
        <w:rPr>
          <w:rFonts w:ascii="Arial" w:cs="Arial" w:eastAsia="Arial" w:hAnsi="Arial"/>
          <w:sz w:val="20"/>
          <w:szCs w:val="20"/>
          <w:color w:val="auto"/>
        </w:rPr>
        <w:t xml:space="preserve">Title: </w:t>
      </w:r>
      <w:r>
        <w:rPr>
          <w:rFonts w:ascii="Arial" w:cs="Arial" w:eastAsia="Arial" w:hAnsi="Arial"/>
          <w:sz w:val="18"/>
          <w:szCs w:val="18"/>
          <w:color w:val="auto"/>
        </w:rPr>
        <w:t>Executive</w:t>
      </w:r>
      <w:r>
        <w:rPr>
          <w:rFonts w:ascii="Arial" w:cs="Arial" w:eastAsia="Arial" w:hAnsi="Arial"/>
          <w:sz w:val="20"/>
          <w:szCs w:val="20"/>
          <w:color w:val="auto"/>
        </w:rPr>
        <w:t xml:space="preserve"> </w:t>
      </w:r>
      <w:r>
        <w:rPr>
          <w:rFonts w:ascii="Arial" w:cs="Arial" w:eastAsia="Arial" w:hAnsi="Arial"/>
          <w:sz w:val="17"/>
          <w:szCs w:val="17"/>
          <w:color w:val="auto"/>
        </w:rPr>
        <w:t>Officer, Director,</w:t>
      </w:r>
      <w:r>
        <w:rPr>
          <w:sz w:val="20"/>
          <w:szCs w:val="20"/>
          <w:color w:val="auto"/>
        </w:rPr>
        <w:tab/>
      </w:r>
      <w:r>
        <w:rPr>
          <w:rFonts w:ascii="Arial" w:cs="Arial" w:eastAsia="Arial" w:hAnsi="Arial"/>
          <w:sz w:val="19"/>
          <w:szCs w:val="19"/>
          <w:color w:val="auto"/>
        </w:rPr>
        <w:t>Title: CEO</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 xml:space="preserve">Business Development </w:t>
      </w:r>
      <w:r>
        <w:rPr>
          <w:rFonts w:ascii="Arial" w:cs="Arial" w:eastAsia="Arial" w:hAnsi="Arial"/>
          <w:sz w:val="17"/>
          <w:szCs w:val="17"/>
          <w:color w:val="auto"/>
        </w:rPr>
        <w:t>Department</w:t>
      </w:r>
    </w:p>
    <w:p>
      <w:pPr>
        <w:spacing w:after="0" w:line="52" w:lineRule="exact"/>
        <w:rPr>
          <w:sz w:val="20"/>
          <w:szCs w:val="20"/>
          <w:color w:val="auto"/>
        </w:rPr>
      </w:pPr>
    </w:p>
    <w:p>
      <w:pPr>
        <w:ind w:left="780"/>
        <w:spacing w:after="0"/>
        <w:tabs>
          <w:tab w:leader="none" w:pos="2460" w:val="left"/>
        </w:tabs>
        <w:rPr>
          <w:sz w:val="20"/>
          <w:szCs w:val="20"/>
          <w:color w:val="auto"/>
        </w:rPr>
      </w:pPr>
      <w:r>
        <w:rPr>
          <w:rFonts w:ascii="Arial" w:cs="Arial" w:eastAsia="Arial" w:hAnsi="Arial"/>
          <w:sz w:val="19"/>
          <w:szCs w:val="19"/>
          <w:color w:val="auto"/>
        </w:rPr>
        <w:t>Date: June 17, 2020</w:t>
      </w:r>
      <w:r>
        <w:rPr>
          <w:sz w:val="20"/>
          <w:szCs w:val="20"/>
          <w:color w:val="auto"/>
        </w:rPr>
        <w:tab/>
      </w:r>
      <w:r>
        <w:rPr>
          <w:rFonts w:ascii="Arial" w:cs="Arial" w:eastAsia="Arial" w:hAnsi="Arial"/>
          <w:sz w:val="16"/>
          <w:szCs w:val="16"/>
          <w:color w:val="auto"/>
        </w:rPr>
        <w:t>Date: June 23, 2020</w:t>
      </w:r>
    </w:p>
    <w:p>
      <w:pPr>
        <w:sectPr>
          <w:pgSz w:w="11900" w:h="16838" w:orient="portrait"/>
          <w:cols w:equalWidth="0" w:num="1">
            <w:col w:w="11060"/>
          </w:cols>
          <w:pgMar w:left="320" w:top="1440" w:right="519" w:bottom="1440" w:gutter="0" w:footer="0" w:header="0"/>
        </w:sectPr>
      </w:pPr>
    </w:p>
    <w:bookmarkStart w:id="123" w:name="page124"/>
    <w:bookmarkEnd w:id="123"/>
    <w:p>
      <w:pPr>
        <w:spacing w:after="0"/>
        <w:tabs>
          <w:tab w:leader="none" w:pos="2460" w:val="left"/>
        </w:tabs>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 10.24(c)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SECOND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February 9, 2023, by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and among SLR INVESTMENT CORP., a Maryland corporation with an office located at 500 Park Avenue,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New York, NY 10022 (“</w:t>
      </w:r>
      <w:r>
        <w:rPr>
          <w:rFonts w:ascii="Arial" w:cs="Arial" w:eastAsia="Arial" w:hAnsi="Arial"/>
          <w:sz w:val="16"/>
          <w:szCs w:val="16"/>
          <w:b w:val="1"/>
          <w:bCs w:val="1"/>
          <w:color w:val="auto"/>
        </w:rPr>
        <w:t>SLR</w:t>
      </w:r>
      <w:r>
        <w:rPr>
          <w:rFonts w:ascii="Arial" w:cs="Arial" w:eastAsia="Arial" w:hAnsi="Arial"/>
          <w:sz w:val="16"/>
          <w:szCs w:val="16"/>
          <w:color w:val="auto"/>
        </w:rPr>
        <w:t>”), as collateral agent (in such capacity, together with its successors and assigns,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thereto or otherwise a party thereto from time to time including SLR in its capacity as a Lender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ARDELYX, INC.,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with offices located at 400 Fifth Avenue, Suite 210, Waltham, MA 02451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9" w:lineRule="exact"/>
        <w:rPr>
          <w:sz w:val="20"/>
          <w:szCs w:val="20"/>
          <w:color w:val="auto"/>
        </w:rPr>
      </w:pPr>
    </w:p>
    <w:p>
      <w:pPr>
        <w:jc w:val="both"/>
        <w:ind w:firstLine="656"/>
        <w:spacing w:after="0" w:line="223" w:lineRule="auto"/>
        <w:tabs>
          <w:tab w:leader="none" w:pos="10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Collateral Agent, Borrower and Lenders have entered into that certain Loan and Security Agreement dated as of February 23, 2022 (as amended, supplemented or otherwise modified from time to time, including but not limited to that certain First Amendment to Loan and Security Agreement dated as of August 1, 2022, collectively,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62" w:lineRule="exact"/>
        <w:rPr>
          <w:rFonts w:ascii="Arial" w:cs="Arial" w:eastAsia="Arial" w:hAnsi="Arial"/>
          <w:sz w:val="18"/>
          <w:szCs w:val="18"/>
          <w:color w:val="auto"/>
        </w:rPr>
      </w:pPr>
    </w:p>
    <w:p>
      <w:pPr>
        <w:ind w:right="20" w:firstLine="656"/>
        <w:spacing w:after="0" w:line="246"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Collateral Agent and the Required Lenders have agreed to amend the defined term “Term B Milestone”, subject to, and in accordance with, the terms and conditions set forth herein, and in reliance upon the representations and warranties set forth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89" w:lineRule="exact"/>
        <w:rPr>
          <w:sz w:val="20"/>
          <w:szCs w:val="20"/>
          <w:color w:val="auto"/>
        </w:rPr>
      </w:pPr>
    </w:p>
    <w:p>
      <w:pPr>
        <w:ind w:firstLine="258"/>
        <w:spacing w:after="0" w:line="274" w:lineRule="auto"/>
        <w:rPr>
          <w:sz w:val="20"/>
          <w:szCs w:val="20"/>
          <w:color w:val="auto"/>
        </w:rPr>
      </w:pPr>
      <w:r>
        <w:rPr>
          <w:rFonts w:ascii="Arial" w:cs="Arial" w:eastAsia="Arial" w:hAnsi="Arial"/>
          <w:sz w:val="17"/>
          <w:szCs w:val="17"/>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3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but not defined in this Amendment shall have the meanings given to them in the Loan Agreement.</w:t>
      </w:r>
    </w:p>
    <w:p>
      <w:pPr>
        <w:spacing w:after="0" w:line="196" w:lineRule="exact"/>
        <w:rPr>
          <w:rFonts w:ascii="Arial" w:cs="Arial" w:eastAsia="Arial" w:hAnsi="Arial"/>
          <w:sz w:val="17"/>
          <w:szCs w:val="17"/>
          <w:b w:val="1"/>
          <w:bCs w:val="1"/>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198"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1.1 Section 13.1 (Definitions). </w:t>
      </w:r>
      <w:r>
        <w:rPr>
          <w:rFonts w:ascii="Arial" w:cs="Arial" w:eastAsia="Arial" w:hAnsi="Arial"/>
          <w:sz w:val="18"/>
          <w:szCs w:val="18"/>
          <w:color w:val="auto"/>
        </w:rPr>
        <w:t>The following terms and their respective definitions hereby are added or amended and restated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as applicable, to Section 1.4 of the Loan Agreement as follows:</w:t>
      </w:r>
    </w:p>
    <w:p>
      <w:pPr>
        <w:spacing w:after="0" w:line="158" w:lineRule="exact"/>
        <w:rPr>
          <w:sz w:val="20"/>
          <w:szCs w:val="20"/>
          <w:color w:val="auto"/>
        </w:rPr>
      </w:pPr>
    </w:p>
    <w:p>
      <w:pPr>
        <w:jc w:val="both"/>
        <w:ind w:left="660" w:right="66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1-Month CME Term SOFR</w:t>
      </w:r>
      <w:r>
        <w:rPr>
          <w:rFonts w:ascii="Arial" w:cs="Arial" w:eastAsia="Arial" w:hAnsi="Arial"/>
          <w:sz w:val="18"/>
          <w:szCs w:val="18"/>
          <w:color w:val="auto"/>
        </w:rPr>
        <w:t>” is the 1-month CME Term SOFR reference rate as published by the CME Term SOFR Administrator on the CME Term SOFR Administrator’s Website.</w:t>
      </w:r>
    </w:p>
    <w:p>
      <w:pPr>
        <w:spacing w:after="0" w:line="149" w:lineRule="exact"/>
        <w:rPr>
          <w:sz w:val="20"/>
          <w:szCs w:val="20"/>
          <w:color w:val="auto"/>
        </w:rPr>
      </w:pPr>
    </w:p>
    <w:p>
      <w:pPr>
        <w:jc w:val="both"/>
        <w:ind w:left="660" w:right="66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April 1, 2024; provided, that upon acheivement of the Interest-Only Extension Milestone, the Amortization Date shall automatically be extended to April 1, 2025.</w:t>
      </w:r>
    </w:p>
    <w:p>
      <w:pPr>
        <w:spacing w:after="0" w:line="172" w:lineRule="exact"/>
        <w:rPr>
          <w:sz w:val="20"/>
          <w:szCs w:val="20"/>
          <w:color w:val="auto"/>
        </w:rPr>
      </w:pPr>
    </w:p>
    <w:p>
      <w:pPr>
        <w:jc w:val="both"/>
        <w:ind w:left="660" w:right="660" w:firstLine="648"/>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means a per annum interest rate equal to the greater of (a) one percent (1.00%) per annum and (b)(i) 0.022% plus (ii) 1-month CME Term SOFR reference rate as published by the CME Term SOFR Administrator on the CME Term SOFR Administrator’s Website (or on any successor or substitute page of the CME Term SOFR Administrator, or any successor to or substitute</w:t>
      </w:r>
    </w:p>
    <w:p>
      <w:pPr>
        <w:spacing w:after="0" w:line="1" w:lineRule="exact"/>
        <w:rPr>
          <w:sz w:val="20"/>
          <w:szCs w:val="20"/>
          <w:color w:val="auto"/>
        </w:rPr>
      </w:pPr>
    </w:p>
    <w:p>
      <w:pPr>
        <w:jc w:val="both"/>
        <w:ind w:left="660" w:right="640"/>
        <w:spacing w:after="0" w:line="234" w:lineRule="auto"/>
        <w:rPr>
          <w:sz w:val="20"/>
          <w:szCs w:val="20"/>
          <w:color w:val="auto"/>
        </w:rPr>
      </w:pPr>
      <w:r>
        <w:rPr>
          <w:rFonts w:ascii="Arial" w:cs="Arial" w:eastAsia="Arial" w:hAnsi="Arial"/>
          <w:sz w:val="16"/>
          <w:szCs w:val="16"/>
          <w:color w:val="auto"/>
        </w:rPr>
        <w:t>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w:t>
      </w:r>
    </w:p>
    <w:p>
      <w:pPr>
        <w:spacing w:after="0" w:line="2" w:lineRule="exact"/>
        <w:rPr>
          <w:sz w:val="20"/>
          <w:szCs w:val="20"/>
          <w:color w:val="auto"/>
        </w:rPr>
      </w:pPr>
    </w:p>
    <w:p>
      <w:pPr>
        <w:jc w:val="both"/>
        <w:ind w:left="660" w:right="660"/>
        <w:spacing w:after="0" w:line="234" w:lineRule="auto"/>
        <w:rPr>
          <w:sz w:val="20"/>
          <w:szCs w:val="20"/>
          <w:color w:val="auto"/>
        </w:rPr>
      </w:pPr>
      <w:r>
        <w:rPr>
          <w:rFonts w:ascii="Arial" w:cs="Arial" w:eastAsia="Arial" w:hAnsi="Arial"/>
          <w:sz w:val="16"/>
          <w:szCs w:val="16"/>
          <w:color w:val="auto"/>
        </w:rPr>
        <w:t>applicable regulator has made public statements to the effect that the rate published by the CME Term SOFR Administrator is no longer used for determining interest rates for loans, then the Applicable Rate shall be equal to an alternate benchmark rate and spread agreed between Collateral Agent and Borrowers, giving due consideration to (i) market convention or (ii) selection, endorsement or</w:t>
      </w:r>
    </w:p>
    <w:p>
      <w:pPr>
        <w:spacing w:after="0" w:line="2" w:lineRule="exact"/>
        <w:rPr>
          <w:sz w:val="20"/>
          <w:szCs w:val="20"/>
          <w:color w:val="auto"/>
        </w:rPr>
      </w:pPr>
    </w:p>
    <w:p>
      <w:pPr>
        <w:jc w:val="both"/>
        <w:ind w:left="660" w:right="660"/>
        <w:spacing w:after="0" w:line="226" w:lineRule="auto"/>
        <w:rPr>
          <w:sz w:val="20"/>
          <w:szCs w:val="20"/>
          <w:color w:val="auto"/>
        </w:rPr>
      </w:pPr>
      <w:r>
        <w:rPr>
          <w:rFonts w:ascii="Arial" w:cs="Arial" w:eastAsia="Arial" w:hAnsi="Arial"/>
          <w:sz w:val="18"/>
          <w:szCs w:val="18"/>
          <w:color w:val="auto"/>
        </w:rPr>
        <w:t>recommendation by a Relevant Governmental Body. Such alternative benchmark rate and spread shall be binding unless the Required Lenders object within five (5) days following notification of such amendment.</w:t>
      </w:r>
    </w:p>
    <w:p>
      <w:pPr>
        <w:sectPr>
          <w:pgSz w:w="11900" w:h="16838" w:orient="portrait"/>
          <w:cols w:equalWidth="0" w:num="1">
            <w:col w:w="11240"/>
          </w:cols>
          <w:pgMar w:left="320" w:top="108" w:right="339" w:bottom="1440" w:gutter="0" w:footer="0" w:header="0"/>
        </w:sectPr>
      </w:pPr>
    </w:p>
    <w:bookmarkStart w:id="125" w:name="page126"/>
    <w:bookmarkEnd w:id="125"/>
    <w:p>
      <w:pPr>
        <w:jc w:val="both"/>
        <w:ind w:left="660" w:right="660" w:firstLine="638"/>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CME Term SOFR Administrator</w:t>
      </w:r>
      <w:r>
        <w:rPr>
          <w:rFonts w:ascii="Arial" w:cs="Arial" w:eastAsia="Arial" w:hAnsi="Arial"/>
          <w:sz w:val="17"/>
          <w:szCs w:val="17"/>
          <w:color w:val="auto"/>
        </w:rPr>
        <w:t>” is CME Group Benchmark Administration Limited, as administrator of the forward-looking term SOFR, or any successor administrator of 1-Month CME Term SOFR selected by the Collateral Agent in its reasonable</w:t>
      </w:r>
    </w:p>
    <w:p>
      <w:pPr>
        <w:ind w:left="660"/>
        <w:spacing w:after="0"/>
        <w:rPr>
          <w:sz w:val="20"/>
          <w:szCs w:val="20"/>
          <w:color w:val="auto"/>
        </w:rPr>
      </w:pPr>
      <w:r>
        <w:rPr>
          <w:rFonts w:ascii="Arial" w:cs="Arial" w:eastAsia="Arial" w:hAnsi="Arial"/>
          <w:sz w:val="18"/>
          <w:szCs w:val="18"/>
          <w:color w:val="auto"/>
        </w:rPr>
        <w:t>discretion.</w:t>
      </w:r>
    </w:p>
    <w:p>
      <w:pPr>
        <w:spacing w:after="0" w:line="151" w:lineRule="exact"/>
        <w:rPr>
          <w:sz w:val="20"/>
          <w:szCs w:val="20"/>
          <w:color w:val="auto"/>
        </w:rPr>
      </w:pPr>
    </w:p>
    <w:p>
      <w:pPr>
        <w:jc w:val="both"/>
        <w:ind w:left="660" w:right="660" w:firstLine="63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CME Term SOFR Administrator’s Website</w:t>
      </w:r>
      <w:r>
        <w:rPr>
          <w:rFonts w:ascii="Arial" w:cs="Arial" w:eastAsia="Arial" w:hAnsi="Arial"/>
          <w:sz w:val="18"/>
          <w:szCs w:val="18"/>
          <w:color w:val="auto"/>
        </w:rPr>
        <w:t xml:space="preserve">” is the website of the CME Group Benchmark Administrator at </w:t>
      </w:r>
      <w:r>
        <w:rPr>
          <w:rFonts w:ascii="Arial" w:cs="Arial" w:eastAsia="Arial" w:hAnsi="Arial"/>
          <w:sz w:val="18"/>
          <w:szCs w:val="18"/>
          <w:u w:val="single" w:color="auto"/>
          <w:color w:val="0563C1"/>
        </w:rPr>
        <w:t>http://www.cmegroup.com</w:t>
      </w:r>
      <w:r>
        <w:rPr>
          <w:rFonts w:ascii="Arial" w:cs="Arial" w:eastAsia="Arial" w:hAnsi="Arial"/>
          <w:sz w:val="18"/>
          <w:szCs w:val="18"/>
          <w:color w:val="auto"/>
        </w:rPr>
        <w:t>, or any successor source.</w:t>
      </w:r>
    </w:p>
    <w:p>
      <w:pPr>
        <w:spacing w:after="0" w:line="145" w:lineRule="exact"/>
        <w:rPr>
          <w:sz w:val="20"/>
          <w:szCs w:val="20"/>
          <w:color w:val="auto"/>
        </w:rPr>
      </w:pPr>
    </w:p>
    <w:p>
      <w:pPr>
        <w:jc w:val="both"/>
        <w:ind w:left="660" w:right="660"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Interest-Only Extension Milestone</w:t>
      </w:r>
      <w:r>
        <w:rPr>
          <w:rFonts w:ascii="Arial" w:cs="Arial" w:eastAsia="Arial" w:hAnsi="Arial"/>
          <w:sz w:val="16"/>
          <w:szCs w:val="16"/>
          <w:color w:val="auto"/>
        </w:rPr>
        <w:t>” is Collateral Agent’s receipt of satisfactory evidence that Borrower has either (i) received FDA approval of Tenapanor for use in certain patients with Hyperphosphatemia on or prior to November 30, 2023 or (ii) achieved a</w:t>
      </w:r>
    </w:p>
    <w:p>
      <w:pPr>
        <w:spacing w:after="0" w:line="1" w:lineRule="exact"/>
        <w:rPr>
          <w:sz w:val="20"/>
          <w:szCs w:val="20"/>
          <w:color w:val="auto"/>
        </w:rPr>
      </w:pPr>
    </w:p>
    <w:p>
      <w:pPr>
        <w:jc w:val="both"/>
        <w:ind w:left="660" w:right="660"/>
        <w:spacing w:after="0" w:line="226" w:lineRule="auto"/>
        <w:rPr>
          <w:sz w:val="20"/>
          <w:szCs w:val="20"/>
          <w:color w:val="auto"/>
        </w:rPr>
      </w:pPr>
      <w:r>
        <w:rPr>
          <w:rFonts w:ascii="Arial" w:cs="Arial" w:eastAsia="Arial" w:hAnsi="Arial"/>
          <w:sz w:val="18"/>
          <w:szCs w:val="18"/>
          <w:color w:val="auto"/>
        </w:rPr>
        <w:t>minimum of Seventy-Five Million Dollars ($75,000,000) in Net Product Revenue calculated for Borrower’s fiscal year ending December 31, 2023.</w:t>
      </w:r>
    </w:p>
    <w:p>
      <w:pPr>
        <w:spacing w:after="0" w:line="144" w:lineRule="exact"/>
        <w:rPr>
          <w:sz w:val="20"/>
          <w:szCs w:val="20"/>
          <w:color w:val="auto"/>
        </w:rPr>
      </w:pPr>
    </w:p>
    <w:p>
      <w:pPr>
        <w:jc w:val="both"/>
        <w:ind w:left="660" w:right="640"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Period</w:t>
      </w:r>
      <w:r>
        <w:rPr>
          <w:rFonts w:ascii="Arial" w:cs="Arial" w:eastAsia="Arial" w:hAnsi="Arial"/>
          <w:sz w:val="18"/>
          <w:szCs w:val="18"/>
          <w:color w:val="auto"/>
        </w:rPr>
        <w:t>” is the period commencing on the date of the occurrence of the Term B Milestone and ending on December 20, 2023.</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Milestone</w:t>
      </w:r>
      <w:r>
        <w:rPr>
          <w:rFonts w:ascii="Arial" w:cs="Arial" w:eastAsia="Arial" w:hAnsi="Arial"/>
          <w:sz w:val="18"/>
          <w:szCs w:val="18"/>
          <w:color w:val="auto"/>
        </w:rPr>
        <w:t>” is Collateral Agent’s receipt of satisfactory evidence that Borrower (i) has received FDA approval of</w:t>
      </w:r>
    </w:p>
    <w:p>
      <w:pPr>
        <w:spacing w:after="0" w:line="2" w:lineRule="exact"/>
        <w:rPr>
          <w:sz w:val="20"/>
          <w:szCs w:val="20"/>
          <w:color w:val="auto"/>
        </w:rPr>
      </w:pPr>
    </w:p>
    <w:p>
      <w:pPr>
        <w:jc w:val="both"/>
        <w:ind w:left="660" w:right="660"/>
        <w:spacing w:after="0" w:line="226" w:lineRule="auto"/>
        <w:rPr>
          <w:sz w:val="20"/>
          <w:szCs w:val="20"/>
          <w:color w:val="auto"/>
        </w:rPr>
      </w:pPr>
      <w:r>
        <w:rPr>
          <w:rFonts w:ascii="Arial" w:cs="Arial" w:eastAsia="Arial" w:hAnsi="Arial"/>
          <w:sz w:val="18"/>
          <w:szCs w:val="18"/>
          <w:color w:val="auto"/>
        </w:rPr>
        <w:t>Tenapanor for use in certain patients with Hyperphosphatemia on or prior to November 30, 2023 and (ii) has achieved a minimum of Thirty Million Dollars ($30,000,000) in Net Product Revenue calculated on a trailing six (6) month basis.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Section 13.1 (Definitions). </w:t>
      </w:r>
      <w:r>
        <w:rPr>
          <w:rFonts w:ascii="Arial" w:cs="Arial" w:eastAsia="Arial" w:hAnsi="Arial"/>
          <w:sz w:val="16"/>
          <w:szCs w:val="16"/>
          <w:color w:val="auto"/>
        </w:rPr>
        <w:t>The following term and its definitions hereby is deleted from Section 1.4 of the Loan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Section 2.2 (Term Loans). </w:t>
      </w:r>
      <w:r>
        <w:rPr>
          <w:rFonts w:ascii="Arial" w:cs="Arial" w:eastAsia="Arial" w:hAnsi="Arial"/>
          <w:sz w:val="16"/>
          <w:szCs w:val="16"/>
          <w:color w:val="auto"/>
        </w:rPr>
        <w:t>Section 2.2(b) of the Loan Agreement is hereby amended and restated to read as follows:</w:t>
      </w:r>
    </w:p>
    <w:p>
      <w:pPr>
        <w:spacing w:after="0" w:line="18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make monthly payments of interest only commencing on the first (1st) Payment Date</w:t>
      </w:r>
    </w:p>
    <w:p>
      <w:pPr>
        <w:jc w:val="both"/>
        <w:ind w:left="660" w:right="640"/>
        <w:spacing w:after="0" w:line="234" w:lineRule="auto"/>
        <w:rPr>
          <w:sz w:val="20"/>
          <w:szCs w:val="20"/>
          <w:color w:val="auto"/>
        </w:rPr>
      </w:pPr>
      <w:r>
        <w:rPr>
          <w:rFonts w:ascii="Arial" w:cs="Arial" w:eastAsia="Arial" w:hAnsi="Arial"/>
          <w:sz w:val="16"/>
          <w:szCs w:val="16"/>
          <w:color w:val="auto"/>
        </w:rPr>
        <w:t>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w:t>
      </w:r>
    </w:p>
    <w:p>
      <w:pPr>
        <w:spacing w:after="0" w:line="2" w:lineRule="exact"/>
        <w:rPr>
          <w:sz w:val="20"/>
          <w:szCs w:val="20"/>
          <w:color w:val="auto"/>
        </w:rPr>
      </w:pPr>
    </w:p>
    <w:p>
      <w:pPr>
        <w:jc w:val="both"/>
        <w:ind w:left="660" w:right="660"/>
        <w:spacing w:after="0" w:line="234" w:lineRule="auto"/>
        <w:rPr>
          <w:sz w:val="20"/>
          <w:szCs w:val="20"/>
          <w:color w:val="auto"/>
        </w:rPr>
      </w:pPr>
      <w:r>
        <w:rPr>
          <w:rFonts w:ascii="Arial" w:cs="Arial" w:eastAsia="Arial" w:hAnsi="Arial"/>
          <w:sz w:val="16"/>
          <w:szCs w:val="16"/>
          <w:color w:val="auto"/>
        </w:rPr>
        <w:t>Payment Date after such Funding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w:t>
      </w:r>
    </w:p>
    <w:p>
      <w:pPr>
        <w:spacing w:after="0" w:line="2" w:lineRule="exact"/>
        <w:rPr>
          <w:sz w:val="20"/>
          <w:szCs w:val="20"/>
          <w:color w:val="auto"/>
        </w:rPr>
      </w:pPr>
    </w:p>
    <w:p>
      <w:pPr>
        <w:jc w:val="both"/>
        <w:ind w:left="660" w:right="660"/>
        <w:spacing w:after="0" w:line="233" w:lineRule="auto"/>
        <w:rPr>
          <w:sz w:val="20"/>
          <w:szCs w:val="20"/>
          <w:color w:val="auto"/>
        </w:rPr>
      </w:pPr>
      <w:r>
        <w:rPr>
          <w:rFonts w:ascii="Arial" w:cs="Arial" w:eastAsia="Arial" w:hAnsi="Arial"/>
          <w:sz w:val="16"/>
          <w:szCs w:val="16"/>
          <w:color w:val="auto"/>
        </w:rPr>
        <w:t>the Term Loan, as determined in Section 2.3(a) plus (ii) make consecutive equal monthly payments of principal to each Lender in accordance with its Pro Rata Share in accordance with their respective Pro Rata Shares, as calculated by Collateral Agent (which calculations shall be deemed correct absent manifest error) based upon: (A) the respective principal amounts of such Lender’s Term Loans outstanding, and (B) a repayment schedule equal to (I) if the Amortization Date is April 1, 2024, thirty-six (36) months and (II) if</w:t>
      </w:r>
    </w:p>
    <w:p>
      <w:pPr>
        <w:spacing w:after="0" w:line="1" w:lineRule="exact"/>
        <w:rPr>
          <w:sz w:val="20"/>
          <w:szCs w:val="20"/>
          <w:color w:val="auto"/>
        </w:rPr>
      </w:pPr>
    </w:p>
    <w:p>
      <w:pPr>
        <w:jc w:val="both"/>
        <w:ind w:left="660" w:right="660"/>
        <w:spacing w:after="0" w:line="218" w:lineRule="auto"/>
        <w:rPr>
          <w:sz w:val="20"/>
          <w:szCs w:val="20"/>
          <w:color w:val="auto"/>
        </w:rPr>
      </w:pPr>
      <w:r>
        <w:rPr>
          <w:rFonts w:ascii="Arial" w:cs="Arial" w:eastAsia="Arial" w:hAnsi="Arial"/>
          <w:sz w:val="18"/>
          <w:szCs w:val="18"/>
          <w:color w:val="auto"/>
        </w:rPr>
        <w:t>the Amortization Date is April 1, 2025, twenty-four (24) months. All unpaid principal and accrued and unpaid interest with respect to each such Term Loan is due and payable in full on the Maturity Date. The Term Loans may only be prepaid in accordance with Sections 2.2(c) and 2.2(d).”</w:t>
      </w:r>
    </w:p>
    <w:p>
      <w:pPr>
        <w:spacing w:after="0" w:line="172"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The amendment set forth in Section 2 above is effective for the purposes set forth herein and shall be limited precisely as written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deemed to (a) be a consent to any amendment, waiver or modification of any other term or condition of any Loan Document, or (b) otherwise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prejudice any right, remedy or obligation which Lenders or Borrower may now have or may have in the future under or in connection with any Loan Document,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4" w:right="339" w:bottom="1440" w:gutter="0" w:footer="0" w:header="0"/>
        </w:sectPr>
      </w:pPr>
    </w:p>
    <w:bookmarkStart w:id="126" w:name="page127"/>
    <w:bookmarkEnd w:id="126"/>
    <w:p>
      <w:pPr>
        <w:ind w:firstLine="648"/>
        <w:spacing w:after="0" w:line="26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This Amendment shall be construed in connection with and as part of the Loan Documents and all terms, conditions,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covenants and agreements set forth in the Loan Documents are hereby ratified and confirmed and shall remain in full force and effect.</w:t>
      </w:r>
    </w:p>
    <w:p>
      <w:pPr>
        <w:spacing w:after="0" w:line="152" w:lineRule="exact"/>
        <w:rPr>
          <w:sz w:val="20"/>
          <w:szCs w:val="20"/>
          <w:color w:val="auto"/>
        </w:rPr>
      </w:pPr>
    </w:p>
    <w:p>
      <w:pPr>
        <w:ind w:firstLine="8"/>
        <w:spacing w:after="0" w:line="237" w:lineRule="auto"/>
        <w:tabs>
          <w:tab w:leader="none" w:pos="64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the Required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Collateral Agent and the Required Lenders as follows: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Immediately after giving effect to this Amendment (a) the representations and warranties contained in the Loan Documents are true,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5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Borrower has the power and due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The organizational documents of Borrower delivered to Collateral Agent on the Effective Date, and updated pursuant to subsequent</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deliveries by or on behalf of the Borrower to the Collateral Agent, remain true, accurate and complete and have not been amended, supplemented or</w:t>
      </w:r>
    </w:p>
    <w:p>
      <w:pPr>
        <w:spacing w:after="0"/>
        <w:rPr>
          <w:sz w:val="20"/>
          <w:szCs w:val="20"/>
          <w:color w:val="auto"/>
        </w:rPr>
      </w:pPr>
      <w:r>
        <w:rPr>
          <w:rFonts w:ascii="Arial" w:cs="Arial" w:eastAsia="Arial" w:hAnsi="Arial"/>
          <w:sz w:val="18"/>
          <w:szCs w:val="18"/>
          <w:color w:val="auto"/>
        </w:rPr>
        <w:t>restated and are and continue to be in full force and effect;</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The execution and delivery by Borrower of this Amendment and the performance by Borrower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contravene (i) any material law or regulation binding on or affecting Borrower, (ii) any material</w:t>
      </w:r>
    </w:p>
    <w:p>
      <w:pPr>
        <w:jc w:val="both"/>
        <w:spacing w:after="0" w:line="226" w:lineRule="auto"/>
        <w:rPr>
          <w:sz w:val="20"/>
          <w:szCs w:val="20"/>
          <w:color w:val="auto"/>
        </w:rPr>
      </w:pPr>
      <w:r>
        <w:rPr>
          <w:rFonts w:ascii="Arial" w:cs="Arial" w:eastAsia="Arial" w:hAnsi="Arial"/>
          <w:sz w:val="18"/>
          <w:szCs w:val="18"/>
          <w:color w:val="auto"/>
        </w:rPr>
        <w:t>contractual restriction with a Person binding on Borrower, (iii) any applicable order, judgment or decree of any court or other governmental or public body or authority, or subdivision thereof, binding on Borrower, or (iv) the organizational documents of Borrower;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The execution and delivery by Borrower of this Amendment and the performance by Borrower of its obligations under the Loan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1" w:lineRule="exact"/>
        <w:rPr>
          <w:sz w:val="20"/>
          <w:szCs w:val="20"/>
          <w:color w:val="auto"/>
        </w:rPr>
      </w:pPr>
    </w:p>
    <w:p>
      <w:pPr>
        <w:jc w:val="both"/>
        <w:ind w:firstLine="8"/>
        <w:spacing w:after="0" w:line="239" w:lineRule="auto"/>
        <w:tabs>
          <w:tab w:leader="none" w:pos="648"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Document. </w:t>
      </w:r>
      <w:r>
        <w:rPr>
          <w:rFonts w:ascii="Arial" w:cs="Arial" w:eastAsia="Arial" w:hAnsi="Arial"/>
          <w:sz w:val="17"/>
          <w:szCs w:val="17"/>
          <w:color w:val="auto"/>
        </w:rPr>
        <w:t>Borrower, Lenders and Collateral Agent agree that this Amendment shall be a Loan Document. Except as expressly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spacing w:after="0" w:line="172" w:lineRule="exact"/>
        <w:rPr>
          <w:rFonts w:ascii="Arial" w:cs="Arial" w:eastAsia="Arial" w:hAnsi="Arial"/>
          <w:sz w:val="17"/>
          <w:szCs w:val="17"/>
          <w:b w:val="1"/>
          <w:bCs w:val="1"/>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Release by Borrower.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1.1 FOR GOOD AND VALUABLE CONSIDERATION</w:t>
      </w:r>
      <w:r>
        <w:rPr>
          <w:rFonts w:ascii="Arial" w:cs="Arial" w:eastAsia="Arial" w:hAnsi="Arial"/>
          <w:sz w:val="16"/>
          <w:szCs w:val="16"/>
          <w:color w:val="auto"/>
        </w:rPr>
        <w:t>, Borrower hereby forever relieves, releases, and discharges Collateral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Lender and their respective present or former employees, officers, directors, agents, representatives, attorneys, and each of them, from any and all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Effective Date through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Arial" w:cs="Arial" w:eastAsia="Arial" w:hAnsi="Arial"/>
          <w:sz w:val="17"/>
          <w:szCs w:val="17"/>
          <w:b w:val="1"/>
          <w:bCs w:val="1"/>
          <w:color w:val="auto"/>
        </w:rPr>
        <w:t>Released Claims</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By entering into this release, Borrower recognizes that no facts or representations are ever absolutely certain and it may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 facts in addition to or different from those which it presently knows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4" w:right="339" w:bottom="1440" w:gutter="0" w:footer="0" w:header="0"/>
        </w:sectPr>
      </w:pPr>
    </w:p>
    <w:bookmarkStart w:id="127" w:name="page128"/>
    <w:bookmarkEnd w:id="127"/>
    <w:p>
      <w:pPr>
        <w:jc w:val="both"/>
        <w:spacing w:after="0" w:line="248" w:lineRule="auto"/>
        <w:rPr>
          <w:sz w:val="20"/>
          <w:szCs w:val="20"/>
          <w:color w:val="auto"/>
        </w:rPr>
      </w:pPr>
      <w:r>
        <w:rPr>
          <w:rFonts w:ascii="Arial" w:cs="Arial" w:eastAsia="Arial" w:hAnsi="Arial"/>
          <w:sz w:val="16"/>
          <w:szCs w:val="16"/>
          <w:color w:val="auto"/>
        </w:rPr>
        <w:t>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w:t>
      </w:r>
    </w:p>
    <w:p>
      <w:pPr>
        <w:jc w:val="both"/>
        <w:spacing w:after="0" w:line="234" w:lineRule="auto"/>
        <w:rPr>
          <w:sz w:val="20"/>
          <w:szCs w:val="20"/>
          <w:color w:val="auto"/>
        </w:rPr>
      </w:pPr>
      <w:r>
        <w:rPr>
          <w:rFonts w:ascii="Arial" w:cs="Arial" w:eastAsia="Arial" w:hAnsi="Arial"/>
          <w:sz w:val="16"/>
          <w:szCs w:val="16"/>
          <w:color w:val="auto"/>
        </w:rPr>
        <w:t>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Lenders with respect to the facts underlying this release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with regard to any of such party’s rights or asserted rights.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This release may be pleaded as a full and complete defense and/or as a cross-complaint or counterclaim against any action, suit,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that may be instituted, prosecuted or attempted in breach of this release. Borrower acknowledges that the release contained herein constitutes a</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57" w:lineRule="exact"/>
        <w:rPr>
          <w:sz w:val="20"/>
          <w:szCs w:val="20"/>
          <w:color w:val="auto"/>
        </w:rPr>
      </w:pPr>
    </w:p>
    <w:p>
      <w:pPr>
        <w:jc w:val="both"/>
        <w:ind w:firstLine="8"/>
        <w:spacing w:after="0" w:line="223" w:lineRule="auto"/>
        <w:tabs>
          <w:tab w:leader="none" w:pos="64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as of the date hereof upon (i) the due execution and delivery of this Amendment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(ii) the due execution and delivery to Collateral Agent and Lenders of a certificate of Borrower in substantially the form of Annex I hereto executed by the Secretary of Borrower with appropriate insertions and attachments, and (iii) Borrower’s payment of a non-refundable amendment fee, fully earned as of the date hereof, in an amount equal to Fifty-Five Thousand Dollars ($55,000) to be shared among the Lenders in accordance with their respective Pro Rata Shares.</w:t>
      </w:r>
    </w:p>
    <w:p>
      <w:pPr>
        <w:spacing w:after="0" w:line="158" w:lineRule="exact"/>
        <w:rPr>
          <w:rFonts w:ascii="Arial" w:cs="Arial" w:eastAsia="Arial" w:hAnsi="Arial"/>
          <w:sz w:val="18"/>
          <w:szCs w:val="18"/>
          <w:b w:val="1"/>
          <w:bCs w:val="1"/>
          <w:color w:val="auto"/>
        </w:rPr>
      </w:pPr>
    </w:p>
    <w:p>
      <w:pPr>
        <w:jc w:val="both"/>
        <w:ind w:firstLine="8"/>
        <w:spacing w:after="0" w:line="231" w:lineRule="auto"/>
        <w:tabs>
          <w:tab w:leader="none" w:pos="64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one and the same instrument. Delivery by electronic transmission (e.g. “.pdf”) of an executed counterpart of this Amendment shall be effective as a manually executed counterpart signature thereof.</w:t>
      </w:r>
    </w:p>
    <w:p>
      <w:pPr>
        <w:spacing w:after="0" w:line="158" w:lineRule="exact"/>
        <w:rPr>
          <w:rFonts w:ascii="Arial" w:cs="Arial" w:eastAsia="Arial" w:hAnsi="Arial"/>
          <w:sz w:val="18"/>
          <w:szCs w:val="18"/>
          <w:b w:val="1"/>
          <w:bCs w:val="1"/>
          <w:color w:val="auto"/>
        </w:rPr>
      </w:pPr>
    </w:p>
    <w:p>
      <w:pPr>
        <w:jc w:val="both"/>
        <w:ind w:firstLine="8"/>
        <w:spacing w:after="0" w:line="230" w:lineRule="auto"/>
        <w:tabs>
          <w:tab w:leader="none" w:pos="648"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Execution. </w:t>
      </w:r>
      <w:r>
        <w:rPr>
          <w:rFonts w:ascii="Arial" w:cs="Arial" w:eastAsia="Arial" w:hAnsi="Arial"/>
          <w:sz w:val="17"/>
          <w:szCs w:val="17"/>
          <w:color w:val="auto"/>
        </w:rPr>
        <w:t>The words “execution,” “execute”, “signed,” “signature,” and words of like import in or related to any document to be</w:t>
      </w:r>
      <w:r>
        <w:rPr>
          <w:rFonts w:ascii="Arial" w:cs="Arial" w:eastAsia="Arial" w:hAnsi="Arial"/>
          <w:sz w:val="17"/>
          <w:szCs w:val="17"/>
          <w:b w:val="1"/>
          <w:bCs w:val="1"/>
          <w:color w:val="auto"/>
        </w:rPr>
        <w:t xml:space="preserve"> </w:t>
      </w:r>
      <w:r>
        <w:rPr>
          <w:rFonts w:ascii="Arial" w:cs="Arial" w:eastAsia="Arial" w:hAnsi="Arial"/>
          <w:sz w:val="17"/>
          <w:szCs w:val="17"/>
          <w:color w:val="auto"/>
        </w:rPr>
        <w:t>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0" w:lineRule="exact"/>
        <w:rPr>
          <w:rFonts w:ascii="Arial" w:cs="Arial" w:eastAsia="Arial" w:hAnsi="Arial"/>
          <w:sz w:val="17"/>
          <w:szCs w:val="17"/>
          <w:b w:val="1"/>
          <w:bCs w:val="1"/>
          <w:color w:val="auto"/>
        </w:rPr>
      </w:pPr>
    </w:p>
    <w:p>
      <w:pPr>
        <w:jc w:val="both"/>
        <w:ind w:firstLine="8"/>
        <w:spacing w:after="0" w:line="217" w:lineRule="auto"/>
        <w:tabs>
          <w:tab w:leader="none" w:pos="64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HEREUNDER SHALL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8" w:right="339" w:bottom="1440" w:gutter="0" w:footer="0" w:header="0"/>
        </w:sectPr>
      </w:pPr>
    </w:p>
    <w:bookmarkStart w:id="128" w:name="page129"/>
    <w:bookmarkEnd w:id="128"/>
    <w:p>
      <w:pPr>
        <w:ind w:firstLine="648"/>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Second Amendment to Loan and Security Agreement to be executed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set forth above.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BORROWER: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ARDELYX, INC.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Justin Renz</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Justin Renz</w:t>
      </w:r>
    </w:p>
    <w:p>
      <w:pPr>
        <w:ind w:left="20"/>
        <w:spacing w:after="0"/>
        <w:rPr>
          <w:sz w:val="20"/>
          <w:szCs w:val="20"/>
          <w:color w:val="auto"/>
        </w:rPr>
      </w:pPr>
      <w:r>
        <w:rPr>
          <w:rFonts w:ascii="Arial" w:cs="Arial" w:eastAsia="Arial" w:hAnsi="Arial"/>
          <w:sz w:val="18"/>
          <w:szCs w:val="18"/>
          <w:color w:val="auto"/>
        </w:rPr>
        <w:t>Title: Chief Financial and Operations Officer</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COLLATERAL AGENT AND LENDER: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INVESTMENT CORP.</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Anthony J. Storino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LENDERS: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SLR SENIOR INVESTMENT CORP.</w:t>
      </w:r>
    </w:p>
    <w:p>
      <w:pPr>
        <w:ind w:left="20"/>
        <w:spacing w:after="0" w:line="203" w:lineRule="auto"/>
        <w:rPr>
          <w:sz w:val="20"/>
          <w:szCs w:val="20"/>
          <w:color w:val="auto"/>
        </w:rPr>
      </w:pPr>
      <w:r>
        <w:rPr>
          <w:rFonts w:ascii="Arial" w:cs="Arial" w:eastAsia="Arial" w:hAnsi="Arial"/>
          <w:sz w:val="18"/>
          <w:szCs w:val="18"/>
          <w:color w:val="auto"/>
        </w:rPr>
        <w:t>SCP PRIVATE CREDIT INCOME FUND SPV, LLC</w:t>
      </w:r>
    </w:p>
    <w:p>
      <w:pPr>
        <w:ind w:left="20"/>
        <w:spacing w:after="0" w:line="203" w:lineRule="auto"/>
        <w:rPr>
          <w:sz w:val="20"/>
          <w:szCs w:val="20"/>
          <w:color w:val="auto"/>
        </w:rPr>
      </w:pPr>
      <w:r>
        <w:rPr>
          <w:rFonts w:ascii="Arial" w:cs="Arial" w:eastAsia="Arial" w:hAnsi="Arial"/>
          <w:sz w:val="18"/>
          <w:szCs w:val="18"/>
          <w:color w:val="auto"/>
        </w:rPr>
        <w:t>SCP PRIVATE CREDIT INCOME BDC SPV LLC</w:t>
      </w:r>
    </w:p>
    <w:p>
      <w:pPr>
        <w:ind w:left="20"/>
        <w:spacing w:after="0" w:line="220" w:lineRule="auto"/>
        <w:rPr>
          <w:sz w:val="20"/>
          <w:szCs w:val="20"/>
          <w:color w:val="auto"/>
        </w:rPr>
      </w:pPr>
      <w:r>
        <w:rPr>
          <w:rFonts w:ascii="Arial" w:cs="Arial" w:eastAsia="Arial" w:hAnsi="Arial"/>
          <w:sz w:val="18"/>
          <w:szCs w:val="18"/>
          <w:color w:val="auto"/>
        </w:rPr>
        <w:t>SCP PRIVATE CORPORATE LENDING FUND SPV LLC</w:t>
      </w:r>
    </w:p>
    <w:p>
      <w:pPr>
        <w:ind w:left="20"/>
        <w:spacing w:after="0" w:line="203" w:lineRule="auto"/>
        <w:rPr>
          <w:sz w:val="20"/>
          <w:szCs w:val="20"/>
          <w:color w:val="auto"/>
        </w:rPr>
      </w:pPr>
      <w:r>
        <w:rPr>
          <w:rFonts w:ascii="Arial" w:cs="Arial" w:eastAsia="Arial" w:hAnsi="Arial"/>
          <w:sz w:val="18"/>
          <w:szCs w:val="18"/>
          <w:color w:val="auto"/>
        </w:rPr>
        <w:t>SCP SF DEBT FUND L.P.</w:t>
      </w:r>
    </w:p>
    <w:p>
      <w:pPr>
        <w:ind w:left="20"/>
        <w:spacing w:after="0" w:line="204" w:lineRule="auto"/>
        <w:rPr>
          <w:sz w:val="20"/>
          <w:szCs w:val="20"/>
          <w:color w:val="auto"/>
        </w:rPr>
      </w:pPr>
      <w:r>
        <w:rPr>
          <w:rFonts w:ascii="Arial" w:cs="Arial" w:eastAsia="Arial" w:hAnsi="Arial"/>
          <w:sz w:val="18"/>
          <w:szCs w:val="18"/>
          <w:color w:val="auto"/>
        </w:rPr>
        <w:t>SLR HC FUND SPV, LLC</w:t>
      </w:r>
    </w:p>
    <w:p>
      <w:pPr>
        <w:ind w:left="20"/>
        <w:spacing w:after="0"/>
        <w:rPr>
          <w:sz w:val="20"/>
          <w:szCs w:val="20"/>
          <w:color w:val="auto"/>
        </w:rPr>
      </w:pPr>
      <w:r>
        <w:rPr>
          <w:rFonts w:ascii="Arial" w:cs="Arial" w:eastAsia="Arial" w:hAnsi="Arial"/>
          <w:sz w:val="18"/>
          <w:szCs w:val="18"/>
          <w:color w:val="auto"/>
        </w:rPr>
        <w:t>SLR HC BDC LLC</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-635</wp:posOffset>
            </wp:positionV>
            <wp:extent cx="1143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Name: Anthony J. Storino</w:t>
      </w:r>
    </w:p>
    <w:p>
      <w:pPr>
        <w:ind w:left="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Second Amendment to Loan and Security Agreement</w:t>
      </w:r>
      <w:r>
        <w:rPr>
          <w:rFonts w:ascii="Arial" w:cs="Arial" w:eastAsia="Arial" w:hAnsi="Arial"/>
          <w:sz w:val="18"/>
          <w:szCs w:val="18"/>
          <w:b w:val="1"/>
          <w:bCs w:val="1"/>
          <w:color w:val="auto"/>
        </w:rPr>
        <w:t>]</w:t>
      </w:r>
    </w:p>
    <w:p>
      <w:pPr>
        <w:sectPr>
          <w:pgSz w:w="11900" w:h="16838" w:orient="portrait"/>
          <w:cols w:equalWidth="0" w:num="1">
            <w:col w:w="11240"/>
          </w:cols>
          <w:pgMar w:left="320" w:top="1404" w:right="339" w:bottom="1440" w:gutter="0" w:footer="0" w:header="0"/>
        </w:sectPr>
      </w:pPr>
    </w:p>
    <w:bookmarkStart w:id="129" w:name="page130"/>
    <w:bookmarkEnd w:id="129"/>
    <w:p>
      <w:pPr>
        <w:jc w:val="center"/>
        <w:ind w:right="-79"/>
        <w:spacing w:after="0"/>
        <w:rPr>
          <w:sz w:val="20"/>
          <w:szCs w:val="20"/>
          <w:color w:val="auto"/>
        </w:rPr>
      </w:pPr>
      <w:r>
        <w:rPr>
          <w:rFonts w:ascii="Arial" w:cs="Arial" w:eastAsia="Arial" w:hAnsi="Arial"/>
          <w:sz w:val="18"/>
          <w:szCs w:val="18"/>
          <w:b w:val="1"/>
          <w:bCs w:val="1"/>
          <w:u w:val="single" w:color="auto"/>
          <w:color w:val="auto"/>
        </w:rPr>
        <w:t>Annex I</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CORPORATE BORROWING CERTIFICATE</w:t>
      </w:r>
    </w:p>
    <w:p>
      <w:pPr>
        <w:spacing w:after="0" w:line="171"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ARDELYX, INC.</w:t>
      </w:r>
      <w:r>
        <w:rPr>
          <w:sz w:val="20"/>
          <w:szCs w:val="20"/>
          <w:color w:val="auto"/>
        </w:rPr>
        <w:tab/>
      </w:r>
      <w:r>
        <w:rPr>
          <w:rFonts w:ascii="Arial" w:cs="Arial" w:eastAsia="Arial" w:hAnsi="Arial"/>
          <w:sz w:val="16"/>
          <w:szCs w:val="16"/>
          <w:b w:val="1"/>
          <w:bCs w:val="1"/>
          <w:color w:val="auto"/>
        </w:rPr>
        <w:t>DATE</w:t>
      </w:r>
      <w:r>
        <w:rPr>
          <w:rFonts w:ascii="Arial" w:cs="Arial" w:eastAsia="Arial" w:hAnsi="Arial"/>
          <w:sz w:val="16"/>
          <w:szCs w:val="16"/>
          <w:color w:val="auto"/>
        </w:rPr>
        <w:t>: February 7, 2023</w:t>
      </w:r>
    </w:p>
    <w:p>
      <w:pPr>
        <w:spacing w:after="0" w:line="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LENDER:</w:t>
      </w:r>
      <w:r>
        <w:rPr>
          <w:sz w:val="20"/>
          <w:szCs w:val="20"/>
          <w:color w:val="auto"/>
        </w:rPr>
        <w:tab/>
      </w:r>
      <w:r>
        <w:rPr>
          <w:rFonts w:ascii="Arial" w:cs="Arial" w:eastAsia="Arial" w:hAnsi="Arial"/>
          <w:sz w:val="16"/>
          <w:szCs w:val="16"/>
          <w:color w:val="auto"/>
        </w:rPr>
        <w:t>SLR INVESTMENT CORP., as Collateral Agent and Lender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solely in my capacity as an officer of Borrower and not in my individual capacity, as follows, as of the date set forth above:</w:t>
      </w:r>
    </w:p>
    <w:p>
      <w:pPr>
        <w:spacing w:after="0" w:line="171"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am the Secretary or other officer of Borrower. My title is as set forth below.</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171" w:lineRule="exact"/>
        <w:rPr>
          <w:rFonts w:ascii="Arial" w:cs="Arial" w:eastAsia="Arial" w:hAnsi="Arial"/>
          <w:sz w:val="18"/>
          <w:szCs w:val="18"/>
          <w:color w:val="auto"/>
        </w:rPr>
      </w:pPr>
    </w:p>
    <w:p>
      <w:pPr>
        <w:jc w:val="both"/>
        <w:ind w:firstLine="8"/>
        <w:spacing w:after="0" w:line="236" w:lineRule="auto"/>
        <w:tabs>
          <w:tab w:leader="none" w:pos="42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49" w:lineRule="exact"/>
        <w:rPr>
          <w:rFonts w:ascii="Arial" w:cs="Arial" w:eastAsia="Arial" w:hAnsi="Arial"/>
          <w:sz w:val="17"/>
          <w:szCs w:val="17"/>
          <w:color w:val="auto"/>
        </w:rPr>
      </w:pPr>
    </w:p>
    <w:p>
      <w:pPr>
        <w:jc w:val="both"/>
        <w:ind w:firstLine="8"/>
        <w:spacing w:after="0" w:line="223" w:lineRule="auto"/>
        <w:tabs>
          <w:tab w:leader="none" w:pos="3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(or a duly authorized committee thereof)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180"/>
          </w:cols>
          <w:pgMar w:left="320" w:top="1404" w:right="399" w:bottom="1440" w:gutter="0" w:footer="0" w:header="0"/>
        </w:sectPr>
      </w:pPr>
    </w:p>
    <w:bookmarkStart w:id="130" w:name="page131"/>
    <w:bookmarkEnd w:id="130"/>
    <w:p>
      <w:pPr>
        <w:spacing w:after="0" w:line="167" w:lineRule="exact"/>
        <w:rPr>
          <w:sz w:val="20"/>
          <w:szCs w:val="20"/>
          <w:color w:val="auto"/>
        </w:rPr>
      </w:pPr>
    </w:p>
    <w:p>
      <w:pPr>
        <w:ind w:left="580" w:right="560"/>
        <w:spacing w:after="0" w:line="23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following officers or employees of Borrower, whose names, titles and signatures are below, may act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Borrower: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8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Authorized to Add or</w:t>
            </w:r>
          </w:p>
        </w:tc>
      </w:tr>
      <w:tr>
        <w:trPr>
          <w:trHeight w:val="190"/>
        </w:trPr>
        <w:tc>
          <w:tcPr>
            <w:tcW w:w="980" w:type="dxa"/>
            <w:vAlign w:val="bottom"/>
          </w:tcPr>
          <w:p>
            <w:pPr>
              <w:spacing w:after="0"/>
              <w:rPr>
                <w:sz w:val="16"/>
                <w:szCs w:val="16"/>
                <w:color w:val="auto"/>
              </w:rPr>
            </w:pPr>
          </w:p>
        </w:tc>
        <w:tc>
          <w:tcPr>
            <w:tcW w:w="440" w:type="dxa"/>
            <w:vAlign w:val="bottom"/>
          </w:tcPr>
          <w:p>
            <w:pPr>
              <w:spacing w:after="0" w:line="190" w:lineRule="exact"/>
              <w:rPr>
                <w:sz w:val="20"/>
                <w:szCs w:val="20"/>
                <w:color w:val="auto"/>
              </w:rPr>
            </w:pPr>
            <w:r>
              <w:rPr>
                <w:rFonts w:ascii="Arial" w:cs="Arial" w:eastAsia="Arial" w:hAnsi="Arial"/>
                <w:sz w:val="18"/>
                <w:szCs w:val="18"/>
                <w:color w:val="auto"/>
                <w:w w:val="87"/>
              </w:rPr>
              <w:t>Name</w:t>
            </w:r>
          </w:p>
        </w:tc>
        <w:tc>
          <w:tcPr>
            <w:tcW w:w="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line="190" w:lineRule="exact"/>
              <w:rPr>
                <w:sz w:val="20"/>
                <w:szCs w:val="20"/>
                <w:color w:val="auto"/>
              </w:rPr>
            </w:pPr>
            <w:r>
              <w:rPr>
                <w:rFonts w:ascii="Arial" w:cs="Arial" w:eastAsia="Arial" w:hAnsi="Arial"/>
                <w:sz w:val="18"/>
                <w:szCs w:val="18"/>
                <w:color w:val="auto"/>
                <w:w w:val="93"/>
              </w:rPr>
              <w:t>Title</w:t>
            </w:r>
          </w:p>
        </w:tc>
        <w:tc>
          <w:tcPr>
            <w:tcW w:w="1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80" w:type="dxa"/>
            <w:vAlign w:val="bottom"/>
          </w:tcPr>
          <w:p>
            <w:pPr>
              <w:spacing w:after="0" w:line="190" w:lineRule="exact"/>
              <w:rPr>
                <w:sz w:val="20"/>
                <w:szCs w:val="20"/>
                <w:color w:val="auto"/>
              </w:rPr>
            </w:pPr>
            <w:r>
              <w:rPr>
                <w:rFonts w:ascii="Arial" w:cs="Arial" w:eastAsia="Arial" w:hAnsi="Arial"/>
                <w:sz w:val="18"/>
                <w:szCs w:val="18"/>
                <w:color w:val="auto"/>
                <w:w w:val="85"/>
              </w:rPr>
              <w:t>Signature</w:t>
            </w:r>
          </w:p>
        </w:tc>
        <w:tc>
          <w:tcPr>
            <w:tcW w:w="540" w:type="dxa"/>
            <w:vAlign w:val="bottom"/>
          </w:tcPr>
          <w:p>
            <w:pPr>
              <w:spacing w:after="0"/>
              <w:rPr>
                <w:sz w:val="16"/>
                <w:szCs w:val="16"/>
                <w:color w:val="auto"/>
              </w:rPr>
            </w:pPr>
          </w:p>
        </w:tc>
        <w:tc>
          <w:tcPr>
            <w:tcW w:w="2080" w:type="dxa"/>
            <w:vAlign w:val="bottom"/>
            <w:gridSpan w:val="3"/>
          </w:tcPr>
          <w:p>
            <w:pPr>
              <w:jc w:val="center"/>
              <w:ind w:left="450"/>
              <w:spacing w:after="0" w:line="190" w:lineRule="exact"/>
              <w:rPr>
                <w:sz w:val="20"/>
                <w:szCs w:val="20"/>
                <w:color w:val="auto"/>
              </w:rPr>
            </w:pPr>
            <w:r>
              <w:rPr>
                <w:rFonts w:ascii="Arial" w:cs="Arial" w:eastAsia="Arial" w:hAnsi="Arial"/>
                <w:sz w:val="18"/>
                <w:szCs w:val="18"/>
                <w:color w:val="auto"/>
                <w:w w:val="90"/>
              </w:rPr>
              <w:t>Remove Signatories</w:t>
            </w: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1980" w:type="dxa"/>
            <w:vAlign w:val="bottom"/>
            <w:gridSpan w:val="3"/>
          </w:tcPr>
          <w:p>
            <w:pPr>
              <w:spacing w:after="0"/>
              <w:rPr>
                <w:sz w:val="20"/>
                <w:szCs w:val="20"/>
                <w:color w:val="auto"/>
              </w:rPr>
            </w:pPr>
            <w:r>
              <w:rPr>
                <w:rFonts w:ascii="Arial" w:cs="Arial" w:eastAsia="Arial" w:hAnsi="Arial"/>
                <w:sz w:val="18"/>
                <w:szCs w:val="18"/>
                <w:color w:val="auto"/>
              </w:rPr>
              <w:t>Michael Raab</w:t>
            </w:r>
          </w:p>
        </w:tc>
        <w:tc>
          <w:tcPr>
            <w:tcW w:w="4020" w:type="dxa"/>
            <w:vAlign w:val="bottom"/>
            <w:gridSpan w:val="3"/>
          </w:tcPr>
          <w:p>
            <w:pPr>
              <w:ind w:left="560"/>
              <w:spacing w:after="0"/>
              <w:rPr>
                <w:sz w:val="20"/>
                <w:szCs w:val="20"/>
                <w:color w:val="auto"/>
              </w:rPr>
            </w:pPr>
            <w:r>
              <w:rPr>
                <w:rFonts w:ascii="Arial" w:cs="Arial" w:eastAsia="Arial" w:hAnsi="Arial"/>
                <w:sz w:val="18"/>
                <w:szCs w:val="18"/>
                <w:color w:val="auto"/>
              </w:rPr>
              <w:t>Chief Executive Officer</w:t>
            </w:r>
          </w:p>
        </w:tc>
        <w:tc>
          <w:tcPr>
            <w:tcW w:w="2940" w:type="dxa"/>
            <w:vAlign w:val="bottom"/>
            <w:gridSpan w:val="3"/>
          </w:tcPr>
          <w:p>
            <w:pPr>
              <w:ind w:left="840"/>
              <w:spacing w:after="0"/>
              <w:rPr>
                <w:sz w:val="20"/>
                <w:szCs w:val="20"/>
                <w:color w:val="auto"/>
              </w:rPr>
            </w:pPr>
            <w:r>
              <w:rPr>
                <w:rFonts w:ascii="Arial" w:cs="Arial" w:eastAsia="Arial" w:hAnsi="Arial"/>
                <w:sz w:val="18"/>
                <w:szCs w:val="18"/>
                <w:color w:val="auto"/>
              </w:rPr>
              <w:t>/s/ Michael Raab</w:t>
            </w:r>
          </w:p>
        </w:tc>
        <w:tc>
          <w:tcPr>
            <w:tcW w:w="1220" w:type="dxa"/>
            <w:vAlign w:val="bottom"/>
          </w:tcPr>
          <w:p>
            <w:pPr>
              <w:spacing w:after="0"/>
              <w:rPr>
                <w:sz w:val="21"/>
                <w:szCs w:val="21"/>
                <w:color w:val="auto"/>
              </w:rPr>
            </w:pPr>
          </w:p>
        </w:tc>
        <w:tc>
          <w:tcPr>
            <w:tcW w:w="860" w:type="dxa"/>
            <w:vAlign w:val="bottom"/>
            <w:gridSpan w:val="2"/>
          </w:tcPr>
          <w:p>
            <w:pPr>
              <w:jc w:val="center"/>
              <w:ind w:right="680"/>
              <w:spacing w:after="0"/>
              <w:rPr>
                <w:sz w:val="20"/>
                <w:szCs w:val="20"/>
                <w:color w:val="auto"/>
              </w:rPr>
            </w:pPr>
            <w:r>
              <w:rPr>
                <w:rFonts w:ascii="Arial" w:cs="Arial" w:eastAsia="Arial" w:hAnsi="Arial"/>
                <w:sz w:val="18"/>
                <w:szCs w:val="18"/>
                <w:color w:val="auto"/>
              </w:rPr>
              <w:t>X</w:t>
            </w:r>
          </w:p>
        </w:tc>
      </w:tr>
      <w:tr>
        <w:trPr>
          <w:trHeight w:val="229"/>
        </w:trPr>
        <w:tc>
          <w:tcPr>
            <w:tcW w:w="1980" w:type="dxa"/>
            <w:vAlign w:val="bottom"/>
            <w:gridSpan w:val="3"/>
          </w:tcPr>
          <w:p>
            <w:pPr>
              <w:spacing w:after="0"/>
              <w:rPr>
                <w:sz w:val="20"/>
                <w:szCs w:val="20"/>
                <w:color w:val="auto"/>
              </w:rPr>
            </w:pPr>
            <w:r>
              <w:rPr>
                <w:rFonts w:ascii="Arial" w:cs="Arial" w:eastAsia="Arial" w:hAnsi="Arial"/>
                <w:sz w:val="18"/>
                <w:szCs w:val="18"/>
                <w:color w:val="auto"/>
              </w:rPr>
              <w:t>Justin Renz</w:t>
            </w:r>
          </w:p>
        </w:tc>
        <w:tc>
          <w:tcPr>
            <w:tcW w:w="4020" w:type="dxa"/>
            <w:vAlign w:val="bottom"/>
            <w:gridSpan w:val="3"/>
          </w:tcPr>
          <w:p>
            <w:pPr>
              <w:ind w:left="560"/>
              <w:spacing w:after="0"/>
              <w:rPr>
                <w:sz w:val="20"/>
                <w:szCs w:val="20"/>
                <w:color w:val="auto"/>
              </w:rPr>
            </w:pPr>
            <w:r>
              <w:rPr>
                <w:rFonts w:ascii="Arial" w:cs="Arial" w:eastAsia="Arial" w:hAnsi="Arial"/>
                <w:sz w:val="18"/>
                <w:szCs w:val="18"/>
                <w:color w:val="auto"/>
              </w:rPr>
              <w:t>Chief Financial &amp; Operating Officer</w:t>
            </w:r>
          </w:p>
        </w:tc>
        <w:tc>
          <w:tcPr>
            <w:tcW w:w="2940" w:type="dxa"/>
            <w:vAlign w:val="bottom"/>
            <w:gridSpan w:val="3"/>
          </w:tcPr>
          <w:p>
            <w:pPr>
              <w:ind w:left="840"/>
              <w:spacing w:after="0"/>
              <w:rPr>
                <w:sz w:val="20"/>
                <w:szCs w:val="20"/>
                <w:color w:val="auto"/>
              </w:rPr>
            </w:pPr>
            <w:r>
              <w:rPr>
                <w:rFonts w:ascii="Arial" w:cs="Arial" w:eastAsia="Arial" w:hAnsi="Arial"/>
                <w:sz w:val="18"/>
                <w:szCs w:val="18"/>
                <w:color w:val="auto"/>
              </w:rPr>
              <w:t>/s/ Justin Renz</w:t>
            </w:r>
          </w:p>
        </w:tc>
        <w:tc>
          <w:tcPr>
            <w:tcW w:w="1220" w:type="dxa"/>
            <w:vAlign w:val="bottom"/>
          </w:tcPr>
          <w:p>
            <w:pPr>
              <w:spacing w:after="0"/>
              <w:rPr>
                <w:sz w:val="19"/>
                <w:szCs w:val="19"/>
                <w:color w:val="auto"/>
              </w:rPr>
            </w:pPr>
          </w:p>
        </w:tc>
        <w:tc>
          <w:tcPr>
            <w:tcW w:w="860" w:type="dxa"/>
            <w:vAlign w:val="bottom"/>
            <w:gridSpan w:val="2"/>
          </w:tcPr>
          <w:p>
            <w:pPr>
              <w:jc w:val="center"/>
              <w:ind w:right="680"/>
              <w:spacing w:after="0"/>
              <w:rPr>
                <w:sz w:val="20"/>
                <w:szCs w:val="20"/>
                <w:color w:val="auto"/>
              </w:rPr>
            </w:pPr>
            <w:r>
              <w:rPr>
                <w:rFonts w:ascii="Arial" w:cs="Arial" w:eastAsia="Arial" w:hAnsi="Arial"/>
                <w:sz w:val="18"/>
                <w:szCs w:val="18"/>
                <w:color w:val="auto"/>
              </w:rPr>
              <w:t>X</w:t>
            </w:r>
          </w:p>
        </w:tc>
      </w:tr>
      <w:tr>
        <w:trPr>
          <w:trHeight w:val="229"/>
        </w:trPr>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w:t>
            </w:r>
          </w:p>
        </w:tc>
      </w:tr>
      <w:tr>
        <w:trPr>
          <w:trHeight w:val="230"/>
        </w:trPr>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w:t>
            </w:r>
          </w:p>
        </w:tc>
      </w:tr>
    </w:tbl>
    <w:p>
      <w:pPr>
        <w:spacing w:after="0" w:line="346" w:lineRule="exact"/>
        <w:rPr>
          <w:sz w:val="20"/>
          <w:szCs w:val="20"/>
          <w:color w:val="auto"/>
        </w:rPr>
      </w:pPr>
    </w:p>
    <w:p>
      <w:pPr>
        <w:ind w:left="580" w:right="180"/>
        <w:spacing w:after="0" w:line="250"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add or remove any individuals to and from the above list of persons authorized to act on behalf of Borrower.</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such individuals may, on behalf of Borrower:</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w:t>
      </w:r>
    </w:p>
    <w:p>
      <w:pPr>
        <w:spacing w:after="0" w:line="171" w:lineRule="exact"/>
        <w:rPr>
          <w:sz w:val="20"/>
          <w:szCs w:val="20"/>
          <w:color w:val="auto"/>
        </w:rPr>
      </w:pPr>
    </w:p>
    <w:p>
      <w:pPr>
        <w:ind w:left="580" w:right="200"/>
        <w:spacing w:after="0" w:line="237" w:lineRule="auto"/>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any Lender requires, including that certain Second Amendment to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dated on or about even date herewith.</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any of Borrower’s assets (excluding intellectual property).</w:t>
      </w:r>
    </w:p>
    <w:p>
      <w:pPr>
        <w:spacing w:after="0" w:line="171" w:lineRule="exact"/>
        <w:rPr>
          <w:sz w:val="20"/>
          <w:szCs w:val="20"/>
          <w:color w:val="auto"/>
        </w:rPr>
      </w:pPr>
    </w:p>
    <w:p>
      <w:pPr>
        <w:ind w:left="580" w:right="180"/>
        <w:spacing w:after="0" w:line="237"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receive cash or otherwise use the proceeds.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Pay Fees</w:t>
      </w:r>
      <w:r>
        <w:rPr>
          <w:rFonts w:ascii="Arial" w:cs="Arial" w:eastAsia="Arial" w:hAnsi="Arial"/>
          <w:sz w:val="18"/>
          <w:szCs w:val="18"/>
          <w:color w:val="auto"/>
        </w:rPr>
        <w:t>. Pay fees under the Loan Agreement or any other Loan Document.</w:t>
      </w:r>
    </w:p>
    <w:p>
      <w:pPr>
        <w:spacing w:after="0" w:line="171" w:lineRule="exact"/>
        <w:rPr>
          <w:sz w:val="20"/>
          <w:szCs w:val="20"/>
          <w:color w:val="auto"/>
        </w:rPr>
      </w:pPr>
    </w:p>
    <w:p>
      <w:pPr>
        <w:ind w:left="580" w:right="180"/>
        <w:spacing w:after="0" w:line="279" w:lineRule="auto"/>
        <w:rPr>
          <w:sz w:val="20"/>
          <w:szCs w:val="20"/>
          <w:color w:val="auto"/>
        </w:rPr>
      </w:pPr>
      <w:r>
        <w:rPr>
          <w:rFonts w:ascii="Arial" w:cs="Arial" w:eastAsia="Arial" w:hAnsi="Arial"/>
          <w:sz w:val="17"/>
          <w:szCs w:val="17"/>
          <w:b w:val="1"/>
          <w:bCs w:val="1"/>
          <w:color w:val="auto"/>
        </w:rPr>
        <w:t>Further Acts</w:t>
      </w:r>
      <w:r>
        <w:rPr>
          <w:rFonts w:ascii="Arial" w:cs="Arial" w:eastAsia="Arial" w:hAnsi="Arial"/>
          <w:sz w:val="17"/>
          <w:szCs w:val="17"/>
          <w:color w:val="auto"/>
        </w:rPr>
        <w:t>. Designate other individuals to request advances, pay fees and costs and execute other documents or agreements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agreement that waive Borrower’s right to a jury trial) they believe to be necessary to effectuate such resolutions.</w:t>
      </w:r>
    </w:p>
    <w:p>
      <w:pPr>
        <w:spacing w:after="0" w:line="9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all acts authorized by the above resolutions and any prior acts relating thereto are ratified.</w:t>
      </w:r>
    </w:p>
    <w:p>
      <w:pPr>
        <w:spacing w:after="0" w:line="171"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020"/>
          </w:cols>
          <w:pgMar w:left="400" w:top="1440" w:right="479" w:bottom="1440" w:gutter="0" w:footer="0" w:header="0"/>
        </w:sectPr>
      </w:pPr>
    </w:p>
    <w:bookmarkStart w:id="131" w:name="page132"/>
    <w:bookmarkEnd w:id="131"/>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persons listed above are Borrower’s officers or employees with their titles and signatures shown next to their names.</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By: /s/ Justin Renz</w:t>
      </w:r>
    </w:p>
    <w:p>
      <w:pPr>
        <w:ind w:left="4600"/>
        <w:spacing w:after="0" w:line="203" w:lineRule="auto"/>
        <w:rPr>
          <w:sz w:val="20"/>
          <w:szCs w:val="20"/>
          <w:color w:val="auto"/>
        </w:rPr>
      </w:pPr>
      <w:r>
        <w:rPr>
          <w:rFonts w:ascii="Arial" w:cs="Arial" w:eastAsia="Arial" w:hAnsi="Arial"/>
          <w:sz w:val="18"/>
          <w:szCs w:val="18"/>
          <w:b w:val="1"/>
          <w:bCs w:val="1"/>
          <w:color w:val="auto"/>
        </w:rPr>
        <w:t>Name: Justin Renz</w:t>
      </w:r>
    </w:p>
    <w:p>
      <w:pPr>
        <w:ind w:left="4600"/>
        <w:spacing w:after="0"/>
        <w:rPr>
          <w:sz w:val="20"/>
          <w:szCs w:val="20"/>
          <w:color w:val="auto"/>
        </w:rPr>
      </w:pPr>
      <w:r>
        <w:rPr>
          <w:rFonts w:ascii="Arial" w:cs="Arial" w:eastAsia="Arial" w:hAnsi="Arial"/>
          <w:sz w:val="18"/>
          <w:szCs w:val="18"/>
          <w:b w:val="1"/>
          <w:bCs w:val="1"/>
          <w:color w:val="auto"/>
        </w:rPr>
        <w:t>Title: Chief Financial and Operating Officer</w:t>
      </w:r>
    </w:p>
    <w:p>
      <w:pPr>
        <w:spacing w:after="0" w:line="155" w:lineRule="exact"/>
        <w:rPr>
          <w:sz w:val="20"/>
          <w:szCs w:val="20"/>
          <w:color w:val="auto"/>
        </w:rPr>
      </w:pPr>
    </w:p>
    <w:p>
      <w:pPr>
        <w:ind w:left="80" w:hanging="7"/>
        <w:spacing w:after="0" w:line="246" w:lineRule="auto"/>
        <w:tabs>
          <w:tab w:leader="none" w:pos="39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If the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the </w:t>
      </w:r>
      <w:r>
        <w:rPr>
          <w:rFonts w:ascii="Arial" w:cs="Arial" w:eastAsia="Arial" w:hAnsi="Arial"/>
          <w:sz w:val="18"/>
          <w:szCs w:val="18"/>
          <w:u w:val="single" w:color="auto"/>
          <w:color w:val="auto"/>
        </w:rPr>
        <w:t>CEO</w:t>
      </w:r>
      <w:r>
        <w:rPr>
          <w:rFonts w:ascii="Arial" w:cs="Arial" w:eastAsia="Arial" w:hAnsi="Arial"/>
          <w:sz w:val="18"/>
          <w:szCs w:val="18"/>
          <w:color w:val="auto"/>
        </w:rPr>
        <w:t xml:space="preserve"> of Borrower, hereby certify as to paragraphs 1 through 5 above, as </w:t>
      </w:r>
      <w:r>
        <w:rPr>
          <w:rFonts w:ascii="Arial" w:cs="Arial" w:eastAsia="Arial" w:hAnsi="Arial"/>
          <w:sz w:val="18"/>
          <w:szCs w:val="18"/>
          <w:u w:val="single" w:color="auto"/>
          <w:color w:val="auto"/>
        </w:rPr>
        <w:t>February 9, 2023</w:t>
      </w:r>
      <w:r>
        <w:rPr>
          <w:rFonts w:ascii="Arial" w:cs="Arial" w:eastAsia="Arial" w:hAnsi="Arial"/>
          <w:sz w:val="18"/>
          <w:szCs w:val="18"/>
          <w:color w:val="auto"/>
        </w:rPr>
        <w:t xml:space="preserve"> on the date set</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forth above.</w:t>
      </w:r>
    </w:p>
    <w:p>
      <w:pPr>
        <w:spacing w:after="0" w:line="16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By: /s/ Michael Raab</w:t>
      </w:r>
    </w:p>
    <w:p>
      <w:pPr>
        <w:spacing w:after="0" w:line="16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Name: Michael Raab</w:t>
      </w:r>
    </w:p>
    <w:p>
      <w:pPr>
        <w:ind w:left="4600"/>
        <w:spacing w:after="0"/>
        <w:rPr>
          <w:sz w:val="20"/>
          <w:szCs w:val="20"/>
          <w:color w:val="auto"/>
        </w:rPr>
      </w:pPr>
      <w:r>
        <w:rPr>
          <w:rFonts w:ascii="Arial" w:cs="Arial" w:eastAsia="Arial" w:hAnsi="Arial"/>
          <w:sz w:val="18"/>
          <w:szCs w:val="18"/>
          <w:b w:val="1"/>
          <w:bCs w:val="1"/>
          <w:color w:val="auto"/>
        </w:rPr>
        <w:t>Title: Chief Executive Officer</w:t>
      </w:r>
    </w:p>
    <w:p>
      <w:pPr>
        <w:sectPr>
          <w:pgSz w:w="11900" w:h="16838" w:orient="portrait"/>
          <w:cols w:equalWidth="0" w:num="1">
            <w:col w:w="11000"/>
          </w:cols>
          <w:pgMar w:left="320" w:top="1440" w:right="579" w:bottom="1440" w:gutter="0" w:footer="0" w:header="0"/>
        </w:sectPr>
      </w:pPr>
    </w:p>
    <w:bookmarkStart w:id="132" w:name="page133"/>
    <w:bookmarkEnd w:id="132"/>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Certificate of Incorporation (including amendments)</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ectPr>
          <w:pgSz w:w="11900" w:h="16838" w:orient="portrait"/>
          <w:cols w:equalWidth="0" w:num="1">
            <w:col w:w="9019"/>
          </w:cols>
          <w:pgMar w:left="1440" w:top="1440"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Bylaws</w:t>
      </w:r>
    </w:p>
    <w:p>
      <w:pPr>
        <w:sectPr>
          <w:pgSz w:w="11900" w:h="16838" w:orient="portrait"/>
          <w:cols w:equalWidth="0" w:num="1">
            <w:col w:w="9019"/>
          </w:cols>
          <w:pgMar w:left="1440" w:top="1440" w:right="1440"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 10.27(b)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both (i) not material and (ii) is the type that the registrant treats as private or confidential.</w:t>
      </w:r>
    </w:p>
    <w:p>
      <w:pPr>
        <w:spacing w:after="0" w:line="26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First Amendment to Manufacturing Services Agreement</w:t>
      </w:r>
    </w:p>
    <w:p>
      <w:pPr>
        <w:spacing w:after="0" w:line="22"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Between Ardelyx, Inc. and Patheon Pharmaceuticals Inc.</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AMENDMENT NO. 1 </w:t>
      </w:r>
      <w:r>
        <w:rPr>
          <w:rFonts w:ascii="Arial" w:cs="Arial" w:eastAsia="Arial" w:hAnsi="Arial"/>
          <w:sz w:val="19"/>
          <w:szCs w:val="19"/>
          <w:color w:val="auto"/>
        </w:rPr>
        <w:t>(“</w:t>
      </w:r>
      <w:r>
        <w:rPr>
          <w:rFonts w:ascii="Arial" w:cs="Arial" w:eastAsia="Arial" w:hAnsi="Arial"/>
          <w:sz w:val="19"/>
          <w:szCs w:val="19"/>
          <w:b w:val="1"/>
          <w:bCs w:val="1"/>
          <w:color w:val="auto"/>
        </w:rPr>
        <w:t>Amendment 1</w:t>
      </w:r>
      <w:r>
        <w:rPr>
          <w:rFonts w:ascii="Arial" w:cs="Arial" w:eastAsia="Arial" w:hAnsi="Arial"/>
          <w:sz w:val="19"/>
          <w:szCs w:val="19"/>
          <w:color w:val="auto"/>
        </w:rPr>
        <w:t>”) is entered into by and between</w:t>
      </w:r>
      <w:r>
        <w:rPr>
          <w:rFonts w:ascii="Arial" w:cs="Arial" w:eastAsia="Arial" w:hAnsi="Arial"/>
          <w:sz w:val="19"/>
          <w:szCs w:val="19"/>
          <w:b w:val="1"/>
          <w:bCs w:val="1"/>
          <w:color w:val="auto"/>
        </w:rPr>
        <w:t xml:space="preserve"> Ardelyx, Inc. </w:t>
      </w:r>
      <w:r>
        <w:rPr>
          <w:rFonts w:ascii="Arial" w:cs="Arial" w:eastAsia="Arial" w:hAnsi="Arial"/>
          <w:sz w:val="19"/>
          <w:szCs w:val="19"/>
          <w:color w:val="auto"/>
        </w:rPr>
        <w:t>a Delaware corporation with a principal</w:t>
      </w:r>
    </w:p>
    <w:p>
      <w:pPr>
        <w:spacing w:after="0" w:line="6"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place of business at 400 5th Ave., Suite 210, Waltham, MA 02451, USA (“</w:t>
      </w:r>
      <w:r>
        <w:rPr>
          <w:rFonts w:ascii="Arial" w:cs="Arial" w:eastAsia="Arial" w:hAnsi="Arial"/>
          <w:sz w:val="20"/>
          <w:szCs w:val="20"/>
          <w:b w:val="1"/>
          <w:bCs w:val="1"/>
          <w:color w:val="auto"/>
        </w:rPr>
        <w:t>Client</w:t>
      </w:r>
      <w:r>
        <w:rPr>
          <w:rFonts w:ascii="Arial" w:cs="Arial" w:eastAsia="Arial" w:hAnsi="Arial"/>
          <w:sz w:val="20"/>
          <w:szCs w:val="20"/>
          <w:color w:val="auto"/>
        </w:rPr>
        <w:t xml:space="preserve">”) and </w:t>
      </w:r>
      <w:r>
        <w:rPr>
          <w:rFonts w:ascii="Arial" w:cs="Arial" w:eastAsia="Arial" w:hAnsi="Arial"/>
          <w:sz w:val="20"/>
          <w:szCs w:val="20"/>
          <w:b w:val="1"/>
          <w:bCs w:val="1"/>
          <w:color w:val="auto"/>
        </w:rPr>
        <w:t>Patheon Pharmaceuticals Inc.</w:t>
      </w:r>
      <w:r>
        <w:rPr>
          <w:rFonts w:ascii="Arial" w:cs="Arial" w:eastAsia="Arial" w:hAnsi="Arial"/>
          <w:sz w:val="20"/>
          <w:szCs w:val="20"/>
          <w:color w:val="auto"/>
        </w:rPr>
        <w:t>, located at 2110 East Galbraith Road, Cincinnati, OH 45237, USA (“</w:t>
      </w:r>
      <w:r>
        <w:rPr>
          <w:rFonts w:ascii="Arial" w:cs="Arial" w:eastAsia="Arial" w:hAnsi="Arial"/>
          <w:sz w:val="20"/>
          <w:szCs w:val="20"/>
          <w:b w:val="1"/>
          <w:bCs w:val="1"/>
          <w:color w:val="auto"/>
        </w:rPr>
        <w:t>Patheon</w:t>
      </w:r>
      <w:r>
        <w:rPr>
          <w:rFonts w:ascii="Arial" w:cs="Arial" w:eastAsia="Arial" w:hAnsi="Arial"/>
          <w:sz w:val="20"/>
          <w:szCs w:val="20"/>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Patheon and Client entered into that certain Manufacturing Services Agreement dated May 18, 2020 (the “</w:t>
      </w:r>
      <w:r>
        <w:rPr>
          <w:rFonts w:ascii="Arial" w:cs="Arial" w:eastAsia="Arial" w:hAnsi="Arial"/>
          <w:sz w:val="20"/>
          <w:szCs w:val="20"/>
          <w:b w:val="1"/>
          <w:bCs w:val="1"/>
          <w:color w:val="auto"/>
        </w:rPr>
        <w:t>MSA</w:t>
      </w:r>
      <w:r>
        <w:rPr>
          <w:rFonts w:ascii="Arial" w:cs="Arial" w:eastAsia="Arial" w:hAnsi="Arial"/>
          <w:sz w:val="20"/>
          <w:szCs w:val="20"/>
          <w:color w:val="auto"/>
        </w:rPr>
        <w:t>”);</w:t>
      </w:r>
    </w:p>
    <w:p>
      <w:pPr>
        <w:spacing w:after="0" w:line="189" w:lineRule="exact"/>
        <w:rPr>
          <w:sz w:val="20"/>
          <w:szCs w:val="20"/>
          <w:color w:val="auto"/>
        </w:rPr>
      </w:pPr>
    </w:p>
    <w:p>
      <w:pPr>
        <w:ind w:right="320"/>
        <w:spacing w:after="0" w:line="232" w:lineRule="auto"/>
        <w:rPr>
          <w:sz w:val="20"/>
          <w:szCs w:val="20"/>
          <w:color w:val="auto"/>
        </w:rPr>
      </w:pPr>
      <w:r>
        <w:rPr>
          <w:rFonts w:ascii="Arial" w:cs="Arial" w:eastAsia="Arial" w:hAnsi="Arial"/>
          <w:sz w:val="20"/>
          <w:szCs w:val="20"/>
          <w:b w:val="1"/>
          <w:bCs w:val="1"/>
          <w:color w:val="auto"/>
        </w:rPr>
        <w:t xml:space="preserve">AND WHEREAS, </w:t>
      </w:r>
      <w:r>
        <w:rPr>
          <w:rFonts w:ascii="Arial" w:cs="Arial" w:eastAsia="Arial" w:hAnsi="Arial"/>
          <w:sz w:val="20"/>
          <w:szCs w:val="20"/>
          <w:color w:val="auto"/>
        </w:rPr>
        <w:t>Patheon and Client wish to amend the MSA as set forth in this Amendment. All capitalized terms used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this Amendment shall have the respective meanings set forth in the MSA;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that are hereby incorporated by reference hereunder and made a part of</w:t>
      </w:r>
    </w:p>
    <w:p>
      <w:pPr>
        <w:spacing w:after="0" w:line="18"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this Amendment 1 as if expressly set forth below, the promises and agreements contained herein, and for other good and valuable consideration, the receipt and sufficiency of which are hereby acknowledged, the Parties wish to amend the MSA as follows:</w:t>
      </w:r>
    </w:p>
    <w:p>
      <w:pPr>
        <w:spacing w:after="0" w:line="154"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Amendment 1 shall take effect as of the date last signed below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ind w:left="660" w:hanging="652"/>
        <w:spacing w:after="0"/>
        <w:tabs>
          <w:tab w:leader="none" w:pos="6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Appendix 1 “Commercial Supply Pricing” of the MSA is deleted in its entirety and shall be replaced as set forth in Exhibit 1</w:t>
      </w:r>
    </w:p>
    <w:p>
      <w:pPr>
        <w:spacing w:after="0"/>
        <w:rPr>
          <w:rFonts w:ascii="Arial" w:cs="Arial" w:eastAsia="Arial" w:hAnsi="Arial"/>
          <w:sz w:val="19"/>
          <w:szCs w:val="19"/>
          <w:color w:val="auto"/>
        </w:rPr>
      </w:pPr>
      <w:r>
        <w:rPr>
          <w:rFonts w:ascii="Arial" w:cs="Arial" w:eastAsia="Arial" w:hAnsi="Arial"/>
          <w:sz w:val="20"/>
          <w:szCs w:val="20"/>
          <w:color w:val="auto"/>
        </w:rPr>
        <w:t>hereto.</w:t>
      </w:r>
    </w:p>
    <w:p>
      <w:pPr>
        <w:spacing w:after="0" w:line="172" w:lineRule="exact"/>
        <w:rPr>
          <w:rFonts w:ascii="Arial" w:cs="Arial" w:eastAsia="Arial" w:hAnsi="Arial"/>
          <w:sz w:val="19"/>
          <w:szCs w:val="19"/>
          <w:color w:val="auto"/>
        </w:rPr>
      </w:pPr>
    </w:p>
    <w:p>
      <w:pPr>
        <w:jc w:val="both"/>
        <w:ind w:right="320" w:firstLine="8"/>
        <w:spacing w:after="0" w:line="223" w:lineRule="auto"/>
        <w:tabs>
          <w:tab w:leader="none" w:pos="648" w:val="left"/>
        </w:tabs>
        <w:numPr>
          <w:ilvl w:val="0"/>
          <w:numId w:val="78"/>
        </w:numPr>
        <w:rPr>
          <w:rFonts w:ascii="Arial" w:cs="Arial" w:eastAsia="Arial" w:hAnsi="Arial"/>
          <w:sz w:val="20"/>
          <w:szCs w:val="20"/>
          <w:color w:val="auto"/>
        </w:rPr>
      </w:pPr>
      <w:r>
        <w:rPr>
          <w:rFonts w:ascii="Arial" w:cs="Arial" w:eastAsia="Arial" w:hAnsi="Arial"/>
          <w:sz w:val="20"/>
          <w:szCs w:val="20"/>
          <w:color w:val="auto"/>
        </w:rPr>
        <w:t>Section 2.2(a) of the MSA is hereby augmented such that, as of the Amendment Effective Date, the Minimum [***] Requirement will be based on [***]. The Parties agree that a [***] shall count as [***] for purposes of calculating [***] contemplated in such Section 2.2(a).</w:t>
      </w:r>
    </w:p>
    <w:p>
      <w:pPr>
        <w:spacing w:after="0" w:line="168" w:lineRule="exact"/>
        <w:rPr>
          <w:rFonts w:ascii="Arial" w:cs="Arial" w:eastAsia="Arial" w:hAnsi="Arial"/>
          <w:sz w:val="20"/>
          <w:szCs w:val="20"/>
          <w:color w:val="auto"/>
        </w:rPr>
      </w:pPr>
    </w:p>
    <w:p>
      <w:pPr>
        <w:ind w:left="660" w:hanging="652"/>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Except as expressly provided in this Amendment 1, the MSA shall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08" w:right="3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 10.27(b)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0"/>
        <w:spacing w:after="0" w:line="239"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executed or caused this Amendment 1 to be executed by their respective officers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representatives duly authorized as of the Amendment Effective Date.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Ardelyx, Inc.</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/s/ Justin Renz</w:t>
      </w:r>
    </w:p>
    <w:p>
      <w:pPr>
        <w:ind w:left="660"/>
        <w:spacing w:after="0" w:line="211" w:lineRule="auto"/>
        <w:rPr>
          <w:sz w:val="20"/>
          <w:szCs w:val="20"/>
          <w:color w:val="auto"/>
        </w:rPr>
      </w:pPr>
      <w:r>
        <w:rPr>
          <w:rFonts w:ascii="Arial" w:cs="Arial" w:eastAsia="Arial" w:hAnsi="Arial"/>
          <w:sz w:val="20"/>
          <w:szCs w:val="20"/>
          <w:color w:val="auto"/>
        </w:rPr>
        <w:t>Print Name: Justin Renz</w:t>
      </w:r>
    </w:p>
    <w:p>
      <w:pPr>
        <w:ind w:left="660"/>
        <w:spacing w:after="0" w:line="211" w:lineRule="auto"/>
        <w:rPr>
          <w:sz w:val="20"/>
          <w:szCs w:val="20"/>
          <w:color w:val="auto"/>
        </w:rPr>
      </w:pPr>
      <w:r>
        <w:rPr>
          <w:rFonts w:ascii="Arial" w:cs="Arial" w:eastAsia="Arial" w:hAnsi="Arial"/>
          <w:sz w:val="20"/>
          <w:szCs w:val="20"/>
          <w:color w:val="auto"/>
        </w:rPr>
        <w:t>Title: Chief Financial and Operations Manager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1/24/2023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Patheon Pharmaceuticals Inc.</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/s/ Alan Bensman</w:t>
      </w:r>
    </w:p>
    <w:p>
      <w:pPr>
        <w:ind w:left="660"/>
        <w:spacing w:after="0" w:line="211" w:lineRule="auto"/>
        <w:rPr>
          <w:sz w:val="20"/>
          <w:szCs w:val="20"/>
          <w:color w:val="auto"/>
        </w:rPr>
      </w:pPr>
      <w:r>
        <w:rPr>
          <w:rFonts w:ascii="Arial" w:cs="Arial" w:eastAsia="Arial" w:hAnsi="Arial"/>
          <w:sz w:val="20"/>
          <w:szCs w:val="20"/>
          <w:color w:val="auto"/>
        </w:rPr>
        <w:t>Print Name: Alan Bensman</w:t>
      </w:r>
    </w:p>
    <w:p>
      <w:pPr>
        <w:ind w:left="660"/>
        <w:spacing w:after="0" w:line="197" w:lineRule="auto"/>
        <w:rPr>
          <w:sz w:val="20"/>
          <w:szCs w:val="20"/>
          <w:color w:val="auto"/>
        </w:rPr>
      </w:pPr>
      <w:r>
        <w:rPr>
          <w:rFonts w:ascii="Arial" w:cs="Arial" w:eastAsia="Arial" w:hAnsi="Arial"/>
          <w:sz w:val="20"/>
          <w:szCs w:val="20"/>
          <w:color w:val="auto"/>
        </w:rPr>
        <w:t>Title: General Manager, Cincinnati</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2/27/2023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08" w:right="3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 10.27(b)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EXHIBIT 1</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Commercial Supply Pricing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220"/>
          </w:cols>
          <w:pgMar w:left="320" w:top="108" w:right="3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340" w:right="40" w:hanging="332"/>
        <w:spacing w:after="0" w:line="261"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on Form S-8 (No. 333-197408) pertaining to the 2008 Stock Incentive Plan, as amended, the 2014 Equity Incentive Award Plan and the 2014 Employee Stock Purchase Plan of Ardelyx, Inc.</w:t>
      </w:r>
    </w:p>
    <w:p>
      <w:pPr>
        <w:spacing w:after="0" w:line="197"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Statements on Form S-8 (Nos. 333-202663 and 333-230156) pertaining to the 2014 Equity Incentive Award Plan and the 2014 Employee Stock Purchase Plan of Ardelyx, Inc.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Statements on Form S-3 (Nos. 333-205630, 333-213085, 333-239764 and 333-269297) of Ardelyx, Inc.</w:t>
      </w:r>
    </w:p>
    <w:p>
      <w:pPr>
        <w:spacing w:after="0" w:line="238" w:lineRule="exact"/>
        <w:rPr>
          <w:rFonts w:ascii="Arial" w:cs="Arial" w:eastAsia="Arial" w:hAnsi="Arial"/>
          <w:sz w:val="18"/>
          <w:szCs w:val="18"/>
          <w:color w:val="auto"/>
        </w:rPr>
      </w:pPr>
    </w:p>
    <w:p>
      <w:pPr>
        <w:ind w:left="340" w:right="300" w:hanging="332"/>
        <w:spacing w:after="0" w:line="261"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Statements on Form S-8 (Nos. 333-210079, 333-216154, 333-223694 and 333-237057) pertaining to the 2014 Equity Incentive Award Plan of Ardelyx, Inc.</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Registration Statement on Form S-8 (No. 333-214538) pertaining to the 2016 Employment Commencement Incentive Plan of Ardelyx, Inc.</w:t>
      </w:r>
    </w:p>
    <w:p>
      <w:pPr>
        <w:spacing w:after="0" w:line="250" w:lineRule="exact"/>
        <w:rPr>
          <w:rFonts w:ascii="Arial" w:cs="Arial" w:eastAsia="Arial" w:hAnsi="Arial"/>
          <w:sz w:val="17"/>
          <w:szCs w:val="17"/>
          <w:color w:val="auto"/>
        </w:rPr>
      </w:pPr>
    </w:p>
    <w:p>
      <w:pPr>
        <w:ind w:left="340" w:right="220" w:hanging="332"/>
        <w:spacing w:after="0" w:line="261"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on Form S-8 (No. 333-254187) pertaining to the 2014 Equity Incentive Award Plan, the 2014 Employee Stock Purchase Plan and the 2016 Employment Commencement Incentive Plan of Ardelyx, Inc.</w:t>
      </w:r>
    </w:p>
    <w:p>
      <w:pPr>
        <w:spacing w:after="0" w:line="197" w:lineRule="exact"/>
        <w:rPr>
          <w:rFonts w:ascii="Arial" w:cs="Arial" w:eastAsia="Arial" w:hAnsi="Arial"/>
          <w:sz w:val="18"/>
          <w:szCs w:val="18"/>
          <w:color w:val="auto"/>
        </w:rPr>
      </w:pPr>
    </w:p>
    <w:p>
      <w:pPr>
        <w:ind w:left="340" w:right="360" w:hanging="332"/>
        <w:spacing w:after="0" w:line="261"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on Form S-8 (333-263145) pertaining to the 2014 Equity Incentive Award Plan and the 2016 Employment Commencement Incentive Plan of Ardelyx, Inc.</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of our report dated March 2, 2023, with respect to the financial statements of Ardelyx, Inc. included in this Annual Report (Form 10-K) of Ardelyx, Inc.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Ardelyx, Inc.;</w:t>
      </w:r>
    </w:p>
    <w:p>
      <w:pPr>
        <w:spacing w:after="0" w:line="18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Ardelyx, Inc.;</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648"/>
        <w:spacing w:after="0" w:line="263" w:lineRule="auto"/>
        <w:tabs>
          <w:tab w:leader="none" w:pos="97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648"/>
        <w:spacing w:after="0" w:line="263" w:lineRule="auto"/>
        <w:tabs>
          <w:tab w:leader="none" w:pos="9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648"/>
        <w:spacing w:after="0" w:line="342" w:lineRule="auto"/>
        <w:tabs>
          <w:tab w:leader="none" w:pos="977"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648"/>
        <w:spacing w:after="0" w:line="263" w:lineRule="auto"/>
        <w:tabs>
          <w:tab w:leader="none" w:pos="9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648"/>
        <w:spacing w:after="0" w:line="342" w:lineRule="auto"/>
        <w:tabs>
          <w:tab w:leader="none" w:pos="977"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648"/>
        <w:spacing w:after="0" w:line="277" w:lineRule="auto"/>
        <w:tabs>
          <w:tab w:leader="none" w:pos="9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tabs>
          <w:tab w:leader="none" w:pos="6180" w:val="left"/>
          <w:tab w:leader="none" w:pos="840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66"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Ardelyx, Inc. (the “Company”) on Form 10-K for the period ending December 31, 2022,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spacing w:after="0" w:line="146"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p>
      <w:pPr>
        <w:ind w:left="20"/>
        <w:spacing w:after="0"/>
        <w:tabs>
          <w:tab w:leader="none" w:pos="6180" w:val="left"/>
          <w:tab w:leader="none" w:pos="832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ind w:left="20"/>
        <w:spacing w:after="0"/>
        <w:tabs>
          <w:tab w:leader="none" w:pos="6140" w:val="left"/>
          <w:tab w:leader="none" w:pos="834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146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Justin Renz</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Chief Financial &amp; Operations Officer</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2"/>
    </w:lvl>
  </w:abstractNum>
  <w:abstractNum w:abstractNumId="9">
    <w:nsid w:val="4B588F54"/>
    <w:multiLevelType w:val="hybridMultilevel"/>
    <w:lvl w:ilvl="0">
      <w:lvlJc w:val="left"/>
      <w:lvlText w:val="(%1)"/>
      <w:numFmt w:val="decimal"/>
      <w:start w:val="2"/>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lowerRoman"/>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lowerRoman"/>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3"/>
    </w:lvl>
  </w:abstractNum>
  <w:abstractNum w:abstractNumId="45">
    <w:nsid w:val="310C50B3"/>
    <w:multiLevelType w:val="hybridMultilevel"/>
    <w:lvl w:ilvl="0">
      <w:lvlJc w:val="left"/>
      <w:lvlText w:val="%1."/>
      <w:numFmt w:val="decimal"/>
      <w:start w:val="4"/>
    </w:lvl>
  </w:abstractNum>
  <w:abstractNum w:abstractNumId="46">
    <w:nsid w:val="5FF87E05"/>
    <w:multiLevelType w:val="hybridMultilevel"/>
    <w:lvl w:ilvl="0">
      <w:lvlJc w:val="left"/>
      <w:lvlText w:val="%1."/>
      <w:numFmt w:val="decimal"/>
      <w:start w:val="7"/>
    </w:lvl>
  </w:abstractNum>
  <w:abstractNum w:abstractNumId="47">
    <w:nsid w:val="2F305DEF"/>
    <w:multiLevelType w:val="hybridMultilevel"/>
    <w:lvl w:ilvl="0">
      <w:lvlJc w:val="left"/>
      <w:lvlText w:val="%1)"/>
      <w:numFmt w:val="decimal"/>
      <w:start w:val="606"/>
    </w:lvl>
  </w:abstractNum>
  <w:abstractNum w:abstractNumId="48">
    <w:nsid w:val="25A70BF7"/>
    <w:multiLevelType w:val="hybridMultilevel"/>
    <w:lvl w:ilvl="0">
      <w:lvlJc w:val="left"/>
      <w:lvlText w:val="%1."/>
      <w:numFmt w:val="decimal"/>
      <w:start w:val="9"/>
    </w:lvl>
  </w:abstractNum>
  <w:abstractNum w:abstractNumId="49">
    <w:nsid w:val="1DBABF00"/>
    <w:multiLevelType w:val="hybridMultilevel"/>
    <w:lvl w:ilvl="0">
      <w:lvlJc w:val="left"/>
      <w:lvlText w:val="%1."/>
      <w:numFmt w:val="decimal"/>
      <w:start w:val="11"/>
    </w:lvl>
  </w:abstractNum>
  <w:abstractNum w:abstractNumId="50">
    <w:nsid w:val="4AD084E9"/>
    <w:multiLevelType w:val="hybridMultilevel"/>
    <w:lvl w:ilvl="0">
      <w:lvlJc w:val="left"/>
      <w:lvlText w:val="%1."/>
      <w:numFmt w:val="decimal"/>
      <w:start w:val="12"/>
    </w:lvl>
  </w:abstractNum>
  <w:abstractNum w:abstractNumId="51">
    <w:nsid w:val="1F48EAA1"/>
    <w:multiLevelType w:val="hybridMultilevel"/>
    <w:lvl w:ilvl="0">
      <w:lvlJc w:val="left"/>
      <w:lvlText w:val="(%1)"/>
      <w:numFmt w:val="upperLetter"/>
      <w:start w:val="2"/>
    </w:lvl>
  </w:abstractNum>
  <w:abstractNum w:abstractNumId="52">
    <w:nsid w:val="1381823A"/>
    <w:multiLevelType w:val="hybridMultilevel"/>
    <w:lvl w:ilvl="0">
      <w:lvlJc w:val="left"/>
      <w:lvlText w:val="%1."/>
      <w:numFmt w:val="decimal"/>
      <w:start w:val="14"/>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2"/>
    </w:lvl>
  </w:abstractNum>
  <w:abstractNum w:abstractNumId="57">
    <w:nsid w:val="5F5E7FD0"/>
    <w:multiLevelType w:val="hybridMultilevel"/>
    <w:lvl w:ilvl="0">
      <w:lvlJc w:val="left"/>
      <w:lvlText w:val="%1."/>
      <w:numFmt w:val="decimal"/>
      <w:start w:val="3"/>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upperLetter"/>
      <w:start w:val="1"/>
    </w:lvl>
    <w:lvl w:ilvl="1">
      <w:lvlJc w:val="left"/>
      <w:lvlText w:val="%2."/>
      <w:numFmt w:val="upperLetter"/>
      <w:start w:val="1"/>
    </w:lvl>
  </w:abstractNum>
  <w:abstractNum w:abstractNumId="60">
    <w:nsid w:val="6B94764"/>
    <w:multiLevelType w:val="hybridMultilevel"/>
    <w:lvl w:ilvl="0">
      <w:lvlJc w:val="left"/>
      <w:lvlText w:val="%1."/>
      <w:numFmt w:val="decimal"/>
      <w:start w:val="2"/>
    </w:lvl>
  </w:abstractNum>
  <w:abstractNum w:abstractNumId="61">
    <w:nsid w:val="42C296BD"/>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62">
    <w:nsid w:val="168E121F"/>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63">
    <w:nsid w:val="1EBA5D23"/>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64">
    <w:nsid w:val="661E3F1E"/>
    <w:multiLevelType w:val="hybridMultilevel"/>
    <w:lvl w:ilvl="0">
      <w:lvlJc w:val="left"/>
      <w:lvlText w:val="%1."/>
      <w:numFmt w:val="decimal"/>
      <w:start w:val="9"/>
    </w:lvl>
  </w:abstractNum>
  <w:abstractNum w:abstractNumId="65">
    <w:nsid w:val="5DC79EA8"/>
    <w:multiLevelType w:val="hybridMultilevel"/>
    <w:lvl w:ilvl="0">
      <w:lvlJc w:val="left"/>
      <w:lvlText w:val="%1"/>
      <w:numFmt w:val="decimal"/>
      <w:start w:val="1"/>
    </w:lvl>
    <w:lvl w:ilvl="1">
      <w:lvlJc w:val="left"/>
      <w:lvlText w:val="%2."/>
      <w:numFmt w:val="decimal"/>
      <w:start w:val="1"/>
    </w:lvl>
  </w:abstractNum>
  <w:abstractNum w:abstractNumId="66">
    <w:nsid w:val="540A471C"/>
    <w:multiLevelType w:val="hybridMultilevel"/>
    <w:lvl w:ilvl="0">
      <w:lvlJc w:val="left"/>
      <w:lvlText w:val="%1."/>
      <w:numFmt w:val="decimal"/>
      <w:start w:val="4"/>
    </w:lvl>
    <w:lvl w:ilvl="1">
      <w:lvlJc w:val="left"/>
      <w:lvlText w:val="%2"/>
      <w:numFmt w:val="decimal"/>
      <w:start w:val="1"/>
    </w:lvl>
  </w:abstractNum>
  <w:abstractNum w:abstractNumId="67">
    <w:nsid w:val="7BD3EE7B"/>
    <w:multiLevelType w:val="hybridMultilevel"/>
    <w:lvl w:ilvl="0">
      <w:lvlJc w:val="left"/>
      <w:lvlText w:val="%1."/>
      <w:numFmt w:val="decimal"/>
      <w:start w:val="5"/>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1."/>
      <w:numFmt w:val="upperLetter"/>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3"/>
    </w:lvl>
  </w:abstractNum>
  <w:abstractNum w:abstractNumId="72">
    <w:nsid w:val="42963E5A"/>
    <w:multiLevelType w:val="hybridMultilevel"/>
    <w:lvl w:ilvl="0">
      <w:lvlJc w:val="left"/>
      <w:lvlText w:val="%1."/>
      <w:numFmt w:val="decimal"/>
      <w:start w:val="4"/>
    </w:lvl>
  </w:abstractNum>
  <w:abstractNum w:abstractNumId="73">
    <w:nsid w:val="A0382C5"/>
    <w:multiLevelType w:val="hybridMultilevel"/>
    <w:lvl w:ilvl="0">
      <w:lvlJc w:val="left"/>
      <w:lvlText w:val="%1."/>
      <w:numFmt w:val="decimal"/>
      <w:start w:val="5"/>
    </w:lvl>
  </w:abstractNum>
  <w:abstractNum w:abstractNumId="74">
    <w:nsid w:val="8F2B15E"/>
    <w:multiLevelType w:val="hybridMultilevel"/>
    <w:lvl w:ilvl="0">
      <w:lvlJc w:val="left"/>
      <w:lvlText w:val="%1."/>
      <w:numFmt w:val="decimal"/>
      <w:start w:val="7"/>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6" Type="http://schemas.openxmlformats.org/officeDocument/2006/relationships/image" Target="media/image146.png"/><Relationship Id="rId193"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153" Type="http://schemas.openxmlformats.org/officeDocument/2006/relationships/hyperlink" Target="http://www.sec.gov/Archives/edgar/data/1437402/000119312514247380/d748616dex31.htm" TargetMode="External"/><Relationship Id="rId154" Type="http://schemas.openxmlformats.org/officeDocument/2006/relationships/hyperlink" Target="http://www.sec.gov/Archives/edgar/data/1437402/000119312514247380/d748616dex32.htm" TargetMode="External"/><Relationship Id="rId155" Type="http://schemas.openxmlformats.org/officeDocument/2006/relationships/hyperlink" Target="http://www.sec.gov/Archives/edgar/data/1437402/000119312514240520/d704770dex42.htm" TargetMode="External"/><Relationship Id="rId156" Type="http://schemas.openxmlformats.org/officeDocument/2006/relationships/hyperlink" Target="http://www.sec.gov/Archives/edgar/data/1437402/000155837021002500/ardx-20201231xex4d4.htm" TargetMode="External"/><Relationship Id="rId157" Type="http://schemas.openxmlformats.org/officeDocument/2006/relationships/hyperlink" Target="http://www.sec.gov/Archives/edgar/data/1437402/000119312515288082/d948397dex101.htm" TargetMode="External"/><Relationship Id="rId158" Type="http://schemas.openxmlformats.org/officeDocument/2006/relationships/hyperlink" Target="http://www.sec.gov/Archives/edgar/data/1437402/000119312516493375/d133887dex101d.htm" TargetMode="External"/><Relationship Id="rId159" Type="http://schemas.openxmlformats.org/officeDocument/2006/relationships/hyperlink" Target="http://www.sec.gov/Archives/edgar/data/1437402/000119312514204985/d704770dex104a.htm" TargetMode="External"/><Relationship Id="rId160" Type="http://schemas.openxmlformats.org/officeDocument/2006/relationships/hyperlink" Target="http://www.sec.gov/Archives/edgar/data/1437402/000119312514204985/d704770dex104b.htm" TargetMode="External"/><Relationship Id="rId161" Type="http://schemas.openxmlformats.org/officeDocument/2006/relationships/hyperlink" Target="http://www.sec.gov/Archives/edgar/data/1437402/000119312514336840/d786507dex101.htm" TargetMode="External"/><Relationship Id="rId162" Type="http://schemas.openxmlformats.org/officeDocument/2006/relationships/hyperlink" Target="http://www.sec.gov/Archives/edgar/data/1437402/000119312516675135/d201246dex103.htm" TargetMode="External"/><Relationship Id="rId163" Type="http://schemas.openxmlformats.org/officeDocument/2006/relationships/hyperlink" Target="http://www.sec.gov/Archives/edgar/data/1437402/000162828021011446/ardenwoodleasefifthamendme.htm" TargetMode="External"/><Relationship Id="rId164" Type="http://schemas.openxmlformats.org/officeDocument/2006/relationships/hyperlink" Target="http://www.sec.gov/Archives/edgar/data/1437402/000155837021002500/ardx-20201231xex10d31.htm" TargetMode="External"/><Relationship Id="rId165" Type="http://schemas.openxmlformats.org/officeDocument/2006/relationships/hyperlink" Target="http://www.sec.gov/Archives/edgar/data/1437402/000119312514204985/d704770dex105a.htm" TargetMode="External"/><Relationship Id="rId167" Type="http://schemas.openxmlformats.org/officeDocument/2006/relationships/hyperlink" Target="http://www.sec.gov/Archives/edgar/data/1437402/000119312514204985/d704770dex105b.htm" TargetMode="External"/><Relationship Id="rId168" Type="http://schemas.openxmlformats.org/officeDocument/2006/relationships/hyperlink" Target="http://www.sec.gov/Archives/edgar/data/1437402/000119312514204985/d704770dex105c.htm" TargetMode="External"/><Relationship Id="rId169" Type="http://schemas.openxmlformats.org/officeDocument/2006/relationships/hyperlink" Target="https://www.sec.gov/Archives/edgar/data/1437402/000119312514267896/d758186dex993.htm" TargetMode="External"/><Relationship Id="rId170" Type="http://schemas.openxmlformats.org/officeDocument/2006/relationships/hyperlink" Target="http://www.sec.gov/Archives/edgar/data/1437402/000119312514229371/d704770dex106b.htm" TargetMode="External"/><Relationship Id="rId171" Type="http://schemas.openxmlformats.org/officeDocument/2006/relationships/hyperlink" Target="http://www.sec.gov/Archives/edgar/data/1437402/000119312514229371/d704770dex106c.htm" TargetMode="External"/><Relationship Id="rId172" Type="http://schemas.openxmlformats.org/officeDocument/2006/relationships/hyperlink" Target="http://www.sec.gov/Archives/edgar/data/1437402/000119312514267896/d758186dex996.htm" TargetMode="External"/><Relationship Id="rId173" Type="http://schemas.openxmlformats.org/officeDocument/2006/relationships/hyperlink" Target="http://www.sec.gov/Archives/edgar/data/1437402/000119312516764653/d276142dex991.htm" TargetMode="External"/><Relationship Id="rId174" Type="http://schemas.openxmlformats.org/officeDocument/2006/relationships/hyperlink" Target="http://www.sec.gov/Archives/edgar/data/1437402/000119312516764653/d276142dex992.htm" TargetMode="External"/><Relationship Id="rId175" Type="http://schemas.openxmlformats.org/officeDocument/2006/relationships/hyperlink" Target="http://www.sec.gov/Archives/edgar/data/1437402/000119312516764653/d276142dex993.htm" TargetMode="External"/><Relationship Id="rId176" Type="http://schemas.openxmlformats.org/officeDocument/2006/relationships/hyperlink" Target="http://www.sec.gov/Archives/edgar/data/1437402/000119312516764653/d276142dex994.htm" TargetMode="External"/><Relationship Id="rId177" Type="http://schemas.openxmlformats.org/officeDocument/2006/relationships/hyperlink" Target="http://www.sec.gov/Archives/edgar/data/1437402/000119312515250831/d44646dex991.htm" TargetMode="External"/><Relationship Id="rId178" Type="http://schemas.openxmlformats.org/officeDocument/2006/relationships/hyperlink" Target="http://www.sec.gov/Archives/edgar/data/1437402/000119312516675135/d201246dex102.htm" TargetMode="External"/><Relationship Id="rId179" Type="http://schemas.openxmlformats.org/officeDocument/2006/relationships/hyperlink" Target="http://www.sec.gov/Archives/edgar/data/1437402/000119312514229371/d704770dex107.htm" TargetMode="External"/><Relationship Id="rId180" Type="http://schemas.openxmlformats.org/officeDocument/2006/relationships/hyperlink" Target="http://www.sec.gov/Archives/edgar/data/1437402/000119312514229371/d704770dex108.htm" TargetMode="External"/><Relationship Id="rId181" Type="http://schemas.openxmlformats.org/officeDocument/2006/relationships/hyperlink" Target="http://www.sec.gov/Archives/edgar/data/1437402/000119312514229371/d704770dex1013.htm" TargetMode="External"/><Relationship Id="rId182" Type="http://schemas.openxmlformats.org/officeDocument/2006/relationships/hyperlink" Target="http://www.sec.gov/Archives/edgar/data/1437402/000155837018004307/ardx-20180331ex101b83033.htm" TargetMode="External"/><Relationship Id="rId183" Type="http://schemas.openxmlformats.org/officeDocument/2006/relationships/hyperlink" Target="http://www.sec.gov/Archives/edgar/data/1437402/000162828022004226/amendmentnumberone_drosenb.htm" TargetMode="External"/><Relationship Id="rId184" Type="http://schemas.openxmlformats.org/officeDocument/2006/relationships/hyperlink" Target="http://www.sec.gov/Archives/edgar/data/1437402/000119312514229371/d704770dex1014.htm" TargetMode="External"/><Relationship Id="rId185" Type="http://schemas.openxmlformats.org/officeDocument/2006/relationships/hyperlink" Target="http://www.sec.gov/Archives/edgar/data/1437402/000155837018004307/ardx-20180331ex100e97155.htm" TargetMode="External"/><Relationship Id="rId186" Type="http://schemas.openxmlformats.org/officeDocument/2006/relationships/hyperlink" Target="http://www.sec.gov/Archives/edgar/data/1437402/000155837020009636/ardx-20200630xex10d1.htm" TargetMode="External"/><Relationship Id="rId187" Type="http://schemas.openxmlformats.org/officeDocument/2006/relationships/hyperlink" Target="http://www.sec.gov/Archives/edgar/data/1437402/000155837020009636/ardx-20200630xex10d2.htm" TargetMode="External"/><Relationship Id="rId188" Type="http://schemas.openxmlformats.org/officeDocument/2006/relationships/hyperlink" Target="http://www.sec.gov/Archives/edgar/data/1437402/000155837020009636/ardx-20200630xex10d3.htm" TargetMode="External"/><Relationship Id="rId189" Type="http://schemas.openxmlformats.org/officeDocument/2006/relationships/hyperlink" Target="http://www.sec.gov/Archives/edgar/data/1437402/000155837020009636/ardx-20200630xex10d4.htm" TargetMode="External"/><Relationship Id="rId190" Type="http://schemas.openxmlformats.org/officeDocument/2006/relationships/hyperlink" Target="http://www.sec.gov/Archives/edgar/data/1437402/000119312514229371/d704770dex1021.htm" TargetMode="External"/><Relationship Id="rId191" Type="http://schemas.openxmlformats.org/officeDocument/2006/relationships/hyperlink" Target="http://www.sec.gov/Archives/edgar/data/1437402/000119312517077089/d133384d8k.htm" TargetMode="External"/><Relationship Id="rId192" Type="http://schemas.openxmlformats.org/officeDocument/2006/relationships/hyperlink" Target="http://www.sec.gov/Archives/edgar/data/1437402/000155837019004249/ardx-20190331ex101320fc2.htm" TargetMode="External"/><Relationship Id="rId194" Type="http://schemas.openxmlformats.org/officeDocument/2006/relationships/hyperlink" Target="http://www.sec.gov/Archives/edgar/data/1437402/000162828022021047/secondamendedandrestatedno.htm" TargetMode="External"/><Relationship Id="rId195" Type="http://schemas.openxmlformats.org/officeDocument/2006/relationships/hyperlink" Target="http://www.sec.gov/Archives/edgar/data/1437402/000155837018002056/ardx-20171231ex10353fabf.htm" TargetMode="External"/><Relationship Id="rId196" Type="http://schemas.openxmlformats.org/officeDocument/2006/relationships/hyperlink" Target="http://www.sec.gov/Archives/edgar/data/1437402/000162828022008924/a2ndamendmenttokkc-ardxlic.htm" TargetMode="External"/><Relationship Id="rId197" Type="http://schemas.openxmlformats.org/officeDocument/2006/relationships/hyperlink" Target="http://www.sec.gov/Archives/edgar/data/1437402/000155837018002056/ardx-20171231ex103695c56.htm" TargetMode="External"/><Relationship Id="rId198" Type="http://schemas.openxmlformats.org/officeDocument/2006/relationships/hyperlink" Target="http://www.sec.gov/Archives/edgar/data/1437402/000162828022021047/hcr-ardelyxxroyaltyandmile.htm" TargetMode="External"/><Relationship Id="rId199" Type="http://schemas.openxmlformats.org/officeDocument/2006/relationships/hyperlink" Target="http://www.sec.gov/Archives/edgar/data/1437402/000162828022012630/slrloanandsecurityagreemen.htm" TargetMode="External"/><Relationship Id="rId200" Type="http://schemas.openxmlformats.org/officeDocument/2006/relationships/hyperlink" Target="http://www.sec.gov/Archives/edgar/data/1437402/000162828022021047/slr-ardelyxxfirstamendment.htm" TargetMode="External"/><Relationship Id="rId201" Type="http://schemas.openxmlformats.org/officeDocument/2006/relationships/hyperlink" Target="http://www.sec.gov/Archives/edgar/data/1437402/000162828022012630/slrexitfeeagreement-ex102.htm" TargetMode="External"/><Relationship Id="rId202" Type="http://schemas.openxmlformats.org/officeDocument/2006/relationships/hyperlink" Target="http://www.sec.gov/Archives/edgar/data/1437402/000155837018006606/ardx-20180630ex102467e2d.htm" TargetMode="External"/><Relationship Id="rId203" Type="http://schemas.openxmlformats.org/officeDocument/2006/relationships/hyperlink" Target="http://www.sec.gov/Archives/edgar/data/1437402/000155837020009636/ardx-20200630xex10d5.htm" TargetMode="External"/><Relationship Id="rId204" Type="http://schemas.openxmlformats.org/officeDocument/2006/relationships/hyperlink" Target="http://www.sec.gov/Archives/edgar/data/1437402/000162828021017192/salesagencyagreementaugust.htm" TargetMode="External"/><Relationship Id="rId205" Type="http://schemas.openxmlformats.org/officeDocument/2006/relationships/hyperlink" Target="http://www.sec.gov/Archives/edgar/data/1437402/000119312523010411/d429337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2023-03-02T15:29:11Z</dcterms:created>
  <dcterms:modified xsi:type="dcterms:W3CDTF">2023-03-02T15:29:11Z</dcterms:modified>
</cp:coreProperties>
</file>