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1,489</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347,920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05/20/2022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153"/>
              <w:spacing w:after="0"/>
              <w:rPr>
                <w:sz w:val="20"/>
                <w:szCs w:val="20"/>
                <w:color w:val="auto"/>
              </w:rPr>
            </w:pPr>
            <w:r>
              <w:rPr>
                <w:rFonts w:ascii="Arial" w:cs="Arial" w:eastAsia="Arial" w:hAnsi="Arial"/>
                <w:sz w:val="17"/>
                <w:szCs w:val="17"/>
                <w:color w:val="0000FF"/>
              </w:rPr>
              <w:t>524</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107,502</w:t>
            </w:r>
            <w:r>
              <w:rPr>
                <w:rFonts w:ascii="Arial" w:cs="Arial" w:eastAsia="Arial" w:hAnsi="Arial"/>
                <w:sz w:val="22"/>
                <w:szCs w:val="22"/>
                <w:color w:val="008000"/>
                <w:w w:val="88"/>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77,592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adjusted total which includes the purchase of 3,000 shares under the Ardelyx Employee Stock Purchase Plan on February 28,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05/23/2022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2022-05-23T15:47:17Z</dcterms:created>
  <dcterms:modified xsi:type="dcterms:W3CDTF">2022-05-23T15:47:17Z</dcterms:modified>
</cp:coreProperties>
</file>