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RINGOLD GORDON</w:t>
              </w:r>
            </w:hyperlink>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8"/>
          </w:tcPr>
          <w:p>
            <w:pPr>
              <w:ind w:left="8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ARDELYX,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06/18/2014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34175 ARDENWOOD BLVD, SUITE 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FREMONT</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94555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702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06/18/2014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06/18/2024</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00" w:firstLine="8"/>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36 successive, equal monthly installments on each monthly anniversary of June 18, 2014, subject to the Reporting Person's continued employment or service relationship with the Issuer on each such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12" w:lineRule="exact"/>
        <w:rPr>
          <w:sz w:val="20"/>
          <w:szCs w:val="20"/>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Attorney-in-Fact for Gordon</w:t>
      </w:r>
      <w:r>
        <w:rPr>
          <w:sz w:val="20"/>
          <w:szCs w:val="20"/>
          <w:color w:val="auto"/>
        </w:rPr>
        <w:tab/>
      </w:r>
      <w:r>
        <w:rPr>
          <w:rFonts w:ascii="Times New Roman" w:cs="Times New Roman" w:eastAsia="Times New Roman" w:hAnsi="Times New Roman"/>
          <w:sz w:val="17"/>
          <w:szCs w:val="17"/>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Ringold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56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3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171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2019-12-17T05:30:18Z</dcterms:created>
  <dcterms:modified xsi:type="dcterms:W3CDTF">2019-12-17T05:30:18Z</dcterms:modified>
</cp:coreProperties>
</file>