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300" w:hanging="482"/>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300" w:hanging="482"/>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300" w:hanging="482"/>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28249U105</w:t>
            </w:r>
          </w:p>
        </w:tc>
        <w:tc>
          <w:tcPr>
            <w:tcW w:w="4220" w:type="dxa"/>
            <w:vAlign w:val="bottom"/>
          </w:tcPr>
          <w:p>
            <w:pPr>
              <w:ind w:left="3900"/>
              <w:spacing w:after="0"/>
              <w:rPr>
                <w:sz w:val="20"/>
                <w:szCs w:val="20"/>
                <w:color w:val="auto"/>
              </w:rPr>
            </w:pPr>
            <w:r>
              <w:rPr>
                <w:rFonts w:ascii="Arial" w:cs="Arial" w:eastAsia="Arial" w:hAnsi="Arial"/>
                <w:sz w:val="18"/>
                <w:szCs w:val="18"/>
                <w:b w:val="1"/>
                <w:bCs w:val="1"/>
                <w:color w:val="auto"/>
                <w:w w:val="88"/>
              </w:rPr>
              <w:t>13G</w:t>
            </w:r>
          </w:p>
        </w:tc>
      </w:tr>
    </w:tbl>
    <w:p>
      <w:pPr>
        <w:spacing w:after="0" w:line="229" w:lineRule="exact"/>
        <w:rPr>
          <w:sz w:val="20"/>
          <w:szCs w:val="20"/>
          <w:color w:val="auto"/>
        </w:rPr>
      </w:pPr>
    </w:p>
    <w:p>
      <w:pPr>
        <w:ind w:left="840" w:hanging="332"/>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RA Capital Management, L.P.</w:t>
      </w:r>
    </w:p>
    <w:p>
      <w:pPr>
        <w:spacing w:after="0" w:line="283" w:lineRule="exact"/>
        <w:rPr>
          <w:sz w:val="20"/>
          <w:szCs w:val="20"/>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00" w:hanging="255"/>
        <w:spacing w:after="0" w:line="207" w:lineRule="exact"/>
        <w:tabs>
          <w:tab w:leader="none" w:pos="11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1100" w:hanging="255"/>
        <w:spacing w:after="0" w:line="207" w:lineRule="exact"/>
        <w:tabs>
          <w:tab w:leader="none" w:pos="11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40" w:type="dxa"/>
            <w:vAlign w:val="bottom"/>
            <w:gridSpan w:val="3"/>
          </w:tcPr>
          <w:p>
            <w:pPr>
              <w:ind w:left="440"/>
              <w:spacing w:after="0"/>
              <w:rPr>
                <w:sz w:val="20"/>
                <w:szCs w:val="20"/>
                <w:color w:val="auto"/>
              </w:rPr>
            </w:pPr>
            <w:r>
              <w:rPr>
                <w:rFonts w:ascii="Arial" w:cs="Arial" w:eastAsia="Arial" w:hAnsi="Arial"/>
                <w:sz w:val="18"/>
                <w:szCs w:val="18"/>
                <w:color w:val="auto"/>
              </w:rPr>
              <w:t>4.  Citizenship or Place of Organization</w:t>
            </w: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500"/>
        </w:trPr>
        <w:tc>
          <w:tcPr>
            <w:tcW w:w="1280" w:type="dxa"/>
            <w:vAlign w:val="bottom"/>
          </w:tcPr>
          <w:p>
            <w:pPr>
              <w:spacing w:after="0"/>
              <w:rPr>
                <w:sz w:val="24"/>
                <w:szCs w:val="24"/>
                <w:color w:val="auto"/>
              </w:rPr>
            </w:pPr>
          </w:p>
        </w:tc>
        <w:tc>
          <w:tcPr>
            <w:tcW w:w="1000" w:type="dxa"/>
            <w:vAlign w:val="bottom"/>
          </w:tcPr>
          <w:p>
            <w:pPr>
              <w:jc w:val="center"/>
              <w:ind w:left="610"/>
              <w:spacing w:after="0"/>
              <w:rPr>
                <w:sz w:val="20"/>
                <w:szCs w:val="20"/>
                <w:color w:val="auto"/>
              </w:rPr>
            </w:pPr>
            <w:r>
              <w:rPr>
                <w:rFonts w:ascii="Arial" w:cs="Arial" w:eastAsia="Arial" w:hAnsi="Arial"/>
                <w:sz w:val="18"/>
                <w:szCs w:val="18"/>
                <w:color w:val="auto"/>
                <w:w w:val="92"/>
              </w:rPr>
              <w:t>5.</w:t>
            </w:r>
          </w:p>
        </w:tc>
        <w:tc>
          <w:tcPr>
            <w:tcW w:w="34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4"/>
              </w:rPr>
              <w:t>5,527,088</w:t>
            </w:r>
            <w:r>
              <w:rPr>
                <w:rFonts w:ascii="Arial" w:cs="Arial" w:eastAsia="Arial" w:hAnsi="Arial"/>
                <w:sz w:val="42"/>
                <w:szCs w:val="42"/>
                <w:b w:val="1"/>
                <w:bCs w:val="1"/>
                <w:color w:val="auto"/>
                <w:w w:val="84"/>
                <w:vertAlign w:val="superscript"/>
              </w:rPr>
              <w:t>1</w:t>
            </w:r>
            <w:r>
              <w:rPr>
                <w:rFonts w:ascii="Arial" w:cs="Arial" w:eastAsia="Arial" w:hAnsi="Arial"/>
                <w:sz w:val="18"/>
                <w:szCs w:val="18"/>
                <w:b w:val="1"/>
                <w:bCs w:val="1"/>
                <w:color w:val="auto"/>
                <w:w w:val="84"/>
              </w:rPr>
              <w:t xml:space="preserve"> shares</w:t>
            </w: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1000" w:type="dxa"/>
            <w:vAlign w:val="bottom"/>
          </w:tcPr>
          <w:p>
            <w:pPr>
              <w:jc w:val="center"/>
              <w:ind w:left="610"/>
              <w:spacing w:after="0"/>
              <w:rPr>
                <w:sz w:val="20"/>
                <w:szCs w:val="20"/>
                <w:color w:val="auto"/>
              </w:rPr>
            </w:pPr>
            <w:r>
              <w:rPr>
                <w:rFonts w:ascii="Arial" w:cs="Arial" w:eastAsia="Arial" w:hAnsi="Arial"/>
                <w:sz w:val="18"/>
                <w:szCs w:val="18"/>
                <w:color w:val="auto"/>
                <w:w w:val="92"/>
              </w:rPr>
              <w:t>6.</w:t>
            </w:r>
          </w:p>
        </w:tc>
        <w:tc>
          <w:tcPr>
            <w:tcW w:w="34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8"/>
                <w:szCs w:val="18"/>
                <w:color w:val="auto"/>
              </w:rPr>
              <w:t>Beneficially</w:t>
            </w:r>
          </w:p>
        </w:tc>
        <w:tc>
          <w:tcPr>
            <w:tcW w:w="10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000" w:type="dxa"/>
            <w:vAlign w:val="bottom"/>
            <w:vMerge w:val="restart"/>
          </w:tcPr>
          <w:p>
            <w:pPr>
              <w:jc w:val="center"/>
              <w:ind w:left="610"/>
              <w:spacing w:after="0"/>
              <w:rPr>
                <w:sz w:val="20"/>
                <w:szCs w:val="20"/>
                <w:color w:val="auto"/>
              </w:rPr>
            </w:pPr>
            <w:r>
              <w:rPr>
                <w:rFonts w:ascii="Arial" w:cs="Arial" w:eastAsia="Arial" w:hAnsi="Arial"/>
                <w:sz w:val="18"/>
                <w:szCs w:val="18"/>
                <w:color w:val="auto"/>
                <w:w w:val="92"/>
              </w:rPr>
              <w:t>7.</w:t>
            </w:r>
          </w:p>
        </w:tc>
        <w:tc>
          <w:tcPr>
            <w:tcW w:w="346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9"/>
        </w:trPr>
        <w:tc>
          <w:tcPr>
            <w:tcW w:w="128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100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2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10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4"/>
              </w:rPr>
              <w:t>5,527,088</w:t>
            </w:r>
            <w:r>
              <w:rPr>
                <w:rFonts w:ascii="Arial" w:cs="Arial" w:eastAsia="Arial" w:hAnsi="Arial"/>
                <w:sz w:val="42"/>
                <w:szCs w:val="42"/>
                <w:b w:val="1"/>
                <w:bCs w:val="1"/>
                <w:color w:val="auto"/>
                <w:w w:val="84"/>
                <w:vertAlign w:val="superscript"/>
              </w:rPr>
              <w:t>1</w:t>
            </w:r>
            <w:r>
              <w:rPr>
                <w:rFonts w:ascii="Arial" w:cs="Arial" w:eastAsia="Arial" w:hAnsi="Arial"/>
                <w:sz w:val="18"/>
                <w:szCs w:val="18"/>
                <w:b w:val="1"/>
                <w:bCs w:val="1"/>
                <w:color w:val="auto"/>
                <w:w w:val="84"/>
              </w:rPr>
              <w:t xml:space="preserve"> shares</w:t>
            </w:r>
          </w:p>
        </w:tc>
        <w:tc>
          <w:tcPr>
            <w:tcW w:w="0" w:type="dxa"/>
            <w:vAlign w:val="bottom"/>
          </w:tcPr>
          <w:p>
            <w:pPr>
              <w:spacing w:after="0"/>
              <w:rPr>
                <w:sz w:val="1"/>
                <w:szCs w:val="1"/>
                <w:color w:val="auto"/>
              </w:rPr>
            </w:pPr>
          </w:p>
        </w:tc>
      </w:tr>
      <w:tr>
        <w:trPr>
          <w:trHeight w:val="505"/>
        </w:trPr>
        <w:tc>
          <w:tcPr>
            <w:tcW w:w="1280" w:type="dxa"/>
            <w:vAlign w:val="bottom"/>
          </w:tcPr>
          <w:p>
            <w:pPr>
              <w:spacing w:after="0"/>
              <w:rPr>
                <w:sz w:val="24"/>
                <w:szCs w:val="24"/>
                <w:color w:val="auto"/>
              </w:rPr>
            </w:pPr>
          </w:p>
        </w:tc>
        <w:tc>
          <w:tcPr>
            <w:tcW w:w="1000" w:type="dxa"/>
            <w:vAlign w:val="bottom"/>
          </w:tcPr>
          <w:p>
            <w:pPr>
              <w:jc w:val="center"/>
              <w:ind w:left="610"/>
              <w:spacing w:after="0"/>
              <w:rPr>
                <w:sz w:val="20"/>
                <w:szCs w:val="20"/>
                <w:color w:val="auto"/>
              </w:rPr>
            </w:pPr>
            <w:r>
              <w:rPr>
                <w:rFonts w:ascii="Arial" w:cs="Arial" w:eastAsia="Arial" w:hAnsi="Arial"/>
                <w:sz w:val="18"/>
                <w:szCs w:val="18"/>
                <w:color w:val="auto"/>
                <w:w w:val="92"/>
              </w:rPr>
              <w:t>8.</w:t>
            </w:r>
          </w:p>
        </w:tc>
        <w:tc>
          <w:tcPr>
            <w:tcW w:w="34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740" w:type="dxa"/>
            <w:vAlign w:val="bottom"/>
            <w:gridSpan w:val="3"/>
          </w:tcPr>
          <w:p>
            <w:pPr>
              <w:ind w:left="780"/>
              <w:spacing w:after="0"/>
              <w:rPr>
                <w:sz w:val="20"/>
                <w:szCs w:val="20"/>
                <w:color w:val="auto"/>
              </w:rPr>
            </w:pPr>
            <w:r>
              <w:rPr>
                <w:rFonts w:ascii="Arial" w:cs="Arial" w:eastAsia="Arial" w:hAnsi="Arial"/>
                <w:sz w:val="18"/>
                <w:szCs w:val="18"/>
                <w:color w:val="auto"/>
                <w:w w:val="94"/>
              </w:rPr>
              <w:t>Aggregate Amount Beneficially Owned by Each Reporting Person</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440"/>
              <w:spacing w:after="0"/>
              <w:rPr>
                <w:sz w:val="20"/>
                <w:szCs w:val="20"/>
                <w:color w:val="auto"/>
              </w:rPr>
            </w:pPr>
            <w:r>
              <w:rPr>
                <w:rFonts w:ascii="Arial" w:cs="Arial" w:eastAsia="Arial" w:hAnsi="Arial"/>
                <w:sz w:val="18"/>
                <w:szCs w:val="18"/>
                <w:color w:val="auto"/>
              </w:rPr>
              <w:t>9.</w:t>
            </w:r>
          </w:p>
        </w:tc>
        <w:tc>
          <w:tcPr>
            <w:tcW w:w="4460" w:type="dxa"/>
            <w:vAlign w:val="bottom"/>
            <w:gridSpan w:val="2"/>
            <w:vMerge w:val="restart"/>
          </w:tcPr>
          <w:p>
            <w:pPr>
              <w:jc w:val="center"/>
              <w:ind w:right="2690"/>
              <w:spacing w:after="0"/>
              <w:rPr>
                <w:sz w:val="20"/>
                <w:szCs w:val="20"/>
                <w:color w:val="auto"/>
              </w:rPr>
            </w:pPr>
            <w:r>
              <w:rPr>
                <w:rFonts w:ascii="Arial" w:cs="Arial" w:eastAsia="Arial" w:hAnsi="Arial"/>
                <w:sz w:val="18"/>
                <w:szCs w:val="18"/>
                <w:b w:val="1"/>
                <w:bCs w:val="1"/>
                <w:color w:val="auto"/>
                <w:w w:val="85"/>
              </w:rPr>
              <w:t>5,527,088</w:t>
            </w:r>
            <w:r>
              <w:rPr>
                <w:rFonts w:ascii="Arial" w:cs="Arial" w:eastAsia="Arial" w:hAnsi="Arial"/>
                <w:sz w:val="42"/>
                <w:szCs w:val="42"/>
                <w:b w:val="1"/>
                <w:bCs w:val="1"/>
                <w:color w:val="auto"/>
                <w:w w:val="85"/>
                <w:vertAlign w:val="superscript"/>
              </w:rPr>
              <w:t>1</w:t>
            </w:r>
            <w:r>
              <w:rPr>
                <w:rFonts w:ascii="Arial" w:cs="Arial" w:eastAsia="Arial" w:hAnsi="Arial"/>
                <w:sz w:val="18"/>
                <w:szCs w:val="18"/>
                <w:b w:val="1"/>
                <w:bCs w:val="1"/>
                <w:color w:val="auto"/>
                <w:w w:val="85"/>
              </w:rPr>
              <w:t xml:space="preserve"> shares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280" w:type="dxa"/>
            <w:vAlign w:val="bottom"/>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740" w:type="dxa"/>
            <w:vAlign w:val="bottom"/>
            <w:gridSpan w:val="3"/>
          </w:tcPr>
          <w:p>
            <w:pPr>
              <w:ind w:left="780"/>
              <w:spacing w:after="0"/>
              <w:rPr>
                <w:sz w:val="20"/>
                <w:szCs w:val="20"/>
                <w:color w:val="auto"/>
              </w:rPr>
            </w:pPr>
            <w:r>
              <w:rPr>
                <w:rFonts w:ascii="Arial" w:cs="Arial" w:eastAsia="Arial" w:hAnsi="Arial"/>
                <w:sz w:val="18"/>
                <w:szCs w:val="18"/>
                <w:color w:val="auto"/>
              </w:rPr>
              <w:t>Check if the Aggregate Amount in Row (9) Excludes</w:t>
            </w:r>
          </w:p>
        </w:tc>
        <w:tc>
          <w:tcPr>
            <w:tcW w:w="1560" w:type="dxa"/>
            <w:vAlign w:val="bottom"/>
          </w:tcPr>
          <w:p>
            <w:pPr>
              <w:jc w:val="right"/>
              <w:ind w:right="5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40" w:hanging="332"/>
        <w:spacing w:after="0"/>
        <w:tabs>
          <w:tab w:leader="none" w:pos="840" w:val="left"/>
        </w:tabs>
        <w:numPr>
          <w:ilvl w:val="0"/>
          <w:numId w:val="5"/>
        </w:numPr>
        <w:rPr>
          <w:rFonts w:ascii="Arial" w:cs="Arial" w:eastAsia="Arial" w:hAnsi="Arial"/>
          <w:sz w:val="35"/>
          <w:szCs w:val="35"/>
          <w:color w:val="auto"/>
          <w:vertAlign w:val="superscript"/>
        </w:rPr>
      </w:pPr>
      <w:r>
        <w:rPr>
          <w:rFonts w:ascii="Arial" w:cs="Arial" w:eastAsia="Arial" w:hAnsi="Arial"/>
          <w:sz w:val="18"/>
          <w:szCs w:val="18"/>
          <w:color w:val="auto"/>
        </w:rPr>
        <w:t>Certain Shares (See Instructions)</w:t>
      </w:r>
    </w:p>
    <w:p>
      <w:pPr>
        <w:spacing w:after="0" w:line="200" w:lineRule="exact"/>
        <w:rPr>
          <w:rFonts w:ascii="Arial" w:cs="Arial" w:eastAsia="Arial" w:hAnsi="Arial"/>
          <w:sz w:val="35"/>
          <w:szCs w:val="35"/>
          <w:color w:val="auto"/>
          <w:vertAlign w:val="superscript"/>
        </w:rPr>
      </w:pPr>
    </w:p>
    <w:p>
      <w:pPr>
        <w:spacing w:after="0" w:line="242" w:lineRule="exact"/>
        <w:rPr>
          <w:rFonts w:ascii="Arial" w:cs="Arial" w:eastAsia="Arial" w:hAnsi="Arial"/>
          <w:sz w:val="35"/>
          <w:szCs w:val="35"/>
          <w:color w:val="auto"/>
          <w:vertAlign w:val="superscript"/>
        </w:rPr>
      </w:pPr>
    </w:p>
    <w:p>
      <w:pPr>
        <w:ind w:left="840"/>
        <w:spacing w:after="0"/>
        <w:rPr>
          <w:rFonts w:ascii="Arial" w:cs="Arial" w:eastAsia="Arial" w:hAnsi="Arial"/>
          <w:sz w:val="35"/>
          <w:szCs w:val="35"/>
          <w:color w:val="auto"/>
          <w:vertAlign w:val="superscript"/>
        </w:rPr>
      </w:pPr>
      <w:r>
        <w:rPr>
          <w:rFonts w:ascii="Arial" w:cs="Arial" w:eastAsia="Arial" w:hAnsi="Arial"/>
          <w:sz w:val="18"/>
          <w:szCs w:val="18"/>
          <w:color w:val="auto"/>
        </w:rPr>
        <w:t>Percent of Class Represented by Amount in Row (9)</w:t>
      </w:r>
    </w:p>
    <w:p>
      <w:pPr>
        <w:ind w:left="840" w:hanging="332"/>
        <w:spacing w:after="0" w:line="232" w:lineRule="auto"/>
        <w:tabs>
          <w:tab w:leader="none" w:pos="840" w:val="left"/>
        </w:tabs>
        <w:numPr>
          <w:ilvl w:val="0"/>
          <w:numId w:val="5"/>
        </w:numPr>
        <w:rPr>
          <w:rFonts w:ascii="Arial" w:cs="Arial" w:eastAsia="Arial" w:hAnsi="Arial"/>
          <w:sz w:val="35"/>
          <w:szCs w:val="35"/>
          <w:color w:val="auto"/>
          <w:vertAlign w:val="superscript"/>
        </w:rPr>
      </w:pPr>
      <w:r>
        <w:rPr>
          <w:rFonts w:ascii="Arial" w:cs="Arial" w:eastAsia="Arial" w:hAnsi="Arial"/>
          <w:sz w:val="35"/>
          <w:szCs w:val="35"/>
          <w:b w:val="1"/>
          <w:bCs w:val="1"/>
          <w:color w:val="auto"/>
          <w:vertAlign w:val="subscript"/>
        </w:rPr>
        <w:t>6.7%</w:t>
      </w:r>
      <w:r>
        <w:rPr>
          <w:rFonts w:ascii="Arial" w:cs="Arial" w:eastAsia="Arial" w:hAnsi="Arial"/>
          <w:sz w:val="21"/>
          <w:szCs w:val="21"/>
          <w:b w:val="1"/>
          <w:bCs w:val="1"/>
          <w:color w:val="auto"/>
        </w:rPr>
        <w:t>2</w:t>
      </w:r>
    </w:p>
    <w:p>
      <w:pPr>
        <w:spacing w:after="0" w:line="84" w:lineRule="exact"/>
        <w:rPr>
          <w:rFonts w:ascii="Arial" w:cs="Arial" w:eastAsia="Arial" w:hAnsi="Arial"/>
          <w:sz w:val="35"/>
          <w:szCs w:val="35"/>
          <w:color w:val="auto"/>
          <w:vertAlign w:val="superscript"/>
        </w:rPr>
      </w:pPr>
    </w:p>
    <w:p>
      <w:pPr>
        <w:ind w:left="840" w:hanging="332"/>
        <w:spacing w:after="0"/>
        <w:tabs>
          <w:tab w:leader="none" w:pos="840" w:val="left"/>
        </w:tabs>
        <w:numPr>
          <w:ilvl w:val="0"/>
          <w:numId w:val="5"/>
        </w:numPr>
        <w:rPr>
          <w:rFonts w:ascii="Arial" w:cs="Arial" w:eastAsia="Arial" w:hAnsi="Arial"/>
          <w:sz w:val="35"/>
          <w:szCs w:val="35"/>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5"/>
          <w:szCs w:val="35"/>
          <w:color w:val="auto"/>
          <w:vertAlign w:val="subscript"/>
        </w:rPr>
      </w:pPr>
    </w:p>
    <w:p>
      <w:pPr>
        <w:ind w:left="840"/>
        <w:spacing w:after="0"/>
        <w:rPr>
          <w:rFonts w:ascii="Arial" w:cs="Arial" w:eastAsia="Arial" w:hAnsi="Arial"/>
          <w:sz w:val="35"/>
          <w:szCs w:val="35"/>
          <w:color w:val="auto"/>
          <w:vertAlign w:val="subscript"/>
        </w:rPr>
      </w:pPr>
      <w:r>
        <w:rPr>
          <w:rFonts w:ascii="Arial" w:cs="Arial" w:eastAsia="Arial" w:hAnsi="Arial"/>
          <w:sz w:val="18"/>
          <w:szCs w:val="18"/>
          <w:b w:val="1"/>
          <w:bCs w:val="1"/>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1" w:lineRule="exact"/>
        <w:rPr>
          <w:sz w:val="20"/>
          <w:szCs w:val="20"/>
          <w:color w:val="auto"/>
        </w:rPr>
      </w:pPr>
    </w:p>
    <w:p>
      <w:pPr>
        <w:ind w:right="160"/>
        <w:spacing w:after="0" w:line="281" w:lineRule="auto"/>
        <w:rPr>
          <w:sz w:val="20"/>
          <w:szCs w:val="20"/>
          <w:color w:val="auto"/>
        </w:rPr>
      </w:pPr>
      <w:r>
        <w:rPr>
          <w:rFonts w:ascii="Arial" w:cs="Arial" w:eastAsia="Arial" w:hAnsi="Arial"/>
          <w:sz w:val="15"/>
          <w:szCs w:val="15"/>
          <w:color w:val="auto"/>
        </w:rPr>
        <w:t>1 The shares reported herein for the Reporting Person represent (i) 5,358,863 shares of the Issuer’s Common Stock issued and outstanding and (ii) 168,225 shares of the Issuer’s Common Stock the Reporting Person has the right to acquire through the exercise of warrants issued June 4, 2015 (“Warrant Shares”).</w:t>
      </w:r>
    </w:p>
    <w:p>
      <w:pPr>
        <w:spacing w:after="0" w:line="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2 The number of shares outstanding for purposes of this percentage calculation assumes (i) 82,883,080 outstanding shares of Common Stock of the Issuer, based on the Issuer’s Form 424B5 Prospectus as filed with the Securities and Exchange Commission (“SEC”) on December 5, 2019, plus (ii) the 168,225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4240" w:type="dxa"/>
            <w:vAlign w:val="bottom"/>
          </w:tcPr>
          <w:p>
            <w:pPr>
              <w:ind w:left="3920"/>
              <w:spacing w:after="0"/>
              <w:rPr>
                <w:sz w:val="20"/>
                <w:szCs w:val="20"/>
                <w:color w:val="auto"/>
              </w:rPr>
            </w:pPr>
            <w:r>
              <w:rPr>
                <w:rFonts w:ascii="Arial" w:cs="Arial" w:eastAsia="Arial" w:hAnsi="Arial"/>
                <w:sz w:val="18"/>
                <w:szCs w:val="18"/>
                <w:b w:val="1"/>
                <w:bCs w:val="1"/>
                <w:color w:val="auto"/>
                <w:w w:val="88"/>
              </w:rPr>
              <w:t>13G</w:t>
            </w:r>
          </w:p>
        </w:tc>
      </w:tr>
    </w:tbl>
    <w:p>
      <w:pPr>
        <w:spacing w:after="0" w:line="229" w:lineRule="exact"/>
        <w:rPr>
          <w:sz w:val="20"/>
          <w:szCs w:val="20"/>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Peter Kolchinsky</w:t>
      </w:r>
    </w:p>
    <w:p>
      <w:pPr>
        <w:spacing w:after="0" w:line="283" w:lineRule="exact"/>
        <w:rPr>
          <w:sz w:val="20"/>
          <w:szCs w:val="20"/>
          <w:color w:val="auto"/>
        </w:rPr>
      </w:pP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00" w:hanging="255"/>
        <w:spacing w:after="0" w:line="207" w:lineRule="exact"/>
        <w:tabs>
          <w:tab w:leader="none" w:pos="110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1100" w:hanging="255"/>
        <w:spacing w:after="0" w:line="207" w:lineRule="exact"/>
        <w:tabs>
          <w:tab w:leader="none" w:pos="110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1360"/>
          </w:cols>
          <w:pgMar w:left="240" w:top="918" w:right="29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840" w:hanging="332"/>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40" w:hanging="332"/>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Number of</w:t>
            </w:r>
          </w:p>
        </w:tc>
        <w:tc>
          <w:tcPr>
            <w:tcW w:w="6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Shares</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Owned by</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00" w:type="dxa"/>
            <w:vAlign w:val="bottom"/>
            <w:vMerge w:val="restart"/>
          </w:tcPr>
          <w:p>
            <w:pPr>
              <w:ind w:left="140"/>
              <w:spacing w:after="0"/>
              <w:rPr>
                <w:sz w:val="20"/>
                <w:szCs w:val="20"/>
                <w:color w:val="auto"/>
              </w:rPr>
            </w:pPr>
            <w:r>
              <w:rPr>
                <w:rFonts w:ascii="Arial" w:cs="Arial" w:eastAsia="Arial" w:hAnsi="Arial"/>
                <w:sz w:val="18"/>
                <w:szCs w:val="18"/>
                <w:color w:val="auto"/>
                <w:w w:val="99"/>
              </w:rPr>
              <w:t>Sole Dispositive Power</w:t>
            </w:r>
          </w:p>
        </w:tc>
        <w:tc>
          <w:tcPr>
            <w:tcW w:w="0" w:type="dxa"/>
            <w:vAlign w:val="bottom"/>
          </w:tcPr>
          <w:p>
            <w:pPr>
              <w:spacing w:after="0"/>
              <w:rPr>
                <w:sz w:val="1"/>
                <w:szCs w:val="1"/>
                <w:color w:val="auto"/>
              </w:rPr>
            </w:pPr>
          </w:p>
        </w:tc>
      </w:tr>
      <w:tr>
        <w:trPr>
          <w:trHeight w:val="109"/>
        </w:trPr>
        <w:tc>
          <w:tcPr>
            <w:tcW w:w="160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68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Person With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00" w:type="dxa"/>
            <w:vAlign w:val="bottom"/>
            <w:vMerge w:val="restart"/>
          </w:tcPr>
          <w:p>
            <w:pPr>
              <w:ind w:left="140"/>
              <w:spacing w:after="0"/>
              <w:rPr>
                <w:sz w:val="20"/>
                <w:szCs w:val="20"/>
                <w:color w:val="auto"/>
              </w:rPr>
            </w:pPr>
            <w:r>
              <w:rPr>
                <w:rFonts w:ascii="Arial" w:cs="Arial" w:eastAsia="Arial" w:hAnsi="Arial"/>
                <w:sz w:val="18"/>
                <w:szCs w:val="18"/>
                <w:color w:val="auto"/>
                <w:w w:val="89"/>
              </w:rPr>
              <w:t>Shared Dispositive Power</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Aggregate Amount Beneficially Owned by Each Reporting Person</w:t>
      </w:r>
    </w:p>
    <w:p>
      <w:pPr>
        <w:ind w:left="500"/>
        <w:spacing w:after="0"/>
        <w:tabs>
          <w:tab w:leader="none" w:pos="1480" w:val="left"/>
        </w:tabs>
        <w:rPr>
          <w:sz w:val="20"/>
          <w:szCs w:val="20"/>
          <w:color w:val="auto"/>
        </w:rPr>
      </w:pPr>
      <w:r>
        <w:rPr>
          <w:rFonts w:ascii="Arial" w:cs="Arial" w:eastAsia="Arial" w:hAnsi="Arial"/>
          <w:sz w:val="36"/>
          <w:szCs w:val="36"/>
          <w:color w:val="auto"/>
          <w:vertAlign w:val="superscript"/>
        </w:rPr>
        <w:t>9.</w:t>
      </w:r>
      <w:r>
        <w:rPr>
          <w:sz w:val="20"/>
          <w:szCs w:val="20"/>
          <w:color w:val="auto"/>
        </w:rPr>
        <w:tab/>
      </w:r>
      <w:r>
        <w:rPr>
          <w:rFonts w:ascii="Arial" w:cs="Arial" w:eastAsia="Arial" w:hAnsi="Arial"/>
          <w:sz w:val="18"/>
          <w:szCs w:val="18"/>
          <w:b w:val="1"/>
          <w:bCs w:val="1"/>
          <w:color w:val="auto"/>
        </w:rPr>
        <w:t>5,527,088</w:t>
      </w:r>
      <w:r>
        <w:rPr>
          <w:rFonts w:ascii="Arial" w:cs="Arial" w:eastAsia="Arial" w:hAnsi="Arial"/>
          <w:sz w:val="42"/>
          <w:szCs w:val="42"/>
          <w:b w:val="1"/>
          <w:bCs w:val="1"/>
          <w:color w:val="auto"/>
          <w:vertAlign w:val="superscript"/>
        </w:rPr>
        <w:t>1</w:t>
      </w:r>
      <w:r>
        <w:rPr>
          <w:rFonts w:ascii="Arial" w:cs="Arial" w:eastAsia="Arial" w:hAnsi="Arial"/>
          <w:sz w:val="18"/>
          <w:szCs w:val="18"/>
          <w:b w:val="1"/>
          <w:bCs w:val="1"/>
          <w:color w:val="auto"/>
        </w:rPr>
        <w:t xml:space="preserve"> shares</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Check if the Aggregate Amount in Row (9) Excludes</w:t>
      </w:r>
    </w:p>
    <w:p>
      <w:pPr>
        <w:spacing w:after="0" w:line="53" w:lineRule="exact"/>
        <w:rPr>
          <w:sz w:val="20"/>
          <w:szCs w:val="20"/>
          <w:color w:val="auto"/>
        </w:rPr>
      </w:pPr>
    </w:p>
    <w:p>
      <w:pPr>
        <w:ind w:left="840" w:hanging="332"/>
        <w:spacing w:after="0"/>
        <w:tabs>
          <w:tab w:leader="none" w:pos="840" w:val="left"/>
        </w:tabs>
        <w:numPr>
          <w:ilvl w:val="0"/>
          <w:numId w:val="9"/>
        </w:numPr>
        <w:rPr>
          <w:rFonts w:ascii="Arial" w:cs="Arial" w:eastAsia="Arial" w:hAnsi="Arial"/>
          <w:sz w:val="35"/>
          <w:szCs w:val="35"/>
          <w:color w:val="auto"/>
          <w:vertAlign w:val="superscript"/>
        </w:rPr>
      </w:pPr>
      <w:r>
        <w:rPr>
          <w:rFonts w:ascii="Arial" w:cs="Arial" w:eastAsia="Arial" w:hAnsi="Arial"/>
          <w:sz w:val="18"/>
          <w:szCs w:val="18"/>
          <w:color w:val="auto"/>
        </w:rPr>
        <w:t>Certain Shares (See Instructions)</w:t>
      </w:r>
    </w:p>
    <w:p>
      <w:pPr>
        <w:spacing w:after="0" w:line="200" w:lineRule="exact"/>
        <w:rPr>
          <w:rFonts w:ascii="Arial" w:cs="Arial" w:eastAsia="Arial" w:hAnsi="Arial"/>
          <w:sz w:val="35"/>
          <w:szCs w:val="35"/>
          <w:color w:val="auto"/>
          <w:vertAlign w:val="superscript"/>
        </w:rPr>
      </w:pPr>
    </w:p>
    <w:p>
      <w:pPr>
        <w:spacing w:after="0" w:line="242" w:lineRule="exact"/>
        <w:rPr>
          <w:rFonts w:ascii="Arial" w:cs="Arial" w:eastAsia="Arial" w:hAnsi="Arial"/>
          <w:sz w:val="35"/>
          <w:szCs w:val="35"/>
          <w:color w:val="auto"/>
          <w:vertAlign w:val="superscript"/>
        </w:rPr>
      </w:pPr>
    </w:p>
    <w:p>
      <w:pPr>
        <w:ind w:left="840"/>
        <w:spacing w:after="0"/>
        <w:rPr>
          <w:rFonts w:ascii="Arial" w:cs="Arial" w:eastAsia="Arial" w:hAnsi="Arial"/>
          <w:sz w:val="35"/>
          <w:szCs w:val="35"/>
          <w:color w:val="auto"/>
          <w:vertAlign w:val="superscript"/>
        </w:rPr>
      </w:pPr>
      <w:r>
        <w:rPr>
          <w:rFonts w:ascii="Arial" w:cs="Arial" w:eastAsia="Arial" w:hAnsi="Arial"/>
          <w:sz w:val="18"/>
          <w:szCs w:val="18"/>
          <w:color w:val="auto"/>
        </w:rPr>
        <w:t>Percent of Class Represented by Amount in Row (9)</w:t>
      </w:r>
    </w:p>
    <w:p>
      <w:pPr>
        <w:ind w:left="840" w:hanging="332"/>
        <w:spacing w:after="0" w:line="232" w:lineRule="auto"/>
        <w:tabs>
          <w:tab w:leader="none" w:pos="840" w:val="left"/>
        </w:tabs>
        <w:numPr>
          <w:ilvl w:val="0"/>
          <w:numId w:val="9"/>
        </w:numPr>
        <w:rPr>
          <w:rFonts w:ascii="Arial" w:cs="Arial" w:eastAsia="Arial" w:hAnsi="Arial"/>
          <w:sz w:val="35"/>
          <w:szCs w:val="35"/>
          <w:color w:val="auto"/>
          <w:vertAlign w:val="superscript"/>
        </w:rPr>
      </w:pPr>
      <w:r>
        <w:rPr>
          <w:rFonts w:ascii="Arial" w:cs="Arial" w:eastAsia="Arial" w:hAnsi="Arial"/>
          <w:sz w:val="35"/>
          <w:szCs w:val="35"/>
          <w:b w:val="1"/>
          <w:bCs w:val="1"/>
          <w:color w:val="auto"/>
          <w:vertAlign w:val="subscript"/>
        </w:rPr>
        <w:t>6.7%</w:t>
      </w:r>
      <w:r>
        <w:rPr>
          <w:rFonts w:ascii="Arial" w:cs="Arial" w:eastAsia="Arial" w:hAnsi="Arial"/>
          <w:sz w:val="21"/>
          <w:szCs w:val="21"/>
          <w:b w:val="1"/>
          <w:bCs w:val="1"/>
          <w:color w:val="auto"/>
        </w:rPr>
        <w:t>2</w:t>
      </w:r>
    </w:p>
    <w:p>
      <w:pPr>
        <w:spacing w:after="0" w:line="84" w:lineRule="exact"/>
        <w:rPr>
          <w:rFonts w:ascii="Arial" w:cs="Arial" w:eastAsia="Arial" w:hAnsi="Arial"/>
          <w:sz w:val="35"/>
          <w:szCs w:val="35"/>
          <w:color w:val="auto"/>
          <w:vertAlign w:val="superscript"/>
        </w:rPr>
      </w:pPr>
    </w:p>
    <w:p>
      <w:pPr>
        <w:ind w:left="840" w:hanging="332"/>
        <w:spacing w:after="0"/>
        <w:tabs>
          <w:tab w:leader="none" w:pos="840" w:val="left"/>
        </w:tabs>
        <w:numPr>
          <w:ilvl w:val="0"/>
          <w:numId w:val="9"/>
        </w:numPr>
        <w:rPr>
          <w:rFonts w:ascii="Arial" w:cs="Arial" w:eastAsia="Arial" w:hAnsi="Arial"/>
          <w:sz w:val="35"/>
          <w:szCs w:val="35"/>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5"/>
          <w:szCs w:val="35"/>
          <w:color w:val="auto"/>
          <w:vertAlign w:val="subscript"/>
        </w:rPr>
      </w:pPr>
    </w:p>
    <w:p>
      <w:pPr>
        <w:ind w:left="840"/>
        <w:spacing w:after="0"/>
        <w:rPr>
          <w:rFonts w:ascii="Arial" w:cs="Arial" w:eastAsia="Arial" w:hAnsi="Arial"/>
          <w:sz w:val="35"/>
          <w:szCs w:val="35"/>
          <w:color w:val="auto"/>
          <w:vertAlign w:val="subscript"/>
        </w:rPr>
      </w:pPr>
      <w:r>
        <w:rPr>
          <w:rFonts w:ascii="Arial" w:cs="Arial" w:eastAsia="Arial" w:hAnsi="Arial"/>
          <w:sz w:val="18"/>
          <w:szCs w:val="18"/>
          <w:b w:val="1"/>
          <w:bCs w:val="1"/>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shares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5,527,088</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 xml:space="preserve"> shares</w:t>
      </w:r>
    </w:p>
    <w:p>
      <w:pPr>
        <w:spacing w:after="0" w:line="247" w:lineRule="exact"/>
        <w:rPr>
          <w:sz w:val="20"/>
          <w:szCs w:val="20"/>
          <w:color w:val="auto"/>
        </w:rPr>
      </w:pPr>
    </w:p>
    <w:p>
      <w:pPr>
        <w:ind w:left="40" w:right="4000" w:firstLine="4"/>
        <w:spacing w:after="0" w:line="581" w:lineRule="auto"/>
        <w:tabs>
          <w:tab w:leader="none" w:pos="175"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shares 5,527,088</w:t>
      </w:r>
      <w:r>
        <w:rPr>
          <w:rFonts w:ascii="Arial" w:cs="Arial" w:eastAsia="Arial" w:hAnsi="Arial"/>
          <w:sz w:val="31"/>
          <w:szCs w:val="31"/>
          <w:b w:val="1"/>
          <w:bCs w:val="1"/>
          <w:color w:val="auto"/>
          <w:vertAlign w:val="superscript"/>
        </w:rPr>
        <w:t>1</w:t>
      </w:r>
      <w:r>
        <w:rPr>
          <w:rFonts w:ascii="Arial" w:cs="Arial" w:eastAsia="Arial" w:hAnsi="Arial"/>
          <w:sz w:val="15"/>
          <w:szCs w:val="15"/>
          <w:b w:val="1"/>
          <w:bCs w:val="1"/>
          <w:color w:val="auto"/>
        </w:rPr>
        <w:t xml:space="preserve"> shares</w:t>
      </w:r>
    </w:p>
    <w:p>
      <w:pPr>
        <w:spacing w:after="0" w:line="200" w:lineRule="exact"/>
        <w:rPr>
          <w:sz w:val="20"/>
          <w:szCs w:val="20"/>
          <w:color w:val="auto"/>
        </w:rPr>
      </w:pPr>
    </w:p>
    <w:p>
      <w:pPr>
        <w:spacing w:after="0" w:line="382" w:lineRule="exact"/>
        <w:rPr>
          <w:sz w:val="20"/>
          <w:szCs w:val="20"/>
          <w:color w:val="auto"/>
        </w:rPr>
      </w:pPr>
    </w:p>
    <w:p>
      <w:pPr>
        <w:ind w:left="580"/>
        <w:spacing w:after="0" w:line="181" w:lineRule="exact"/>
        <w:rPr>
          <w:sz w:val="20"/>
          <w:szCs w:val="20"/>
          <w:color w:val="auto"/>
        </w:rPr>
      </w:pPr>
      <w:r>
        <w:rPr>
          <w:rFonts w:ascii="MS PGothic" w:cs="MS PGothic" w:eastAsia="MS PGothic" w:hAnsi="MS PGothic"/>
          <w:sz w:val="18"/>
          <w:szCs w:val="18"/>
          <w:color w:val="auto"/>
        </w:rPr>
        <w:t>☐</w:t>
      </w:r>
    </w:p>
    <w:p>
      <w:pPr>
        <w:spacing w:after="0" w:line="2449" w:lineRule="exact"/>
        <w:rPr>
          <w:sz w:val="20"/>
          <w:szCs w:val="20"/>
          <w:color w:val="auto"/>
        </w:rPr>
      </w:pPr>
    </w:p>
    <w:p>
      <w:pPr>
        <w:sectPr>
          <w:pgSz w:w="11900" w:h="16838" w:orient="portrait"/>
          <w:cols w:equalWidth="0" w:num="2">
            <w:col w:w="5640" w:space="320"/>
            <w:col w:w="5400"/>
          </w:cols>
          <w:pgMar w:left="240" w:top="918" w:right="299" w:bottom="1440" w:gutter="0" w:footer="0" w:header="0"/>
          <w:type w:val="continuous"/>
        </w:sectPr>
      </w:pPr>
    </w:p>
    <w:p>
      <w:pPr>
        <w:spacing w:after="0" w:line="161" w:lineRule="exact"/>
        <w:rPr>
          <w:sz w:val="20"/>
          <w:szCs w:val="20"/>
          <w:color w:val="auto"/>
        </w:rPr>
      </w:pPr>
    </w:p>
    <w:p>
      <w:pPr>
        <w:ind w:right="160"/>
        <w:spacing w:after="0" w:line="281" w:lineRule="auto"/>
        <w:rPr>
          <w:sz w:val="20"/>
          <w:szCs w:val="20"/>
          <w:color w:val="auto"/>
        </w:rPr>
      </w:pPr>
      <w:r>
        <w:rPr>
          <w:rFonts w:ascii="Arial" w:cs="Arial" w:eastAsia="Arial" w:hAnsi="Arial"/>
          <w:sz w:val="15"/>
          <w:szCs w:val="15"/>
          <w:color w:val="auto"/>
        </w:rPr>
        <w:t>1 The shares reported herein for the Reporting Person represent (i) 5,358,863 shares of the Issuer’s Common Stock issued and outstanding and (ii) 168,225 shares of the Issuer’s Common Stock the Reporting Person has the right to acquire through the exercise of warrants issued June 4, 2015 (“Warrant Shares”).</w:t>
      </w:r>
    </w:p>
    <w:p>
      <w:pPr>
        <w:spacing w:after="0" w:line="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2 The number of shares outstanding for purposes of this percentage calculation assumes (i) 82,883,080 outstanding shares of Common Stock of the Issuer, based on the Issuer’s Form 424B5 Prospectus as filed with the Securities and Exchange Commission (“SEC”) on December 5, 2019, plus (ii) the 168,225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type w:val="continuous"/>
        </w:sectPr>
      </w:pPr>
    </w:p>
    <w:bookmarkStart w:id="3" w:name="page4"/>
    <w:bookmarkEnd w:id="3"/>
    <w:tbl>
      <w:tblPr>
        <w:tblLayout w:type="fixed"/>
        <w:tblInd w:w="6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4240" w:type="dxa"/>
            <w:vAlign w:val="bottom"/>
          </w:tcPr>
          <w:p>
            <w:pPr>
              <w:ind w:left="3920"/>
              <w:spacing w:after="0"/>
              <w:rPr>
                <w:sz w:val="20"/>
                <w:szCs w:val="20"/>
                <w:color w:val="auto"/>
              </w:rPr>
            </w:pPr>
            <w:r>
              <w:rPr>
                <w:rFonts w:ascii="Arial" w:cs="Arial" w:eastAsia="Arial" w:hAnsi="Arial"/>
                <w:sz w:val="18"/>
                <w:szCs w:val="18"/>
                <w:b w:val="1"/>
                <w:bCs w:val="1"/>
                <w:color w:val="auto"/>
                <w:w w:val="88"/>
              </w:rPr>
              <w:t>13G</w:t>
            </w:r>
          </w:p>
        </w:tc>
      </w:tr>
    </w:tbl>
    <w:p>
      <w:pPr>
        <w:spacing w:after="0" w:line="229" w:lineRule="exact"/>
        <w:rPr>
          <w:sz w:val="20"/>
          <w:szCs w:val="20"/>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Rajeev Shah</w:t>
      </w:r>
    </w:p>
    <w:p>
      <w:pPr>
        <w:spacing w:after="0" w:line="283"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00" w:hanging="255"/>
        <w:spacing w:after="0" w:line="207" w:lineRule="exact"/>
        <w:tabs>
          <w:tab w:leader="none" w:pos="11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7" w:lineRule="exact"/>
        <w:rPr>
          <w:rFonts w:ascii="Arial" w:cs="Arial" w:eastAsia="Arial" w:hAnsi="Arial"/>
          <w:sz w:val="18"/>
          <w:szCs w:val="18"/>
          <w:color w:val="auto"/>
        </w:rPr>
      </w:pPr>
    </w:p>
    <w:p>
      <w:pPr>
        <w:ind w:left="1100" w:hanging="255"/>
        <w:spacing w:after="0" w:line="207" w:lineRule="exact"/>
        <w:tabs>
          <w:tab w:leader="none" w:pos="11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1360"/>
          </w:cols>
          <w:pgMar w:left="240" w:top="918" w:right="29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840" w:hanging="33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40" w:hanging="33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6"/>
        </w:trPr>
        <w:tc>
          <w:tcPr>
            <w:tcW w:w="1600" w:type="dxa"/>
            <w:vAlign w:val="bottom"/>
          </w:tcPr>
          <w:p>
            <w:pPr>
              <w:spacing w:after="0"/>
              <w:rPr>
                <w:sz w:val="20"/>
                <w:szCs w:val="20"/>
                <w:color w:val="auto"/>
              </w:rPr>
            </w:pPr>
            <w:r>
              <w:rPr>
                <w:rFonts w:ascii="Arial" w:cs="Arial" w:eastAsia="Arial" w:hAnsi="Arial"/>
                <w:sz w:val="18"/>
                <w:szCs w:val="18"/>
                <w:color w:val="auto"/>
              </w:rPr>
              <w:t>Number of</w:t>
            </w: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Shares</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Owned by</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00" w:type="dxa"/>
            <w:vAlign w:val="bottom"/>
            <w:vMerge w:val="restart"/>
          </w:tcPr>
          <w:p>
            <w:pPr>
              <w:ind w:left="140"/>
              <w:spacing w:after="0"/>
              <w:rPr>
                <w:sz w:val="20"/>
                <w:szCs w:val="20"/>
                <w:color w:val="auto"/>
              </w:rPr>
            </w:pPr>
            <w:r>
              <w:rPr>
                <w:rFonts w:ascii="Arial" w:cs="Arial" w:eastAsia="Arial" w:hAnsi="Arial"/>
                <w:sz w:val="18"/>
                <w:szCs w:val="18"/>
                <w:color w:val="auto"/>
                <w:w w:val="99"/>
              </w:rPr>
              <w:t>Sole Dispositive Power</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680" w:type="dxa"/>
            <w:vAlign w:val="bottom"/>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Person With</w:t>
            </w:r>
          </w:p>
        </w:tc>
        <w:tc>
          <w:tcPr>
            <w:tcW w:w="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000" w:type="dxa"/>
            <w:vAlign w:val="bottom"/>
          </w:tcPr>
          <w:p>
            <w:pPr>
              <w:ind w:left="140"/>
              <w:spacing w:after="0"/>
              <w:rPr>
                <w:sz w:val="20"/>
                <w:szCs w:val="20"/>
                <w:color w:val="auto"/>
              </w:rPr>
            </w:pPr>
            <w:r>
              <w:rPr>
                <w:rFonts w:ascii="Arial" w:cs="Arial" w:eastAsia="Arial" w:hAnsi="Arial"/>
                <w:sz w:val="18"/>
                <w:szCs w:val="18"/>
                <w:color w:val="auto"/>
                <w:w w:val="89"/>
              </w:rPr>
              <w:t>Shared Dispositive Power</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Aggregate Amount Beneficially Owned by Each Reporting Person</w:t>
      </w:r>
    </w:p>
    <w:p>
      <w:pPr>
        <w:ind w:left="500"/>
        <w:spacing w:after="0"/>
        <w:tabs>
          <w:tab w:leader="none" w:pos="1480" w:val="left"/>
        </w:tabs>
        <w:rPr>
          <w:sz w:val="20"/>
          <w:szCs w:val="20"/>
          <w:color w:val="auto"/>
        </w:rPr>
      </w:pPr>
      <w:r>
        <w:rPr>
          <w:rFonts w:ascii="Arial" w:cs="Arial" w:eastAsia="Arial" w:hAnsi="Arial"/>
          <w:sz w:val="36"/>
          <w:szCs w:val="36"/>
          <w:color w:val="auto"/>
          <w:vertAlign w:val="superscript"/>
        </w:rPr>
        <w:t>9.</w:t>
      </w:r>
      <w:r>
        <w:rPr>
          <w:sz w:val="20"/>
          <w:szCs w:val="20"/>
          <w:color w:val="auto"/>
        </w:rPr>
        <w:tab/>
      </w:r>
      <w:r>
        <w:rPr>
          <w:rFonts w:ascii="Arial" w:cs="Arial" w:eastAsia="Arial" w:hAnsi="Arial"/>
          <w:sz w:val="18"/>
          <w:szCs w:val="18"/>
          <w:b w:val="1"/>
          <w:bCs w:val="1"/>
          <w:color w:val="auto"/>
        </w:rPr>
        <w:t>5,527,088</w:t>
      </w:r>
      <w:r>
        <w:rPr>
          <w:rFonts w:ascii="Arial" w:cs="Arial" w:eastAsia="Arial" w:hAnsi="Arial"/>
          <w:sz w:val="42"/>
          <w:szCs w:val="42"/>
          <w:b w:val="1"/>
          <w:bCs w:val="1"/>
          <w:color w:val="auto"/>
          <w:vertAlign w:val="superscript"/>
        </w:rPr>
        <w:t>1</w:t>
      </w:r>
      <w:r>
        <w:rPr>
          <w:rFonts w:ascii="Arial" w:cs="Arial" w:eastAsia="Arial" w:hAnsi="Arial"/>
          <w:sz w:val="18"/>
          <w:szCs w:val="18"/>
          <w:b w:val="1"/>
          <w:bCs w:val="1"/>
          <w:color w:val="auto"/>
        </w:rPr>
        <w:t xml:space="preserve"> shares</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Check if the Aggregate Amount in Row (9) Excludes</w:t>
      </w:r>
    </w:p>
    <w:p>
      <w:pPr>
        <w:spacing w:after="0" w:line="53" w:lineRule="exact"/>
        <w:rPr>
          <w:sz w:val="20"/>
          <w:szCs w:val="20"/>
          <w:color w:val="auto"/>
        </w:rPr>
      </w:pPr>
    </w:p>
    <w:p>
      <w:pPr>
        <w:ind w:left="840" w:hanging="332"/>
        <w:spacing w:after="0"/>
        <w:tabs>
          <w:tab w:leader="none" w:pos="840" w:val="left"/>
        </w:tabs>
        <w:numPr>
          <w:ilvl w:val="0"/>
          <w:numId w:val="14"/>
        </w:numPr>
        <w:rPr>
          <w:rFonts w:ascii="Arial" w:cs="Arial" w:eastAsia="Arial" w:hAnsi="Arial"/>
          <w:sz w:val="35"/>
          <w:szCs w:val="35"/>
          <w:color w:val="auto"/>
          <w:vertAlign w:val="superscript"/>
        </w:rPr>
      </w:pPr>
      <w:r>
        <w:rPr>
          <w:rFonts w:ascii="Arial" w:cs="Arial" w:eastAsia="Arial" w:hAnsi="Arial"/>
          <w:sz w:val="18"/>
          <w:szCs w:val="18"/>
          <w:color w:val="auto"/>
        </w:rPr>
        <w:t>Certain Shares (See Instructions)</w:t>
      </w:r>
    </w:p>
    <w:p>
      <w:pPr>
        <w:spacing w:after="0" w:line="200" w:lineRule="exact"/>
        <w:rPr>
          <w:rFonts w:ascii="Arial" w:cs="Arial" w:eastAsia="Arial" w:hAnsi="Arial"/>
          <w:sz w:val="35"/>
          <w:szCs w:val="35"/>
          <w:color w:val="auto"/>
          <w:vertAlign w:val="superscript"/>
        </w:rPr>
      </w:pPr>
    </w:p>
    <w:p>
      <w:pPr>
        <w:spacing w:after="0" w:line="242" w:lineRule="exact"/>
        <w:rPr>
          <w:rFonts w:ascii="Arial" w:cs="Arial" w:eastAsia="Arial" w:hAnsi="Arial"/>
          <w:sz w:val="35"/>
          <w:szCs w:val="35"/>
          <w:color w:val="auto"/>
          <w:vertAlign w:val="superscript"/>
        </w:rPr>
      </w:pPr>
    </w:p>
    <w:p>
      <w:pPr>
        <w:ind w:left="840"/>
        <w:spacing w:after="0"/>
        <w:rPr>
          <w:rFonts w:ascii="Arial" w:cs="Arial" w:eastAsia="Arial" w:hAnsi="Arial"/>
          <w:sz w:val="35"/>
          <w:szCs w:val="35"/>
          <w:color w:val="auto"/>
          <w:vertAlign w:val="superscript"/>
        </w:rPr>
      </w:pPr>
      <w:r>
        <w:rPr>
          <w:rFonts w:ascii="Arial" w:cs="Arial" w:eastAsia="Arial" w:hAnsi="Arial"/>
          <w:sz w:val="18"/>
          <w:szCs w:val="18"/>
          <w:color w:val="auto"/>
        </w:rPr>
        <w:t>Percent of Class Represented by Amount in Row (9)</w:t>
      </w:r>
    </w:p>
    <w:p>
      <w:pPr>
        <w:ind w:left="840" w:hanging="332"/>
        <w:spacing w:after="0" w:line="232" w:lineRule="auto"/>
        <w:tabs>
          <w:tab w:leader="none" w:pos="840" w:val="left"/>
        </w:tabs>
        <w:numPr>
          <w:ilvl w:val="0"/>
          <w:numId w:val="14"/>
        </w:numPr>
        <w:rPr>
          <w:rFonts w:ascii="Arial" w:cs="Arial" w:eastAsia="Arial" w:hAnsi="Arial"/>
          <w:sz w:val="35"/>
          <w:szCs w:val="35"/>
          <w:color w:val="auto"/>
          <w:vertAlign w:val="superscript"/>
        </w:rPr>
      </w:pPr>
      <w:r>
        <w:rPr>
          <w:rFonts w:ascii="Arial" w:cs="Arial" w:eastAsia="Arial" w:hAnsi="Arial"/>
          <w:sz w:val="35"/>
          <w:szCs w:val="35"/>
          <w:b w:val="1"/>
          <w:bCs w:val="1"/>
          <w:color w:val="auto"/>
          <w:vertAlign w:val="subscript"/>
        </w:rPr>
        <w:t>6.7%</w:t>
      </w:r>
      <w:r>
        <w:rPr>
          <w:rFonts w:ascii="Arial" w:cs="Arial" w:eastAsia="Arial" w:hAnsi="Arial"/>
          <w:sz w:val="21"/>
          <w:szCs w:val="21"/>
          <w:b w:val="1"/>
          <w:bCs w:val="1"/>
          <w:color w:val="auto"/>
        </w:rPr>
        <w:t>2</w:t>
      </w:r>
    </w:p>
    <w:p>
      <w:pPr>
        <w:spacing w:after="0" w:line="84" w:lineRule="exact"/>
        <w:rPr>
          <w:rFonts w:ascii="Arial" w:cs="Arial" w:eastAsia="Arial" w:hAnsi="Arial"/>
          <w:sz w:val="35"/>
          <w:szCs w:val="35"/>
          <w:color w:val="auto"/>
          <w:vertAlign w:val="superscript"/>
        </w:rPr>
      </w:pPr>
    </w:p>
    <w:p>
      <w:pPr>
        <w:ind w:left="840" w:hanging="332"/>
        <w:spacing w:after="0"/>
        <w:tabs>
          <w:tab w:leader="none" w:pos="840" w:val="left"/>
        </w:tabs>
        <w:numPr>
          <w:ilvl w:val="0"/>
          <w:numId w:val="14"/>
        </w:numPr>
        <w:rPr>
          <w:rFonts w:ascii="Arial" w:cs="Arial" w:eastAsia="Arial" w:hAnsi="Arial"/>
          <w:sz w:val="35"/>
          <w:szCs w:val="35"/>
          <w:color w:val="auto"/>
          <w:vertAlign w:val="subscript"/>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35"/>
          <w:szCs w:val="35"/>
          <w:color w:val="auto"/>
          <w:vertAlign w:val="subscript"/>
        </w:rPr>
      </w:pPr>
    </w:p>
    <w:p>
      <w:pPr>
        <w:ind w:left="840"/>
        <w:spacing w:after="0"/>
        <w:rPr>
          <w:rFonts w:ascii="Arial" w:cs="Arial" w:eastAsia="Arial" w:hAnsi="Arial"/>
          <w:sz w:val="35"/>
          <w:szCs w:val="35"/>
          <w:color w:val="auto"/>
          <w:vertAlign w:val="subscript"/>
        </w:rPr>
      </w:pPr>
      <w:r>
        <w:rPr>
          <w:rFonts w:ascii="Arial" w:cs="Arial" w:eastAsia="Arial" w:hAnsi="Arial"/>
          <w:sz w:val="18"/>
          <w:szCs w:val="18"/>
          <w:b w:val="1"/>
          <w:bCs w:val="1"/>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 shares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5,527,088</w:t>
      </w:r>
      <w:r>
        <w:rPr>
          <w:rFonts w:ascii="Arial" w:cs="Arial" w:eastAsia="Arial" w:hAnsi="Arial"/>
          <w:sz w:val="31"/>
          <w:szCs w:val="31"/>
          <w:b w:val="1"/>
          <w:bCs w:val="1"/>
          <w:color w:val="auto"/>
          <w:vertAlign w:val="superscript"/>
        </w:rPr>
        <w:t>1</w:t>
      </w:r>
      <w:r>
        <w:rPr>
          <w:rFonts w:ascii="Arial" w:cs="Arial" w:eastAsia="Arial" w:hAnsi="Arial"/>
          <w:sz w:val="15"/>
          <w:szCs w:val="15"/>
          <w:b w:val="1"/>
          <w:bCs w:val="1"/>
          <w:color w:val="auto"/>
        </w:rPr>
        <w:t xml:space="preserve"> shares</w:t>
      </w:r>
    </w:p>
    <w:p>
      <w:pPr>
        <w:spacing w:after="0" w:line="255" w:lineRule="exact"/>
        <w:rPr>
          <w:sz w:val="20"/>
          <w:szCs w:val="20"/>
          <w:color w:val="auto"/>
        </w:rPr>
      </w:pPr>
    </w:p>
    <w:p>
      <w:pPr>
        <w:ind w:left="40" w:right="4000" w:firstLine="4"/>
        <w:spacing w:after="0" w:line="581" w:lineRule="auto"/>
        <w:tabs>
          <w:tab w:leader="none" w:pos="175"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shares 5,527,088</w:t>
      </w:r>
      <w:r>
        <w:rPr>
          <w:rFonts w:ascii="Arial" w:cs="Arial" w:eastAsia="Arial" w:hAnsi="Arial"/>
          <w:sz w:val="31"/>
          <w:szCs w:val="31"/>
          <w:b w:val="1"/>
          <w:bCs w:val="1"/>
          <w:color w:val="auto"/>
          <w:vertAlign w:val="superscript"/>
        </w:rPr>
        <w:t>1</w:t>
      </w:r>
      <w:r>
        <w:rPr>
          <w:rFonts w:ascii="Arial" w:cs="Arial" w:eastAsia="Arial" w:hAnsi="Arial"/>
          <w:sz w:val="15"/>
          <w:szCs w:val="15"/>
          <w:b w:val="1"/>
          <w:bCs w:val="1"/>
          <w:color w:val="auto"/>
        </w:rPr>
        <w:t xml:space="preserve"> shares</w:t>
      </w:r>
    </w:p>
    <w:p>
      <w:pPr>
        <w:spacing w:after="0" w:line="200" w:lineRule="exact"/>
        <w:rPr>
          <w:sz w:val="20"/>
          <w:szCs w:val="20"/>
          <w:color w:val="auto"/>
        </w:rPr>
      </w:pPr>
    </w:p>
    <w:p>
      <w:pPr>
        <w:spacing w:after="0" w:line="382" w:lineRule="exact"/>
        <w:rPr>
          <w:sz w:val="20"/>
          <w:szCs w:val="20"/>
          <w:color w:val="auto"/>
        </w:rPr>
      </w:pPr>
    </w:p>
    <w:p>
      <w:pPr>
        <w:ind w:left="580"/>
        <w:spacing w:after="0" w:line="181" w:lineRule="exact"/>
        <w:rPr>
          <w:sz w:val="20"/>
          <w:szCs w:val="20"/>
          <w:color w:val="auto"/>
        </w:rPr>
      </w:pPr>
      <w:r>
        <w:rPr>
          <w:rFonts w:ascii="MS PGothic" w:cs="MS PGothic" w:eastAsia="MS PGothic" w:hAnsi="MS PGothic"/>
          <w:sz w:val="18"/>
          <w:szCs w:val="18"/>
          <w:color w:val="auto"/>
        </w:rPr>
        <w:t>☐</w:t>
      </w:r>
    </w:p>
    <w:p>
      <w:pPr>
        <w:spacing w:after="0" w:line="2449" w:lineRule="exact"/>
        <w:rPr>
          <w:sz w:val="20"/>
          <w:szCs w:val="20"/>
          <w:color w:val="auto"/>
        </w:rPr>
      </w:pPr>
    </w:p>
    <w:p>
      <w:pPr>
        <w:sectPr>
          <w:pgSz w:w="11900" w:h="16838" w:orient="portrait"/>
          <w:cols w:equalWidth="0" w:num="2">
            <w:col w:w="5640" w:space="320"/>
            <w:col w:w="5400"/>
          </w:cols>
          <w:pgMar w:left="240" w:top="918" w:right="299" w:bottom="1440" w:gutter="0" w:footer="0" w:header="0"/>
          <w:type w:val="continuous"/>
        </w:sectPr>
      </w:pPr>
    </w:p>
    <w:p>
      <w:pPr>
        <w:spacing w:after="0" w:line="158"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1 The shares reported herein for the Reporting Person represent (i) 5,358,863 shares of the Issuer’s Common Stock issued and outstanding and (ii) 168,225 shares of the Issuer’s Common Stock the Reporting Person has the right to acquire through the exercise of warrants issued June 4, 2015 (“Warrant Shares”).</w:t>
      </w:r>
    </w:p>
    <w:p>
      <w:pPr>
        <w:spacing w:after="0" w:line="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2 The number of shares outstanding for purposes of this percentage calculation assumes (i) 82,883,080 outstanding shares of Common Stock of the Issuer, based on the Issuer’s Form 424B5 Prospectus as filed with the Securities and Exchange Commission (“SEC”) on December 5, 2019, plus (ii) the 168,225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4260" w:type="dxa"/>
            <w:vAlign w:val="bottom"/>
          </w:tcPr>
          <w:p>
            <w:pPr>
              <w:ind w:left="3940"/>
              <w:spacing w:after="0"/>
              <w:rPr>
                <w:sz w:val="20"/>
                <w:szCs w:val="20"/>
                <w:color w:val="auto"/>
              </w:rPr>
            </w:pPr>
            <w:r>
              <w:rPr>
                <w:rFonts w:ascii="Arial" w:cs="Arial" w:eastAsia="Arial" w:hAnsi="Arial"/>
                <w:sz w:val="18"/>
                <w:szCs w:val="18"/>
                <w:b w:val="1"/>
                <w:bCs w:val="1"/>
                <w:color w:val="auto"/>
                <w:w w:val="88"/>
              </w:rPr>
              <w:t>13G</w:t>
            </w: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260" w:type="dxa"/>
            <w:vAlign w:val="bottom"/>
          </w:tcPr>
          <w:p>
            <w:pPr>
              <w:spacing w:after="0"/>
              <w:rPr>
                <w:sz w:val="24"/>
                <w:szCs w:val="24"/>
                <w:color w:val="auto"/>
              </w:rPr>
            </w:pPr>
          </w:p>
        </w:tc>
      </w:tr>
    </w:tbl>
    <w:p>
      <w:pPr>
        <w:spacing w:after="0" w:line="198"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Ardelyx, Inc. (the “Issuer”).</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34175 Ardenwood Blvd., Fremont, CA 94555.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firstLine="8"/>
        <w:spacing w:after="0" w:line="282" w:lineRule="auto"/>
        <w:tabs>
          <w:tab w:leader="none" w:pos="54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Name of Person Filing: </w:t>
      </w:r>
      <w:r>
        <w:rPr>
          <w:rFonts w:ascii="Arial" w:cs="Arial" w:eastAsia="Arial" w:hAnsi="Arial"/>
          <w:sz w:val="18"/>
          <w:szCs w:val="18"/>
          <w:color w:val="auto"/>
        </w:rPr>
        <w:t>This joint statement on Schedule 13G is being filed by RA Capital Management, L.P. (“RA Capital”), Peter Kolchinsky, and</w:t>
      </w:r>
      <w:r>
        <w:rPr>
          <w:rFonts w:ascii="Arial" w:cs="Arial" w:eastAsia="Arial" w:hAnsi="Arial"/>
          <w:sz w:val="18"/>
          <w:szCs w:val="18"/>
          <w:b w:val="1"/>
          <w:bCs w:val="1"/>
          <w:color w:val="auto"/>
        </w:rPr>
        <w:t xml:space="preserve"> </w:t>
      </w:r>
      <w:r>
        <w:rPr>
          <w:rFonts w:ascii="Arial" w:cs="Arial" w:eastAsia="Arial" w:hAnsi="Arial"/>
          <w:sz w:val="18"/>
          <w:szCs w:val="18"/>
          <w:color w:val="auto"/>
        </w:rPr>
        <w:t>Rajeev Shah. RA Capital, Dr. Kolchinsky, and Mr. Shah are collectively referred to herein as the “Reporting Persons.”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Common Stock reported herein includes (i) 4,580,361 outstanding shares and 137,944 Warrant Shares underlying warrants held by RA Capital Healthcare Fund, L.P. (the “Fund”) and (ii) 778,502 outstanding shares and 30,281 Warrant Shares underlying warrants held in a separately managed account (the “Account”). 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Securities Exchange Act of 1934 (the “Act”), of any securities of the Issuer held by the Fund and the Account.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71" w:lineRule="exact"/>
        <w:rPr>
          <w:sz w:val="20"/>
          <w:szCs w:val="20"/>
          <w:color w:val="auto"/>
        </w:rPr>
      </w:pPr>
    </w:p>
    <w:p>
      <w:pPr>
        <w:ind w:right="20" w:firstLine="8"/>
        <w:spacing w:after="0" w:line="283" w:lineRule="auto"/>
        <w:tabs>
          <w:tab w:leader="none" w:pos="619"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L.P., 200 Berkeley</w:t>
      </w:r>
      <w:r>
        <w:rPr>
          <w:rFonts w:ascii="Arial" w:cs="Arial" w:eastAsia="Arial" w:hAnsi="Arial"/>
          <w:sz w:val="18"/>
          <w:szCs w:val="18"/>
          <w:b w:val="1"/>
          <w:bCs w:val="1"/>
          <w:color w:val="auto"/>
        </w:rPr>
        <w:t xml:space="preserve"> </w:t>
      </w:r>
      <w:r>
        <w:rPr>
          <w:rFonts w:ascii="Arial" w:cs="Arial" w:eastAsia="Arial" w:hAnsi="Arial"/>
          <w:sz w:val="18"/>
          <w:szCs w:val="18"/>
          <w:color w:val="auto"/>
        </w:rPr>
        <w:t>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Boston, MA 02116.</w:t>
      </w:r>
    </w:p>
    <w:p>
      <w:pPr>
        <w:spacing w:after="0" w:line="37" w:lineRule="exact"/>
        <w:rPr>
          <w:rFonts w:ascii="Arial" w:cs="Arial" w:eastAsia="Arial" w:hAnsi="Arial"/>
          <w:sz w:val="18"/>
          <w:szCs w:val="18"/>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RA Capital is a Delaware limited partnership. Dr. Kolchinsky and Mr. Shah are United States citizens.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(“Common Stock”)</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039697107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4260" w:type="dxa"/>
            <w:vAlign w:val="bottom"/>
          </w:tcPr>
          <w:p>
            <w:pPr>
              <w:ind w:left="3940"/>
              <w:spacing w:after="0"/>
              <w:rPr>
                <w:sz w:val="20"/>
                <w:szCs w:val="20"/>
                <w:color w:val="auto"/>
              </w:rPr>
            </w:pPr>
            <w:r>
              <w:rPr>
                <w:rFonts w:ascii="Arial" w:cs="Arial" w:eastAsia="Arial" w:hAnsi="Arial"/>
                <w:sz w:val="18"/>
                <w:szCs w:val="18"/>
                <w:b w:val="1"/>
                <w:bCs w:val="1"/>
                <w:color w:val="auto"/>
                <w:w w:val="88"/>
              </w:rPr>
              <w:t>13G</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655" w:lineRule="exact"/>
        <w:rPr>
          <w:sz w:val="20"/>
          <w:szCs w:val="20"/>
          <w:color w:val="auto"/>
        </w:rPr>
      </w:pPr>
    </w:p>
    <w:p>
      <w:pPr>
        <w:sectPr>
          <w:pgSz w:w="11900" w:h="16838" w:orient="portrait"/>
          <w:cols w:equalWidth="0" w:num="2">
            <w:col w:w="8840" w:space="720"/>
            <w:col w:w="1860"/>
          </w:cols>
          <w:pgMar w:left="240" w:top="904"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40" w:space="660"/>
            <w:col w:w="10120"/>
          </w:cols>
          <w:pgMar w:left="240" w:top="904" w:right="239" w:bottom="1440" w:gutter="0" w:footer="0" w:header="0"/>
          <w:type w:val="continuous"/>
        </w:sectPr>
      </w:pPr>
    </w:p>
    <w:p>
      <w:pPr>
        <w:spacing w:after="0" w:line="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4260" w:type="dxa"/>
            <w:vAlign w:val="bottom"/>
          </w:tcPr>
          <w:p>
            <w:pPr>
              <w:ind w:left="3940"/>
              <w:spacing w:after="0"/>
              <w:rPr>
                <w:sz w:val="20"/>
                <w:szCs w:val="20"/>
                <w:color w:val="auto"/>
              </w:rPr>
            </w:pPr>
            <w:r>
              <w:rPr>
                <w:rFonts w:ascii="Arial" w:cs="Arial" w:eastAsia="Arial" w:hAnsi="Arial"/>
                <w:sz w:val="18"/>
                <w:szCs w:val="18"/>
                <w:b w:val="1"/>
                <w:bCs w:val="1"/>
                <w:color w:val="auto"/>
                <w:w w:val="88"/>
              </w:rPr>
              <w:t>13G</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14,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Kolchinsky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039697107</w:t>
            </w:r>
          </w:p>
        </w:tc>
        <w:tc>
          <w:tcPr>
            <w:tcW w:w="4260" w:type="dxa"/>
            <w:vAlign w:val="bottom"/>
          </w:tcPr>
          <w:p>
            <w:pPr>
              <w:ind w:left="3940"/>
              <w:spacing w:after="0"/>
              <w:rPr>
                <w:sz w:val="20"/>
                <w:szCs w:val="20"/>
                <w:color w:val="auto"/>
              </w:rPr>
            </w:pPr>
            <w:r>
              <w:rPr>
                <w:rFonts w:ascii="Arial" w:cs="Arial" w:eastAsia="Arial" w:hAnsi="Arial"/>
                <w:sz w:val="18"/>
                <w:szCs w:val="18"/>
                <w:b w:val="1"/>
                <w:bCs w:val="1"/>
                <w:color w:val="auto"/>
                <w:w w:val="88"/>
              </w:rPr>
              <w:t>13G</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Joint Filing Agreement, dated as of February 14, 2020, is by and among RA Capital Management, L.P., Peter Kolchinsky, and Rajeev Shah (the foregoing are collectively referred to herein as the “Filers”).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Common Stock, par value $0.0001 per share of Ardelyx, Inc. beneficially owned by them from time to time.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Peter Kolchinsky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lvl w:ilvl="1">
      <w:lvlJc w:val="left"/>
      <w:lvlText w:val="(%2)"/>
      <w:numFmt w:val="lowerLetter"/>
      <w:start w:val="1"/>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lvl w:ilvl="1">
      <w:lvlJc w:val="left"/>
      <w:lvlText w:val="(%2)"/>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0"/>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lvl w:ilvl="1">
      <w:lvlJc w:val="left"/>
      <w:lvlText w:val="(%2)"/>
      <w:numFmt w:val="lowerLetter"/>
      <w:start w:val="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0"/>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Letter"/>
      <w:start w:val="5"/>
    </w:lvl>
  </w:abstractNum>
  <w:abstractNum w:abstractNumId="19">
    <w:nsid w:val="436C6125"/>
    <w:multiLevelType w:val="hybridMultilevel"/>
    <w:lvl w:ilvl="0">
      <w:lvlJc w:val="left"/>
      <w:lvlText w:val="(%1)"/>
      <w:numFmt w:val="lowerLetter"/>
      <w:start w:val="7"/>
    </w:lvl>
  </w:abstractNum>
  <w:abstractNum w:abstractNumId="20">
    <w:nsid w:val="628C895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2020-02-14T15:57:08Z</dcterms:created>
  <dcterms:modified xsi:type="dcterms:W3CDTF">2020-02-14T15:57:08Z</dcterms:modified>
</cp:coreProperties>
</file>