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RAAB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tcPr>
          <w:p>
            <w:pPr>
              <w:spacing w:after="0"/>
              <w:rPr>
                <w:sz w:val="5"/>
                <w:szCs w:val="5"/>
                <w:color w:val="auto"/>
              </w:rPr>
            </w:pPr>
          </w:p>
        </w:tc>
        <w:tc>
          <w:tcPr>
            <w:tcW w:w="222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11/20/2023</w:t>
            </w:r>
          </w:p>
        </w:tc>
        <w:tc>
          <w:tcPr>
            <w:tcW w:w="2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60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11/20/2023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11,368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4.3622</w:t>
            </w:r>
          </w:p>
        </w:tc>
        <w:tc>
          <w:tcPr>
            <w:tcW w:w="1200" w:type="dxa"/>
            <w:vAlign w:val="bottom"/>
            <w:tcBorders>
              <w:bottom w:val="single" w:sz="8" w:color="2C2C2C"/>
            </w:tcBorders>
            <w:gridSpan w:val="2"/>
          </w:tcPr>
          <w:p>
            <w:pPr>
              <w:jc w:val="center"/>
              <w:ind w:right="197"/>
              <w:spacing w:after="0"/>
              <w:rPr>
                <w:sz w:val="20"/>
                <w:szCs w:val="20"/>
                <w:color w:val="auto"/>
              </w:rPr>
            </w:pPr>
            <w:r>
              <w:rPr>
                <w:rFonts w:ascii="Times New Roman" w:cs="Times New Roman" w:eastAsia="Times New Roman" w:hAnsi="Times New Roman"/>
                <w:sz w:val="17"/>
                <w:szCs w:val="17"/>
                <w:color w:val="0000FF"/>
              </w:rPr>
              <w:t>867,868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right"/>
              <w:ind w:right="337"/>
              <w:spacing w:after="0"/>
              <w:rPr>
                <w:sz w:val="20"/>
                <w:szCs w:val="20"/>
                <w:color w:val="auto"/>
              </w:rPr>
            </w:pPr>
            <w:r>
              <w:rPr>
                <w:rFonts w:ascii="Times New Roman" w:cs="Times New Roman" w:eastAsia="Times New Roman" w:hAnsi="Times New Roman"/>
                <w:sz w:val="17"/>
                <w:szCs w:val="17"/>
                <w:color w:val="0000FF"/>
              </w:rPr>
              <w:t>24,364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color w:val="0000FF"/>
                <w:w w:val="93"/>
              </w:rPr>
              <w:t>1,000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3,000 shares under the Ardelyx Employee Stock Purchase Plan in August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11/22/2023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2023-11-22T16:31:33Z</dcterms:created>
  <dcterms:modified xsi:type="dcterms:W3CDTF">2023-11-22T16:31:33Z</dcterms:modified>
</cp:coreProperties>
</file>