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Ardelyx,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34175 Ardenwood Boulevard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Fremont, California 94555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July 30, 2020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VIA EDGAR AND E-MAIL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20549-6010</w:t>
      </w:r>
    </w:p>
    <w:p>
      <w:pPr>
        <w:sectPr>
          <w:pgSz w:w="11900" w:h="16838" w:orient="portrait"/>
          <w:cols w:equalWidth="0" w:num="1">
            <w:col w:w="11200"/>
          </w:cols>
          <w:pgMar w:left="320" w:top="445" w:right="379" w:bottom="1440" w:gutter="0" w:footer="0" w:header="0"/>
        </w:sect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Attention: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Jeffrey Gabor, Mary Beth Breslin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40" w:space="540"/>
            <w:col w:w="9920"/>
          </w:cols>
          <w:pgMar w:left="320" w:top="445" w:right="379" w:bottom="1440" w:gutter="0" w:footer="0" w:header="0"/>
          <w:type w:val="continuous"/>
        </w:sectPr>
      </w:pP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Ardelyx, Inc. Registration Statement on Form S-3 (Registration No. 333-239764)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20" w:space="400"/>
            <w:col w:w="9880"/>
          </w:cols>
          <w:pgMar w:left="320" w:top="445" w:right="37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firstLine="648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accordance with Rule 461 under the Securities Act of 1933, as amended, we hereby request acceleration of the effective date of the Registration Statement on Form S-3 (File No. 333-239764)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Registration Statement</w:t>
      </w:r>
      <w:r>
        <w:rPr>
          <w:rFonts w:ascii="Arial" w:cs="Arial" w:eastAsia="Arial" w:hAnsi="Arial"/>
          <w:sz w:val="18"/>
          <w:szCs w:val="18"/>
          <w:color w:val="auto"/>
        </w:rPr>
        <w:t>”) of Ardelyx, Inc.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”). We respectfully request that the Registration Statement become effective as of 4:00 p.m., Washington, D.C. time, on August 3, 2020, or as soon as practicable thereafter. Once the Registration Statement has been declared effective, please orally confirm that event with our counsel, Latham &amp; Watkins LLP, by calling Mark Roeder at (650) 463-3043.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Thank you for your assistance in this matter.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ARDELYX, INC.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Elizabeth Grammer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3870960</wp:posOffset>
            </wp:positionH>
            <wp:positionV relativeFrom="paragraph">
              <wp:posOffset>14605</wp:posOffset>
            </wp:positionV>
            <wp:extent cx="326580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8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Elizabeth Grammer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Legal and Administrative Officer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760" w:right="8380" w:hanging="752"/>
        <w:spacing w:after="0" w:line="291" w:lineRule="auto"/>
        <w:tabs>
          <w:tab w:leader="none" w:pos="76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Michael Raab, Ardelyx, Inc. Justin Renz, Ardelyx, Inc.</w:t>
      </w:r>
    </w:p>
    <w:p>
      <w:pPr>
        <w:ind w:left="760" w:right="6800"/>
        <w:spacing w:after="0" w:line="323" w:lineRule="auto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Mark V. Roeder, Esq., Latham &amp; Watkins LLP Alexander T. White, Esq., Latham &amp; Watkins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163830</wp:posOffset>
            </wp:positionV>
            <wp:extent cx="7153275" cy="29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00"/>
      </w:cols>
      <w:pgMar w:left="320" w:top="445" w:right="3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upp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2021-08-15T19:54:06Z</dcterms:created>
  <dcterms:modified xsi:type="dcterms:W3CDTF">2021-08-15T19:54:06Z</dcterms:modified>
</cp:coreProperties>
</file>