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made pursuant to a 10b5-1 trading plan adopted by the Reporting Person on December 20,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and Administrative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2024-05-07T17:33:43Z</dcterms:created>
  <dcterms:modified xsi:type="dcterms:W3CDTF">2024-05-07T17:33:43Z</dcterms:modified>
</cp:coreProperties>
</file>