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19, 2021, Ardelyx, Inc. (the “Company”) announced that as of June 30, 2021, the Company had approximately $171.8 million in cash, cash equivalents and short-term investments, which included $28.2 million of net proceeds from sales of common stock under our at-the-market equity facility during the three months ended June 30, 2021. These dollar amounts are unaudited.</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On July 19, 2021, the Company announced that it received a letter from the U.S. Food and Drug Administration (the “FDA”) on July 13, 2021 stating that, as part of its ongoing review of the company’s New Drug Application (“NDA”) for the control of serum phosphorus in chronic kidney disease patients on dialysis, the FDA has identified deficiencies that preclude discussion of labeling and post-marketing requirements/commitments at this time. The FDA stated that this notification does not reflect a final decision on the information under review.</w:t>
      </w:r>
    </w:p>
    <w:p>
      <w:pPr>
        <w:spacing w:after="0" w:line="19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While the FDA has not provided specific details regarding the deficiencies, the FDA noted that a key issue is the size of the treatment effect and its clinical relevance. The Company plans to work with the FDA to learn more about the nature of the deficiencies and will seek to resolve them as quickly as possible. In April 2021, the FDA extended the PDUFA date for the NDA to July 29, 2021 as a result of the Company’s submission of additional data analyses requested by the FDA.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21"/>
          <w:szCs w:val="21"/>
          <w:b w:val="1"/>
          <w:bCs w:val="1"/>
          <w:color w:val="auto"/>
        </w:rPr>
        <w:t>Financial Statements and Exhibits.</w:t>
      </w:r>
    </w:p>
    <w:p>
      <w:pPr>
        <w:spacing w:after="0" w:line="227" w:lineRule="exact"/>
        <w:rPr>
          <w:sz w:val="20"/>
          <w:szCs w:val="20"/>
          <w:color w:val="auto"/>
        </w:rPr>
      </w:pPr>
    </w:p>
    <w:p>
      <w:pPr>
        <w:jc w:val="center"/>
        <w:ind w:right="10280"/>
        <w:spacing w:after="0"/>
        <w:rPr>
          <w:sz w:val="20"/>
          <w:szCs w:val="20"/>
          <w:color w:val="auto"/>
        </w:rPr>
      </w:pPr>
      <w:r>
        <w:rPr>
          <w:rFonts w:ascii="Arial" w:cs="Arial" w:eastAsia="Arial" w:hAnsi="Arial"/>
          <w:sz w:val="16"/>
          <w:szCs w:val="16"/>
          <w:b w:val="1"/>
          <w:bCs w:val="1"/>
          <w:color w:val="auto"/>
        </w:rPr>
        <w:t>(d) Exhibits.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Exhibit</w:t>
      </w:r>
    </w:p>
    <w:p>
      <w:pPr>
        <w:ind w:left="380"/>
        <w:spacing w:after="0"/>
        <w:tabs>
          <w:tab w:leader="none" w:pos="12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July 19,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Legal and Administrative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2021-07-19T15:24:46Z</dcterms:created>
  <dcterms:modified xsi:type="dcterms:W3CDTF">2021-07-19T15:24:46Z</dcterms:modified>
</cp:coreProperties>
</file>