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855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8553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30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RAAB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01/31/2025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304"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30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01/31/2025</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20,833</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0.99</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1,150,385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01/31/2025</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41,666</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5.3606</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1,108,719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24,364</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01/31/2025</w:t>
            </w:r>
          </w:p>
        </w:tc>
        <w:tc>
          <w:tcPr>
            <w:tcW w:w="11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20,833</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01/06/2032</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20,833</w:t>
            </w:r>
          </w:p>
        </w:tc>
        <w:tc>
          <w:tcPr>
            <w:tcW w:w="16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478,334</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made pursuant to a 10b5-1 trading plan adopted by the Reporting Person on September 4, 2024.</w:t>
      </w:r>
    </w:p>
    <w:p>
      <w:pPr>
        <w:spacing w:after="0" w:line="43" w:lineRule="exact"/>
        <w:rPr>
          <w:rFonts w:ascii="Times New Roman" w:cs="Times New Roman" w:eastAsia="Times New Roman" w:hAnsi="Times New Roman"/>
          <w:sz w:val="13"/>
          <w:szCs w:val="13"/>
          <w:color w:val="008000"/>
        </w:rPr>
      </w:pPr>
    </w:p>
    <w:p>
      <w:pPr>
        <w:ind w:left="40" w:right="3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executed in multiple trades in prices ranging from $5.27 to $5.49,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43" w:lineRule="exact"/>
        <w:rPr>
          <w:rFonts w:ascii="Times New Roman" w:cs="Times New Roman" w:eastAsia="Times New Roman" w:hAnsi="Times New Roman"/>
          <w:sz w:val="13"/>
          <w:szCs w:val="13"/>
          <w:color w:val="008000"/>
        </w:rPr>
      </w:pPr>
    </w:p>
    <w:p>
      <w:pPr>
        <w:ind w:left="40" w:right="4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86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Michael</w:t>
      </w:r>
      <w:r>
        <w:rPr>
          <w:sz w:val="20"/>
          <w:szCs w:val="20"/>
          <w:color w:val="auto"/>
        </w:rPr>
        <w:tab/>
      </w:r>
      <w:r>
        <w:rPr>
          <w:rFonts w:ascii="Times New Roman" w:cs="Times New Roman" w:eastAsia="Times New Roman" w:hAnsi="Times New Roman"/>
          <w:sz w:val="16"/>
          <w:szCs w:val="16"/>
          <w:color w:val="0000FF"/>
        </w:rPr>
        <w:t>01/31/2025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18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844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30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2140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2025-01-31T19:23:22Z</dcterms:created>
  <dcterms:modified xsi:type="dcterms:W3CDTF">2025-01-31T19:23:22Z</dcterms:modified>
</cp:coreProperties>
</file>