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____________________________________________________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____________________________________________________</w:t>
      </w:r>
    </w:p>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14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60" w:after="283"/>
        <w:jc w:val="center"/>
      </w:pPr>
      <w:r>
        <w:rPr>
          <w:rFonts w:ascii="Times New Roman;serif" w:hAnsi="Times New Roman;serif"/>
          <w:b/>
          <w:color w:val="000000"/>
          <w:sz w:val="18"/>
        </w:rPr>
        <w:t>For the quarterly period ended</w:t>
      </w:r>
      <w:r>
        <w:rPr>
          <w:color w:val="000000"/>
        </w:rPr>
        <w:t xml:space="preserve"> </w:t>
      </w:r>
      <w:r>
        <w:rPr>
          <w:rFonts w:ascii="Times New Roman;serif" w:hAnsi="Times New Roman;serif"/>
          <w:b/>
          <w:color w:val="000000"/>
          <w:sz w:val="18"/>
        </w:rPr>
        <w:t>September 30,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140" w:after="283"/>
              <w:jc w:val="left"/>
              <w:rPr>
                <w:color w:val="231F20"/>
              </w:rPr>
            </w:pPr>
            <w:r>
              <w:rPr>
                <w:color w:val="231F2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For the transition period from               to</w:t>
      </w:r>
    </w:p>
    <w:p>
      <w:pPr>
        <w:pStyle w:val="TextBody"/>
        <w:bidi w:val="0"/>
        <w:spacing w:lineRule="auto" w:line="288" w:before="60" w:after="283"/>
        <w:jc w:val="center"/>
      </w:pPr>
      <w:r>
        <w:rPr>
          <w:rFonts w:ascii="Times New Roman;serif" w:hAnsi="Times New Roman;serif"/>
          <w:b/>
          <w:color w:val="000000"/>
          <w:sz w:val="18"/>
        </w:rPr>
        <w:t>Commission file number:</w:t>
      </w:r>
      <w:r>
        <w:rPr>
          <w:color w:val="000000"/>
        </w:rPr>
        <w:t xml:space="preserve"> </w:t>
      </w:r>
      <w:r>
        <w:rPr>
          <w:rFonts w:ascii="Times New Roman;serif" w:hAnsi="Times New Roman;serif"/>
          <w:b/>
          <w:color w:val="000000"/>
          <w:sz w:val="18"/>
        </w:rPr>
        <w:t>001-36485</w:t>
      </w:r>
    </w:p>
    <w:p>
      <w:pPr>
        <w:pStyle w:val="TextBody"/>
        <w:bidi w:val="0"/>
        <w:spacing w:lineRule="auto" w:line="288" w:before="100" w:after="283"/>
        <w:jc w:val="center"/>
        <w:rPr>
          <w:rFonts w:ascii="Times New Roman;serif" w:hAnsi="Times New Roman;serif"/>
          <w:b/>
          <w:color w:val="231F20"/>
          <w:sz w:val="20"/>
        </w:rPr>
      </w:pPr>
      <w:r>
        <w:rPr>
          <w:rFonts w:ascii="Times New Roman;serif" w:hAnsi="Times New Roman;serif"/>
          <w:b/>
          <w:color w:val="231F20"/>
          <w:sz w:val="20"/>
        </w:rPr>
        <w:t>____________________________________________________</w:t>
      </w:r>
    </w:p>
    <w:p>
      <w:pPr>
        <w:pStyle w:val="TextBody"/>
        <w:bidi w:val="0"/>
        <w:spacing w:before="0" w:after="0"/>
        <w:jc w:val="center"/>
      </w:pPr>
      <w:r>
        <w:drawing>
          <wp:inline distT="0" distB="0" distL="0" distR="0">
            <wp:extent cx="5715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1500" cy="5715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ARDELYX,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____________________________________________________</w:t>
      </w:r>
    </w:p>
    <w:tbl>
      <w:tblPr>
        <w:tblW w:w="7785" w:type="dxa"/>
        <w:jc w:val="center"/>
        <w:tblInd w:w="0" w:type="dxa"/>
        <w:tblLayout w:type="fixed"/>
        <w:tblCellMar>
          <w:top w:w="28" w:type="dxa"/>
          <w:left w:w="28" w:type="dxa"/>
          <w:bottom w:w="28" w:type="dxa"/>
          <w:right w:w="28" w:type="dxa"/>
        </w:tblCellMar>
      </w:tblPr>
      <w:tblGrid>
        <w:gridCol w:w="1762"/>
        <w:gridCol w:w="1550"/>
        <w:gridCol w:w="1563"/>
        <w:gridCol w:w="849"/>
        <w:gridCol w:w="849"/>
        <w:gridCol w:w="1212"/>
      </w:tblGrid>
      <w:tr>
        <w:tc>
          <w:tcPr>
            <w:tcW w:w="1762"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26-1303944</w:t>
            </w:r>
          </w:p>
        </w:tc>
      </w:tr>
      <w:t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 Incorporation or Organization)</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 Identification No.)</w:t>
            </w:r>
          </w:p>
        </w:tc>
      </w:tr>
      <w:t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400 Fifth Avenue, Suite 210, Waltham, Massachusetts</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02451</w:t>
            </w:r>
          </w:p>
        </w:tc>
      </w:tr>
      <w:t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(Address of Principal Executive Offices) </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0" w:after="0"/>
        <w:jc w:val="center"/>
      </w:pPr>
      <w:r>
        <w:rPr>
          <w:rFonts w:ascii="Times New Roman;serif" w:hAnsi="Times New Roman;serif"/>
          <w:b/>
          <w:color w:val="000000"/>
          <w:sz w:val="18"/>
        </w:rPr>
        <w:t>(617)</w:t>
      </w:r>
      <w:r>
        <w:rPr>
          <w:color w:val="000000"/>
        </w:rPr>
        <w:t xml:space="preserve"> </w:t>
      </w:r>
      <w:r>
        <w:rPr>
          <w:rFonts w:ascii="Times New Roman;serif" w:hAnsi="Times New Roman;serif"/>
          <w:b/>
          <w:color w:val="000000"/>
          <w:sz w:val="18"/>
        </w:rPr>
        <w:t>675-2739</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(Former Name, Former Address and Former Fiscal Year, if Changed Since Last Report)</w:t>
      </w:r>
    </w:p>
    <w:p>
      <w:pPr>
        <w:pStyle w:val="TextBody"/>
        <w:bidi w:val="0"/>
        <w:spacing w:lineRule="auto" w:line="288" w:before="0" w:after="0"/>
        <w:jc w:val="center"/>
        <w:rPr>
          <w:rFonts w:ascii="Times New Roman;serif" w:hAnsi="Times New Roman;serif"/>
          <w:b/>
          <w:color w:val="231F20"/>
          <w:sz w:val="18"/>
        </w:rPr>
      </w:pPr>
      <w:r>
        <w:rPr>
          <w:rFonts w:ascii="Times New Roman;serif" w:hAnsi="Times New Roman;serif"/>
          <w:b/>
          <w:color w:val="231F20"/>
          <w:sz w:val="18"/>
        </w:rPr>
        <w:t>____________________________________________________</w:t>
      </w:r>
    </w:p>
    <w:p>
      <w:pPr>
        <w:pStyle w:val="TextBody"/>
        <w:bidi w:val="0"/>
        <w:spacing w:lineRule="auto" w:line="288" w:before="14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9412" w:type="dxa"/>
        <w:jc w:val="center"/>
        <w:tblInd w:w="0" w:type="dxa"/>
        <w:tblLayout w:type="fixed"/>
        <w:tblCellMar>
          <w:top w:w="28" w:type="dxa"/>
          <w:left w:w="28" w:type="dxa"/>
          <w:bottom w:w="28" w:type="dxa"/>
          <w:right w:w="28" w:type="dxa"/>
        </w:tblCellMar>
      </w:tblPr>
      <w:tblGrid>
        <w:gridCol w:w="1277"/>
        <w:gridCol w:w="1121"/>
        <w:gridCol w:w="1127"/>
        <w:gridCol w:w="109"/>
        <w:gridCol w:w="109"/>
        <w:gridCol w:w="109"/>
        <w:gridCol w:w="519"/>
        <w:gridCol w:w="519"/>
        <w:gridCol w:w="521"/>
        <w:gridCol w:w="109"/>
        <w:gridCol w:w="109"/>
        <w:gridCol w:w="109"/>
        <w:gridCol w:w="1074"/>
        <w:gridCol w:w="1074"/>
        <w:gridCol w:w="1526"/>
      </w:tblGrid>
      <w:tr>
        <w:tc>
          <w:tcPr>
            <w:tcW w:w="127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c>
          <w:tcPr>
            <w:tcW w:w="35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c>
          <w:tcPr>
            <w:tcW w:w="3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ARDX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Global Market</w:t>
            </w:r>
          </w:p>
        </w:tc>
      </w:tr>
    </w:tbl>
    <w:p>
      <w:pPr>
        <w:pStyle w:val="TextBody"/>
        <w:bidi w:val="0"/>
        <w:spacing w:lineRule="auto" w:line="288" w:before="140" w:after="283"/>
        <w:jc w:val="left"/>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w:t>
      </w:r>
      <w:r>
        <w:rPr>
          <w:color w:val="000000"/>
        </w:rPr>
        <w:t> ☐</w:t>
      </w:r>
    </w:p>
    <w:p>
      <w:pPr>
        <w:pStyle w:val="TextBody"/>
        <w:bidi w:val="0"/>
        <w:spacing w:lineRule="auto" w:line="288" w:before="140" w:after="283"/>
        <w:jc w:val="left"/>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4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69"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4"/>
        <w:gridCol w:w="674"/>
        <w:gridCol w:w="677"/>
        <w:gridCol w:w="109"/>
        <w:gridCol w:w="109"/>
        <w:gridCol w:w="109"/>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lineRule="auto" w:line="288" w:before="140" w:after="283"/>
        <w:jc w:val="left"/>
      </w:pPr>
      <w:r>
        <w:rPr>
          <w:rFonts w:ascii="Times New Roman;serif" w:hAnsi="Times New Roman;serif"/>
          <w:b w:val="false"/>
          <w:color w:val="000000"/>
          <w:sz w:val="16"/>
        </w:rPr>
        <w:t>Indicate by check mark whether the registrant is a shell company (as defined in Rule 12b-2 of the Exchange Act).    Yes</w:t>
      </w:r>
      <w:r>
        <w:rPr>
          <w:color w:val="000000"/>
        </w:rPr>
        <w:t> ☐    </w:t>
      </w:r>
      <w:r>
        <w:rPr>
          <w:rFonts w:ascii="Times New Roman;serif" w:hAnsi="Times New Roman;serif"/>
          <w:b w:val="false"/>
          <w:color w:val="000000"/>
          <w:sz w:val="16"/>
        </w:rPr>
        <w:t>No</w:t>
      </w:r>
      <w:r>
        <w:rPr>
          <w:color w:val="000000"/>
        </w:rPr>
        <w:t> ☒</w:t>
      </w:r>
    </w:p>
    <w:p>
      <w:pPr>
        <w:pStyle w:val="TextBody"/>
        <w:bidi w:val="0"/>
        <w:spacing w:lineRule="auto" w:line="288" w:before="140" w:after="283"/>
        <w:jc w:val="both"/>
        <w:rPr>
          <w:rFonts w:ascii="Times New Roman;serif" w:hAnsi="Times New Roman;serif"/>
          <w:b w:val="false"/>
          <w:color w:val="000000"/>
          <w:sz w:val="16"/>
        </w:rPr>
      </w:pPr>
      <w:r>
        <w:rPr>
          <w:rFonts w:ascii="Times New Roman;serif" w:hAnsi="Times New Roman;serif"/>
          <w:b w:val="false"/>
          <w:color w:val="000000"/>
          <w:sz w:val="16"/>
        </w:rPr>
        <w:t>The number of issued and outstanding shares of the registrant’s Common Stock, $0.0001 par value per share, as of October 27, 2026, was 251,372,553.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REGARDING FORWARD-LOOKING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the context requires otherwise, in this Quarterly Report on Form 10-Q, the terms “Ardelyx,” “Company,” “we,” “us” and “our” refer to Ardelyx, Inc.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that involve risks and uncertainties.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“positioned,” “potential,” “predict,”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plans and expectations for the commercialization of IBSRELA and XPHOZAH, including any statements relating to anticipated product demand, market acceptance, sales and growth;</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coverage and reimbursement for IBSRELA and XPHOZAH, including the effects of changes in healthcare policy, pricing and reimbursement;</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plans, timing and potential results of our clinical trials and other development activities, including our evaluation of tenapanor for chronic idiopathic constipation and development of RDX10531, and the potential for regulatory approvals or expanded indications;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expectations regarding the manufacture and supply of our products and product candidates and our reliance on third-party manufacturers and suppliers;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plans to advance and expand our pipeline through internal development or potential transactions involving external assets, and the potential benefits of any such transactions;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 xml:space="preserve">estimates of our expenses, future revenue, capital requirements, our needs for additional financing, our ability to obtain additional capital, and our ability to achieve and sustain positive cash flow; and </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other risks and uncertainties, including those under the caption “Risk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largely on management’s current expectations, estimates, forecasts and projections about our business and the industry in which we operate and management’s beliefs and assumptions, and these forward-looking statements are not guarantees of future performance or developments and involve known and unknown risks, uncertainties and other factors that are in some cases beyond our control, that could cause actual outcomes or results to differ materially from those expressed or implied by such forward-looking statements. Factors that could cause actual results or conditions to differ from those anticipated by these and other forward-looking statements include those more fully described in Part II, Item 1A, “Risk Factors” and elsewhere in this Quarterly Report on Form 10-Q. Except as required by law, we assume no obligation to update any forward-looking statement publicly, or to revise any forward-looking statement to reflect events or developments occurring after the date of this Quarterly Report on Form 10-Q, even if new information becomes available in the future. Thus, you should not assume that our silence over time means that actual events are bearing out as expressed or implied in any such forward-looking statement.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SUMMARY OF PRINCIPAL RISKS ASSOCIATED WITH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principal risks and uncertainties affecting our business include the following:</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We have incurred losses in each year since our inception, and if we are unable to continue to increase revenue and/or, if we pursue future business opportunities, we may not achieve cash flow positivity when expected or at all, and even if we do, we may not be able to sustain cash flow positivity quarter over quarter and year over year.</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We are substantially dependent on the successful commercialization of IBSRELA, and there is no guarantee that we will maintain sufficient market acceptance for IBSRELA, grow market share for IBSRELA, secure and maintain adequate coverage and reimbursement for IBSRELA, or generate sufficient revenue from product sales of IBSRELA.</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There is no guarantee that we will achieve sufficient market acceptance for XPHOZAH, or that we will be able to secure and maintain adequate coverage and reimbursement for XPHOZAH, or generate sufficient revenue from product sales of XPHOZAH. The inclusion of XPHOZAH in the ESRD PPS creates additional uncertainty as to the commercial opportunity for XPHOZAH.</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XPHOZAH became part of the ESRD PPS on January 1, 2025, which means coverage for XPHOZAH for Medicare beneficiaries is not available under Medicare Part D; this resulted in a negative and material impact on our XPHOZAH revenue in 2025; and the continued lack of Medicare Part D coverage for XPHOZAH will result in a materially lower pace of revenue growth as compared to expectations before XPHOZAH became part of the ESRD PPS.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Current and future healthcare reform legislation, regulation or action by the current administration may increase the difficulty and cost for us to commercialize our approved products and may adversely affect the prices we, or they, may obtain and may have a negative impact on our business and results of operations.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We may require additional financing for the foreseeable future as we invest in the growth of IBSRELA and XPHOZAH in the U.S. and build a pipeline. The inability to access necessary capital when needed on acceptable terms, or at all, could force us to delay or limit our pursuit of other future business opportunities.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IBSRELA and/or XPHOZAH may cause undesirable side effects or have other properties that could limit the commercial success of the products.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 xml:space="preserve">Failure to obtain or maintain adequate coverage and reimbursement for IBSRELA and XPHOZAH could limit our ability to market those products and decrease our ability to generate revenue. </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We rely completely on third parties, including certain single-source suppliers,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XPHOZAH may be materially harmed.</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operating activities may be restricted as a result of covenants related to the indebtedness under our loan and security agreement with SLR, as amended, and we may be required to repay the outstanding indebtedness in an event of default, which could have a materially adverse effect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summary risk factors described above should be read together with the text of the full risk factors below in the section titled “Risk Factors” and the other information set forth in this Quarterly Report on Form 10-Q, including our financial statements and the related notes, as well as in other documents that we file with the U.S.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REGARDING TRADEMARKS</w:t>
      </w:r>
    </w:p>
    <w:p>
      <w:pPr>
        <w:pStyle w:val="TextBody"/>
        <w:bidi w:val="0"/>
        <w:spacing w:lineRule="auto" w:line="288" w:before="0" w:after="180"/>
        <w:ind w:left="0" w:right="0" w:firstLine="360"/>
        <w:jc w:val="both"/>
      </w:pPr>
      <w:r>
        <w:rPr>
          <w:rFonts w:ascii="Times New Roman;serif" w:hAnsi="Times New Roman;serif"/>
          <w:b w:val="false"/>
          <w:color w:val="000000"/>
          <w:sz w:val="20"/>
        </w:rPr>
        <w:t>ARDELYX</w:t>
      </w:r>
      <w:r>
        <w:rPr>
          <w:rFonts w:ascii="Times New Roman;serif" w:hAnsi="Times New Roman;serif"/>
          <w:b w:val="false"/>
          <w:color w:val="000000"/>
          <w:sz w:val="13"/>
        </w:rPr>
        <w:t>®</w:t>
      </w:r>
      <w:r>
        <w:rPr>
          <w:rFonts w:ascii="Times New Roman;serif" w:hAnsi="Times New Roman;serif"/>
          <w:b w:val="false"/>
          <w:color w:val="000000"/>
          <w:sz w:val="20"/>
        </w:rPr>
        <w:t>, IBSRELA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XPHOZAH</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are trademarks of Ardelyx. All other trademarks, trade names and service marks appearing in this Quarterly Report on Form 10-Q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ARDELYX,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 TABLE OF CONTENTS</w:t>
      </w:r>
    </w:p>
    <w:tbl>
      <w:tblPr>
        <w:tblW w:w="9673" w:type="dxa"/>
        <w:jc w:val="center"/>
        <w:tblInd w:w="0" w:type="dxa"/>
        <w:tblLayout w:type="fixed"/>
        <w:tblCellMar>
          <w:top w:w="28" w:type="dxa"/>
          <w:left w:w="28" w:type="dxa"/>
          <w:bottom w:w="28" w:type="dxa"/>
          <w:right w:w="28" w:type="dxa"/>
        </w:tblCellMar>
      </w:tblPr>
      <w:tblGrid>
        <w:gridCol w:w="293"/>
        <w:gridCol w:w="258"/>
        <w:gridCol w:w="259"/>
        <w:gridCol w:w="2653"/>
        <w:gridCol w:w="2653"/>
        <w:gridCol w:w="2658"/>
        <w:gridCol w:w="263"/>
        <w:gridCol w:w="263"/>
        <w:gridCol w:w="373"/>
      </w:tblGrid>
      <w:t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Page No.</w:t>
            </w:r>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3eeb40649944ce2aa29715a439a1a70_13">
              <w:r>
                <w:rPr>
                  <w:rStyle w:val="InternetLink"/>
                  <w:rFonts w:ascii="Times New Roman;serif" w:hAnsi="Times New Roman;serif"/>
                  <w:b/>
                  <w:color w:val="0000FF"/>
                  <w:sz w:val="20"/>
                  <w:u w:val="single"/>
                </w:rPr>
                <w:t>PART I. FINANCIAL INFORMATION</w:t>
              </w:r>
            </w:hyperlink>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16">
              <w:r>
                <w:rPr>
                  <w:rStyle w:val="InternetLink"/>
                  <w:rFonts w:ascii="Times New Roman;serif" w:hAnsi="Times New Roman;serif"/>
                  <w:b w:val="false"/>
                  <w:color w:val="0000FF"/>
                  <w:sz w:val="20"/>
                  <w:u w:val="single"/>
                </w:rPr>
                <w:t>Item 1.</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16">
              <w:r>
                <w:rPr>
                  <w:rStyle w:val="InternetLink"/>
                  <w:rFonts w:ascii="Times New Roman;serif" w:hAnsi="Times New Roman;serif"/>
                  <w:b w:val="false"/>
                  <w:color w:val="0000FF"/>
                  <w:sz w:val="20"/>
                  <w:u w:val="single"/>
                </w:rPr>
                <w:t>Financial Statements (Unaudited)</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3eeb40649944ce2aa29715a439a1a70_16">
              <w:r>
                <w:rPr>
                  <w:rStyle w:val="InternetLink"/>
                  <w:rFonts w:ascii="Times New Roman;serif" w:hAnsi="Times New Roman;serif"/>
                  <w:b w:val="false"/>
                  <w:color w:val="0000FF"/>
                  <w:sz w:val="20"/>
                  <w:u w:val="single"/>
                </w:rPr>
                <w:t>2</w:t>
              </w:r>
            </w:hyperlink>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19">
              <w:r>
                <w:rPr>
                  <w:rStyle w:val="InternetLink"/>
                  <w:rFonts w:ascii="Times New Roman;serif" w:hAnsi="Times New Roman;serif"/>
                  <w:b w:val="false"/>
                  <w:color w:val="0000FF"/>
                  <w:sz w:val="20"/>
                  <w:u w:val="single"/>
                </w:rPr>
                <w:t>Condensed Balance Sheets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3eeb40649944ce2aa29715a439a1a70_19">
              <w:r>
                <w:rPr>
                  <w:rStyle w:val="InternetLink"/>
                  <w:rFonts w:ascii="Times New Roman;serif" w:hAnsi="Times New Roman;serif"/>
                  <w:b w:val="false"/>
                  <w:color w:val="0000FF"/>
                  <w:sz w:val="20"/>
                  <w:u w:val="single"/>
                </w:rPr>
                <w:t>2</w:t>
              </w:r>
            </w:hyperlink>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22">
              <w:r>
                <w:rPr>
                  <w:rStyle w:val="InternetLink"/>
                  <w:rFonts w:ascii="Times New Roman;serif" w:hAnsi="Times New Roman;serif"/>
                  <w:b w:val="false"/>
                  <w:color w:val="0000FF"/>
                  <w:sz w:val="20"/>
                  <w:u w:val="single"/>
                </w:rPr>
                <w:t>Condensed Statements of Operations and Comprehensive Loss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3eeb40649944ce2aa29715a439a1a70_22">
              <w:r>
                <w:rPr>
                  <w:rStyle w:val="InternetLink"/>
                  <w:rFonts w:ascii="Times New Roman;serif" w:hAnsi="Times New Roman;serif"/>
                  <w:b w:val="false"/>
                  <w:color w:val="0000FF"/>
                  <w:sz w:val="20"/>
                  <w:u w:val="single"/>
                </w:rPr>
                <w:t>3</w:t>
              </w:r>
            </w:hyperlink>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25">
              <w:r>
                <w:rPr>
                  <w:rStyle w:val="InternetLink"/>
                  <w:rFonts w:ascii="Times New Roman;serif" w:hAnsi="Times New Roman;serif"/>
                  <w:b w:val="false"/>
                  <w:color w:val="0000FF"/>
                  <w:sz w:val="20"/>
                  <w:u w:val="single"/>
                </w:rPr>
                <w:t>Condensed Statements of Changes in Stockholders’ Equity</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3eeb40649944ce2aa29715a439a1a70_25">
              <w:r>
                <w:rPr>
                  <w:rStyle w:val="InternetLink"/>
                  <w:rFonts w:ascii="Times New Roman;serif" w:hAnsi="Times New Roman;serif"/>
                  <w:b w:val="false"/>
                  <w:color w:val="0000FF"/>
                  <w:sz w:val="20"/>
                  <w:u w:val="single"/>
                </w:rPr>
                <w:t>4</w:t>
              </w:r>
            </w:hyperlink>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28">
              <w:r>
                <w:rPr>
                  <w:rStyle w:val="InternetLink"/>
                  <w:rFonts w:ascii="Times New Roman;serif" w:hAnsi="Times New Roman;serif"/>
                  <w:b w:val="false"/>
                  <w:color w:val="0000FF"/>
                  <w:sz w:val="20"/>
                  <w:u w:val="single"/>
                </w:rPr>
                <w:t>Condensed Statements of Cash Flows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3eeb40649944ce2aa29715a439a1a70_28">
              <w:r>
                <w:rPr>
                  <w:rStyle w:val="InternetLink"/>
                  <w:rFonts w:ascii="Times New Roman;serif" w:hAnsi="Times New Roman;serif"/>
                  <w:b w:val="false"/>
                  <w:color w:val="0000FF"/>
                  <w:sz w:val="20"/>
                  <w:u w:val="single"/>
                </w:rPr>
                <w:t>6</w:t>
              </w:r>
            </w:hyperlink>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31">
              <w:r>
                <w:rPr>
                  <w:rStyle w:val="InternetLink"/>
                  <w:rFonts w:ascii="Times New Roman;serif" w:hAnsi="Times New Roman;serif"/>
                  <w:b w:val="false"/>
                  <w:color w:val="0000FF"/>
                  <w:sz w:val="20"/>
                  <w:u w:val="single"/>
                </w:rPr>
                <w:t>Notes to Condensed Financial Statements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3eeb40649944ce2aa29715a439a1a70_31">
              <w:r>
                <w:rPr>
                  <w:rStyle w:val="InternetLink"/>
                  <w:rFonts w:ascii="Times New Roman;serif" w:hAnsi="Times New Roman;serif"/>
                  <w:b w:val="false"/>
                  <w:color w:val="0000FF"/>
                  <w:sz w:val="20"/>
                  <w:u w:val="single"/>
                </w:rPr>
                <w:t>7</w:t>
              </w:r>
            </w:hyperlink>
          </w:p>
        </w:tc>
      </w:tr>
      <w:t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103">
              <w:r>
                <w:rPr>
                  <w:rStyle w:val="InternetLink"/>
                  <w:rFonts w:ascii="Times New Roman;serif" w:hAnsi="Times New Roman;serif"/>
                  <w:b w:val="false"/>
                  <w:color w:val="0000FF"/>
                  <w:sz w:val="20"/>
                  <w:u w:val="single"/>
                </w:rPr>
                <w:t>Item 2.</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10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3eeb40649944ce2aa29715a439a1a70_103">
              <w:r>
                <w:rPr>
                  <w:rStyle w:val="InternetLink"/>
                  <w:rFonts w:ascii="Times New Roman;serif" w:hAnsi="Times New Roman;serif"/>
                  <w:b w:val="false"/>
                  <w:color w:val="0000FF"/>
                  <w:sz w:val="20"/>
                  <w:u w:val="single"/>
                </w:rPr>
                <w:t>19</w:t>
              </w:r>
            </w:hyperlink>
          </w:p>
        </w:tc>
      </w:tr>
      <w:t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121">
              <w:r>
                <w:rPr>
                  <w:rStyle w:val="InternetLink"/>
                  <w:rFonts w:ascii="Times New Roman;serif" w:hAnsi="Times New Roman;serif"/>
                  <w:b w:val="false"/>
                  <w:color w:val="0000FF"/>
                  <w:sz w:val="20"/>
                  <w:u w:val="single"/>
                </w:rPr>
                <w:t>Item 3.</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121">
              <w:r>
                <w:rPr>
                  <w:rStyle w:val="InternetLink"/>
                  <w:rFonts w:ascii="Times New Roman;serif" w:hAnsi="Times New Roman;serif"/>
                  <w:b w:val="false"/>
                  <w:color w:val="0000FF"/>
                  <w:sz w:val="20"/>
                  <w:u w:val="single"/>
                </w:rPr>
                <w:t>Quantitative and Qualitative Disclosures About Market Risk</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3eeb40649944ce2aa29715a439a1a70_121">
              <w:r>
                <w:rPr>
                  <w:rStyle w:val="InternetLink"/>
                  <w:rFonts w:ascii="Times New Roman;serif" w:hAnsi="Times New Roman;serif"/>
                  <w:b w:val="false"/>
                  <w:color w:val="0000FF"/>
                  <w:sz w:val="20"/>
                  <w:u w:val="single"/>
                </w:rPr>
                <w:t>26</w:t>
              </w:r>
            </w:hyperlink>
          </w:p>
        </w:tc>
      </w:tr>
      <w:t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124">
              <w:r>
                <w:rPr>
                  <w:rStyle w:val="InternetLink"/>
                  <w:rFonts w:ascii="Times New Roman;serif" w:hAnsi="Times New Roman;serif"/>
                  <w:b w:val="false"/>
                  <w:color w:val="0000FF"/>
                  <w:sz w:val="20"/>
                  <w:u w:val="single"/>
                </w:rPr>
                <w:t>Item 4.</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124">
              <w:r>
                <w:rPr>
                  <w:rStyle w:val="InternetLink"/>
                  <w:rFonts w:ascii="Times New Roman;serif" w:hAnsi="Times New Roman;serif"/>
                  <w:b w:val="false"/>
                  <w:color w:val="0000FF"/>
                  <w:sz w:val="20"/>
                  <w:u w:val="single"/>
                </w:rPr>
                <w:t>Controls and Procedures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3eeb40649944ce2aa29715a439a1a70_124">
              <w:r>
                <w:rPr>
                  <w:rStyle w:val="InternetLink"/>
                  <w:rFonts w:ascii="Times New Roman;serif" w:hAnsi="Times New Roman;serif"/>
                  <w:b w:val="false"/>
                  <w:color w:val="0000FF"/>
                  <w:sz w:val="20"/>
                  <w:u w:val="single"/>
                </w:rPr>
                <w:t>26</w:t>
              </w:r>
            </w:hyperlink>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3eeb40649944ce2aa29715a439a1a70_127">
              <w:r>
                <w:rPr>
                  <w:rStyle w:val="InternetLink"/>
                  <w:rFonts w:ascii="Times New Roman;serif" w:hAnsi="Times New Roman;serif"/>
                  <w:b/>
                  <w:color w:val="0000FF"/>
                  <w:sz w:val="20"/>
                  <w:u w:val="single"/>
                </w:rPr>
                <w:t>PART II. OTHER INFORMATION</w:t>
              </w:r>
            </w:hyperlink>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130">
              <w:r>
                <w:rPr>
                  <w:rStyle w:val="InternetLink"/>
                  <w:rFonts w:ascii="Times New Roman;serif" w:hAnsi="Times New Roman;serif"/>
                  <w:b w:val="false"/>
                  <w:color w:val="0000FF"/>
                  <w:sz w:val="20"/>
                  <w:u w:val="single"/>
                </w:rPr>
                <w:t>Item 1.</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130">
              <w:r>
                <w:rPr>
                  <w:rStyle w:val="InternetLink"/>
                  <w:rFonts w:ascii="Times New Roman;serif" w:hAnsi="Times New Roman;serif"/>
                  <w:b w:val="false"/>
                  <w:color w:val="0000FF"/>
                  <w:sz w:val="20"/>
                  <w:u w:val="single"/>
                </w:rPr>
                <w:t>Legal Proceedings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3eeb40649944ce2aa29715a439a1a70_130">
              <w:r>
                <w:rPr>
                  <w:rStyle w:val="InternetLink"/>
                  <w:rFonts w:ascii="Times New Roman;serif" w:hAnsi="Times New Roman;serif"/>
                  <w:b w:val="false"/>
                  <w:color w:val="0000FF"/>
                  <w:sz w:val="20"/>
                  <w:u w:val="single"/>
                </w:rPr>
                <w:t>27</w:t>
              </w:r>
            </w:hyperlink>
          </w:p>
        </w:tc>
      </w:tr>
      <w:t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133">
              <w:r>
                <w:rPr>
                  <w:rStyle w:val="InternetLink"/>
                  <w:rFonts w:ascii="Times New Roman;serif" w:hAnsi="Times New Roman;serif"/>
                  <w:b w:val="false"/>
                  <w:color w:val="0000FF"/>
                  <w:sz w:val="20"/>
                  <w:u w:val="single"/>
                </w:rPr>
                <w:t>Item 1A.</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133">
              <w:r>
                <w:rPr>
                  <w:rStyle w:val="InternetLink"/>
                  <w:rFonts w:ascii="Times New Roman;serif" w:hAnsi="Times New Roman;serif"/>
                  <w:b w:val="false"/>
                  <w:color w:val="0000FF"/>
                  <w:sz w:val="20"/>
                  <w:u w:val="single"/>
                </w:rPr>
                <w:t>Risk Factors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3eeb40649944ce2aa29715a439a1a70_133">
              <w:r>
                <w:rPr>
                  <w:rStyle w:val="InternetLink"/>
                  <w:rFonts w:ascii="Times New Roman;serif" w:hAnsi="Times New Roman;serif"/>
                  <w:b w:val="false"/>
                  <w:color w:val="0000FF"/>
                  <w:sz w:val="20"/>
                  <w:u w:val="single"/>
                </w:rPr>
                <w:t>27</w:t>
              </w:r>
            </w:hyperlink>
          </w:p>
        </w:tc>
      </w:tr>
      <w:t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136">
              <w:r>
                <w:rPr>
                  <w:rStyle w:val="InternetLink"/>
                  <w:rFonts w:ascii="Times New Roman;serif" w:hAnsi="Times New Roman;serif"/>
                  <w:b w:val="false"/>
                  <w:color w:val="0000FF"/>
                  <w:sz w:val="20"/>
                  <w:u w:val="single"/>
                </w:rPr>
                <w:t>Item 2.</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136">
              <w:r>
                <w:rPr>
                  <w:rStyle w:val="InternetLink"/>
                  <w:rFonts w:ascii="Times New Roman;serif" w:hAnsi="Times New Roman;serif"/>
                  <w:b w:val="false"/>
                  <w:color w:val="0000FF"/>
                  <w:sz w:val="20"/>
                  <w:u w:val="single"/>
                </w:rPr>
                <w:t>Unregistered Sales of Equity Securities, Use of Proceeds and Issuer Purchases of Equity Securities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3eeb40649944ce2aa29715a439a1a70_136">
              <w:r>
                <w:rPr>
                  <w:rStyle w:val="InternetLink"/>
                  <w:rFonts w:ascii="Times New Roman;serif" w:hAnsi="Times New Roman;serif"/>
                  <w:b w:val="false"/>
                  <w:color w:val="0000FF"/>
                  <w:sz w:val="20"/>
                  <w:u w:val="single"/>
                </w:rPr>
                <w:t>66</w:t>
              </w:r>
            </w:hyperlink>
          </w:p>
        </w:tc>
      </w:tr>
      <w:t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139">
              <w:r>
                <w:rPr>
                  <w:rStyle w:val="InternetLink"/>
                  <w:rFonts w:ascii="Times New Roman;serif" w:hAnsi="Times New Roman;serif"/>
                  <w:b w:val="false"/>
                  <w:color w:val="0000FF"/>
                  <w:sz w:val="20"/>
                  <w:u w:val="single"/>
                </w:rPr>
                <w:t>Item 3.</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139">
              <w:r>
                <w:rPr>
                  <w:rStyle w:val="InternetLink"/>
                  <w:rFonts w:ascii="Times New Roman;serif" w:hAnsi="Times New Roman;serif"/>
                  <w:b w:val="false"/>
                  <w:color w:val="0000FF"/>
                  <w:sz w:val="20"/>
                  <w:u w:val="single"/>
                </w:rPr>
                <w:t>Defaults Upon Senior Securities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3eeb40649944ce2aa29715a439a1a70_139">
              <w:r>
                <w:rPr>
                  <w:rStyle w:val="InternetLink"/>
                  <w:rFonts w:ascii="Times New Roman;serif" w:hAnsi="Times New Roman;serif"/>
                  <w:b w:val="false"/>
                  <w:color w:val="0000FF"/>
                  <w:sz w:val="20"/>
                  <w:u w:val="single"/>
                </w:rPr>
                <w:t>66</w:t>
              </w:r>
            </w:hyperlink>
          </w:p>
        </w:tc>
      </w:tr>
      <w:t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142">
              <w:r>
                <w:rPr>
                  <w:rStyle w:val="InternetLink"/>
                  <w:rFonts w:ascii="Times New Roman;serif" w:hAnsi="Times New Roman;serif"/>
                  <w:b w:val="false"/>
                  <w:color w:val="0000FF"/>
                  <w:sz w:val="20"/>
                  <w:u w:val="single"/>
                </w:rPr>
                <w:t>Item 4.</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142">
              <w:r>
                <w:rPr>
                  <w:rStyle w:val="InternetLink"/>
                  <w:rFonts w:ascii="Times New Roman;serif" w:hAnsi="Times New Roman;serif"/>
                  <w:b w:val="false"/>
                  <w:color w:val="0000FF"/>
                  <w:sz w:val="20"/>
                  <w:u w:val="single"/>
                </w:rPr>
                <w:t>Mine Safety Disclosures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3eeb40649944ce2aa29715a439a1a70_142">
              <w:r>
                <w:rPr>
                  <w:rStyle w:val="InternetLink"/>
                  <w:rFonts w:ascii="Times New Roman;serif" w:hAnsi="Times New Roman;serif"/>
                  <w:b w:val="false"/>
                  <w:color w:val="0000FF"/>
                  <w:sz w:val="20"/>
                  <w:u w:val="single"/>
                </w:rPr>
                <w:t>66</w:t>
              </w:r>
            </w:hyperlink>
          </w:p>
        </w:tc>
      </w:tr>
      <w:t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145">
              <w:r>
                <w:rPr>
                  <w:rStyle w:val="InternetLink"/>
                  <w:rFonts w:ascii="Times New Roman;serif" w:hAnsi="Times New Roman;serif"/>
                  <w:b w:val="false"/>
                  <w:color w:val="0000FF"/>
                  <w:sz w:val="20"/>
                  <w:u w:val="single"/>
                </w:rPr>
                <w:t>Item 5.</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145">
              <w:r>
                <w:rPr>
                  <w:rStyle w:val="InternetLink"/>
                  <w:rFonts w:ascii="Times New Roman;serif" w:hAnsi="Times New Roman;serif"/>
                  <w:b w:val="false"/>
                  <w:color w:val="0000FF"/>
                  <w:sz w:val="20"/>
                  <w:u w:val="single"/>
                </w:rPr>
                <w:t>Other Information</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3eeb40649944ce2aa29715a439a1a70_145">
              <w:r>
                <w:rPr>
                  <w:rStyle w:val="InternetLink"/>
                  <w:rFonts w:ascii="Times New Roman;serif" w:hAnsi="Times New Roman;serif"/>
                  <w:b w:val="false"/>
                  <w:color w:val="0000FF"/>
                  <w:sz w:val="20"/>
                  <w:u w:val="single"/>
                </w:rPr>
                <w:t>66</w:t>
              </w:r>
            </w:hyperlink>
          </w:p>
        </w:tc>
      </w:tr>
      <w:tr>
        <w:tc>
          <w:tcPr>
            <w:tcW w:w="81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154">
              <w:r>
                <w:rPr>
                  <w:rStyle w:val="InternetLink"/>
                  <w:rFonts w:ascii="Times New Roman;serif" w:hAnsi="Times New Roman;serif"/>
                  <w:b w:val="false"/>
                  <w:color w:val="0000FF"/>
                  <w:sz w:val="20"/>
                  <w:u w:val="single"/>
                </w:rPr>
                <w:t>Item 6.</w:t>
              </w:r>
            </w:hyperlink>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154">
              <w:r>
                <w:rPr>
                  <w:rStyle w:val="InternetLink"/>
                  <w:rFonts w:ascii="Times New Roman;serif" w:hAnsi="Times New Roman;serif"/>
                  <w:b w:val="false"/>
                  <w:color w:val="0000FF"/>
                  <w:sz w:val="20"/>
                  <w:u w:val="single"/>
                </w:rPr>
                <w:t>Exhibits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3eeb40649944ce2aa29715a439a1a70_154">
              <w:r>
                <w:rPr>
                  <w:rStyle w:val="InternetLink"/>
                  <w:rFonts w:ascii="Times New Roman;serif" w:hAnsi="Times New Roman;serif"/>
                  <w:b w:val="false"/>
                  <w:color w:val="0000FF"/>
                  <w:sz w:val="20"/>
                  <w:u w:val="single"/>
                </w:rPr>
                <w:t>67</w:t>
              </w:r>
            </w:hyperlink>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157">
              <w:r>
                <w:rPr>
                  <w:rStyle w:val="InternetLink"/>
                  <w:rFonts w:ascii="Times New Roman;serif" w:hAnsi="Times New Roman;serif"/>
                  <w:b w:val="false"/>
                  <w:color w:val="0000FF"/>
                  <w:sz w:val="20"/>
                  <w:u w:val="single"/>
                </w:rPr>
                <w:t>Signature</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3eeb40649944ce2aa29715a439a1a70_157">
              <w:r>
                <w:rPr>
                  <w:rStyle w:val="InternetLink"/>
                  <w:rFonts w:ascii="Times New Roman;serif" w:hAnsi="Times New Roman;serif"/>
                  <w:b w:val="false"/>
                  <w:color w:val="0000FF"/>
                  <w:sz w:val="20"/>
                  <w:u w:val="single"/>
                </w:rPr>
                <w:t>68</w:t>
              </w:r>
            </w:hyperlink>
          </w:p>
        </w:tc>
      </w:tr>
      <w:t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3eeb40649944ce2aa29715a439a1a70_157">
              <w:r>
                <w:rPr>
                  <w:rStyle w:val="InternetLink"/>
                  <w:rFonts w:ascii="Times New Roman;serif" w:hAnsi="Times New Roman;serif"/>
                  <w:b w:val="false"/>
                  <w:color w:val="0000FF"/>
                  <w:sz w:val="20"/>
                  <w:u w:val="single"/>
                </w:rPr>
                <w:t>Summary of Abbreviated Terms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f3eeb40649944ce2aa29715a439a1a70_160">
              <w:r>
                <w:rPr>
                  <w:rStyle w:val="InternetLink"/>
                  <w:rFonts w:ascii="Times New Roman;serif" w:hAnsi="Times New Roman;serif"/>
                  <w:b w:val="false"/>
                  <w:color w:val="0000FF"/>
                  <w:sz w:val="20"/>
                  <w:u w:val="single"/>
                </w:rPr>
                <w:t>69</w:t>
              </w:r>
            </w:hyperlink>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ARDELYX,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703"/>
        <w:gridCol w:w="2222"/>
        <w:gridCol w:w="2157"/>
        <w:gridCol w:w="254"/>
        <w:gridCol w:w="997"/>
        <w:gridCol w:w="131"/>
        <w:gridCol w:w="109"/>
        <w:gridCol w:w="109"/>
        <w:gridCol w:w="109"/>
        <w:gridCol w:w="249"/>
        <w:gridCol w:w="978"/>
        <w:gridCol w:w="187"/>
      </w:tblGrid>
      <w:tr>
        <w:tc>
          <w:tcPr>
            <w:tcW w:w="2703"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c>
          <w:tcPr>
            <w:tcW w:w="7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p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pPr>
            <w:r/>
          </w:p>
        </w:tc>
      </w:tr>
      <w:t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0"/>
              <w:jc w:val="right"/>
            </w:p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0"/>
              <w:jc w:val="right"/>
            </w:pPr>
            <w:r/>
          </w:p>
        </w:tc>
      </w:tr>
      <w:t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239,021 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196,690 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71,848 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commercial manufacturing</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441,388 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382,317 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non-current</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105,372 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587,525 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501,604 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liability</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69,480 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127,805 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88,605 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net of current portion</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252,360 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202,834 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royalty obligation related to the sale of future royalties</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423,479 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334,655 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14)</w:t>
            </w:r>
          </w:p>
        </w:tc>
        <w:tc>
          <w:tcPr>
            <w:tcW w:w="13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per share; 500,000,000 shares authorized; 251,030,827 and 244,351,501 shares issued and outstanding as of September 30, 2026 and December 31, 2025, respectively</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1,166,506 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1,113,666 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(1,002,002)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(946,939)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w:t>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164,046 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166,949 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587,525 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501,604 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ARDELYX,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 AND COMPREHENSIVE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561"/>
        <w:gridCol w:w="1184"/>
        <w:gridCol w:w="1191"/>
        <w:gridCol w:w="241"/>
        <w:gridCol w:w="945"/>
        <w:gridCol w:w="116"/>
        <w:gridCol w:w="116"/>
        <w:gridCol w:w="116"/>
        <w:gridCol w:w="116"/>
        <w:gridCol w:w="241"/>
        <w:gridCol w:w="945"/>
        <w:gridCol w:w="116"/>
        <w:gridCol w:w="109"/>
        <w:gridCol w:w="109"/>
        <w:gridCol w:w="109"/>
        <w:gridCol w:w="241"/>
        <w:gridCol w:w="945"/>
        <w:gridCol w:w="113"/>
        <w:gridCol w:w="113"/>
        <w:gridCol w:w="113"/>
        <w:gridCol w:w="113"/>
        <w:gridCol w:w="241"/>
        <w:gridCol w:w="945"/>
        <w:gridCol w:w="166"/>
      </w:tblGrid>
      <w:tr>
        <w:tc>
          <w:tcPr>
            <w:tcW w:w="156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3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3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p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p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p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pPr>
            <w:r/>
          </w:p>
        </w:tc>
      </w:tr>
      <w:t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263,406 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 related to the sale of future royalties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127,655 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110,329 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343,005 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282,105 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operating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123,632 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105,661 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384,200 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328,181 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(41,195)</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(46,076)</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the sale of future royalties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(54,855)</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(60,230)</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(61,192)</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of common stock - basic and diluted</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net loss per share - basic and diluted</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250,007,187 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241,908,407 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247,991,715 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240,165,744 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6"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r>
      <w:t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13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gains on available-for-sale securities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(55,744)</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(61,125)</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ARDELYX,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CHANGES IN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amounts)</w:t>
      </w:r>
    </w:p>
    <w:tbl>
      <w:tblPr>
        <w:tblW w:w="10443" w:type="dxa"/>
        <w:jc w:val="left"/>
        <w:tblInd w:w="0" w:type="dxa"/>
        <w:tblLayout w:type="fixed"/>
        <w:tblCellMar>
          <w:top w:w="28" w:type="dxa"/>
          <w:left w:w="28" w:type="dxa"/>
          <w:bottom w:w="28" w:type="dxa"/>
          <w:right w:w="28" w:type="dxa"/>
        </w:tblCellMar>
      </w:tblPr>
      <w:tblGrid>
        <w:gridCol w:w="1014"/>
        <w:gridCol w:w="258"/>
        <w:gridCol w:w="259"/>
        <w:gridCol w:w="593"/>
        <w:gridCol w:w="593"/>
        <w:gridCol w:w="211"/>
        <w:gridCol w:w="109"/>
        <w:gridCol w:w="109"/>
        <w:gridCol w:w="109"/>
        <w:gridCol w:w="232"/>
        <w:gridCol w:w="398"/>
        <w:gridCol w:w="121"/>
        <w:gridCol w:w="109"/>
        <w:gridCol w:w="109"/>
        <w:gridCol w:w="109"/>
        <w:gridCol w:w="211"/>
        <w:gridCol w:w="976"/>
        <w:gridCol w:w="109"/>
        <w:gridCol w:w="109"/>
        <w:gridCol w:w="109"/>
        <w:gridCol w:w="109"/>
        <w:gridCol w:w="211"/>
        <w:gridCol w:w="991"/>
        <w:gridCol w:w="109"/>
        <w:gridCol w:w="109"/>
        <w:gridCol w:w="109"/>
        <w:gridCol w:w="109"/>
        <w:gridCol w:w="344"/>
        <w:gridCol w:w="784"/>
        <w:gridCol w:w="178"/>
        <w:gridCol w:w="109"/>
        <w:gridCol w:w="109"/>
        <w:gridCol w:w="109"/>
        <w:gridCol w:w="215"/>
        <w:gridCol w:w="843"/>
        <w:gridCol w:w="158"/>
      </w:tblGrid>
      <w:tr>
        <w:tc>
          <w:tcPr>
            <w:tcW w:w="101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2026</w:t>
            </w:r>
          </w:p>
        </w:tc>
      </w:tr>
      <w:t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c>
          <w:tcPr>
            <w:tcW w:w="1531" w:type="dxa"/>
            <w:gridSpan w:val="3"/>
            <w:tcBorders/>
            <w:tcMar>
              <w:top w:w="0" w:type="dxa"/>
              <w:left w:w="0" w:type="dxa"/>
              <w:bottom w:w="0" w:type="dxa"/>
              <w:right w:w="0" w:type="dxa"/>
            </w:tcMar>
            <w:vAlign w:val="center"/>
          </w:tcPr>
          <w:p>
            <w:pPr>
              <w:pStyle w:val="TableContents"/>
              <w:bidi w:val="0"/>
              <w:spacing w:before="0" w:after="0"/>
              <w:jc w:val="left"/>
            </w:p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249,147,061 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149,013 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214,774 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1,517,789 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available-for-sale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2026</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251,030,827 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1,166,506 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(1,002,002)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164,046 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43" w:type="dxa"/>
        <w:jc w:val="left"/>
        <w:tblInd w:w="0" w:type="dxa"/>
        <w:tblLayout w:type="fixed"/>
        <w:tblCellMar>
          <w:top w:w="28" w:type="dxa"/>
          <w:left w:w="28" w:type="dxa"/>
          <w:bottom w:w="28" w:type="dxa"/>
          <w:right w:w="28" w:type="dxa"/>
        </w:tblCellMar>
      </w:tblPr>
      <w:tblGrid>
        <w:gridCol w:w="908"/>
        <w:gridCol w:w="311"/>
        <w:gridCol w:w="312"/>
        <w:gridCol w:w="593"/>
        <w:gridCol w:w="593"/>
        <w:gridCol w:w="211"/>
        <w:gridCol w:w="109"/>
        <w:gridCol w:w="109"/>
        <w:gridCol w:w="109"/>
        <w:gridCol w:w="232"/>
        <w:gridCol w:w="398"/>
        <w:gridCol w:w="121"/>
        <w:gridCol w:w="109"/>
        <w:gridCol w:w="109"/>
        <w:gridCol w:w="109"/>
        <w:gridCol w:w="211"/>
        <w:gridCol w:w="976"/>
        <w:gridCol w:w="109"/>
        <w:gridCol w:w="109"/>
        <w:gridCol w:w="109"/>
        <w:gridCol w:w="109"/>
        <w:gridCol w:w="211"/>
        <w:gridCol w:w="991"/>
        <w:gridCol w:w="109"/>
        <w:gridCol w:w="109"/>
        <w:gridCol w:w="109"/>
        <w:gridCol w:w="109"/>
        <w:gridCol w:w="344"/>
        <w:gridCol w:w="784"/>
        <w:gridCol w:w="178"/>
        <w:gridCol w:w="109"/>
        <w:gridCol w:w="109"/>
        <w:gridCol w:w="109"/>
        <w:gridCol w:w="215"/>
        <w:gridCol w:w="843"/>
        <w:gridCol w:w="158"/>
      </w:tblGrid>
      <w:tr>
        <w:tc>
          <w:tcPr>
            <w:tcW w:w="9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2026</w:t>
            </w:r>
          </w:p>
        </w:tc>
      </w:tr>
      <w:t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w:t>
              <w:br/>
              <w:t>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244,351,501 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166,949 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351,254 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services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2,040,937 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4,254,508 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on available-for-sale securities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2026</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251,030,827 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1,166,506 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(1,002,002)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164,046 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tbl>
      <w:tblPr>
        <w:tblW w:w="10293" w:type="dxa"/>
        <w:jc w:val="left"/>
        <w:tblInd w:w="0" w:type="dxa"/>
        <w:tblLayout w:type="fixed"/>
        <w:tblCellMar>
          <w:top w:w="28" w:type="dxa"/>
          <w:left w:w="28" w:type="dxa"/>
          <w:bottom w:w="28" w:type="dxa"/>
          <w:right w:w="28" w:type="dxa"/>
        </w:tblCellMar>
      </w:tblPr>
      <w:tblGrid>
        <w:gridCol w:w="1014"/>
        <w:gridCol w:w="258"/>
        <w:gridCol w:w="259"/>
        <w:gridCol w:w="593"/>
        <w:gridCol w:w="593"/>
        <w:gridCol w:w="211"/>
        <w:gridCol w:w="109"/>
        <w:gridCol w:w="109"/>
        <w:gridCol w:w="109"/>
        <w:gridCol w:w="232"/>
        <w:gridCol w:w="398"/>
        <w:gridCol w:w="121"/>
        <w:gridCol w:w="109"/>
        <w:gridCol w:w="109"/>
        <w:gridCol w:w="109"/>
        <w:gridCol w:w="211"/>
        <w:gridCol w:w="976"/>
        <w:gridCol w:w="109"/>
        <w:gridCol w:w="109"/>
        <w:gridCol w:w="109"/>
        <w:gridCol w:w="109"/>
        <w:gridCol w:w="211"/>
        <w:gridCol w:w="841"/>
        <w:gridCol w:w="109"/>
        <w:gridCol w:w="109"/>
        <w:gridCol w:w="109"/>
        <w:gridCol w:w="109"/>
        <w:gridCol w:w="350"/>
        <w:gridCol w:w="774"/>
        <w:gridCol w:w="182"/>
        <w:gridCol w:w="109"/>
        <w:gridCol w:w="109"/>
        <w:gridCol w:w="109"/>
        <w:gridCol w:w="215"/>
        <w:gridCol w:w="843"/>
        <w:gridCol w:w="158"/>
      </w:tblGrid>
      <w:tr>
        <w:tc>
          <w:tcPr>
            <w:tcW w:w="101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2025</w:t>
            </w:r>
          </w:p>
        </w:tc>
      </w:tr>
      <w:t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w:t>
              <w:br/>
              <w:t>Comprehensive (Loss)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240,765,516 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(945,563)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139,531 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162,859 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860,811 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1,182,652 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available-for-sale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2025</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242,971,838 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1,100,664 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(946,532)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154,280 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93" w:type="dxa"/>
        <w:jc w:val="left"/>
        <w:tblInd w:w="0" w:type="dxa"/>
        <w:tblLayout w:type="fixed"/>
        <w:tblCellMar>
          <w:top w:w="28" w:type="dxa"/>
          <w:left w:w="28" w:type="dxa"/>
          <w:bottom w:w="28" w:type="dxa"/>
          <w:right w:w="28" w:type="dxa"/>
        </w:tblCellMar>
      </w:tblPr>
      <w:tblGrid>
        <w:gridCol w:w="908"/>
        <w:gridCol w:w="311"/>
        <w:gridCol w:w="312"/>
        <w:gridCol w:w="593"/>
        <w:gridCol w:w="593"/>
        <w:gridCol w:w="211"/>
        <w:gridCol w:w="109"/>
        <w:gridCol w:w="109"/>
        <w:gridCol w:w="109"/>
        <w:gridCol w:w="232"/>
        <w:gridCol w:w="398"/>
        <w:gridCol w:w="121"/>
        <w:gridCol w:w="109"/>
        <w:gridCol w:w="109"/>
        <w:gridCol w:w="109"/>
        <w:gridCol w:w="211"/>
        <w:gridCol w:w="976"/>
        <w:gridCol w:w="109"/>
        <w:gridCol w:w="109"/>
        <w:gridCol w:w="109"/>
        <w:gridCol w:w="109"/>
        <w:gridCol w:w="211"/>
        <w:gridCol w:w="841"/>
        <w:gridCol w:w="109"/>
        <w:gridCol w:w="109"/>
        <w:gridCol w:w="109"/>
        <w:gridCol w:w="109"/>
        <w:gridCol w:w="350"/>
        <w:gridCol w:w="774"/>
        <w:gridCol w:w="182"/>
        <w:gridCol w:w="109"/>
        <w:gridCol w:w="109"/>
        <w:gridCol w:w="109"/>
        <w:gridCol w:w="215"/>
        <w:gridCol w:w="843"/>
        <w:gridCol w:w="158"/>
      </w:tblGrid>
      <w:tr>
        <w:tc>
          <w:tcPr>
            <w:tcW w:w="9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2025</w:t>
            </w:r>
          </w:p>
        </w:tc>
      </w:tr>
      <w:t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w:t>
              <w:br/>
              <w:t>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238,015,825 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173,289 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385,593 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services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87,256 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1,641,801 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2,841,363 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available-for-sale securities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2025</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242,971,838 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1,100,664 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(946,532)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154,280 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ARDELYX,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9011" w:type="dxa"/>
        <w:jc w:val="center"/>
        <w:tblInd w:w="0" w:type="dxa"/>
        <w:tblLayout w:type="fixed"/>
        <w:tblCellMar>
          <w:top w:w="28" w:type="dxa"/>
          <w:left w:w="28" w:type="dxa"/>
          <w:bottom w:w="28" w:type="dxa"/>
          <w:right w:w="28" w:type="dxa"/>
        </w:tblCellMar>
      </w:tblPr>
      <w:tblGrid>
        <w:gridCol w:w="2162"/>
        <w:gridCol w:w="1897"/>
        <w:gridCol w:w="1910"/>
        <w:gridCol w:w="246"/>
        <w:gridCol w:w="931"/>
        <w:gridCol w:w="127"/>
        <w:gridCol w:w="127"/>
        <w:gridCol w:w="127"/>
        <w:gridCol w:w="127"/>
        <w:gridCol w:w="246"/>
        <w:gridCol w:w="931"/>
        <w:gridCol w:w="180"/>
      </w:tblGrid>
      <w:tr>
        <w:tc>
          <w:tcPr>
            <w:tcW w:w="2162"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c>
          <w:tcPr>
            <w:tcW w:w="5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5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p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right"/>
            </w:p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 related to the sale of future royalties</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commercial manufacturing</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liabilities</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(36,465)</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(63,434)</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and redemptions of investments</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158,535 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156,456 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(199,791)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(168,060)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(12,735)</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Loan Agreement, net of costs</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81,871 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48,668 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Loan Agreement, including fees</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c>
          <w:tcPr>
            <w:tcW w:w="596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c>
          <w:tcPr>
            <w:tcW w:w="596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c>
          <w:tcPr>
            <w:tcW w:w="596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c>
          <w:tcPr>
            <w:tcW w:w="596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equity incentive plans</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53,952 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in cash and cash equivalents</w:t>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(21,682)</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(22,217)</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beginning of period</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activities</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services</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6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pPr>
      <w:r>
        <w:rPr>
          <w:rFonts w:ascii="Times New Roman;serif" w:hAnsi="Times New Roman;serif"/>
          <w:b/>
          <w:color w:val="000000"/>
          <w:sz w:val="20"/>
        </w:rPr>
        <w:t>ARDELYX, INC</w:t>
      </w:r>
      <w:r>
        <w:rPr>
          <w:rFonts w:ascii="Times New Roman;serif" w:hAnsi="Times New Roman;serif"/>
          <w:b w:val="false"/>
          <w:color w:val="000000"/>
          <w:sz w:val="20"/>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FINANCIAL STATEMENTS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NATURE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commercial-stage biopharmaceutical company focused on the development and commercialization of innovative medicines that meet significant unmet medical needs. We currently market two therapies from the active ingredient tenapanor, a sodium/hydrogen exchanger (NHE3) inhibitor that was discovered and developed by Ardelyx. NHE3 is an antiporter expressed on the apical surface of the small and large intestines. Tenapanor is a minimally absorbed, small molecule therapy. In addition, we are building a pipeline which is currently focused on expanding the commercial footprint of tenapanor.</w:t>
      </w:r>
    </w:p>
    <w:p>
      <w:pPr>
        <w:pStyle w:val="TextBody"/>
        <w:bidi w:val="0"/>
        <w:spacing w:lineRule="auto" w:line="288" w:before="0" w:after="180"/>
        <w:ind w:left="0" w:right="0" w:firstLine="360"/>
        <w:jc w:val="left"/>
      </w:pPr>
      <w:r>
        <w:rPr>
          <w:rFonts w:ascii="Times New Roman;serif" w:hAnsi="Times New Roman;serif"/>
          <w:b w:val="false"/>
          <w:color w:val="000000"/>
          <w:sz w:val="20"/>
        </w:rPr>
        <w:t>Tenapanor, branded as IBSRELA</w:t>
      </w:r>
      <w:r>
        <w:rPr>
          <w:rFonts w:ascii="Times New Roman;serif" w:hAnsi="Times New Roman;serif"/>
          <w:b w:val="false"/>
          <w:color w:val="000000"/>
          <w:sz w:val="13"/>
        </w:rPr>
        <w:t>®</w:t>
      </w:r>
      <w:r>
        <w:rPr>
          <w:rFonts w:ascii="Times New Roman;serif" w:hAnsi="Times New Roman;serif"/>
          <w:b w:val="false"/>
          <w:color w:val="000000"/>
          <w:sz w:val="20"/>
        </w:rPr>
        <w:t>, is approved in the U.S. for the treatment of adults with irritable bowel syndrome with constipation (IBS-C). We are seeking to further expand the IBSRELA eligible patient population to include patients with chronic idiopathic constipation (CIC), and have initiated a Phase 3 clinical trial evaluating tenapanor in adults with CIC.</w:t>
      </w:r>
    </w:p>
    <w:p>
      <w:pPr>
        <w:pStyle w:val="TextBody"/>
        <w:bidi w:val="0"/>
        <w:spacing w:lineRule="auto" w:line="288" w:before="0" w:after="180"/>
        <w:ind w:left="0" w:right="0" w:firstLine="360"/>
        <w:jc w:val="left"/>
      </w:pPr>
      <w:r>
        <w:rPr>
          <w:rFonts w:ascii="Times New Roman;serif" w:hAnsi="Times New Roman;serif"/>
          <w:b w:val="false"/>
          <w:color w:val="000000"/>
          <w:sz w:val="20"/>
        </w:rPr>
        <w:t>Tenapanor, branded as XPHOZAH</w:t>
      </w:r>
      <w:r>
        <w:rPr>
          <w:rFonts w:ascii="Times New Roman;serif" w:hAnsi="Times New Roman;serif"/>
          <w:b w:val="false"/>
          <w:color w:val="000000"/>
          <w:sz w:val="13"/>
        </w:rPr>
        <w:t>®</w:t>
      </w:r>
      <w:r>
        <w:rPr>
          <w:rFonts w:ascii="Times New Roman;serif" w:hAnsi="Times New Roman;serif"/>
          <w:b w:val="false"/>
          <w:color w:val="000000"/>
          <w:sz w:val="20"/>
        </w:rPr>
        <w:t>, is approved in the U.S. to reduce serum phosphorus in adults with chronic kidney disease (CKD) on dialysis as add-on therapy in patients who have an inadequate response to phosphate binders or who are intolerant of any dose of phosphate binder therapy.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also developing a next-generation NHE3 inhibitor, RDX10531, which is currently in IND-enabling studies and has demonstrated improved solubility and potency compared to tenapanor in preclinical models. We believe that RDX10531 can have application across multiple therapeutic areas.</w:t>
      </w:r>
    </w:p>
    <w:p>
      <w:pPr>
        <w:pStyle w:val="TextBody"/>
        <w:bidi w:val="0"/>
        <w:spacing w:lineRule="auto" w:line="288" w:before="0" w:after="180"/>
        <w:ind w:left="0" w:right="0" w:firstLine="360"/>
        <w:jc w:val="left"/>
      </w:pPr>
      <w:r>
        <w:rPr>
          <w:rFonts w:ascii="Times New Roman;serif" w:hAnsi="Times New Roman;serif"/>
          <w:b w:val="false"/>
          <w:color w:val="000000"/>
          <w:sz w:val="20"/>
        </w:rPr>
        <w:t xml:space="preserve">We operate in one business segment, which is the development and commercialization of biopharmaceutical products. Refer to </w:t>
      </w:r>
      <w:r>
        <w:rPr>
          <w:rFonts w:ascii="Times New Roman;serif" w:hAnsi="Times New Roman;serif"/>
          <w:b w:val="false"/>
          <w:i/>
          <w:color w:val="000000"/>
          <w:sz w:val="20"/>
        </w:rPr>
        <w:t>Note 12. Segment Reporting</w:t>
      </w:r>
      <w:r>
        <w:rPr>
          <w:color w:val="000000"/>
        </w:rPr>
        <w:t xml:space="preserve"> </w:t>
      </w:r>
      <w:r>
        <w:rPr>
          <w:rFonts w:ascii="Times New Roman;serif" w:hAnsi="Times New Roman;serif"/>
          <w:b w:val="false"/>
          <w:color w:val="000000"/>
          <w:sz w:val="20"/>
        </w:rPr>
        <w:t>for further segment reporting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condensed financial statements have been prepared in accordance with U.S. GAAP and pursuant to the requirements of the SEC for interim reporting. As permitted under those rules and regulations, certain footnotes or other financial information that are normally required by U.S. GAAP have been condensed or omitted. These condensed financial statements have been prepared on the same basis as our most recent annual financial statements and, in the opinion of management, reflect all normal and recurring adjustments necessary to present fairly our financial position, results of operations, changes in stockholders’ equity and cash flows for the interim periods presented.</w:t>
      </w:r>
    </w:p>
    <w:p>
      <w:pPr>
        <w:pStyle w:val="TextBody"/>
        <w:bidi w:val="0"/>
        <w:spacing w:lineRule="auto" w:line="288" w:before="0" w:after="180"/>
        <w:ind w:left="0" w:right="0" w:firstLine="360"/>
        <w:jc w:val="left"/>
      </w:pPr>
      <w:r>
        <w:rPr>
          <w:rFonts w:ascii="Times New Roman;serif" w:hAnsi="Times New Roman;serif"/>
          <w:b w:val="false"/>
          <w:color w:val="000000"/>
          <w:sz w:val="20"/>
        </w:rPr>
        <w:t xml:space="preserve">Certain prior year amounts have been reclassified to conform to the current year presentation on the condensed statements of operations and comprehensive loss to include the “cost of product sales” and the “other cost of revenue” captions within the “cost of sales” caption. Certain prior year amounts have also been reclassified to conform to the current year presentation in </w:t>
      </w:r>
      <w:r>
        <w:rPr>
          <w:rFonts w:ascii="Times New Roman;serif" w:hAnsi="Times New Roman;serif"/>
          <w:b w:val="false"/>
          <w:i/>
          <w:color w:val="000000"/>
          <w:sz w:val="20"/>
        </w:rPr>
        <w:t>Note 12. Segment Reporting</w:t>
      </w:r>
      <w:r>
        <w:rPr>
          <w:rFonts w:ascii="Times New Roman;serif" w:hAnsi="Times New Roman;serif"/>
          <w:b w:val="false"/>
          <w:color w:val="000000"/>
          <w:sz w:val="20"/>
        </w:rPr>
        <w:t xml:space="preserve">. These reclassifications had no effect on the previously reported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financial statements and related financial information should be read in conjunction with the audited financial statements and the related notes thereto included in our 2025 Form 10-K. The results for the three and nine months ended September 30, 2026 are not necessarily indicative of results to be expected for the entire year ending December 31, 2026, or for any other interim period or future year.</w:t>
      </w:r>
    </w:p>
    <w:p>
      <w:pPr>
        <w:pStyle w:val="TextBody"/>
        <w:bidi w:val="0"/>
        <w:spacing w:lineRule="auto" w:line="288" w:before="0" w:after="180"/>
        <w:ind w:left="0" w:right="0" w:firstLine="360"/>
        <w:jc w:val="left"/>
      </w:pPr>
      <w:r>
        <w:rPr>
          <w:rFonts w:ascii="Times New Roman;serif" w:hAnsi="Times New Roman;serif"/>
          <w:b w:val="false"/>
          <w:color w:val="000000"/>
          <w:sz w:val="20"/>
        </w:rPr>
        <w:t xml:space="preserve">Refer to the </w:t>
      </w:r>
      <w:r>
        <w:rPr>
          <w:rFonts w:ascii="Times New Roman;serif" w:hAnsi="Times New Roman;serif"/>
          <w:b w:val="false"/>
          <w:i/>
          <w:color w:val="000000"/>
          <w:sz w:val="20"/>
        </w:rPr>
        <w:t>Summary of Abbreviated Terms</w:t>
      </w:r>
      <w:r>
        <w:rPr>
          <w:color w:val="000000"/>
        </w:rPr>
        <w:t xml:space="preserve"> </w:t>
      </w:r>
      <w:r>
        <w:rPr>
          <w:rFonts w:ascii="Times New Roman;serif" w:hAnsi="Times New Roman;serif"/>
          <w:b w:val="false"/>
          <w:color w:val="000000"/>
          <w:sz w:val="20"/>
        </w:rPr>
        <w:t>at the end of this Quarterly Report on Form 10-Q for definitions of terms used throughout the document.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requires management to make estimates, judgments and assumptions. The most significant assumptions are estimates used in our revenue gross-to-net accruals. Management bases its estimates on historical experience and on various other market-specific and relevant assumptions that management believes to be reasonable under the circumstances. Actual results could materially differ from those estimates.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us to significant concentrations of credit risk consist primarily of cash, cash equivalents, short-term investments and accounts receivable. We are exposed to credit risks in the event of default by the counterparties to the extent of the amount recorded in our condensed balance sheets. Cash, cash equivalents and short-term investments are invested through banks and other financial institutions in the U.S.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 Not Yet Adopted</w:t>
      </w:r>
    </w:p>
    <w:p>
      <w:pPr>
        <w:pStyle w:val="TextBody"/>
        <w:bidi w:val="0"/>
        <w:spacing w:lineRule="auto" w:line="288" w:before="0" w:after="180"/>
        <w:ind w:left="0" w:right="0" w:firstLine="360"/>
        <w:jc w:val="left"/>
      </w:pPr>
      <w:r>
        <w:rPr>
          <w:rFonts w:ascii="Times New Roman;serif" w:hAnsi="Times New Roman;serif"/>
          <w:b w:val="false"/>
          <w:color w:val="000000"/>
          <w:sz w:val="20"/>
        </w:rPr>
        <w:t xml:space="preserve">In November 2024, the FASB issued ASU No. 2024-03, Income Statement (Topic 220) - </w:t>
      </w:r>
      <w:r>
        <w:rPr>
          <w:rFonts w:ascii="Times New Roman;serif" w:hAnsi="Times New Roman;serif"/>
          <w:b w:val="false"/>
          <w:i/>
          <w:color w:val="000000"/>
          <w:sz w:val="20"/>
        </w:rPr>
        <w:t>Reporting Comprehensive Income - Expense Disaggregation Disclosures, Disaggregation of Income Statement Expenses</w:t>
      </w:r>
      <w:r>
        <w:rPr>
          <w:rFonts w:ascii="Times New Roman;serif" w:hAnsi="Times New Roman;serif"/>
          <w:b w:val="false"/>
          <w:color w:val="000000"/>
          <w:sz w:val="20"/>
        </w:rPr>
        <w:t>, which requires public companies to disclose, in interim and annual reporting periods, additional information about certain expenses in the financial statements. The new disclosure requirements are effective for the Company’s annual periods beginning January 1, 2027, and interim periods beginning January 1, 2028, with early adoption permitted, and may be applied either prospectively or retrospectively. The Company is in the process of evaluating the impact of this new guidance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 CASH, CASH EQUIVALENTS AND SHORT-TERM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cash equivalents and short-term investments:</w:t>
      </w:r>
    </w:p>
    <w:tbl>
      <w:tblPr>
        <w:tblW w:w="11938" w:type="dxa"/>
        <w:jc w:val="center"/>
        <w:tblInd w:w="0" w:type="dxa"/>
        <w:tblLayout w:type="fixed"/>
        <w:tblCellMar>
          <w:top w:w="28" w:type="dxa"/>
          <w:left w:w="28" w:type="dxa"/>
          <w:bottom w:w="28" w:type="dxa"/>
          <w:right w:w="28" w:type="dxa"/>
        </w:tblCellMar>
      </w:tblPr>
      <w:tblGrid>
        <w:gridCol w:w="978"/>
        <w:gridCol w:w="696"/>
        <w:gridCol w:w="307"/>
        <w:gridCol w:w="211"/>
        <w:gridCol w:w="826"/>
        <w:gridCol w:w="109"/>
        <w:gridCol w:w="109"/>
        <w:gridCol w:w="109"/>
        <w:gridCol w:w="109"/>
        <w:gridCol w:w="211"/>
        <w:gridCol w:w="406"/>
        <w:gridCol w:w="109"/>
        <w:gridCol w:w="109"/>
        <w:gridCol w:w="109"/>
        <w:gridCol w:w="109"/>
        <w:gridCol w:w="211"/>
        <w:gridCol w:w="481"/>
        <w:gridCol w:w="109"/>
        <w:gridCol w:w="109"/>
        <w:gridCol w:w="109"/>
        <w:gridCol w:w="109"/>
        <w:gridCol w:w="211"/>
        <w:gridCol w:w="826"/>
        <w:gridCol w:w="109"/>
        <w:gridCol w:w="109"/>
        <w:gridCol w:w="109"/>
        <w:gridCol w:w="109"/>
        <w:gridCol w:w="211"/>
        <w:gridCol w:w="826"/>
        <w:gridCol w:w="109"/>
        <w:gridCol w:w="109"/>
        <w:gridCol w:w="109"/>
        <w:gridCol w:w="109"/>
        <w:gridCol w:w="211"/>
        <w:gridCol w:w="466"/>
        <w:gridCol w:w="109"/>
        <w:gridCol w:w="109"/>
        <w:gridCol w:w="109"/>
        <w:gridCol w:w="109"/>
        <w:gridCol w:w="211"/>
        <w:gridCol w:w="406"/>
        <w:gridCol w:w="109"/>
        <w:gridCol w:w="109"/>
        <w:gridCol w:w="109"/>
        <w:gridCol w:w="109"/>
        <w:gridCol w:w="211"/>
        <w:gridCol w:w="826"/>
        <w:gridCol w:w="154"/>
      </w:tblGrid>
      <w:tr>
        <w:tc>
          <w:tcPr>
            <w:tcW w:w="97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r>
      <w:tr>
        <w:tc>
          <w:tcPr>
            <w:tcW w:w="1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r>
      <w:t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government-sponsored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Yankee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Realized gains or losses have not been significant and are included in other income, net in our condensed statements of operations and comprehensive loss.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Unrealized losses as of September 30, 2026 and December 31, 2025 were not material. All of the short-term available-for-sale securities held as of September 30, 2026 and December 31, 2025 had contractual maturities of less than one year, and no investment was in a continuous unrealized loss position for more than one year. Therefore, we do not intend to sell the investments, and it is not likely that we will be required to sell the investments before recovery of their amortized cost basis, which may be at maturity.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on our procedures under the expected credit loss model, including an assessment of unrealized losses in our portfolio, we concluded that any unrealized losses on our marketable securities were not attributable to credit and, therefore, we have not recorded an allowance for credit losses for these securities as of September 30, 2026 and December 31, 2025.</w:t>
      </w:r>
    </w:p>
    <w:p>
      <w:pPr>
        <w:pStyle w:val="TextBody"/>
        <w:bidi w:val="0"/>
        <w:spacing w:lineRule="auto" w:line="288" w:before="0" w:after="180"/>
        <w:ind w:left="0" w:right="0" w:firstLine="360"/>
        <w:jc w:val="left"/>
      </w:pPr>
      <w:r>
        <w:rPr>
          <w:rFonts w:ascii="Times New Roman;serif" w:hAnsi="Times New Roman;serif"/>
          <w:b w:val="false"/>
          <w:color w:val="000000"/>
          <w:sz w:val="20"/>
        </w:rPr>
        <w:t xml:space="preserve">See “Cash Equivalents” and “Short-Term Investments” captions of </w:t>
      </w:r>
      <w:r>
        <w:rPr>
          <w:rFonts w:ascii="Times New Roman;serif" w:hAnsi="Times New Roman;serif"/>
          <w:b w:val="false"/>
          <w:i/>
          <w:color w:val="000000"/>
          <w:sz w:val="20"/>
        </w:rPr>
        <w:t>Note 2. Summary of Significant Accounting Policies</w:t>
      </w:r>
      <w:r>
        <w:rPr>
          <w:color w:val="000000"/>
        </w:rPr>
        <w:t xml:space="preserve"> </w:t>
      </w:r>
      <w:r>
        <w:rPr>
          <w:rFonts w:ascii="Times New Roman;serif" w:hAnsi="Times New Roman;serif"/>
          <w:b w:val="false"/>
          <w:color w:val="000000"/>
          <w:sz w:val="20"/>
        </w:rPr>
        <w:t>of our 2025 Form 10-K for more information on our accounting policies for cash equivalents and short-term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3. FAIR VALUE MEASUREMENTS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Valuation techniques used to measure fair value must maximize the use of observable inputs and minimize the use of unobservable inputs. The three-level hierarchy for the inputs to valuation techniques is briefly summarized as follows:</w:t>
      </w:r>
    </w:p>
    <w:tbl>
      <w:tblPr>
        <w:tblW w:w="10205" w:type="dxa"/>
        <w:jc w:val="left"/>
        <w:tblInd w:w="0" w:type="dxa"/>
        <w:tblLayout w:type="fixed"/>
        <w:tblCellMar>
          <w:top w:w="28" w:type="dxa"/>
          <w:left w:w="28" w:type="dxa"/>
          <w:bottom w:w="28" w:type="dxa"/>
          <w:right w:w="28" w:type="dxa"/>
        </w:tblCellMar>
      </w:tblPr>
      <w:tblGrid>
        <w:gridCol w:w="246"/>
        <w:gridCol w:w="216"/>
        <w:gridCol w:w="218"/>
        <w:gridCol w:w="2875"/>
        <w:gridCol w:w="2742"/>
        <w:gridCol w:w="3908"/>
      </w:tblGrid>
      <w:tr>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3908" w:type="dxa"/>
            <w:tcBorders/>
            <w:vAlign w:val="center"/>
          </w:tcPr>
          <w:p>
            <w:pPr>
              <w:pStyle w:val="TableContents"/>
              <w:bidi w:val="0"/>
              <w:spacing w:before="0" w:after="283"/>
              <w:jc w:val="left"/>
              <w:rPr>
                <w:sz w:val="4"/>
                <w:szCs w:val="4"/>
              </w:rPr>
            </w:pPr>
            <w:r>
              <w:rPr>
                <w:sz w:val="4"/>
                <w:szCs w:val="4"/>
              </w:rPr>
            </w:r>
          </w:p>
        </w:tc>
      </w:tr>
      <w:tr>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 –</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Valuations based on unadjusted quoted prices in active markets for identical assets or liabilities that we have the ability to access at the reporting date.</w:t>
            </w:r>
          </w:p>
        </w:tc>
      </w:tr>
      <w:t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 –</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3 –</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Valuations based on unobservable inputs for which there is little or no market data, which require us to develop our own assumptions.</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fair value of our financial assets that are measured or disclosed on a recurring basis by level within the fair value hierarchy:</w:t>
      </w:r>
    </w:p>
    <w:tbl>
      <w:tblPr>
        <w:tblW w:w="12433" w:type="dxa"/>
        <w:jc w:val="center"/>
        <w:tblInd w:w="0" w:type="dxa"/>
        <w:tblLayout w:type="fixed"/>
        <w:tblCellMar>
          <w:top w:w="28" w:type="dxa"/>
          <w:left w:w="28" w:type="dxa"/>
          <w:bottom w:w="28" w:type="dxa"/>
          <w:right w:w="28" w:type="dxa"/>
        </w:tblCellMar>
      </w:tblPr>
      <w:tblGrid>
        <w:gridCol w:w="887"/>
        <w:gridCol w:w="545"/>
        <w:gridCol w:w="54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406"/>
        <w:gridCol w:w="154"/>
      </w:tblGrid>
      <w:tr>
        <w:tc>
          <w:tcPr>
            <w:tcW w:w="88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c>
          <w:tcPr>
            <w:tcW w:w="1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government-sponsored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c>
          <w:tcPr>
            <w:tcW w:w="1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Yankee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c>
          <w:tcPr>
            <w:tcW w:w="19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Fair Value of Debt</w:t>
      </w:r>
    </w:p>
    <w:p>
      <w:pPr>
        <w:pStyle w:val="TextBody"/>
        <w:bidi w:val="0"/>
        <w:spacing w:lineRule="auto" w:line="288" w:before="0" w:after="180"/>
        <w:ind w:left="0" w:right="0" w:firstLine="360"/>
        <w:jc w:val="left"/>
      </w:pPr>
      <w:r>
        <w:rPr>
          <w:rFonts w:ascii="Times New Roman;serif" w:hAnsi="Times New Roman;serif"/>
          <w:b w:val="false"/>
          <w:color w:val="000000"/>
          <w:sz w:val="20"/>
        </w:rPr>
        <w:t xml:space="preserve">The outstanding principal under our Loan Agreement is subject to a variable interest rate based on the one-month SOFR. Therefore, we believe the carrying amount of the term loan facility approximated its fair value as of September 30, 2026 and December 31, 2025. See </w:t>
      </w:r>
      <w:r>
        <w:rPr>
          <w:rFonts w:ascii="Times New Roman;serif" w:hAnsi="Times New Roman;serif"/>
          <w:b w:val="false"/>
          <w:i/>
          <w:color w:val="000000"/>
          <w:sz w:val="20"/>
        </w:rPr>
        <w:t>Note 8. Borrowing</w:t>
      </w:r>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180"/>
        <w:ind w:left="0" w:right="0" w:firstLine="360"/>
        <w:jc w:val="left"/>
      </w:pPr>
      <w:r>
        <w:rPr>
          <w:rFonts w:ascii="Times New Roman;serif" w:hAnsi="Times New Roman;serif"/>
          <w:b w:val="false"/>
          <w:color w:val="000000"/>
          <w:sz w:val="20"/>
        </w:rPr>
        <w:t xml:space="preserve">The carrying value of the deferred royalty obligation related to the sale of future royalties approximated its fair value as of September 30, 2026 and December 31, 2025, and is based on our current estimates of future royalties and commercialization milestones expected to be received by HCR over the life of the HCR Agreement. See </w:t>
      </w:r>
      <w:r>
        <w:rPr>
          <w:rFonts w:ascii="Times New Roman;serif" w:hAnsi="Times New Roman;serif"/>
          <w:b w:val="false"/>
          <w:i/>
          <w:color w:val="000000"/>
          <w:sz w:val="20"/>
        </w:rPr>
        <w:t>Note 7. Deferred Royalty Obligation Related to the Sale of Future Royalties</w:t>
      </w:r>
      <w:r>
        <w:rPr>
          <w:color w:val="000000"/>
        </w:rPr>
        <w:t xml:space="preserve"> </w:t>
      </w:r>
      <w:r>
        <w:rPr>
          <w:rFonts w:ascii="Times New Roman;serif" w:hAnsi="Times New Roman;serif"/>
          <w:b w:val="false"/>
          <w:color w:val="000000"/>
          <w:sz w:val="20"/>
        </w:rPr>
        <w:t>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INVENTORY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Inventory consisted of the following: </w:t>
      </w:r>
    </w:p>
    <w:tbl>
      <w:tblPr>
        <w:tblW w:w="5815" w:type="dxa"/>
        <w:jc w:val="center"/>
        <w:tblInd w:w="0" w:type="dxa"/>
        <w:tblLayout w:type="fixed"/>
        <w:tblCellMar>
          <w:top w:w="28" w:type="dxa"/>
          <w:left w:w="28" w:type="dxa"/>
          <w:bottom w:w="28" w:type="dxa"/>
          <w:right w:w="28" w:type="dxa"/>
        </w:tblCellMar>
      </w:tblPr>
      <w:tblGrid>
        <w:gridCol w:w="706"/>
        <w:gridCol w:w="621"/>
        <w:gridCol w:w="622"/>
        <w:gridCol w:w="326"/>
        <w:gridCol w:w="1276"/>
        <w:gridCol w:w="168"/>
        <w:gridCol w:w="109"/>
        <w:gridCol w:w="109"/>
        <w:gridCol w:w="109"/>
        <w:gridCol w:w="313"/>
        <w:gridCol w:w="1228"/>
        <w:gridCol w:w="228"/>
      </w:tblGrid>
      <w:t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116,528 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88,259 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157,559 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123,107 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as</w:t>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non-current</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105,372 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157,559 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123,107 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Prepaid commercial manufacturing with third-party CMOs not included in inventory was $17.2 million and $14.5 million as of September 30, 2026 and December 31, 2025, respectively. There were no prepayments expected to be converted into inventory after 12 months as of September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Disaggregation of total revenues by nature is as follows:</w:t>
      </w:r>
    </w:p>
    <w:tbl>
      <w:tblPr>
        <w:tblW w:w="10205" w:type="dxa"/>
        <w:jc w:val="left"/>
        <w:tblInd w:w="0" w:type="dxa"/>
        <w:tblLayout w:type="fixed"/>
        <w:tblCellMar>
          <w:top w:w="28" w:type="dxa"/>
          <w:left w:w="28" w:type="dxa"/>
          <w:bottom w:w="28" w:type="dxa"/>
          <w:right w:w="28" w:type="dxa"/>
        </w:tblCellMar>
      </w:tblPr>
      <w:tblGrid>
        <w:gridCol w:w="1437"/>
        <w:gridCol w:w="1264"/>
        <w:gridCol w:w="1266"/>
        <w:gridCol w:w="239"/>
        <w:gridCol w:w="939"/>
        <w:gridCol w:w="123"/>
        <w:gridCol w:w="123"/>
        <w:gridCol w:w="123"/>
        <w:gridCol w:w="123"/>
        <w:gridCol w:w="239"/>
        <w:gridCol w:w="939"/>
        <w:gridCol w:w="123"/>
        <w:gridCol w:w="109"/>
        <w:gridCol w:w="109"/>
        <w:gridCol w:w="109"/>
        <w:gridCol w:w="232"/>
        <w:gridCol w:w="910"/>
        <w:gridCol w:w="119"/>
        <w:gridCol w:w="119"/>
        <w:gridCol w:w="119"/>
        <w:gridCol w:w="119"/>
        <w:gridCol w:w="232"/>
        <w:gridCol w:w="910"/>
        <w:gridCol w:w="180"/>
      </w:tblGrid>
      <w:tr>
        <w:tc>
          <w:tcPr>
            <w:tcW w:w="1437"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39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125,455 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336,957 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263,406 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revenue</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revenue</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 related to the sale of future royalties</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127,655 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110,329 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343,005 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282,105 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Product Sales,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product sales, net was as follows:</w:t>
      </w:r>
    </w:p>
    <w:tbl>
      <w:tblPr>
        <w:tblW w:w="10205" w:type="dxa"/>
        <w:jc w:val="center"/>
        <w:tblInd w:w="0" w:type="dxa"/>
        <w:tblLayout w:type="fixed"/>
        <w:tblCellMar>
          <w:top w:w="28" w:type="dxa"/>
          <w:left w:w="28" w:type="dxa"/>
          <w:bottom w:w="28" w:type="dxa"/>
          <w:right w:w="28" w:type="dxa"/>
        </w:tblCellMar>
      </w:tblPr>
      <w:tblGrid>
        <w:gridCol w:w="1363"/>
        <w:gridCol w:w="1191"/>
        <w:gridCol w:w="1195"/>
        <w:gridCol w:w="221"/>
        <w:gridCol w:w="868"/>
        <w:gridCol w:w="284"/>
        <w:gridCol w:w="114"/>
        <w:gridCol w:w="114"/>
        <w:gridCol w:w="114"/>
        <w:gridCol w:w="221"/>
        <w:gridCol w:w="868"/>
        <w:gridCol w:w="284"/>
        <w:gridCol w:w="109"/>
        <w:gridCol w:w="109"/>
        <w:gridCol w:w="109"/>
        <w:gridCol w:w="214"/>
        <w:gridCol w:w="839"/>
        <w:gridCol w:w="275"/>
        <w:gridCol w:w="110"/>
        <w:gridCol w:w="110"/>
        <w:gridCol w:w="110"/>
        <w:gridCol w:w="214"/>
        <w:gridCol w:w="839"/>
        <w:gridCol w:w="330"/>
      </w:tblGrid>
      <w:tr>
        <w:tc>
          <w:tcPr>
            <w:tcW w:w="1363"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1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IBSRELA</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96,286 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78,158 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252,603 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187,606 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XPHOZAH</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29,169 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27,357 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84,354 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75,800 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sales, net</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125,455 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105,515 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336,957 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263,406 </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sales, net as a percentage of total revenues</w:t>
            </w:r>
          </w:p>
        </w:tc>
        <w:tc>
          <w:tcPr>
            <w:tcW w:w="108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28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28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2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3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Concentrations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Gross product sales from Customers accounting for more than 10% of total revenues were as follows:</w:t>
      </w:r>
    </w:p>
    <w:tbl>
      <w:tblPr>
        <w:tblW w:w="8599" w:type="dxa"/>
        <w:jc w:val="center"/>
        <w:tblInd w:w="0" w:type="dxa"/>
        <w:tblLayout w:type="fixed"/>
        <w:tblCellMar>
          <w:top w:w="28" w:type="dxa"/>
          <w:left w:w="28" w:type="dxa"/>
          <w:bottom w:w="28" w:type="dxa"/>
          <w:right w:w="28" w:type="dxa"/>
        </w:tblCellMar>
      </w:tblPr>
      <w:tblGrid>
        <w:gridCol w:w="733"/>
        <w:gridCol w:w="645"/>
        <w:gridCol w:w="646"/>
        <w:gridCol w:w="260"/>
        <w:gridCol w:w="260"/>
        <w:gridCol w:w="648"/>
        <w:gridCol w:w="260"/>
        <w:gridCol w:w="260"/>
        <w:gridCol w:w="260"/>
        <w:gridCol w:w="260"/>
        <w:gridCol w:w="260"/>
        <w:gridCol w:w="648"/>
        <w:gridCol w:w="109"/>
        <w:gridCol w:w="109"/>
        <w:gridCol w:w="109"/>
        <w:gridCol w:w="292"/>
        <w:gridCol w:w="245"/>
        <w:gridCol w:w="611"/>
        <w:gridCol w:w="245"/>
        <w:gridCol w:w="245"/>
        <w:gridCol w:w="245"/>
        <w:gridCol w:w="292"/>
        <w:gridCol w:w="245"/>
        <w:gridCol w:w="712"/>
      </w:tblGrid>
      <w:tr>
        <w:tc>
          <w:tcPr>
            <w:tcW w:w="7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Customers</w:t>
            </w:r>
            <w:r>
              <w:rPr>
                <w:rFonts w:ascii="Times New Roman;serif" w:hAnsi="Times New Roman;serif"/>
                <w:b w:val="false"/>
                <w:color w:val="000000"/>
                <w:sz w:val="13"/>
              </w:rPr>
              <w:t>(1)</w:t>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BioRidge Pharma, LLC</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Cencora, Inc.</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McKesson Corporation</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Cardinal Health, Inc.</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Caremark, LLC</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024"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c>
          <w:tcPr>
            <w:tcW w:w="2024"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pPr>
      <w:r>
        <w:rPr>
          <w:rFonts w:ascii="Times New Roman;serif" w:hAnsi="Times New Roman;serif"/>
          <w:b w:val="false"/>
          <w:color w:val="000000"/>
          <w:sz w:val="10"/>
        </w:rPr>
        <w:t>(1)</w:t>
      </w:r>
      <w:r>
        <w:rPr>
          <w:rFonts w:ascii="Times New Roman;serif" w:hAnsi="Times New Roman;serif"/>
          <w:b w:val="false"/>
          <w:color w:val="000000"/>
          <w:sz w:val="16"/>
        </w:rPr>
        <w:t>The total of the percentages exceeds 100% as the numerators used in the calculations represent gross product sales for each Customer, as opposed to product sales, net as presented in our condensed statements of operations and comprehensive loss.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GTN Adjustments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activities and ending reserve balances for each significant category of GTN adjustments on product sales, net, which constitute variable consideration, were as follows:</w:t>
      </w:r>
    </w:p>
    <w:tbl>
      <w:tblPr>
        <w:tblW w:w="10205" w:type="dxa"/>
        <w:jc w:val="center"/>
        <w:tblInd w:w="0" w:type="dxa"/>
        <w:tblLayout w:type="fixed"/>
        <w:tblCellMar>
          <w:top w:w="28" w:type="dxa"/>
          <w:left w:w="28" w:type="dxa"/>
          <w:bottom w:w="28" w:type="dxa"/>
          <w:right w:w="28" w:type="dxa"/>
        </w:tblCellMar>
      </w:tblPr>
      <w:tblGrid>
        <w:gridCol w:w="770"/>
        <w:gridCol w:w="654"/>
        <w:gridCol w:w="656"/>
        <w:gridCol w:w="430"/>
        <w:gridCol w:w="1259"/>
        <w:gridCol w:w="223"/>
        <w:gridCol w:w="109"/>
        <w:gridCol w:w="109"/>
        <w:gridCol w:w="109"/>
        <w:gridCol w:w="447"/>
        <w:gridCol w:w="1531"/>
        <w:gridCol w:w="231"/>
        <w:gridCol w:w="109"/>
        <w:gridCol w:w="109"/>
        <w:gridCol w:w="109"/>
        <w:gridCol w:w="435"/>
        <w:gridCol w:w="1271"/>
        <w:gridCol w:w="225"/>
        <w:gridCol w:w="109"/>
        <w:gridCol w:w="109"/>
        <w:gridCol w:w="109"/>
        <w:gridCol w:w="211"/>
        <w:gridCol w:w="721"/>
        <w:gridCol w:w="160"/>
      </w:tblGrid>
      <w:tr>
        <w:tc>
          <w:tcPr>
            <w:tcW w:w="77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20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9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Discounts and 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Rebates, Wholesaler and GPO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Copay Assistance and 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Provisions</w:t>
            </w:r>
            <w:r>
              <w:rPr>
                <w:rFonts w:ascii="Times New Roman;serif" w:hAnsi="Times New Roman;serif"/>
                <w:b w:val="false"/>
                <w:color w:val="000000"/>
                <w:sz w:val="13"/>
              </w:rPr>
              <w:t>(1)</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Credits/payments</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(27,851)</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(89,119)</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(152,321)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2026</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54,338 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8,417 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65,552 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pPr>
      <w:r>
        <w:rPr>
          <w:rFonts w:ascii="Times New Roman;serif" w:hAnsi="Times New Roman;serif"/>
          <w:b w:val="false"/>
          <w:color w:val="000000"/>
          <w:sz w:val="10"/>
        </w:rPr>
        <w:t>(1)</w:t>
      </w:r>
      <w:r>
        <w:rPr>
          <w:rFonts w:ascii="Times New Roman;serif" w:hAnsi="Times New Roman;serif"/>
          <w:b w:val="false"/>
          <w:color w:val="000000"/>
          <w:sz w:val="16"/>
        </w:rPr>
        <w:t>Adjustments to prior period provisions recorded in the current period were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6. COLLABORATION AND LICENSING AGREEMENTS </w:t>
      </w:r>
    </w:p>
    <w:p>
      <w:pPr>
        <w:pStyle w:val="TextBody"/>
        <w:bidi w:val="0"/>
        <w:spacing w:lineRule="auto" w:line="288" w:before="0" w:after="180"/>
        <w:ind w:left="0" w:right="0" w:firstLine="360"/>
        <w:jc w:val="left"/>
      </w:pPr>
      <w:r>
        <w:rPr>
          <w:rFonts w:ascii="Times New Roman;serif" w:hAnsi="Times New Roman;serif"/>
          <w:b w:val="false"/>
          <w:color w:val="000000"/>
          <w:sz w:val="20"/>
        </w:rPr>
        <w:t xml:space="preserve">We have out-licensed the development and commercialization of tenapanor outside of the U.S. to external partners. We recognize revenue from our collaboration partnerships as licensing revenue, product supply revenue or non-cash royalty revenue related to the sale of future royalties. See </w:t>
      </w:r>
      <w:r>
        <w:rPr>
          <w:rFonts w:ascii="Times New Roman;serif" w:hAnsi="Times New Roman;serif"/>
          <w:b w:val="false"/>
          <w:i/>
          <w:color w:val="000000"/>
          <w:sz w:val="20"/>
        </w:rPr>
        <w:t>Note 7. Collaboration and Licensing Agreements</w:t>
      </w:r>
      <w:r>
        <w:rPr>
          <w:color w:val="000000"/>
        </w:rPr>
        <w:t xml:space="preserve"> </w:t>
      </w:r>
      <w:r>
        <w:rPr>
          <w:rFonts w:ascii="Times New Roman;serif" w:hAnsi="Times New Roman;serif"/>
          <w:b w:val="false"/>
          <w:color w:val="000000"/>
          <w:sz w:val="20"/>
        </w:rPr>
        <w:t xml:space="preserve">and “Collaboration and Licensing Revenue” caption of </w:t>
      </w:r>
      <w:r>
        <w:rPr>
          <w:rFonts w:ascii="Times New Roman;serif" w:hAnsi="Times New Roman;serif"/>
          <w:b w:val="false"/>
          <w:i/>
          <w:color w:val="000000"/>
          <w:sz w:val="20"/>
        </w:rPr>
        <w:t>Note 2. Summary of Significant Accounting Policies</w:t>
      </w:r>
      <w:r>
        <w:rPr>
          <w:color w:val="000000"/>
        </w:rPr>
        <w:t xml:space="preserve"> </w:t>
      </w:r>
      <w:r>
        <w:rPr>
          <w:rFonts w:ascii="Times New Roman;serif" w:hAnsi="Times New Roman;serif"/>
          <w:b w:val="false"/>
          <w:color w:val="000000"/>
          <w:sz w:val="20"/>
        </w:rPr>
        <w:t>of our 2025 Form 10-K for more information on the nature, purpose, significant rights and obligations of the parties, as well as our accounting policies for such revenue streams.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total revenues by collaboration partner:</w:t>
      </w:r>
    </w:p>
    <w:tbl>
      <w:tblPr>
        <w:tblW w:w="10205" w:type="dxa"/>
        <w:jc w:val="center"/>
        <w:tblInd w:w="0" w:type="dxa"/>
        <w:tblLayout w:type="fixed"/>
        <w:tblCellMar>
          <w:top w:w="28" w:type="dxa"/>
          <w:left w:w="28" w:type="dxa"/>
          <w:bottom w:w="28" w:type="dxa"/>
          <w:right w:w="28" w:type="dxa"/>
        </w:tblCellMar>
      </w:tblPr>
      <w:tblGrid>
        <w:gridCol w:w="1497"/>
        <w:gridCol w:w="1319"/>
        <w:gridCol w:w="1321"/>
        <w:gridCol w:w="277"/>
        <w:gridCol w:w="811"/>
        <w:gridCol w:w="143"/>
        <w:gridCol w:w="143"/>
        <w:gridCol w:w="143"/>
        <w:gridCol w:w="143"/>
        <w:gridCol w:w="277"/>
        <w:gridCol w:w="811"/>
        <w:gridCol w:w="143"/>
        <w:gridCol w:w="109"/>
        <w:gridCol w:w="109"/>
        <w:gridCol w:w="109"/>
        <w:gridCol w:w="267"/>
        <w:gridCol w:w="782"/>
        <w:gridCol w:w="137"/>
        <w:gridCol w:w="137"/>
        <w:gridCol w:w="137"/>
        <w:gridCol w:w="137"/>
        <w:gridCol w:w="267"/>
        <w:gridCol w:w="782"/>
        <w:gridCol w:w="204"/>
      </w:tblGrid>
      <w:tr>
        <w:tc>
          <w:tcPr>
            <w:tcW w:w="149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c>
          <w:tcPr>
            <w:tcW w:w="4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4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revenue</w:t>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3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c>
          <w:tcPr>
            <w:tcW w:w="4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Fosun Pharma</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Knight </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3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c>
          <w:tcPr>
            <w:tcW w:w="4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licensing revenue</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revenue</w:t>
            </w:r>
          </w:p>
        </w:tc>
        <w:tc>
          <w:tcPr>
            <w:tcW w:w="123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Fosun Pharma</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Kyowa Kirin</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Knight</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supply revenue</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 related to the sale of future royalties</w:t>
            </w:r>
          </w:p>
        </w:tc>
        <w:tc>
          <w:tcPr>
            <w:tcW w:w="123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Kyowa Kirin</w:t>
            </w:r>
          </w:p>
        </w:tc>
        <w:tc>
          <w:tcPr>
            <w:tcW w:w="2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4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4,789 </w:t>
            </w:r>
          </w:p>
        </w:tc>
        <w:tc>
          <w:tcPr>
            <w:tcW w:w="14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3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7,195 </w:t>
            </w:r>
          </w:p>
        </w:tc>
        <w:tc>
          <w:tcPr>
            <w:tcW w:w="20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changes in our current deferred revenue balances by collaboration partner:</w:t>
      </w:r>
    </w:p>
    <w:tbl>
      <w:tblPr>
        <w:tblW w:w="10205" w:type="dxa"/>
        <w:jc w:val="center"/>
        <w:tblInd w:w="0" w:type="dxa"/>
        <w:tblLayout w:type="fixed"/>
        <w:tblCellMar>
          <w:top w:w="28" w:type="dxa"/>
          <w:left w:w="28" w:type="dxa"/>
          <w:bottom w:w="28" w:type="dxa"/>
          <w:right w:w="28" w:type="dxa"/>
        </w:tblCellMar>
      </w:tblPr>
      <w:tblGrid>
        <w:gridCol w:w="911"/>
        <w:gridCol w:w="768"/>
        <w:gridCol w:w="769"/>
        <w:gridCol w:w="263"/>
        <w:gridCol w:w="506"/>
        <w:gridCol w:w="135"/>
        <w:gridCol w:w="109"/>
        <w:gridCol w:w="109"/>
        <w:gridCol w:w="109"/>
        <w:gridCol w:w="245"/>
        <w:gridCol w:w="716"/>
        <w:gridCol w:w="126"/>
        <w:gridCol w:w="109"/>
        <w:gridCol w:w="109"/>
        <w:gridCol w:w="109"/>
        <w:gridCol w:w="211"/>
        <w:gridCol w:w="616"/>
        <w:gridCol w:w="109"/>
        <w:gridCol w:w="109"/>
        <w:gridCol w:w="109"/>
        <w:gridCol w:w="109"/>
        <w:gridCol w:w="223"/>
        <w:gridCol w:w="765"/>
        <w:gridCol w:w="115"/>
        <w:gridCol w:w="109"/>
        <w:gridCol w:w="109"/>
        <w:gridCol w:w="109"/>
        <w:gridCol w:w="267"/>
        <w:gridCol w:w="591"/>
        <w:gridCol w:w="140"/>
        <w:gridCol w:w="109"/>
        <w:gridCol w:w="109"/>
        <w:gridCol w:w="109"/>
        <w:gridCol w:w="211"/>
        <w:gridCol w:w="721"/>
        <w:gridCol w:w="162"/>
      </w:tblGrid>
      <w:tr>
        <w:tc>
          <w:tcPr>
            <w:tcW w:w="9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4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Current</w:t>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Kyowa Kirin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Fosun Pharma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Kyowa Kirin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Fosun Pharma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balance as of January 1,</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product supply</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delivered</w:t>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Reclassify amounts to be recognized in the next 12 months</w:t>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balance as of September 30,</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changes in our non-current deferred revenue balances by collaboration partner:</w:t>
      </w:r>
    </w:p>
    <w:tbl>
      <w:tblPr>
        <w:tblW w:w="10205" w:type="dxa"/>
        <w:jc w:val="center"/>
        <w:tblInd w:w="0" w:type="dxa"/>
        <w:tblLayout w:type="fixed"/>
        <w:tblCellMar>
          <w:top w:w="28" w:type="dxa"/>
          <w:left w:w="28" w:type="dxa"/>
          <w:bottom w:w="28" w:type="dxa"/>
          <w:right w:w="28" w:type="dxa"/>
        </w:tblCellMar>
      </w:tblPr>
      <w:tblGrid>
        <w:gridCol w:w="837"/>
        <w:gridCol w:w="735"/>
        <w:gridCol w:w="738"/>
        <w:gridCol w:w="221"/>
        <w:gridCol w:w="758"/>
        <w:gridCol w:w="114"/>
        <w:gridCol w:w="109"/>
        <w:gridCol w:w="109"/>
        <w:gridCol w:w="109"/>
        <w:gridCol w:w="281"/>
        <w:gridCol w:w="542"/>
        <w:gridCol w:w="146"/>
        <w:gridCol w:w="109"/>
        <w:gridCol w:w="109"/>
        <w:gridCol w:w="109"/>
        <w:gridCol w:w="211"/>
        <w:gridCol w:w="721"/>
        <w:gridCol w:w="109"/>
        <w:gridCol w:w="109"/>
        <w:gridCol w:w="109"/>
        <w:gridCol w:w="109"/>
        <w:gridCol w:w="221"/>
        <w:gridCol w:w="758"/>
        <w:gridCol w:w="114"/>
        <w:gridCol w:w="109"/>
        <w:gridCol w:w="109"/>
        <w:gridCol w:w="109"/>
        <w:gridCol w:w="281"/>
        <w:gridCol w:w="542"/>
        <w:gridCol w:w="146"/>
        <w:gridCol w:w="109"/>
        <w:gridCol w:w="109"/>
        <w:gridCol w:w="109"/>
        <w:gridCol w:w="211"/>
        <w:gridCol w:w="721"/>
        <w:gridCol w:w="163"/>
      </w:tblGrid>
      <w:t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Non-current</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Kyowa Kirin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Fosun Pharma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Kyowa Kirin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Fosun Pharma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balance as of January 1,</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product supply</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delivered</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Reclassify amounts to be recognized in the next 12 months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balance as of September 30,</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Significant developments and updates related to our collaboration partnerships in the nine months ended September 30, 2026 and 2025 are discussed below.</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Kyowa Kirin</w:t>
      </w:r>
    </w:p>
    <w:p>
      <w:pPr>
        <w:pStyle w:val="TextBody"/>
        <w:bidi w:val="0"/>
        <w:spacing w:lineRule="auto" w:line="288" w:before="0" w:after="180"/>
        <w:ind w:left="0" w:right="0" w:firstLine="360"/>
        <w:jc w:val="left"/>
      </w:pPr>
      <w:r>
        <w:rPr>
          <w:rFonts w:ascii="Times New Roman;serif" w:hAnsi="Times New Roman;serif"/>
          <w:b w:val="false"/>
          <w:color w:val="000000"/>
          <w:sz w:val="20"/>
        </w:rPr>
        <w:t xml:space="preserve">In the 2025 third quarter, Kyowa Kirin achieved the first commercialization milestone from sales of tenapanor in Japan, triggering a ¥500.0 million payment to us, or approximately $3.4 million at the currency exchange rate as of September 30, 2025. This milestone was recorded as non-cash royalty revenue related to the sale of future royalties in our condensed statements of operations and comprehensive loss in the 2025 third quarter. The milestone payment was subsequently remitted to HCR upon receipt. See </w:t>
      </w:r>
      <w:r>
        <w:rPr>
          <w:rFonts w:ascii="Times New Roman;serif" w:hAnsi="Times New Roman;serif"/>
          <w:b w:val="false"/>
          <w:i/>
          <w:color w:val="000000"/>
          <w:sz w:val="20"/>
        </w:rPr>
        <w:t>Note 7. Deferred Royalty Obligation Related to the Sale of Future Royalties</w:t>
      </w:r>
      <w:r>
        <w:rPr>
          <w:color w:val="000000"/>
        </w:rPr>
        <w:t xml:space="preserve"> </w:t>
      </w:r>
      <w:r>
        <w:rPr>
          <w:rFonts w:ascii="Times New Roman;serif" w:hAnsi="Times New Roman;serif"/>
          <w:b w:val="false"/>
          <w:color w:val="000000"/>
          <w:sz w:val="20"/>
        </w:rPr>
        <w:t>for more information regarding the HCR Agreement.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Fosun Pharma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March 2026, Fosun Pharma reported the first commercial sales of tenapanor, marketed under the Chinese trade name Wan Ti Le, for patients with CKD on hemodialysis with hyperphosphatemia in China. Pursuant to the terms of the license and manufacturing services agreements with Fosun Pharma, we are eligible to receive reimbursement of cost plus a reasonable overhead for the supply of product and tiered royalties on net sales ranging from the mid-teens to 20%.</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2025, we announced the NDA approval by China’s Center for Drug Evaluation of the NMPA for tenapanor in the control of serum phosphorus in adult patients with CKD on hemodialysis. This approval triggered a $5.0 million milestone to us, which was recorded as licensing revenue in our condensed statements of operations and comprehensive loss in the 2025 first quarter.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Knight - Former Collaboration Partner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Effective as of March 13, 2026, we entered into a termination agreement with Knight, pursuant to which we and Knight agreed to mutually terminate our exclusive license agreement for the development, commercialization and distribution of tenapanor in Canada for hyperphosphatemia and IBS-C. The decision was not related to any concerns regarding the safety, efficacy or quality of the product. Sales of IBSRELA in Canada were discontinued effective March 31, 2026. The termination did not have a material effect on our operations or financial results, and we do not expect it to adversely impact our operations or financial results in the future.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AstraZeneca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the end of the 2025 second quarter, we fully recognized the maximum $75.0 million royalty obligation in connection with the AstraZeneca Termination Agreement. The final payment was remitted to AstraZeneca during the 2025 third quarter. We recognized royalty expense of $12.7 million as cost of sales in our condensed statements of operations and comprehensive loss for the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7. DEFERRED ROYALTY OBLIGATION RELATED TO THE SALE OF FUTURE ROYALTIES</w:t>
      </w:r>
    </w:p>
    <w:p>
      <w:pPr>
        <w:pStyle w:val="TextBody"/>
        <w:bidi w:val="0"/>
        <w:spacing w:lineRule="auto" w:line="288" w:before="0" w:after="180"/>
        <w:ind w:left="0" w:right="0" w:firstLine="360"/>
        <w:jc w:val="left"/>
      </w:pPr>
      <w:r>
        <w:rPr>
          <w:rFonts w:ascii="Times New Roman;serif" w:hAnsi="Times New Roman;serif"/>
          <w:b w:val="false"/>
          <w:color w:val="000000"/>
          <w:sz w:val="20"/>
        </w:rPr>
        <w:t xml:space="preserve">We and HCR have an agreement in which HCR paid $15.0 million in exchange for royalty and commercialization milestone payments that we may receive under our Kyowa Kirin Agreement. See </w:t>
      </w:r>
      <w:r>
        <w:rPr>
          <w:rFonts w:ascii="Times New Roman;serif" w:hAnsi="Times New Roman;serif"/>
          <w:b w:val="false"/>
          <w:i/>
          <w:color w:val="000000"/>
          <w:sz w:val="20"/>
        </w:rPr>
        <w:t>Note 8. Deferred Royalty Obligation Related to the Sale of Future Royalties</w:t>
      </w:r>
      <w:r>
        <w:rPr>
          <w:color w:val="000000"/>
        </w:rPr>
        <w:t xml:space="preserve"> </w:t>
      </w:r>
      <w:r>
        <w:rPr>
          <w:rFonts w:ascii="Times New Roman;serif" w:hAnsi="Times New Roman;serif"/>
          <w:b w:val="false"/>
          <w:color w:val="000000"/>
          <w:sz w:val="20"/>
        </w:rPr>
        <w:t>of our 2025 Form 10-K for further discussion on the nature, purpose, significant rights and obligations of the parties, as well as our accounting policies regarding the HCR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Payments received from HCR are recorded as a deferred royalty obligation on our condensed balance sheets, which is being amortized as non-cash interest expense over the life of the HCR Agreement using the effective interest method.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deferred royalty obligation will be effectively repaid over the life of the HCR Agreement as we remit to HCR royalties and commercialization milestones paid to us by Kyowa Kirin. We periodically assess the estimated amounts and timing of future royalties and commercialization milestone payments from Kyowa Kirin and, to the extent that the amount or timing of such payments is materially different than our original estimates, we prospectively adjust the imputed interest rate and the related amortization of the deferred royalty obligation.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financial information related to the HCR Agreement is as follows:</w:t>
      </w:r>
    </w:p>
    <w:tbl>
      <w:tblPr>
        <w:tblW w:w="10205" w:type="dxa"/>
        <w:jc w:val="center"/>
        <w:tblInd w:w="0" w:type="dxa"/>
        <w:tblLayout w:type="fixed"/>
        <w:tblCellMar>
          <w:top w:w="28" w:type="dxa"/>
          <w:left w:w="28" w:type="dxa"/>
          <w:bottom w:w="28" w:type="dxa"/>
          <w:right w:w="28" w:type="dxa"/>
        </w:tblCellMar>
      </w:tblPr>
      <w:tblGrid>
        <w:gridCol w:w="1496"/>
        <w:gridCol w:w="1316"/>
        <w:gridCol w:w="1320"/>
        <w:gridCol w:w="262"/>
        <w:gridCol w:w="846"/>
        <w:gridCol w:w="135"/>
        <w:gridCol w:w="135"/>
        <w:gridCol w:w="135"/>
        <w:gridCol w:w="135"/>
        <w:gridCol w:w="262"/>
        <w:gridCol w:w="846"/>
        <w:gridCol w:w="135"/>
        <w:gridCol w:w="109"/>
        <w:gridCol w:w="109"/>
        <w:gridCol w:w="109"/>
        <w:gridCol w:w="253"/>
        <w:gridCol w:w="817"/>
        <w:gridCol w:w="130"/>
        <w:gridCol w:w="130"/>
        <w:gridCol w:w="130"/>
        <w:gridCol w:w="130"/>
        <w:gridCol w:w="253"/>
        <w:gridCol w:w="817"/>
        <w:gridCol w:w="195"/>
      </w:tblGrid>
      <w:tr>
        <w:tc>
          <w:tcPr>
            <w:tcW w:w="149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the sale of future royalties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32"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bl>
    <w:tbl>
      <w:tblPr>
        <w:tblW w:w="8508" w:type="dxa"/>
        <w:jc w:val="center"/>
        <w:tblInd w:w="0" w:type="dxa"/>
        <w:tblLayout w:type="fixed"/>
        <w:tblCellMar>
          <w:top w:w="28" w:type="dxa"/>
          <w:left w:w="28" w:type="dxa"/>
          <w:bottom w:w="28" w:type="dxa"/>
          <w:right w:w="28" w:type="dxa"/>
        </w:tblCellMar>
      </w:tblPr>
      <w:tblGrid>
        <w:gridCol w:w="2075"/>
        <w:gridCol w:w="1823"/>
        <w:gridCol w:w="1832"/>
        <w:gridCol w:w="211"/>
        <w:gridCol w:w="721"/>
        <w:gridCol w:w="271"/>
        <w:gridCol w:w="109"/>
        <w:gridCol w:w="109"/>
        <w:gridCol w:w="109"/>
        <w:gridCol w:w="211"/>
        <w:gridCol w:w="721"/>
        <w:gridCol w:w="316"/>
      </w:tblGrid>
      <w:tr>
        <w:tc>
          <w:tcPr>
            <w:tcW w:w="2075"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royalty obligation balance as of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30"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the sale of future 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and commercialization milestone payments remitted to HCR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royalty obligation balance as of September 30,</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interest rate as of September 30,</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BORROWING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outstanding term loans under the Loan Agreement:</w:t>
      </w:r>
    </w:p>
    <w:p>
      <w:pPr>
        <w:pStyle w:val="TextBody"/>
        <w:bidi w:val="0"/>
        <w:spacing w:before="0" w:after="0"/>
        <w:jc w:val="both"/>
      </w:pPr>
      <w:r/>
    </w:p>
    <w:tbl>
      <w:tblPr>
        <w:tblW w:w="7940" w:type="dxa"/>
        <w:jc w:val="left"/>
        <w:tblInd w:w="0" w:type="dxa"/>
        <w:tblLayout w:type="fixed"/>
        <w:tblCellMar>
          <w:top w:w="28" w:type="dxa"/>
          <w:left w:w="28" w:type="dxa"/>
          <w:bottom w:w="28" w:type="dxa"/>
          <w:right w:w="28" w:type="dxa"/>
        </w:tblCellMar>
      </w:tblPr>
      <w:tblGrid>
        <w:gridCol w:w="1396"/>
        <w:gridCol w:w="1228"/>
        <w:gridCol w:w="1231"/>
        <w:gridCol w:w="326"/>
        <w:gridCol w:w="1276"/>
        <w:gridCol w:w="168"/>
        <w:gridCol w:w="109"/>
        <w:gridCol w:w="109"/>
        <w:gridCol w:w="109"/>
        <w:gridCol w:w="317"/>
        <w:gridCol w:w="1244"/>
        <w:gridCol w:w="164"/>
        <w:gridCol w:w="109"/>
        <w:gridCol w:w="154"/>
      </w:tblGrid>
      <w:tr>
        <w:tc>
          <w:tcPr>
            <w:tcW w:w="139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Principal</w:t>
            </w:r>
            <w:r>
              <w:rPr>
                <w:rFonts w:ascii="Times New Roman;serif" w:hAnsi="Times New Roman;serif"/>
                <w:b w:val="false"/>
                <w:color w:val="000000"/>
                <w:sz w:val="13"/>
              </w:rPr>
              <w:t>(1)</w:t>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A Loan</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B Loan</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C Loan</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D Loan</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E Loan</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F Loan</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H Loan</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w:t>
            </w:r>
          </w:p>
        </w:tc>
        <w:tc>
          <w:tcPr>
            <w:tcW w:w="1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principal value</w:t>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and debt issuance costs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Accreted value of final fee</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252,360 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202,834 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252,360 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202,834 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both"/>
      </w:pPr>
      <w:r>
        <w:rPr>
          <w:rFonts w:ascii="Times New Roman;serif" w:hAnsi="Times New Roman;serif"/>
          <w:b w:val="false"/>
          <w:color w:val="000000"/>
          <w:sz w:val="10"/>
        </w:rPr>
        <w:t>(1)</w:t>
      </w:r>
      <w:r>
        <w:rPr>
          <w:rFonts w:ascii="Times New Roman;serif" w:hAnsi="Times New Roman;serif"/>
          <w:b w:val="false"/>
          <w:color w:val="000000"/>
          <w:sz w:val="16"/>
        </w:rPr>
        <w:t>The outstanding term loans bear an interest rate at the sum of 4.55% plus the greater of (a) the one-month SOFR or (b) 3.50%, and mature on July 1, 2030.</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28, 2026, we entered into an amendment to our Loan Agreement (the Sixth Amendment), by and among us, as borrower, SLR, as collateral agent and the lenders party thereto. Pursuant to the Sixth Amendment, among other things, (i) a portion of $200.0 million in outstanding principal previously allocated among the Term A through C Loans (collectively, the Revised Loans) was refinanced with a new Term H Loan; (ii) the maturity date for the Revised Loans, the Term D Loan and the Term E Loan was extended from July 1, 2028 to July 1, 2030 (the New Maturity Date), which is the maturity date for each other term loan; (iii) the interest-only payment period for the Revised Loans, the Term D Loan and the Term E Loan was extended until the New Maturity Date, which is the interest-only payment period for each other term loan; (iv) the interest rate for each term loan will have a collectively reduced interest rate, at the sum of 4.55% plus the greater of (a) the one-month SOFR reference rate or (b) 3.50%; (v) we retained the option to draw the Term F and Term G Loans, each in the amount of $50.0 million, at our election by June 30, 2026 and December 20, 2026, respectively; and (vi) we amended certain negative covenants and other conditions to provide additional flexibility to us. We concluded that the Sixth Amendment was a modification to the Loan Agreement and we accounted for it accordingly.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the closing date of the Sixth Amendment, we paid approximately $1.9 million in final fees and prepayment premium in connection with the partial repayment of the Term A through C Loans.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obligated to pay a final fee with respect to each of the outstanding amounts under each of the term loans, upon the earliest to occur of (i) the New Maturity Date, (ii) the acceleration of the applicable term loan or (iii) the prepayment, refinancing, substitution or replacement of the applicable term loan. This final fee is 4.95% for the Term A through E Loans, 3.45% for the Term F and Term G Loans and 2.50% for the Term H Loan. The total unaccreted final fee was $5.6 million and $5.9 million as of September 30, 2026 and December 31, 2025,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voluntarily prepay all amounts outstanding under the Revised Loans, the Term D Loan, the Term E Loan and the Term H Loan, subject to a prepayment premium of (i) three percent of the outstanding principal amount of the applicable term loan if prepaid on or after April 28, 2026 through and including April 28, 2027, (ii) two percent of the outstanding principal amount of the applicable term loan if prepaid on or after April 29, 2027 through and including April 28, 2028 or (iii) one percent of the outstanding principal amount of the applicable term loan if prepaid after April 28, 2028 and prior to July 1, 2030.</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voluntarily prepay all amounts outstanding under the Term F and Term G Loans, subject to a prepayment premium of (i) two percent of the outstanding principal amount of the applicable term loan if prepaid on or after July 1, 2026 through and including June 30, 2027 or (ii) one percent of the outstanding principal amount of the applicable term loan if prepaid after June 30, 2027 and prior to July 1, 2030.</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Loan Agreement contains certain covenants, including a single financial covenant that the sum of our net product revenue, calculated on a trailing six-month basis, plus unrestricted cash and cash equivalents that are subject to a first-priority perfected lien in favor of SLR, shall be greater than or equal to 100% of the principal amount outstanding under the Loan Agreement. The outstanding term loans are secured by substantially all of our assets, except for our intellectual property and certain other customary exclusions. In addition, the Loan Agreement contains subjective clauses to accelerate the maturity of outstanding principal amount in the event that a material adverse change has occurred within our business, operations or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29, 2026, we received $50.0 million of funding as a result of our draw down of the Term F Loan. We elected to draw down the Term F Loan for general corporate purposes and to enhance flexibility to support our ongoing strategic initiatives, in line with our capital allocation strategy.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2026, our total future payment obligation related to the outstanding term loans, excluding interest payments, was $260.8 million, which is due on July 1, 2030.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9. LEASES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additional details of our facility leases presented in our condensed balance sheets:</w:t>
      </w:r>
    </w:p>
    <w:tbl>
      <w:tblPr>
        <w:tblW w:w="7765" w:type="dxa"/>
        <w:jc w:val="center"/>
        <w:tblInd w:w="0" w:type="dxa"/>
        <w:tblLayout w:type="fixed"/>
        <w:tblCellMar>
          <w:top w:w="28" w:type="dxa"/>
          <w:left w:w="28" w:type="dxa"/>
          <w:bottom w:w="28" w:type="dxa"/>
          <w:right w:w="28" w:type="dxa"/>
        </w:tblCellMar>
      </w:tblPr>
      <w:tblGrid>
        <w:gridCol w:w="1412"/>
        <w:gridCol w:w="1242"/>
        <w:gridCol w:w="1246"/>
        <w:gridCol w:w="631"/>
        <w:gridCol w:w="325"/>
        <w:gridCol w:w="813"/>
        <w:gridCol w:w="109"/>
        <w:gridCol w:w="109"/>
        <w:gridCol w:w="109"/>
        <w:gridCol w:w="586"/>
        <w:gridCol w:w="302"/>
        <w:gridCol w:w="881"/>
      </w:tblGrid>
      <w:tr>
        <w:tc>
          <w:tcPr>
            <w:tcW w:w="141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c>
          <w:tcPr>
            <w:tcW w:w="39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Facilities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w:t>
            </w:r>
          </w:p>
        </w:tc>
      </w:tr>
      <w:t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lease liabilities</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r>
      <w:t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net of current portion</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w:t>
            </w:r>
          </w:p>
        </w:tc>
      </w:tr>
      <w:t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w:t>
            </w:r>
          </w:p>
        </w:tc>
      </w:tr>
      <w:t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term (in years)</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r>
      <w:t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lease costs, which are included in our condensed statements of operations and comprehensive loss, and the supplemental cash flow information related to the leases:</w:t>
      </w:r>
    </w:p>
    <w:tbl>
      <w:tblPr>
        <w:tblW w:w="9034" w:type="dxa"/>
        <w:jc w:val="center"/>
        <w:tblInd w:w="0" w:type="dxa"/>
        <w:tblLayout w:type="fixed"/>
        <w:tblCellMar>
          <w:top w:w="28" w:type="dxa"/>
          <w:left w:w="28" w:type="dxa"/>
          <w:bottom w:w="28" w:type="dxa"/>
          <w:right w:w="28" w:type="dxa"/>
        </w:tblCellMar>
      </w:tblPr>
      <w:tblGrid>
        <w:gridCol w:w="923"/>
        <w:gridCol w:w="812"/>
        <w:gridCol w:w="814"/>
        <w:gridCol w:w="346"/>
        <w:gridCol w:w="765"/>
        <w:gridCol w:w="179"/>
        <w:gridCol w:w="179"/>
        <w:gridCol w:w="179"/>
        <w:gridCol w:w="179"/>
        <w:gridCol w:w="346"/>
        <w:gridCol w:w="765"/>
        <w:gridCol w:w="179"/>
        <w:gridCol w:w="109"/>
        <w:gridCol w:w="109"/>
        <w:gridCol w:w="109"/>
        <w:gridCol w:w="286"/>
        <w:gridCol w:w="836"/>
        <w:gridCol w:w="147"/>
        <w:gridCol w:w="147"/>
        <w:gridCol w:w="147"/>
        <w:gridCol w:w="147"/>
        <w:gridCol w:w="286"/>
        <w:gridCol w:w="836"/>
        <w:gridCol w:w="209"/>
      </w:tblGrid>
      <w:t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2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leases</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undiscounted cash payment obligations for our operating lease liabilities as of September 30, 2026:</w:t>
      </w:r>
    </w:p>
    <w:tbl>
      <w:tblPr>
        <w:tblW w:w="5669" w:type="dxa"/>
        <w:jc w:val="center"/>
        <w:tblInd w:w="0" w:type="dxa"/>
        <w:tblLayout w:type="fixed"/>
        <w:tblCellMar>
          <w:top w:w="28" w:type="dxa"/>
          <w:left w:w="28" w:type="dxa"/>
          <w:bottom w:w="28" w:type="dxa"/>
          <w:right w:w="28" w:type="dxa"/>
        </w:tblCellMar>
      </w:tblPr>
      <w:tblGrid>
        <w:gridCol w:w="1461"/>
        <w:gridCol w:w="1286"/>
        <w:gridCol w:w="1288"/>
        <w:gridCol w:w="350"/>
        <w:gridCol w:w="1027"/>
        <w:gridCol w:w="257"/>
      </w:tblGrid>
      <w:tr>
        <w:tc>
          <w:tcPr>
            <w:tcW w:w="146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c>
          <w:tcPr>
            <w:tcW w:w="40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Operating Leases</w:t>
            </w:r>
          </w:p>
        </w:tc>
      </w:tr>
      <w:t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operating lease payments</w:t>
            </w:r>
          </w:p>
        </w:tc>
        <w:tc>
          <w:tcPr>
            <w:tcW w:w="13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Imputed interest expenses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13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operating lease liability</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net of current portion</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NOTE 10. STOCKHOLDERS’ EQUITY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2025, we filed an automatic shelf registration statement on Form S-3ASR, which became effective upon filing, containing (i) a base prospectus, which covers the offering, issuance and sale from time to time in one or more offerings of our common stock, preferred stock, debt securities, warrants and/or units; and (ii) a prospectus supplement for the offering, issuance and sale of up to a maximum aggregate offering price of $100.0 million of our common stock that may be issued and sold from time to time under an open market sales agreement (the Sales Agreement), deemed to be “at-the-market offerings.” Jefferies, as sales agent, may receive a commission of up to three percent of the gross sales price for shares of our common stock sold under the Sales Agreement. As of September 30, 2026, there have been no sales of our common stock under the Sales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EQUITY INCENTIVE PLANS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for stock options, RSUs and our ESPP included in our condensed statements of operations and comprehensive loss was as follows:</w:t>
      </w:r>
    </w:p>
    <w:tbl>
      <w:tblPr>
        <w:tblW w:w="9442" w:type="dxa"/>
        <w:jc w:val="center"/>
        <w:tblInd w:w="0" w:type="dxa"/>
        <w:tblLayout w:type="fixed"/>
        <w:tblCellMar>
          <w:top w:w="28" w:type="dxa"/>
          <w:left w:w="28" w:type="dxa"/>
          <w:bottom w:w="28" w:type="dxa"/>
          <w:right w:w="28" w:type="dxa"/>
        </w:tblCellMar>
      </w:tblPr>
      <w:tblGrid>
        <w:gridCol w:w="1069"/>
        <w:gridCol w:w="941"/>
        <w:gridCol w:w="945"/>
        <w:gridCol w:w="273"/>
        <w:gridCol w:w="934"/>
        <w:gridCol w:w="141"/>
        <w:gridCol w:w="141"/>
        <w:gridCol w:w="141"/>
        <w:gridCol w:w="141"/>
        <w:gridCol w:w="273"/>
        <w:gridCol w:w="934"/>
        <w:gridCol w:w="141"/>
        <w:gridCol w:w="109"/>
        <w:gridCol w:w="109"/>
        <w:gridCol w:w="109"/>
        <w:gridCol w:w="261"/>
        <w:gridCol w:w="894"/>
        <w:gridCol w:w="135"/>
        <w:gridCol w:w="135"/>
        <w:gridCol w:w="135"/>
        <w:gridCol w:w="135"/>
        <w:gridCol w:w="261"/>
        <w:gridCol w:w="894"/>
        <w:gridCol w:w="191"/>
      </w:tblGrid>
      <w:tr>
        <w:tc>
          <w:tcPr>
            <w:tcW w:w="10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29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55"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15,101 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12,742 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36,517 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our total unrecognized stock-based compensation expense, net of estimated forfeitures, as of September 30, 2026 is as follows:</w:t>
      </w:r>
    </w:p>
    <w:tbl>
      <w:tblPr>
        <w:tblW w:w="8455" w:type="dxa"/>
        <w:jc w:val="center"/>
        <w:tblInd w:w="0" w:type="dxa"/>
        <w:tblLayout w:type="fixed"/>
        <w:tblCellMar>
          <w:top w:w="28" w:type="dxa"/>
          <w:left w:w="28" w:type="dxa"/>
          <w:bottom w:w="28" w:type="dxa"/>
          <w:right w:w="28" w:type="dxa"/>
        </w:tblCellMar>
      </w:tblPr>
      <w:tblGrid>
        <w:gridCol w:w="618"/>
        <w:gridCol w:w="543"/>
        <w:gridCol w:w="548"/>
        <w:gridCol w:w="664"/>
        <w:gridCol w:w="2273"/>
        <w:gridCol w:w="348"/>
        <w:gridCol w:w="109"/>
        <w:gridCol w:w="109"/>
        <w:gridCol w:w="109"/>
        <w:gridCol w:w="916"/>
        <w:gridCol w:w="916"/>
        <w:gridCol w:w="1302"/>
      </w:tblGrid>
      <w:t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Unrecognized Compensation Expense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 Remaining Vesting Period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years)</w:t>
            </w:r>
          </w:p>
        </w:tc>
      </w:tr>
      <w:t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grants</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41,453 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 grants</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77,234 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r>
      <w:t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our stock option activity and related information for the nine months ended September 30, 2026 is as follows:</w:t>
      </w:r>
    </w:p>
    <w:tbl>
      <w:tblPr>
        <w:tblW w:w="8608" w:type="dxa"/>
        <w:jc w:val="center"/>
        <w:tblInd w:w="0" w:type="dxa"/>
        <w:tblLayout w:type="fixed"/>
        <w:tblCellMar>
          <w:top w:w="28" w:type="dxa"/>
          <w:left w:w="28" w:type="dxa"/>
          <w:bottom w:w="28" w:type="dxa"/>
          <w:right w:w="28" w:type="dxa"/>
        </w:tblCellMar>
      </w:tblPr>
      <w:tblGrid>
        <w:gridCol w:w="1163"/>
        <w:gridCol w:w="1020"/>
        <w:gridCol w:w="1026"/>
        <w:gridCol w:w="540"/>
        <w:gridCol w:w="540"/>
        <w:gridCol w:w="541"/>
        <w:gridCol w:w="109"/>
        <w:gridCol w:w="109"/>
        <w:gridCol w:w="109"/>
        <w:gridCol w:w="753"/>
        <w:gridCol w:w="1825"/>
        <w:gridCol w:w="392"/>
        <w:gridCol w:w="109"/>
        <w:gridCol w:w="109"/>
        <w:gridCol w:w="109"/>
        <w:gridCol w:w="154"/>
      </w:tblGrid>
      <w:t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 Exercise Price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28,977 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cancelled</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September 30, 2026</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26,880 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as of September 30, 2026</w:t>
            </w:r>
          </w:p>
        </w:tc>
        <w:tc>
          <w:tcPr>
            <w:tcW w:w="108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17,923 </w:t>
            </w:r>
          </w:p>
        </w:tc>
        <w:tc>
          <w:tcPr>
            <w:tcW w:w="5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our RSU activity and related information for the nine months ended September 30, 2026 is as follows:</w:t>
      </w:r>
    </w:p>
    <w:tbl>
      <w:tblPr>
        <w:tblW w:w="8484" w:type="dxa"/>
        <w:jc w:val="center"/>
        <w:tblInd w:w="0" w:type="dxa"/>
        <w:tblLayout w:type="fixed"/>
        <w:tblCellMar>
          <w:top w:w="28" w:type="dxa"/>
          <w:left w:w="28" w:type="dxa"/>
          <w:bottom w:w="28" w:type="dxa"/>
          <w:right w:w="28" w:type="dxa"/>
        </w:tblCellMar>
      </w:tblPr>
      <w:tblGrid>
        <w:gridCol w:w="1075"/>
        <w:gridCol w:w="944"/>
        <w:gridCol w:w="950"/>
        <w:gridCol w:w="499"/>
        <w:gridCol w:w="499"/>
        <w:gridCol w:w="501"/>
        <w:gridCol w:w="109"/>
        <w:gridCol w:w="109"/>
        <w:gridCol w:w="109"/>
        <w:gridCol w:w="888"/>
        <w:gridCol w:w="2151"/>
        <w:gridCol w:w="650"/>
      </w:tblGrid>
      <w:tr>
        <w:tc>
          <w:tcPr>
            <w:tcW w:w="107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RSUs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 Grant Date Fair Value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per Share</w:t>
            </w:r>
          </w:p>
        </w:tc>
      </w:tr>
      <w:t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2025</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12,583 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7,692 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cancelled</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September 30, 2026</w:t>
            </w:r>
          </w:p>
        </w:tc>
        <w:tc>
          <w:tcPr>
            <w:tcW w:w="9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13,294 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2969"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8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we issued approximately 0.4 million shares of our common stock under the ESPP. The shares were purchased by employees at an average purchase price of $4.08 per share, resulting in proceeds to us of approximately $1.4 million.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Issuance of Common Stock for Services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2026, we issued approximately 33 thousand shares of our common stock to members of the board of directors who elected to receive stock in lieu of their cash fees under our Non-Employee Director Compensation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12. SEGMENT REPORTING</w:t>
      </w:r>
    </w:p>
    <w:p>
      <w:pPr>
        <w:pStyle w:val="TextBody"/>
        <w:bidi w:val="0"/>
        <w:spacing w:lineRule="auto" w:line="288" w:before="0" w:after="180"/>
        <w:ind w:left="0" w:right="0" w:firstLine="360"/>
        <w:jc w:val="left"/>
      </w:pPr>
      <w:r>
        <w:rPr>
          <w:rFonts w:ascii="Times New Roman;serif" w:hAnsi="Times New Roman;serif"/>
          <w:b w:val="false"/>
          <w:color w:val="000000"/>
          <w:sz w:val="20"/>
        </w:rPr>
        <w:t xml:space="preserve">We operate in a single reportable segment. The Chief Executive Officer is our Chief Operating Decision Maker, who primarily uses aggregated net loss as reported on the condensed statements of operations and comprehensive loss to measure segment loss, supplemented by certain additional significant expense details reflected in the table below. There have been no changes in the determination of segmentation or the measurements used to determine reported segment loss discussed in our 2025 Form 10-K. See </w:t>
      </w:r>
      <w:r>
        <w:rPr>
          <w:rFonts w:ascii="Times New Roman;serif" w:hAnsi="Times New Roman;serif"/>
          <w:b w:val="false"/>
          <w:i/>
          <w:color w:val="000000"/>
          <w:sz w:val="20"/>
        </w:rPr>
        <w:t>Note 17. Segment Reporting</w:t>
      </w:r>
      <w:r>
        <w:rPr>
          <w:color w:val="000000"/>
        </w:rPr>
        <w:t xml:space="preserve"> </w:t>
      </w:r>
      <w:r>
        <w:rPr>
          <w:rFonts w:ascii="Times New Roman;serif" w:hAnsi="Times New Roman;serif"/>
          <w:b w:val="false"/>
          <w:color w:val="000000"/>
          <w:sz w:val="20"/>
        </w:rPr>
        <w:t>of our 2025 Form 10-K for more discussion on our segment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Detailed information regarding our single operating segment’s significant revenues, expenses and operating loss is as follows:</w:t>
      </w:r>
    </w:p>
    <w:tbl>
      <w:tblPr>
        <w:tblW w:w="9004" w:type="dxa"/>
        <w:jc w:val="center"/>
        <w:tblInd w:w="0" w:type="dxa"/>
        <w:tblLayout w:type="fixed"/>
        <w:tblCellMar>
          <w:top w:w="28" w:type="dxa"/>
          <w:left w:w="28" w:type="dxa"/>
          <w:bottom w:w="28" w:type="dxa"/>
          <w:right w:w="28" w:type="dxa"/>
        </w:tblCellMar>
      </w:tblPr>
      <w:tblGrid>
        <w:gridCol w:w="913"/>
        <w:gridCol w:w="802"/>
        <w:gridCol w:w="805"/>
        <w:gridCol w:w="251"/>
        <w:gridCol w:w="984"/>
        <w:gridCol w:w="129"/>
        <w:gridCol w:w="129"/>
        <w:gridCol w:w="129"/>
        <w:gridCol w:w="129"/>
        <w:gridCol w:w="251"/>
        <w:gridCol w:w="984"/>
        <w:gridCol w:w="129"/>
        <w:gridCol w:w="109"/>
        <w:gridCol w:w="109"/>
        <w:gridCol w:w="109"/>
        <w:gridCol w:w="241"/>
        <w:gridCol w:w="944"/>
        <w:gridCol w:w="124"/>
        <w:gridCol w:w="124"/>
        <w:gridCol w:w="124"/>
        <w:gridCol w:w="124"/>
        <w:gridCol w:w="241"/>
        <w:gridCol w:w="944"/>
        <w:gridCol w:w="176"/>
      </w:tblGrid>
      <w:t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125,455 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263,406 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Other revenues</w:t>
            </w:r>
            <w:r>
              <w:rPr>
                <w:rFonts w:ascii="Times New Roman;serif" w:hAnsi="Times New Roman;serif"/>
                <w:b w:val="false"/>
                <w:color w:val="000000"/>
                <w:sz w:val="13"/>
              </w:rPr>
              <w:t>(1)</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127,655 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110,329 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343,005 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282,105 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Cost of product sales</w:t>
            </w:r>
            <w:r>
              <w:rPr>
                <w:rFonts w:ascii="Times New Roman;serif" w:hAnsi="Times New Roman;serif"/>
                <w:b w:val="false"/>
                <w:color w:val="000000"/>
                <w:sz w:val="13"/>
              </w:rPr>
              <w:t>(2)</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Other cost of revenue</w:t>
            </w:r>
            <w:r>
              <w:rPr>
                <w:rFonts w:ascii="Times New Roman;serif" w:hAnsi="Times New Roman;serif"/>
                <w:b w:val="false"/>
                <w:color w:val="000000"/>
                <w:sz w:val="13"/>
              </w:rPr>
              <w:t>(3)</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Research and development</w:t>
            </w:r>
            <w:r>
              <w:rPr>
                <w:rFonts w:ascii="Times New Roman;serif" w:hAnsi="Times New Roman;serif"/>
                <w:b w:val="false"/>
                <w:color w:val="000000"/>
                <w:sz w:val="13"/>
              </w:rPr>
              <w:t>(4)</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Selling</w:t>
            </w:r>
            <w:r>
              <w:rPr>
                <w:rFonts w:ascii="Times New Roman;serif" w:hAnsi="Times New Roman;serif"/>
                <w:b w:val="false"/>
                <w:color w:val="000000"/>
                <w:sz w:val="13"/>
              </w:rPr>
              <w:t>(4)</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62,961 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55,361 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197,305 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General and administrative</w:t>
            </w:r>
            <w:r>
              <w:rPr>
                <w:rFonts w:ascii="Times New Roman;serif" w:hAnsi="Times New Roman;serif"/>
                <w:b w:val="false"/>
                <w:color w:val="000000"/>
                <w:sz w:val="13"/>
              </w:rPr>
              <w:t>(4)</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63,766 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(41,195)</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(46,076)</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Other reconciliation items</w:t>
            </w:r>
            <w:r>
              <w:rPr>
                <w:rFonts w:ascii="Times New Roman;serif" w:hAnsi="Times New Roman;serif"/>
                <w:b w:val="false"/>
                <w:color w:val="000000"/>
                <w:sz w:val="13"/>
              </w:rPr>
              <w:t>(5)</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(55,063)</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(61,192)</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pPr>
      <w:r>
        <w:rPr>
          <w:rFonts w:ascii="Times New Roman;serif" w:hAnsi="Times New Roman;serif"/>
          <w:b w:val="false"/>
          <w:color w:val="000000"/>
          <w:sz w:val="10"/>
        </w:rPr>
        <w:t>(1)</w:t>
      </w:r>
      <w:r>
        <w:rPr>
          <w:rFonts w:ascii="Times New Roman;serif" w:hAnsi="Times New Roman;serif"/>
          <w:b w:val="false"/>
          <w:i/>
          <w:color w:val="000000"/>
          <w:sz w:val="16"/>
        </w:rPr>
        <w:t>Other revenues</w:t>
      </w:r>
      <w:r>
        <w:rPr>
          <w:color w:val="000000"/>
        </w:rPr>
        <w:t xml:space="preserve"> </w:t>
      </w:r>
      <w:r>
        <w:rPr>
          <w:rFonts w:ascii="Times New Roman;serif" w:hAnsi="Times New Roman;serif"/>
          <w:b w:val="false"/>
          <w:color w:val="000000"/>
          <w:sz w:val="16"/>
        </w:rPr>
        <w:t>includes revenues from our collaboration partnerships, including licensing revenue, product supply revenue and non-cash royalty revenue related to the sale of future royalties.</w:t>
      </w:r>
    </w:p>
    <w:p>
      <w:pPr>
        <w:pStyle w:val="TextBody"/>
        <w:bidi w:val="0"/>
        <w:spacing w:lineRule="auto" w:line="288" w:before="0" w:after="0"/>
        <w:ind w:left="0" w:right="0" w:hanging="360"/>
        <w:jc w:val="left"/>
      </w:pPr>
      <w:r>
        <w:rPr>
          <w:rFonts w:ascii="Times New Roman;serif" w:hAnsi="Times New Roman;serif"/>
          <w:b w:val="false"/>
          <w:color w:val="000000"/>
          <w:sz w:val="10"/>
        </w:rPr>
        <w:t>(2)</w:t>
      </w:r>
      <w:r>
        <w:rPr>
          <w:rFonts w:ascii="Times New Roman;serif" w:hAnsi="Times New Roman;serif"/>
          <w:b w:val="false"/>
          <w:i/>
          <w:color w:val="000000"/>
          <w:sz w:val="16"/>
        </w:rPr>
        <w:t>Cost of product sales</w:t>
      </w:r>
      <w:r>
        <w:rPr>
          <w:color w:val="000000"/>
        </w:rPr>
        <w:t xml:space="preserve"> </w:t>
      </w:r>
      <w:r>
        <w:rPr>
          <w:rFonts w:ascii="Times New Roman;serif" w:hAnsi="Times New Roman;serif"/>
          <w:b w:val="false"/>
          <w:color w:val="000000"/>
          <w:sz w:val="16"/>
        </w:rPr>
        <w:t>includes the cost of commercial goods sold to our Customers, such as the cost of materials, third-party contract manufacturing, third-party packaging services, freight, labor costs for personnel involved in the manufacturing process and indirect overhead costs.</w:t>
      </w:r>
    </w:p>
    <w:p>
      <w:pPr>
        <w:pStyle w:val="TextBody"/>
        <w:bidi w:val="0"/>
        <w:spacing w:lineRule="auto" w:line="288" w:before="0" w:after="0"/>
        <w:ind w:left="0" w:right="0" w:hanging="360"/>
        <w:jc w:val="left"/>
      </w:pPr>
      <w:r>
        <w:rPr>
          <w:rFonts w:ascii="Times New Roman;serif" w:hAnsi="Times New Roman;serif"/>
          <w:b w:val="false"/>
          <w:color w:val="000000"/>
          <w:sz w:val="10"/>
        </w:rPr>
        <w:t>(3)</w:t>
      </w:r>
      <w:r>
        <w:rPr>
          <w:rFonts w:ascii="Times New Roman;serif" w:hAnsi="Times New Roman;serif"/>
          <w:b w:val="false"/>
          <w:i/>
          <w:color w:val="000000"/>
          <w:sz w:val="16"/>
        </w:rPr>
        <w:t xml:space="preserve">Other cost of revenue </w:t>
      </w:r>
      <w:r>
        <w:rPr>
          <w:rFonts w:ascii="Times New Roman;serif" w:hAnsi="Times New Roman;serif"/>
          <w:b w:val="false"/>
          <w:color w:val="000000"/>
          <w:sz w:val="16"/>
        </w:rPr>
        <w:t>includes the cost of materials sold to our collaboration partners under product supply agreements, certain costs related to capacity expansion at current and future CMOs and payments due to AstraZeneca. As of the end of the 2025 second quarter, the maximum $75.0 million royalty obligation in connection with the AstraZeneca Termination Agreement was fully recognized.</w:t>
      </w:r>
    </w:p>
    <w:p>
      <w:pPr>
        <w:pStyle w:val="TextBody"/>
        <w:bidi w:val="0"/>
        <w:spacing w:lineRule="auto" w:line="288" w:before="0" w:after="0"/>
        <w:ind w:left="0" w:right="0" w:hanging="360"/>
        <w:jc w:val="left"/>
      </w:pPr>
      <w:r>
        <w:rPr>
          <w:rFonts w:ascii="Times New Roman;serif" w:hAnsi="Times New Roman;serif"/>
          <w:b w:val="false"/>
          <w:color w:val="000000"/>
          <w:sz w:val="10"/>
        </w:rPr>
        <w:t>(4)</w:t>
      </w:r>
      <w:r>
        <w:rPr>
          <w:rFonts w:ascii="Times New Roman;serif" w:hAnsi="Times New Roman;serif"/>
          <w:b w:val="false"/>
          <w:i/>
          <w:color w:val="000000"/>
          <w:sz w:val="16"/>
        </w:rPr>
        <w:t xml:space="preserve">Research and development, selling </w:t>
      </w:r>
      <w:r>
        <w:rPr>
          <w:rFonts w:ascii="Times New Roman;serif" w:hAnsi="Times New Roman;serif"/>
          <w:b w:val="false"/>
          <w:color w:val="000000"/>
          <w:sz w:val="16"/>
        </w:rPr>
        <w:t xml:space="preserve">and </w:t>
      </w:r>
      <w:r>
        <w:rPr>
          <w:rFonts w:ascii="Times New Roman;serif" w:hAnsi="Times New Roman;serif"/>
          <w:b w:val="false"/>
          <w:i/>
          <w:color w:val="000000"/>
          <w:sz w:val="16"/>
        </w:rPr>
        <w:t xml:space="preserve">general and administrative </w:t>
      </w:r>
      <w:r>
        <w:rPr>
          <w:rFonts w:ascii="Times New Roman;serif" w:hAnsi="Times New Roman;serif"/>
          <w:b w:val="false"/>
          <w:color w:val="000000"/>
          <w:sz w:val="16"/>
        </w:rPr>
        <w:t>expenses herein do not include stock-based compensation expenses.</w:t>
      </w:r>
    </w:p>
    <w:p>
      <w:pPr>
        <w:pStyle w:val="TextBody"/>
        <w:bidi w:val="0"/>
        <w:spacing w:lineRule="auto" w:line="288" w:before="0" w:after="180"/>
        <w:ind w:left="0" w:right="0" w:hanging="360"/>
        <w:jc w:val="left"/>
      </w:pPr>
      <w:r>
        <w:rPr>
          <w:rFonts w:ascii="Times New Roman;serif" w:hAnsi="Times New Roman;serif"/>
          <w:b w:val="false"/>
          <w:color w:val="000000"/>
          <w:sz w:val="10"/>
        </w:rPr>
        <w:t>(5)</w:t>
      </w:r>
      <w:r>
        <w:rPr>
          <w:rFonts w:ascii="Times New Roman;serif" w:hAnsi="Times New Roman;serif"/>
          <w:b w:val="false"/>
          <w:i/>
          <w:color w:val="000000"/>
          <w:sz w:val="16"/>
        </w:rPr>
        <w:t>Other reconciliation items</w:t>
      </w:r>
      <w:r>
        <w:rPr>
          <w:color w:val="000000"/>
        </w:rPr>
        <w:t xml:space="preserve"> </w:t>
      </w:r>
      <w:r>
        <w:rPr>
          <w:rFonts w:ascii="Times New Roman;serif" w:hAnsi="Times New Roman;serif"/>
          <w:b w:val="false"/>
          <w:color w:val="000000"/>
          <w:sz w:val="16"/>
        </w:rPr>
        <w:t>includes interest expense, non-cash interest expense related to the sale of future royalties, provision for income taxes and other income,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13. NET LOSS PER SHARE</w:t>
      </w:r>
    </w:p>
    <w:p>
      <w:pPr>
        <w:pStyle w:val="TextBody"/>
        <w:bidi w:val="0"/>
        <w:spacing w:before="0" w:after="0"/>
        <w:ind w:left="0" w:right="0" w:firstLine="360"/>
        <w:jc w:val="both"/>
      </w:p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Basic net loss per share is calculated by dividing net loss by the weighted-average number of common shares outstanding during the period and excludes any dilutive effect of stock-based awards. Diluted net loss per common share is computed giving effect to all potential dilutive common shares, including common stock issuable upon exercise of stock options, unvested restricted stock units and ESPP shares issuable pursuant to the current purchase period. As we had net losses for the three and nine months ended September 30, 2026 and 2025, all potential common shares were determined to be anti-dilutive during those periods.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net loss per common share:</w:t>
      </w:r>
    </w:p>
    <w:tbl>
      <w:tblPr>
        <w:tblW w:w="10205" w:type="dxa"/>
        <w:jc w:val="center"/>
        <w:tblInd w:w="0" w:type="dxa"/>
        <w:tblLayout w:type="fixed"/>
        <w:tblCellMar>
          <w:top w:w="28" w:type="dxa"/>
          <w:left w:w="28" w:type="dxa"/>
          <w:bottom w:w="28" w:type="dxa"/>
          <w:right w:w="28" w:type="dxa"/>
        </w:tblCellMar>
      </w:tblPr>
      <w:tblGrid>
        <w:gridCol w:w="1554"/>
        <w:gridCol w:w="1302"/>
        <w:gridCol w:w="1310"/>
        <w:gridCol w:w="304"/>
        <w:gridCol w:w="754"/>
        <w:gridCol w:w="143"/>
        <w:gridCol w:w="143"/>
        <w:gridCol w:w="143"/>
        <w:gridCol w:w="143"/>
        <w:gridCol w:w="304"/>
        <w:gridCol w:w="754"/>
        <w:gridCol w:w="143"/>
        <w:gridCol w:w="109"/>
        <w:gridCol w:w="109"/>
        <w:gridCol w:w="109"/>
        <w:gridCol w:w="235"/>
        <w:gridCol w:w="871"/>
        <w:gridCol w:w="121"/>
        <w:gridCol w:w="121"/>
        <w:gridCol w:w="121"/>
        <w:gridCol w:w="121"/>
        <w:gridCol w:w="235"/>
        <w:gridCol w:w="871"/>
        <w:gridCol w:w="185"/>
      </w:tblGrid>
      <w:tr>
        <w:tc>
          <w:tcPr>
            <w:tcW w:w="1554"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c>
          <w:tcPr>
            <w:tcW w:w="4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41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Numerator</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Denominator</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c>
          <w:tcPr>
            <w:tcW w:w="41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 and diluted</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241,908 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240,166 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of common stock - basic and diluted</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total numbers of securities that could potentially dilute net income per share in the future that were not considered in the diluted net loss per share calculations because the effect would have been anti-dilutive were as follows:</w:t>
      </w:r>
    </w:p>
    <w:tbl>
      <w:tblPr>
        <w:tblW w:w="9454" w:type="dxa"/>
        <w:jc w:val="center"/>
        <w:tblInd w:w="0" w:type="dxa"/>
        <w:tblLayout w:type="fixed"/>
        <w:tblCellMar>
          <w:top w:w="28" w:type="dxa"/>
          <w:left w:w="28" w:type="dxa"/>
          <w:bottom w:w="28" w:type="dxa"/>
          <w:right w:w="28" w:type="dxa"/>
        </w:tblCellMar>
      </w:tblPr>
      <w:tblGrid>
        <w:gridCol w:w="1075"/>
        <w:gridCol w:w="946"/>
        <w:gridCol w:w="948"/>
        <w:gridCol w:w="344"/>
        <w:gridCol w:w="344"/>
        <w:gridCol w:w="344"/>
        <w:gridCol w:w="344"/>
        <w:gridCol w:w="344"/>
        <w:gridCol w:w="344"/>
        <w:gridCol w:w="344"/>
        <w:gridCol w:w="344"/>
        <w:gridCol w:w="366"/>
        <w:gridCol w:w="109"/>
        <w:gridCol w:w="109"/>
        <w:gridCol w:w="109"/>
        <w:gridCol w:w="321"/>
        <w:gridCol w:w="321"/>
        <w:gridCol w:w="321"/>
        <w:gridCol w:w="321"/>
        <w:gridCol w:w="321"/>
        <w:gridCol w:w="321"/>
        <w:gridCol w:w="321"/>
        <w:gridCol w:w="321"/>
        <w:gridCol w:w="472"/>
      </w:tblGrid>
      <w:t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10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28,845</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29,423</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29,940</w:t>
            </w:r>
          </w:p>
        </w:tc>
      </w:tr>
      <w:tr>
        <w:tc>
          <w:tcPr>
            <w:tcW w:w="2969"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14,506</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15,232</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12,510</w:t>
            </w:r>
          </w:p>
        </w:tc>
      </w:tr>
      <w:tr>
        <w:tc>
          <w:tcPr>
            <w:tcW w:w="2969"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ESPP shares issuable</w:t>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r>
      <w:t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43,576</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44,856</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14. COMMITMENTS AND CONTINGENCIES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17, 2024, in partnership with the AAKP and the NMQF, we filed a lawsuit in the U.S. District Court for the District of Columbia against CMS, claiming that CMS has violated its statutory and regulatory authority under MIPPA, which established the ESRD PPS bundled payment system for dialysis services in 2008. Specifically, the lawsuit claims that moving XPHOZAH, along with all oral-only drugs, into the ESRD PPS is inconsistent with MIPPA’s statutory provision, and contradicts CMS’s own regulations. XPHOZAH and other oral-only drugs are not administered by dialysis providers and cannot be taken during the delivery of maintenance dialysis. On November 8, 2024, the U.S. District Court for the District of Columbia granted defendants’ Motion to Dismiss and denied plaintiffs’ Motion for Preliminary Injunction, or in the Alternative, for Expedited Summary Judgment. Following the District Court’s denial of plaintiffs’ Motion to Alter or Amend the Judgment, or in the Alternative, for an Injunction Pending Appeal, plaintiffs filed an Emergency Motion for an Administrative Stay and Injunction Pending Appeal, which was denied by the United States Court of Appeals for the District of Columbia Circuit. Appellants filed an initial brief in the appeal on February 4, 2025; Appellees filed an initial brief on March 6, 2025; and Appellants filed a reply brief on March 27, 2025. Both Appellees and Appellants filed a final brief on April 10, 2025. Oral argument in the case was heard on September 25, 2025. On June 26, 2026, the United States Court of Appeals affirmed the District Court’s dismissal. We are not pursuing further litigation on this matter.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16, 2024, a complaint was filed against us in the U.S. District Court for the District of Massachusetts, captioned Yarborough v. Ardelyx, Inc., et al., No. 24-cv-12119 (D. Mass.). The complaint names the Company, Michael Raab, and Justin Renz as defendants and alleges violations of Sections 10(b) and 20(a) of the Exchange Act and Rule 10b-5 promulgated thereunder, related to our announcement on July 2, 2024 that it had chosen not to file an application for Transitional Drug Add-on Payment Adjustment for XPHOZAH (the Yarborough Action). The plaintiffs seek damages and interest, and an award of costs, including attorneys’ fees. The Court appointed Tate Wood as lead plaintiff on October 30, 2024. The lead plaintiff filed an amended complaint on January 13, 2025, in which he added Susan Rodriguez, Laura Williams and Elizabeth Grammer as additional defendants and removed Justin Renz as a defendant. The lead plaintiff purports to bring claims on behalf of all those who acquired Ardelyx common stock between February 22, 2024 and July 1, 2024. Defendants filed a motion to dismiss the amended complaint on March 14, 2025. Plaintiffs filed a response on May 13, 2025. Defendants filed a reply in support of their motion to dismiss on June 23, 2025. A hearing on the motion to dismiss was held on September 25, 2025, and on December 24, 2025, the Court granted defendants’ motion to dismiss and issued an order dismissing the case with prejudice. On January 21, 2026, Plaintiffs appealed the District Court’s decisions to the United States Court of Appeals for the First Circuit. On March 26, 2026, the Court granted the Parties’ stipulated voluntary dismissal of Plaintiffs’ appeal.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6 and 13, 2024, certain Ardelyx shareholders filed two verified derivative complaints purportedly on behalf of the Company in the U.S. District Court for the District of Massachusetts alleging violations of Sections 10(b) and/or 14(a) of the Exchange Act, breaches of fiduciary duty, unjust enrichment, waste, and aiding and abetting breaches of fiduciary duty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against certain members of our board of directors and management based on substantially the same factual allegations in the Yarborough Action. The complaints seek unspecified damages and corporate governance reforms, as well as costs and attorneys’ fees. On September 25, 2024, the Court consolidated the two derivative actions into the case In re Ardelyx, Inc. Stockholder Derivative Litigation, Case No. 1:24-cv-12302-LTS (D. Mass.). On November 7, 2024, the Court stayed the consolidated derivative action pending resolution of any and all motion(s) to dismiss in the Yarborough Action. On April 9, 2026, the Court dismissed the consolidated derivative action pursuant to the parties’ stipulation of dismissal.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September 17, 2026, a complaint was filed against us in the U.S. District Court for the District of Massachusetts captioned Broadwater v. Ardelyx, Inc., et al., No. 26-cv-14270 (D. Mass.). The complaint names the Company, Michael Raab, Justin Renz, Susan Hohenleitner, and Eric Foster as defendants and alleges violations of Sections 10(b) and 20(a) of the Exchange Act and Rule 10b-5 promulgated thereunder (the Broadwater Action). The plaintiff purports to bring claims on behalf of all those who acquired Ardelyx common stock between January 13, 2025 and August 6, 2026. The plaintiff seeks unspecified damages, interest, costs, and fees. The deadline for shareholders to seek to be appointed lead plaintiff in this action is currently November 16, 2026. We intend to defend against the plaintiff’s allegations vigorously. At this time, we are unable to predict the ultimate outcome of the lawsuit or reasonably estimate the amount or range of any potential loss, if any.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13, 2026, an Ardelyx shareholder filed a verified derivative complaint purportedly on behalf of the Company in the U.S. District Court for the District of Massachusetts, captioned Marti v. Raab, et al., No. 26-cv-14635 (D. Mass.). The complaint alleges violations of Section 14(a) of the Exchange Act, breaches of fiduciary duty, unjust enrichment, waste of corporate assets, gross mismanagement, and abuse of control, and seeks contribution under Sections 10(b) and 21D of the Exchange Act. The claims are brought against certain current and former members of our board of directors and management and are based on substantially the same factual allegations as the Broadwater Action. The complaint seeks unspecified damages, restitution, and corporate governance reforms, as well as interest, costs, and attorneys’ fees. We intend to defend against the plaintiff’s allegations vigorously. At this time, we are unable to predict the ultimate outcome of the lawsuit or reasonably estimate the amount or range of any potential loss, if any.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involved in legal proceedings arising in the ordinary course of business. As of September 30, 2026, there is no litigation pending that would reasonably be expected to have a material adverse effect on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in conjunction with the condensed financial statements and notes thereto included elsewhere in this report and with the audited financial statements and related notes thereto included as part of our 2025 Form 10-K. This discussion and analysis and other parts of this report contain forward-looking statements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titled “Risk Factors.”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commercial-stage biopharmaceutical company focused on the development and commercialization of innovative medicines that meet significant unmet medical needs. We currently market two therapies from the active ingredient tenapanor, an NHE3 inhibitor that was discovered and developed by Ardelyx. NHE3 is an antiporter expressed on the apical surface of the small and large intestines. Tenapanor is a minimally absorbed, small molecule therapy. In addition, we are building a pipeline which is currently focused on expanding the commercial footprint of tenapanor.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committed to our mission of developing and commercializing innovative medicines that address unmet patient needs. Our principal strategy is to continue our commercial momentum with our current products while advancing and expanding a portfolio of important medicines for patients with unmet medical needs.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priorities include (i) driving significant IBSRELA growth, (ii) maintaining XPHOZAH commercial momentum, (iii) further advancing our pipeline and portfolio and (iv) maintaining a solid financial foundation to support our future growth.</w:t>
      </w:r>
    </w:p>
    <w:p>
      <w:pPr>
        <w:pStyle w:val="TextBody"/>
        <w:bidi w:val="0"/>
        <w:spacing w:lineRule="auto" w:line="288" w:before="0" w:after="180"/>
        <w:ind w:left="0" w:right="0" w:firstLine="360"/>
        <w:jc w:val="left"/>
      </w:pPr>
      <w:r>
        <w:rPr>
          <w:rFonts w:ascii="Times New Roman;serif" w:hAnsi="Times New Roman;serif"/>
          <w:b w:val="false"/>
          <w:color w:val="000000"/>
          <w:sz w:val="20"/>
        </w:rPr>
        <w:t>Tenapanor, branded as IBSRELA</w:t>
      </w:r>
      <w:r>
        <w:rPr>
          <w:rFonts w:ascii="Times New Roman;serif" w:hAnsi="Times New Roman;serif"/>
          <w:b w:val="false"/>
          <w:color w:val="000000"/>
          <w:sz w:val="13"/>
        </w:rPr>
        <w:t>®</w:t>
      </w:r>
      <w:r>
        <w:rPr>
          <w:rFonts w:ascii="Times New Roman;serif" w:hAnsi="Times New Roman;serif"/>
          <w:b w:val="false"/>
          <w:color w:val="000000"/>
          <w:sz w:val="20"/>
        </w:rPr>
        <w:t xml:space="preserve">, is approved in the U.S. for the treatment of adults with IBS-C. We believe that IBSRELA can bring meaningful benefit to the approximately 13 million Americans who suffer from the symptoms of IBS-C, many of whom continue to experience symptoms despite intervention with other therapies. We are seeking to further expand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IBSRELA eligible patient population to include patients with CIC, and have initiated a Phase 3 clinical trial (ACCEL) evaluating tenapanor in adults with CIC. Enrollment in ACCEL is now complete and we remain on track to announce topline data in the second half of 2027. IBSRELA is also being evaluated in multiple pediatric clinical trials which could expand its use and potentially provide six months of additional patent life for tenapanor.</w:t>
      </w:r>
    </w:p>
    <w:p>
      <w:pPr>
        <w:pStyle w:val="TextBody"/>
        <w:bidi w:val="0"/>
        <w:spacing w:lineRule="auto" w:line="288" w:before="0" w:after="180"/>
        <w:ind w:left="0" w:right="0" w:firstLine="360"/>
        <w:jc w:val="left"/>
      </w:pPr>
      <w:r>
        <w:rPr>
          <w:rFonts w:ascii="Times New Roman;serif" w:hAnsi="Times New Roman;serif"/>
          <w:b w:val="false"/>
          <w:color w:val="000000"/>
          <w:sz w:val="20"/>
        </w:rPr>
        <w:t>Tenapanor, branded as XPHOZAH</w:t>
      </w:r>
      <w:r>
        <w:rPr>
          <w:rFonts w:ascii="Times New Roman;serif" w:hAnsi="Times New Roman;serif"/>
          <w:b w:val="false"/>
          <w:color w:val="000000"/>
          <w:sz w:val="13"/>
        </w:rPr>
        <w:t>®</w:t>
      </w:r>
      <w:r>
        <w:rPr>
          <w:rFonts w:ascii="Times New Roman;serif" w:hAnsi="Times New Roman;serif"/>
          <w:b w:val="false"/>
          <w:color w:val="000000"/>
          <w:sz w:val="20"/>
        </w:rPr>
        <w:t>, is approved in the U.S. to reduce serum phosphorus in adults with CKD on dialysis as add-on therapy in patients who have an inadequate response to phosphate binders or who are intolerant of any dose of phosphate binder therapy. We believe XPHOZAH can bring meaningful relief to adult CKD patients on dialysis, the vast majority of whom have elevated levels of serum phosphorus and are unable to achieve target serum phosphorus levels with phosphate binders alone. Continually elevated levels of serum phosphorus can result in severe cardiovascular health complications.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also developing a next-generation NHE3 inhibitor, RDX10531, which has demonstrated improved solubility and potency compared to tenapanor in preclinical models. RDX10531 is currently being tested in IND-enabling studies. If successful, RDX10531 has potential for broad applications across multiple therapeutic areas.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Effective April 28, 2026, we entered into the Sixth Amendment to our Loan Agreement with SLR as collateral agent and the lenders party thereto, resulting in better overall terms.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26, 2026, the U.S. Court of Appeals for the District of Columbia Circuit affirmed the District Court’s dismissal of our lawsuit against CMS related to CMS reimbursement classification of XPHOZAH. We are not pursuing further litigation on this matter.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29, 2026, we received $50.0 million of funding as a result of our draw down of the Term F Loan. We elected to draw down the Term F Loan for general corporate purposes and to enhance flexibility to support our ongoing strategic initiatives, in line with our capital allocation strategy.</w:t>
      </w:r>
    </w:p>
    <w:p>
      <w:pPr>
        <w:pStyle w:val="TextBody"/>
        <w:bidi w:val="0"/>
        <w:spacing w:lineRule="auto" w:line="288" w:before="0" w:after="180"/>
        <w:ind w:left="0" w:right="0" w:firstLine="360"/>
        <w:jc w:val="left"/>
      </w:pPr>
      <w:r>
        <w:rPr>
          <w:rFonts w:ascii="Times New Roman;serif" w:hAnsi="Times New Roman;serif"/>
          <w:b w:val="false"/>
          <w:color w:val="000000"/>
          <w:sz w:val="20"/>
        </w:rPr>
        <w:t xml:space="preserve">Refer to the </w:t>
      </w:r>
      <w:r>
        <w:rPr>
          <w:rFonts w:ascii="Times New Roman;serif" w:hAnsi="Times New Roman;serif"/>
          <w:b w:val="false"/>
          <w:i/>
          <w:color w:val="000000"/>
          <w:sz w:val="20"/>
        </w:rPr>
        <w:t>Summary of Abbreviated Terms</w:t>
      </w:r>
      <w:r>
        <w:rPr>
          <w:color w:val="000000"/>
        </w:rPr>
        <w:t xml:space="preserve"> </w:t>
      </w:r>
      <w:r>
        <w:rPr>
          <w:rFonts w:ascii="Times New Roman;serif" w:hAnsi="Times New Roman;serif"/>
          <w:b w:val="false"/>
          <w:color w:val="000000"/>
          <w:sz w:val="20"/>
        </w:rPr>
        <w:t>at the end of this Quarterly Report on Form 10-Q for definitions of terms used throughout the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three and nine months ended September 30, 2026 are not necessarily indicative of results to be expected for the entire year ending December 31, 2026, or for any other interim period or future year. See Part II, Item 7, “Management’s Discussion and Analysis of Financial Condition and Results of Operations,” of our 2025 Form 10-K to enhance the understanding of our financial metrics below.</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our total revenues:</w:t>
      </w:r>
    </w:p>
    <w:tbl>
      <w:tblPr>
        <w:tblW w:w="11345" w:type="dxa"/>
        <w:jc w:val="center"/>
        <w:tblInd w:w="0" w:type="dxa"/>
        <w:tblLayout w:type="fixed"/>
        <w:tblCellMar>
          <w:top w:w="28" w:type="dxa"/>
          <w:left w:w="28" w:type="dxa"/>
          <w:bottom w:w="28" w:type="dxa"/>
          <w:right w:w="28" w:type="dxa"/>
        </w:tblCellMar>
      </w:tblPr>
      <w:tblGrid>
        <w:gridCol w:w="348"/>
        <w:gridCol w:w="306"/>
        <w:gridCol w:w="30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32"/>
        <w:gridCol w:w="234"/>
        <w:gridCol w:w="27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7"/>
        <w:gridCol w:w="189"/>
        <w:gridCol w:w="316"/>
      </w:tblGrid>
      <w:t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2026 vs. 2025</w:t>
            </w:r>
          </w:p>
        </w:tc>
      </w:tr>
      <w:tr>
        <w:tc>
          <w:tcPr>
            <w:tcW w:w="9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supply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royalty revenue related to the sale of future royalties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hanging="360"/>
        <w:jc w:val="left"/>
      </w:pPr>
      <w:r>
        <w:rPr>
          <w:rFonts w:ascii="Times New Roman;serif" w:hAnsi="Times New Roman;serif"/>
          <w:b w:val="false"/>
          <w:color w:val="000000"/>
          <w:sz w:val="10"/>
        </w:rPr>
        <w:t>(a)</w:t>
      </w:r>
      <w:r>
        <w:rPr>
          <w:rFonts w:ascii="Times New Roman;serif" w:hAnsi="Times New Roman;serif"/>
          <w:b w:val="false"/>
          <w:color w:val="000000"/>
          <w:sz w:val="16"/>
        </w:rPr>
        <w:t>Percent change is not meaningful.</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our product sales, net by product:</w:t>
      </w:r>
    </w:p>
    <w:tbl>
      <w:tblPr>
        <w:tblW w:w="11285" w:type="dxa"/>
        <w:jc w:val="center"/>
        <w:tblInd w:w="0" w:type="dxa"/>
        <w:tblLayout w:type="fixed"/>
        <w:tblCellMar>
          <w:top w:w="28" w:type="dxa"/>
          <w:left w:w="28" w:type="dxa"/>
          <w:bottom w:w="28" w:type="dxa"/>
          <w:right w:w="28" w:type="dxa"/>
        </w:tblCellMar>
      </w:tblPr>
      <w:tblGrid>
        <w:gridCol w:w="408"/>
        <w:gridCol w:w="306"/>
        <w:gridCol w:w="30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27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c>
          <w:tcPr>
            <w:tcW w:w="40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2026 vs. 2025</w:t>
            </w:r>
          </w:p>
        </w:tc>
      </w:tr>
      <w:t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IBSRELA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XPHOZAH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sales,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Product sales,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IBSRELA product sales, net for the three and nine months ended September 30, 2026 primarily reflected higher demand, driven by continued increase in awareness and prescriber experience, and to a lesser extent, higher net price.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XPHOZAH product sales, net for the three and nine months ended September 30, 2026 primarily reflected higher demand and higher net price. XPHOZAH product sales, net for the nine months ended September 30, 2025 included a $3.8 million favorable adjustment driven by a change in previously estimated product returns.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Product supply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Product supply revenue is primarily impacted by the timing of product supply shipments to our collaboration partners under our product supply agreements in support of the commercialization of our products ex-U.S. by our collaboration partners.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product supply revenue was primarily attributable to Fosun Pharma for the three and nine months ended September 30, 2026. For the nine months ended September 30, 2025, the product supply revenue was primarily attributable to Kyowa Kirin.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Licensing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Licensing revenue is primarily impacted by the timing of regulatory and commercialization milestone achievements as well as sales-based royalties received from our collaboration partners.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licensing revenue was primarily attributable to sales-based royalties received from Fosun Pharma for the three and nine months ended September 30, 2026. The licensing revenue for the nine months ended September 30, 2025 included a $5.0 million milestone earned in the 2025 first quarter under the terms of the Fosun Agreement, following the NDA approval by China’s Center for Drug Evaluation of the NMPA for tenapanor in the control of serum phosphorus in adult patients with CKD on hemodialysis.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Non-cash royalty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Non-cash royalty revenue reflects royalties and commercialization milestones from Kyowa Kirin for sales of PHOZEVEL in Japan, which are remitted to HCR upon receipt.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non-cash royalty revenue for the three and nine months ended September 30, 2026 was primarily due to a $3.4 million commercialization milestone recorded in the 2025 third quarter, as well as lower royalties earned from Kyowa Kirin.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GTN Adjustments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Reconciliation of gross product sales to product sales, net is as follows:</w:t>
      </w:r>
    </w:p>
    <w:tbl>
      <w:tblPr>
        <w:tblW w:w="12113" w:type="dxa"/>
        <w:jc w:val="center"/>
        <w:tblInd w:w="0" w:type="dxa"/>
        <w:tblLayout w:type="fixed"/>
        <w:tblCellMar>
          <w:top w:w="28" w:type="dxa"/>
          <w:left w:w="28" w:type="dxa"/>
          <w:bottom w:w="28" w:type="dxa"/>
          <w:right w:w="28" w:type="dxa"/>
        </w:tblCellMar>
      </w:tblPr>
      <w:tblGrid>
        <w:gridCol w:w="483"/>
        <w:gridCol w:w="306"/>
        <w:gridCol w:w="307"/>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0"/>
        <w:gridCol w:w="181"/>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109"/>
        <w:gridCol w:w="109"/>
        <w:gridCol w:w="109"/>
        <w:gridCol w:w="109"/>
        <w:gridCol w:w="180"/>
        <w:gridCol w:w="181"/>
        <w:gridCol w:w="316"/>
      </w:tblGrid>
      <w:tr>
        <w:tc>
          <w:tcPr>
            <w:tcW w:w="48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2026 vs. 2025</w:t>
            </w:r>
          </w:p>
        </w:tc>
      </w:tr>
      <w:t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product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336,957 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GTN adjustment percentage</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GTN adjustment percentage for the three and nine months ended September 30, 2026 was primarily driven by an unfavorable channel mix, reflecting higher sales under government managed-care pricing programs, as well as higher Medicare and Medicaid Inflation Rebate charges.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activities and ending reserve balances for each significant category of GTN adjustments on product sales, net, which constitute variable consideration, were as follows:</w:t>
      </w:r>
    </w:p>
    <w:tbl>
      <w:tblPr>
        <w:tblW w:w="10205" w:type="dxa"/>
        <w:jc w:val="center"/>
        <w:tblInd w:w="0" w:type="dxa"/>
        <w:tblLayout w:type="fixed"/>
        <w:tblCellMar>
          <w:top w:w="28" w:type="dxa"/>
          <w:left w:w="28" w:type="dxa"/>
          <w:bottom w:w="28" w:type="dxa"/>
          <w:right w:w="28" w:type="dxa"/>
        </w:tblCellMar>
      </w:tblPr>
      <w:tblGrid>
        <w:gridCol w:w="770"/>
        <w:gridCol w:w="654"/>
        <w:gridCol w:w="656"/>
        <w:gridCol w:w="430"/>
        <w:gridCol w:w="1259"/>
        <w:gridCol w:w="223"/>
        <w:gridCol w:w="109"/>
        <w:gridCol w:w="109"/>
        <w:gridCol w:w="109"/>
        <w:gridCol w:w="447"/>
        <w:gridCol w:w="1531"/>
        <w:gridCol w:w="231"/>
        <w:gridCol w:w="109"/>
        <w:gridCol w:w="109"/>
        <w:gridCol w:w="109"/>
        <w:gridCol w:w="435"/>
        <w:gridCol w:w="1271"/>
        <w:gridCol w:w="225"/>
        <w:gridCol w:w="109"/>
        <w:gridCol w:w="109"/>
        <w:gridCol w:w="109"/>
        <w:gridCol w:w="211"/>
        <w:gridCol w:w="721"/>
        <w:gridCol w:w="160"/>
      </w:tblGrid>
      <w:tr>
        <w:tc>
          <w:tcPr>
            <w:tcW w:w="77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c>
          <w:tcPr>
            <w:tcW w:w="20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9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Discounts and 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Rebates, Wholesaler and GPO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Copay Assistance and 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34,456 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Provisions</w:t>
            </w:r>
            <w:r>
              <w:rPr>
                <w:rFonts w:ascii="Times New Roman;serif" w:hAnsi="Times New Roman;serif"/>
                <w:b w:val="false"/>
                <w:color w:val="000000"/>
                <w:sz w:val="13"/>
              </w:rPr>
              <w:t>(1)</w:t>
            </w:r>
          </w:p>
        </w:tc>
        <w:tc>
          <w:tcPr>
            <w:tcW w:w="1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Credits/payments</w:t>
            </w:r>
          </w:p>
        </w:tc>
        <w:tc>
          <w:tcPr>
            <w:tcW w:w="1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(27,851)</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(89,119)</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(152,321)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2026</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2,797 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54,338 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8,417 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65,552 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pPr>
      <w:r>
        <w:rPr>
          <w:rFonts w:ascii="Times New Roman;serif" w:hAnsi="Times New Roman;serif"/>
          <w:b w:val="false"/>
          <w:color w:val="000000"/>
          <w:sz w:val="10"/>
        </w:rPr>
        <w:t>(1)</w:t>
      </w:r>
      <w:r>
        <w:rPr>
          <w:rFonts w:ascii="Times New Roman;serif" w:hAnsi="Times New Roman;serif"/>
          <w:b w:val="false"/>
          <w:color w:val="000000"/>
          <w:sz w:val="16"/>
        </w:rPr>
        <w:t>Adjustments to prior period provisions recorded in the current period were not material.</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Costs and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our costs and operating expenses, interest expense, non-cash interest expense related to the sale of future royalties and other income, net:</w:t>
      </w:r>
    </w:p>
    <w:tbl>
      <w:tblPr>
        <w:tblW w:w="11600" w:type="dxa"/>
        <w:jc w:val="center"/>
        <w:tblInd w:w="0" w:type="dxa"/>
        <w:tblLayout w:type="fixed"/>
        <w:tblCellMar>
          <w:top w:w="28" w:type="dxa"/>
          <w:left w:w="28" w:type="dxa"/>
          <w:bottom w:w="28" w:type="dxa"/>
          <w:right w:w="28" w:type="dxa"/>
        </w:tblCellMar>
      </w:tblPr>
      <w:tblGrid>
        <w:gridCol w:w="626"/>
        <w:gridCol w:w="358"/>
        <w:gridCol w:w="30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7"/>
        <w:gridCol w:w="189"/>
        <w:gridCol w:w="271"/>
        <w:gridCol w:w="109"/>
        <w:gridCol w:w="109"/>
        <w:gridCol w:w="109"/>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188"/>
        <w:gridCol w:w="188"/>
        <w:gridCol w:w="316"/>
      </w:tblGrid>
      <w:tr>
        <w:tc>
          <w:tcPr>
            <w:tcW w:w="62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2026 vs. 2025</w:t>
            </w:r>
          </w:p>
        </w:tc>
      </w:tr>
      <w:tr>
        <w:tc>
          <w:tcPr>
            <w:tcW w:w="1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operating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related to the sale of future royalties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Cost of Sales</w:t>
      </w:r>
    </w:p>
    <w:tbl>
      <w:tblPr>
        <w:tblW w:w="10385" w:type="dxa"/>
        <w:jc w:val="left"/>
        <w:tblInd w:w="0" w:type="dxa"/>
        <w:tblLayout w:type="fixed"/>
        <w:tblCellMar>
          <w:top w:w="28" w:type="dxa"/>
          <w:left w:w="28" w:type="dxa"/>
          <w:bottom w:w="28" w:type="dxa"/>
          <w:right w:w="28" w:type="dxa"/>
        </w:tblCellMar>
      </w:tblPr>
      <w:tblGrid>
        <w:gridCol w:w="348"/>
        <w:gridCol w:w="306"/>
        <w:gridCol w:w="307"/>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187"/>
        <w:gridCol w:w="189"/>
        <w:gridCol w:w="271"/>
        <w:gridCol w:w="109"/>
        <w:gridCol w:w="109"/>
        <w:gridCol w:w="109"/>
        <w:gridCol w:w="211"/>
        <w:gridCol w:w="721"/>
        <w:gridCol w:w="109"/>
        <w:gridCol w:w="109"/>
        <w:gridCol w:w="109"/>
        <w:gridCol w:w="109"/>
        <w:gridCol w:w="211"/>
        <w:gridCol w:w="721"/>
        <w:gridCol w:w="109"/>
        <w:gridCol w:w="109"/>
        <w:gridCol w:w="109"/>
        <w:gridCol w:w="109"/>
        <w:gridCol w:w="211"/>
        <w:gridCol w:w="736"/>
        <w:gridCol w:w="109"/>
        <w:gridCol w:w="109"/>
        <w:gridCol w:w="109"/>
        <w:gridCol w:w="109"/>
        <w:gridCol w:w="187"/>
        <w:gridCol w:w="189"/>
        <w:gridCol w:w="316"/>
      </w:tblGrid>
      <w:t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2026 vs. 2025</w:t>
            </w:r>
          </w:p>
        </w:tc>
      </w:tr>
      <w:t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cost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pPr>
      <w:r>
        <w:rPr>
          <w:rFonts w:ascii="Times New Roman;serif" w:hAnsi="Times New Roman;serif"/>
          <w:b w:val="false"/>
          <w:color w:val="000000"/>
          <w:sz w:val="20"/>
        </w:rPr>
        <w:t>The increase in cost of product sales for the three and nine months ended September 30, 2026 reflected higher product sales. A portion of the costs of IBSRELA and XPHOZAH units recognized as revenue during the three and nine months ended September 30, 2026 was expensed as research and development expense in periods prior to the commencement of capitalization of inventory costs for each respective product.</w:t>
      </w:r>
      <w:r>
        <w:rPr>
          <w:color w:val="000000"/>
        </w:rPr>
        <w:t xml:space="preserve"> </w:t>
      </w:r>
      <w:r>
        <w:rPr>
          <w:rFonts w:ascii="Times New Roman;serif" w:hAnsi="Times New Roman;serif"/>
          <w:b w:val="false"/>
          <w:color w:val="000000"/>
          <w:sz w:val="20"/>
        </w:rPr>
        <w:t>The cost associated with inventory sold but previously expensed as research and development was $0.4 million and $0.9 million for the three and nine months ended September 30, 2026, and $0.3 million and $2.0 million for the three and nine months ended September 30, 2025, respectively. The value of inventory on hand that was previously expensed as research and development as of September 30, 2026 and December 31, 2025 was approximately $8.8 million and $10.9 million,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other cost of revenue for the three months ended September 30, 2026 primarily reflected lower costs related to capacity expansion at our CMOs, partially offset by higher costs associated with product supply revenue.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other cost of revenue for the nine months ended September 30, 2026 primarily reflected the full recognition of the maximum $75.0 million royalty obligation in connection with the AstraZeneca Termination Agreement as of the end of the 2025 second quarter, as well as lower costs associated with product supply revenue. Other cost of revenue related to the AstraZeneca Termination Agreement was $12.7 million for the nine months ended September 30,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our research and development expenses:</w:t>
      </w:r>
    </w:p>
    <w:tbl>
      <w:tblPr>
        <w:tblW w:w="11300" w:type="dxa"/>
        <w:jc w:val="center"/>
        <w:tblInd w:w="0" w:type="dxa"/>
        <w:tblLayout w:type="fixed"/>
        <w:tblCellMar>
          <w:top w:w="28" w:type="dxa"/>
          <w:left w:w="28" w:type="dxa"/>
          <w:bottom w:w="28" w:type="dxa"/>
          <w:right w:w="28" w:type="dxa"/>
        </w:tblCellMar>
      </w:tblPr>
      <w:tblGrid>
        <w:gridCol w:w="744"/>
        <w:gridCol w:w="510"/>
        <w:gridCol w:w="30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271"/>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316"/>
      </w:tblGrid>
      <w:tr>
        <w:tc>
          <w:tcPr>
            <w:tcW w:w="74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2026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br/>
              <w:t>2026 vs. 2025</w:t>
            </w:r>
          </w:p>
        </w:tc>
      </w:tr>
      <w:t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R&amp;D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c>
          <w:tcPr>
            <w:tcW w:w="15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c>
          <w:tcPr>
            <w:tcW w:w="15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Facility-related and 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External R&amp;D expenses consist substantially of costs associated with our life cycle management initiatives for tenapanor, with more than half of these costs attributable to our CIC program for the three and nine months ended September 30, 2026. External R&amp;D expenses also include costs associated with early-stage, preclinical programs as well as unallocated program-specific costs, which were individually immaterial for the periods presented. We begin to track program-specific costs for early-stage, preclinical programs once they become material, which generally occurs following IND and when clinical-stage work has commenced. We do not track employee and facility-related expenses by program, as we typically use our employee and infrastructure resources across multiple R&amp;D programs.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external R&amp;D expenses for the three and nine months ended September 30, 2026 reflected increased clinical trial activities, including the Phase 3 clinical trial evaluating tenapanor in adults with CIC.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employee-related expenses for the three and nine months ended September 30, 2026 was primarily driven by increased headcount to support our pipeline expansion activities and engagement with medical and scientific communities in the areas of gastroenterology and nephrology related to our marketed products.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Selling, General and Administrative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selling, general and administrative expenses for the three and nine months ended September 30, 2026 primarily reflected increased commercialization and administrative costs to support net sales growth of IBSRELA, mainly driven by market access and promotional activities, as well as ongoing efforts to expand our sales force. The increase in selling, general and administrative expenses for the nine months ended September 30, 2026 also reflected higher administrative costs to support our commercial growth and ongoing strategic initiatives. The increase included incremental stock-based compensation expenses of $2.2 million and $8.4 million for the three and nine months ended September 30, 2026, respectively.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interest expense for the three and nine months ended September 30, 2026 primarily reflected the Term F Loan draw in June 2026. The increase in interest expense for the nine months ended September 30, 2026 also reflected the Term E Loan draw in June 2025. The increases were partially offset by the reduced interest rate under the Sixth Amendment to our Loan Agreement, effective April 28, 2026.</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Non-Cash Interest Expense Related to the Sale of Future Royalties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non-cash interest expense related to the sale of future royalties for the three and nine months ended September 30, 2026 primarily reflected the imputed interest accrued on the lower carrying value of the deferred royalty obligation, as well as lower royalties received from Kyowa Kirin for sales of PHOZEVEL in Japan which were remitted to HCR.</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increase in other income, net for the three and nine months ended September 30, 2026 primarily reflected increased income on our investments resulting from larger investment balances throughout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our cash, cash equivalents and short-term investments:</w:t>
      </w:r>
    </w:p>
    <w:tbl>
      <w:tblPr>
        <w:tblW w:w="8907" w:type="dxa"/>
        <w:jc w:val="left"/>
        <w:tblInd w:w="0" w:type="dxa"/>
        <w:tblLayout w:type="fixed"/>
        <w:tblCellMar>
          <w:top w:w="28" w:type="dxa"/>
          <w:left w:w="28" w:type="dxa"/>
          <w:bottom w:w="28" w:type="dxa"/>
          <w:right w:w="28" w:type="dxa"/>
        </w:tblCellMar>
      </w:tblPr>
      <w:tblGrid>
        <w:gridCol w:w="820"/>
        <w:gridCol w:w="721"/>
        <w:gridCol w:w="724"/>
        <w:gridCol w:w="326"/>
        <w:gridCol w:w="1276"/>
        <w:gridCol w:w="168"/>
        <w:gridCol w:w="109"/>
        <w:gridCol w:w="109"/>
        <w:gridCol w:w="109"/>
        <w:gridCol w:w="317"/>
        <w:gridCol w:w="1244"/>
        <w:gridCol w:w="164"/>
        <w:gridCol w:w="109"/>
        <w:gridCol w:w="109"/>
        <w:gridCol w:w="109"/>
        <w:gridCol w:w="211"/>
        <w:gridCol w:w="796"/>
        <w:gridCol w:w="109"/>
        <w:gridCol w:w="109"/>
        <w:gridCol w:w="109"/>
        <w:gridCol w:w="109"/>
        <w:gridCol w:w="218"/>
        <w:gridCol w:w="218"/>
        <w:gridCol w:w="614"/>
      </w:tblGrid>
      <w:t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239,021 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196,690 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liquid funds</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285,338 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264,689 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regularly assess our cash position and our working capital needs to execute our strategy. We have historically funded our operations primarily from product sales, sales of our common stock, funds from our loan agreements with SLR, funds from our collaboration partnerships, as well as the sale of future royalties and commercialization milestones to HCR. We expect that we will increasingly rely on cash generated from our commercial operations to fund our operating plan while maintaining financial flexibility to source cash from future equity sales and debt financing. Our capital allocation strategy includes (i) accelerating IBSRELA growth, (ii) investing in our current pipeline and (iii) maintaining financial strength.</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Sources of Liquidity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2025, we filed an automatic shelf registration statement on Form S-3ASR, which became effective upon filing, containing (i) a base prospectus, which covers the offering, issuance and sale from time to time in one or more offerings of our common stock, preferred stock, debt securities, warrants and/or units; and (ii) a prospectus supplement for the offering, issuance and sale of up to a maximum aggregate offering price of $100.0 million of our common stock that may be issued and sold from time to time under an open market sales agreement (the Sales Agreement), deemed to be “at-the-market offerings.” Jefferies, as sales agent, may receive a commission of up to three percent of the gross sales price for shares of our common stock sold under the Sales Agreement. As of September 30, 2026, there have been no sales of our common stock under the Sales Agreement.</w:t>
      </w:r>
    </w:p>
    <w:p>
      <w:pPr>
        <w:pStyle w:val="TextBody"/>
        <w:bidi w:val="0"/>
        <w:spacing w:lineRule="auto" w:line="288" w:before="0" w:after="180"/>
        <w:ind w:left="0" w:right="0" w:firstLine="360"/>
        <w:jc w:val="left"/>
      </w:pPr>
      <w:r>
        <w:rPr>
          <w:rFonts w:ascii="Times New Roman;serif" w:hAnsi="Times New Roman;serif"/>
          <w:b w:val="false"/>
          <w:color w:val="000000"/>
          <w:sz w:val="20"/>
        </w:rPr>
        <w:t xml:space="preserve">We have a loan and security agreement with SLR (the Loan Agreement). The Loan Agreement provides for total borrowings of up to $300.0 million, of which $250.0 million was drawn and outstanding as of September 30, 2026, including $50.0 million of the Term F Loan drawn in the 2026 second quarter. The additional borrowing of $50.0 million pursuant to the Term G Loan is available at our election to draw through December 20, 2026. See </w:t>
      </w:r>
      <w:r>
        <w:rPr>
          <w:rFonts w:ascii="Times New Roman;serif" w:hAnsi="Times New Roman;serif"/>
          <w:b w:val="false"/>
          <w:i/>
          <w:color w:val="000000"/>
          <w:sz w:val="20"/>
        </w:rPr>
        <w:t xml:space="preserve">Note 8. Borrowing </w:t>
      </w:r>
      <w:r>
        <w:rPr>
          <w:rFonts w:ascii="Times New Roman;serif" w:hAnsi="Times New Roman;serif"/>
          <w:b w:val="false"/>
          <w:color w:val="000000"/>
          <w:sz w:val="20"/>
        </w:rPr>
        <w:t>for further information on our long-term debt.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Cash Flow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w:t>
      </w:r>
    </w:p>
    <w:tbl>
      <w:tblPr>
        <w:tblW w:w="9046" w:type="dxa"/>
        <w:jc w:val="left"/>
        <w:tblInd w:w="0" w:type="dxa"/>
        <w:tblLayout w:type="fixed"/>
        <w:tblCellMar>
          <w:top w:w="28" w:type="dxa"/>
          <w:left w:w="28" w:type="dxa"/>
          <w:bottom w:w="28" w:type="dxa"/>
          <w:right w:w="28" w:type="dxa"/>
        </w:tblCellMar>
      </w:tblPr>
      <w:tblGrid>
        <w:gridCol w:w="1266"/>
        <w:gridCol w:w="1112"/>
        <w:gridCol w:w="1116"/>
        <w:gridCol w:w="247"/>
        <w:gridCol w:w="933"/>
        <w:gridCol w:w="127"/>
        <w:gridCol w:w="127"/>
        <w:gridCol w:w="127"/>
        <w:gridCol w:w="127"/>
        <w:gridCol w:w="247"/>
        <w:gridCol w:w="933"/>
        <w:gridCol w:w="127"/>
        <w:gridCol w:w="109"/>
        <w:gridCol w:w="109"/>
        <w:gridCol w:w="109"/>
        <w:gridCol w:w="221"/>
        <w:gridCol w:w="756"/>
        <w:gridCol w:w="114"/>
        <w:gridCol w:w="114"/>
        <w:gridCol w:w="114"/>
        <w:gridCol w:w="114"/>
        <w:gridCol w:w="233"/>
        <w:gridCol w:w="233"/>
        <w:gridCol w:w="331"/>
      </w:tblGrid>
      <w:tr>
        <w:tc>
          <w:tcPr>
            <w:tcW w:w="12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2026 vs. 2025</w:t>
            </w:r>
          </w:p>
        </w:tc>
      </w:tr>
      <w:tr>
        <w:tc>
          <w:tcPr>
            <w:tcW w:w="34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(63,434)</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and cash equivalents</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(21,682)</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(22,217)</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 represent the cash receipts and payments related to all of our activities other than investing and financing activities. Net operating cash flow is derived by adjusting our net loss for non-cash operating items and changes in operating assets and liabilities resulting from timing differences between the cash receipts and payments and when the transactions are recognized in our results of operations. As a result, changes in net operating cash flow reflect, among other things, the timing of (i) cash collections from our Customers and (ii) payments made in the normal course of business, such as payments to government agencies and to suppliers, including our CMOs and CROs.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decreased during the nine months ended September 30, 2026, primarily due to increased cash inflows generated from our product sales and the timing of our payments in the normal course of business, partially offset by the timing of our inventory purchases and cash collections from our Customers.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 as applicable, include cash used for purchases of short-term investments and capital expenditures as well as net proceeds from maturities of short-term investments and asset dispositions.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increased during the nine months ended September 30, 2026, primarily reflecting higher short-term investment purchases.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 as applicable, include net proceeds associated with our Loan Agreement, issuance of our common stock under our equity incentive plans and sales of our common stock with respect to the “at-the-market offering” programs.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increased during the nine months ended September 30, 2026, primarily due to higher proceeds received from the issuance of common stock under our equity incentive plans. Net cash provided by financing activities included receipts of the Term F Loan and the Term E Loan during the nine months ended September 30, 2026 and 2025, respectively.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Funding Requirements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on our current operating model, we believe our available cash, cash equivalents and short-term investments as of September 30, 2026 will be sufficient to fund our planned operations for at least a period of one year from the issuance of these financial statements. We have based this estimate on assumptions that may prove to be wrong and we could utilize our available capital resources sooner than we currently expect. In particular, our operating plan may change and we may require significant additional capital to fund our operations. There are no assurances that our efforts to meet our operating cash flow requirements will be successful. If our current cash, cash equivalents and short-term investments as well as our plans to meet our operating cash flow requirements are not sufficient to fund necessary expenditures and meet our obligations following the issuance of these financial statements, our liquidity, financial condition and business prospects will be materially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future funding requirements will depend on many factors as described in Part II, Item 1A, “Risk Factors,” of this Quarterly Report on Form 10-Q.</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Contract Obligations and Commitments</w:t>
      </w:r>
    </w:p>
    <w:p>
      <w:pPr>
        <w:pStyle w:val="TextBody"/>
        <w:bidi w:val="0"/>
        <w:spacing w:lineRule="auto" w:line="288" w:before="0" w:after="180"/>
        <w:ind w:left="0" w:right="0" w:firstLine="360"/>
        <w:jc w:val="left"/>
      </w:pPr>
      <w:r>
        <w:rPr>
          <w:rFonts w:ascii="Times New Roman;serif" w:hAnsi="Times New Roman;serif"/>
          <w:b w:val="false"/>
          <w:color w:val="000000"/>
          <w:sz w:val="20"/>
        </w:rPr>
        <w:t xml:space="preserve">As of September 30, 2026, our total future payment obligation related to the outstanding term loans, excluding interest payments, was $260.8 million, which is due on July 1, 2030. See </w:t>
      </w:r>
      <w:r>
        <w:rPr>
          <w:rFonts w:ascii="Times New Roman;serif" w:hAnsi="Times New Roman;serif"/>
          <w:b w:val="false"/>
          <w:i/>
          <w:color w:val="000000"/>
          <w:sz w:val="20"/>
        </w:rPr>
        <w:t>Note 8. Borrowing</w:t>
      </w:r>
      <w:r>
        <w:rPr>
          <w:color w:val="000000"/>
        </w:rPr>
        <w:t xml:space="preserve"> </w:t>
      </w:r>
      <w:r>
        <w:rPr>
          <w:rFonts w:ascii="Times New Roman;serif" w:hAnsi="Times New Roman;serif"/>
          <w:b w:val="false"/>
          <w:color w:val="000000"/>
          <w:sz w:val="20"/>
        </w:rPr>
        <w:t>for further information on our long-term debt.</w:t>
      </w:r>
    </w:p>
    <w:p>
      <w:pPr>
        <w:pStyle w:val="TextBody"/>
        <w:bidi w:val="0"/>
        <w:spacing w:lineRule="auto" w:line="288" w:before="0" w:after="180"/>
        <w:ind w:left="0" w:right="0" w:firstLine="360"/>
        <w:jc w:val="left"/>
      </w:pPr>
      <w:r>
        <w:rPr>
          <w:rFonts w:ascii="Times New Roman;serif" w:hAnsi="Times New Roman;serif"/>
          <w:b w:val="false"/>
          <w:color w:val="000000"/>
          <w:sz w:val="20"/>
        </w:rPr>
        <w:t xml:space="preserve">We have entered into various operating leases for our offices. As of September 30, 2026, our total undiscounted obligation for operating leases was $4.3 million, with maturities ranging up through July 2029. See </w:t>
      </w:r>
      <w:r>
        <w:rPr>
          <w:rFonts w:ascii="Times New Roman;serif" w:hAnsi="Times New Roman;serif"/>
          <w:b w:val="false"/>
          <w:i/>
          <w:color w:val="000000"/>
          <w:sz w:val="20"/>
        </w:rPr>
        <w:t>Note 9. Leases</w:t>
      </w:r>
      <w:r>
        <w:rPr>
          <w:color w:val="000000"/>
        </w:rPr>
        <w:t xml:space="preserve"> </w:t>
      </w:r>
      <w:r>
        <w:rPr>
          <w:rFonts w:ascii="Times New Roman;serif" w:hAnsi="Times New Roman;serif"/>
          <w:b w:val="false"/>
          <w:color w:val="000000"/>
          <w:sz w:val="20"/>
        </w:rPr>
        <w:t>for further information on our operating leases.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enter into a variety of contracts in the normal course of business. These contracts generally allow us to terminate on notice, reschedule or adjust our requirements based on our business needs prior to the delivery of goods or performance of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preparation of financial statements in accordance with U.S. GAAP requires management to make estimates and assumptions that affect reported amounts and related disclosures. We have discussed those policies and estimates that we believe are critical and require the use of significant judgment in their application in our 2025 Form 10-K. We have made no material changes to our critical accounting policies or the methodologies or assumptions that we apply under them during the nine months ended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market risks, including interest rate fluctuation exposure through our investments, in the ordinary course of our business.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September 30, 2026, we had cash, cash equivalents and short-term investments of $285.3 million, which consisted of bank deposits and money market funds, as well as high quality fixed income instruments, including commercial paper, U.S. government-sponsored agency bonds, U.S. treasury securities, corporate bonds and Yankee bonds. The credit rating of our short-term investments must be rated A-1/P-1, or better by Standard and Poor’s and Moody’s Investors Service. Money market funds must be rated AAA/Aaa. Such interest-earning instruments carry a degree of interest rate risk. However, because our investments are high quality and short-term in duration, we believe that our exposure to interest rate risk is not significant and that a 10% movement in market interest rates would not have a significant impact on the total value of our portfolio, as noted above. We do not enter into investments for trading or speculative purposes.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outstanding principal under our Loan Agreement is subject to a variable interest rate, which fluctuates with changes in the one-month SOFR reference rate as published by the CME Term SOFR Administrator on the CME Term SOFR Administrator’s Website. A hypothetical increase in the one-month SOFR of 100 basis points above the current one-month SOFR rate would not have had a material effect on our results of operations for the nine months ended September 30, 2026. As of September 30, 2026, we had an aggregate principal amount of $250.0 million outstanding pursuant to our Loan Agreement.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majority of our transactions are denominated in U.S. dollars. However, we do have certain transactions that are denominated in currencies other than the U.S. dollar, primarily Swiss francs, Japanese yen and the Euro, and we therefore are subject to foreign exchange risk. The fluctuation in the value of the U.S. dollar against other currencies affects the reported amounts of expenses, non-cash royalty revenue related to the sale of future royalties, assets and liabilities associated with a limited number of manufacturing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use derivative financial instruments for speculative trading purposes, nor do we hedge foreign currency exchange rate exposure in a manner that entirely offsets the earnings effects of changes in foreign currency exchange rates. As of September 30, 2026, we had no open forward foreign currency exchange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required by Rule 13a-15(b) under the Exchange Act, our management, under the supervision and with the participation of our principal executive officer and principal financial officer, has evaluated the effectiveness of the design and operation of our disclosure controls and procedures (as such term is defined in Rules 13a-15(e) and 15d-15(e) under the Exchange Act) as of September 30, 2026.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officer have concluded that, as of September 30, 2026, our disclosure controls and procedures were effective at a reasonable assurance level.</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there were no changes in our internal control over financial reporting that have materially affected, or are reasonably likely to materially affect, our internal control over financial reporting.</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Inherent Limitations on Effectiveness of Controls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360"/>
        <w:jc w:val="left"/>
      </w:pPr>
      <w:r>
        <w:rPr>
          <w:rFonts w:ascii="Times New Roman;serif" w:hAnsi="Times New Roman;serif"/>
          <w:b w:val="false"/>
          <w:color w:val="000000"/>
          <w:sz w:val="20"/>
        </w:rPr>
        <w:t xml:space="preserve">See information in </w:t>
      </w:r>
      <w:r>
        <w:rPr>
          <w:rFonts w:ascii="Times New Roman;serif" w:hAnsi="Times New Roman;serif"/>
          <w:b w:val="false"/>
          <w:i/>
          <w:color w:val="000000"/>
          <w:sz w:val="20"/>
        </w:rPr>
        <w:t>Note 14. Commitments and Contingencies</w:t>
      </w:r>
      <w:r>
        <w:rPr>
          <w:color w:val="000000"/>
        </w:rPr>
        <w:t xml:space="preserve"> </w:t>
      </w:r>
      <w:r>
        <w:rPr>
          <w:rFonts w:ascii="Times New Roman;serif" w:hAnsi="Times New Roman;serif"/>
          <w:b w:val="false"/>
          <w:color w:val="000000"/>
          <w:sz w:val="20"/>
        </w:rPr>
        <w:t>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Our business involves significant risks, some of which are described below. You should carefully consider these risks, as well as other information in this Quarterly Report on Form 10-Q, including our financial statements and the notes thereto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Financial Condition and Capital Requirements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incurred losses in each year since our inception, and if we are unable to continue to increase revenue and/or, if we pursue future business opportunities, we may not achieve cash flow positivity when expected or at all, and even if we do, we may not be able to sustain cash flow positivity quarter over quarter and year over year.</w:t>
      </w:r>
    </w:p>
    <w:p>
      <w:pPr>
        <w:pStyle w:val="TextBody"/>
        <w:bidi w:val="0"/>
        <w:spacing w:lineRule="auto" w:line="288" w:before="0" w:after="180"/>
        <w:ind w:left="0" w:right="0" w:firstLine="360"/>
        <w:jc w:val="left"/>
      </w:pPr>
      <w:r>
        <w:rPr>
          <w:rFonts w:ascii="Times New Roman;serif" w:hAnsi="Times New Roman;serif"/>
          <w:b w:val="false"/>
          <w:color w:val="000000"/>
          <w:sz w:val="20"/>
        </w:rPr>
        <w:t>In March 2022, we commenced the commercialization of our first product, IBSRELA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(tenapanor) for the treatment of IBS-C in adult patients. In November 2023, we commenced the commercialization of XPHOZAH</w:t>
      </w:r>
      <w:r>
        <w:rPr>
          <w:rFonts w:ascii="Times New Roman;serif" w:hAnsi="Times New Roman;serif"/>
          <w:b w:val="false"/>
          <w:color w:val="000000"/>
          <w:sz w:val="13"/>
        </w:rPr>
        <w:t xml:space="preserve">® </w:t>
      </w:r>
      <w:r>
        <w:rPr>
          <w:rFonts w:ascii="Times New Roman;serif" w:hAnsi="Times New Roman;serif"/>
          <w:b w:val="false"/>
          <w:color w:val="000000"/>
          <w:sz w:val="20"/>
        </w:rPr>
        <w:t>(tenapanor) for the reduction of serum phosphorus in adults with CKD on dialysis as add-on therapy in patients who have an inadequate response to phosphate binders or who are intolerant of any dose of phosphate binder therapy.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incurred losses in each year since our inception in October 2007. We continue to incur commercialization, development and additional expenses related to our ongoing operations and pursuit of future business opportunities. As of September 30, 2026, we had an accumulated deficit of $1.0 billion. Our prior losses, combined with any future losses, have had and will continue to have an adverse effect on our stockholders’ equity and working capital.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continue to increase revenue for IBSRELA and XPHOZAH, and/or if we elect to pursue future business opportunities to strengthen our pipeline, we may not achieve cash flow positivity when expected or at all, and even if we do, we may not be able to sustain cash flow positivity quarter over quarter and year over year.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achieve and sustain cash flow positivity quarter over quarter and year over year depends heavily on our ability to successfully commercialize IBSRELA and XPHOZAH and on the decisions we may make to expand our pipeline through internal investment and/or acquiring external assets. In addition, our cash flow positivity may be impacted by the costs of our ongoing development efforts, including our Phase 3 clinical trial evaluating tenapanor in CIC and our RDX10531 development program.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successfully commercialize IBSRELA and XPHOZAH and continue to grow revenue received for both products depends on many factors, including but not limited to:</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maintaining sufficient market acceptance of IBSRELA as a viable treatment option for IBS-C;</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obtaining market acceptance of XPHOZAH;</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extent to which access to XPHOZAH is impacted by the elimination of Medicare Part D coverage for XPHOZAH, which occurred on January 1, 2025, and the extent to which this change and any other regulatory action will interfere with the shared decision-making between healthcare professionals and their patients, regardless of insurance coverage;</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ability to obtain an adequate level of coverage and reimbursement for IBSRELA by third-party payors;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extent to which the actions of the current administration may result in downward pressure on the price that we receive for IBSRELA and XPHOZAH;</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establishing and maintaining supply and manufacturing relationships with third parties that can provide an adequate (in amount and quality) supply of product to support the market demand for IBSRELA and XPHOZAH;</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addressing any competing technological and market developments, including competing therapies that currently exist or that could be successfully developed and approved;</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attracting, hiring, and retaining qualified personnel.</w:t>
      </w:r>
    </w:p>
    <w:p>
      <w:pPr>
        <w:pStyle w:val="TextBody"/>
        <w:bidi w:val="0"/>
        <w:spacing w:lineRule="auto" w:line="288" w:before="0" w:after="180"/>
        <w:ind w:left="0" w:right="0" w:firstLine="360"/>
        <w:jc w:val="left"/>
      </w:pPr>
      <w:r>
        <w:rPr>
          <w:rFonts w:ascii="Times New Roman;serif" w:hAnsi="Times New Roman;serif"/>
          <w:b w:val="false"/>
          <w:color w:val="000000"/>
          <w:sz w:val="20"/>
        </w:rPr>
        <w:t>With respect to our commercialization of IBSRELA and XPHOZAH, our revenue, and therefore, our ability to achieve and sustain cash flow positivity will be dependent, in part, upon the size of the markets in the U.S., the label for which approval was granted, accepted price for the product, and the ability to secure and maintain adequate reimbursement. On January 1, 2025, XPHOZAH, along with other oral drugs for ESRD patients on dialysis without injectable or intravenous equivalents, became part of the ESRD PPS and coverage for XPHOZAH and these other oral drugs under Medicare Part D was eliminated. The inclusion of XPHOZAH in the ESRD PPS creates additional uncertainty as to the commercial opportunity for XPHOZAH. In addition, CMS’ March 27, 2026 operational guidance reiterating that ESRD facilities are expected by CMS to furnish XPHOZAH under the ESRD PPS bundled payment regardless of manufacturer distribution preferences could adversely affect XPHOZAH revenue. See “—</w:t>
      </w:r>
      <w:r>
        <w:rPr>
          <w:rFonts w:ascii="Times New Roman;serif" w:hAnsi="Times New Roman;serif"/>
          <w:b w:val="false"/>
          <w:i/>
          <w:color w:val="000000"/>
          <w:sz w:val="20"/>
        </w:rPr>
        <w:t>XPHOZAH became part of the ESRD PPS on January 1, 2025, which means coverage for XPHOZAH for Medicare beneficiaries is not available under Medicare Part D; this resulted in a negative and material impact on our XPHOZAH revenue in 2025; and the continued lack of Medicare Part D coverage for XPHOZAH will result in a materially lower pace of revenue growth as compared to expectations before XPHOZAH became part of the ESRD PPS</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our current cash, cash equivalents and short-term investments as well as our plans to meet our operating cash flow requirements are not sufficient to fund investments we may elect to make in building our pipeline, we will not be able to achieve or, if achieved, to sustain cash flow positivity, and our liquidity, financial condition, and business prospects may be materially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ability to utilize our net operating loss carryforwards and certain other tax attributes may be limited.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substantial NOL and tax credit carryforwards for Federal and California income tax purposes. Such NOLs and tax credit carryforwards may be reduced as a result of certain intercompany restructuring transactions. In addition, the future utilization of such NOL and tax credit carryforwards and credits may be subject to limitations, pursuant to Sections 382 and 383 of the Internal Revenue Code of 1986, as amended. In general, if a corporation undergoes an “ownership change,” generally defined as a cumulative change of more than 50 percentage points (by value) in its equity ownership by certain stockholders over a three-year period, the corporation’s ability to use its pre-change NOL carryforwards and other pre-change tax attributes (such as research and development tax credits) to offset its post-change income or taxes may be limited. We have experienced ownership changes in the past and may experience additional ownership changes in the future, as a result of subsequent changes in our stock ownership, some of which are outside our control. Accordingly, we may not be able to utilize a material portion of our NOL carryforwards, even if we achieve profitability.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require additional financing for the foreseeable future as we invest in the growth of IBSRELA and XPHOZAH in the U.S. and build a pipeline. The inability to access necessary capital when needed on acceptable terms, or at all, could force us to delay or limit our pursuit of other future business opportunities.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we will continue to expend substantial resources for the foreseeable future, including costs associated with our efforts to commercialize IBSRELA and XPHOZAH; conducting pediatric clinical trials for IBSRELA; our ongoing efforts to evaluate and seek approval of tenapanor for the treatment of CIC, including our ongoing Phase 3 clinical trial in this indication; manufacturing for IBSRELA and XPHOZAH; investments to build a pipeline; and research and development related to potential new product candidates, including development costs related to RDX10531, an NHE3 inhibitor. The inability to access necessary capital when needed on acceptable terms, or at all, could force us to delay or limit our development of potential new products, or our pursuit of future business opportunities. Our future funding requirements will depend on many factors, including, but not limited to:</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extent to which we are able to continue to generate and increase product revenue from sales of IBSRELA and XPHOZAH;</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extent to which access to XPHOZAH is impacted by the elimination of Medicare Part D coverage for XPHOZAH, which occurred on January 1, 2025, and the extent to which this change and any other regulatory action will interfere with the shared decision-making between healthcare professionals and their patients, regardless of insurance coverage;</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extent to which the actions of the current administration may result in downward pressure on the price that we receive for IBSRELA and XPHOZAH;</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availability of adequate third-party reimbursement for IBSRELA;</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manufacturing, selling and marketing costs associated with IBSRELA and XPHOZAH;</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ability to maintain our existing collaboration partnerships and to establish additional collaboration partnerships, in-license/out-license, joint ventures or other similar arrangements and the financial terms of such agreements;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timing, receipt and amount of milestones or royalties from our collaboration partners, if any;</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cash requirements necessary to expand our business;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cash requirements for our ongoing efforts to evaluate and seek approval of tenapanor for the treatment of CIC, including our ongoing Phase 3 clinical trial in this indication;</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cash requirements for the discovery and/or development of other potential product candidates, including RDX10531;</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time and cost necessary to respond to technological and market developments;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costs of filing, prosecuting, maintaining, defending and enforcing any patent claims and other intellectual property rights, including litigation costs and the outcome of such litigation, and costs of defending any claims of infringement brought by others in connection with the development, manufacture or commercialization of tenapanor or any of our product candidates; and</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 xml:space="preserve">the payment of interest and principal related to our loan and security agreement entered into with SLR, as amended to date.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 funds may not be available when we need them on terms that are acceptable to us, or at all. If adequate funds are not available to us on a timely basis, we may be required to delay or limit additional clinical trials for tenapanor, or delay or limit our pursuit of other future business opportunities.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Principal Risks Related to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substantially dependent on the successful commercialization of IBSRELA, and there is no guarantee that we will maintain sufficient market acceptance for IBSRELA, grow market share for IBSRELA, secure and maintain adequate coverage and reimbursement for IBSRELA, or generate sufficient revenue from product sales of IBSRELA.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began selling IBSRELA in the U.S. in March 2022. The overall commercial success of IBSRELA will depend on a number of factors, including the following:</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ability of the third-party manufacturers we contract with to provide an adequate (in amount and quality) supply of product to support the market demand for IBSRELA;</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ability to obtain and sustain an adequate level of coverage and reimbursement for IBSRELA by third-party payors;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effectiveness of IBSRELA as a treatment for adult patients with IBS-C;</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whether IBSRELA will be subject to price negotiations under the IRA, and the timing and impact of those price negotiations on the revenue from product sales of IBSRELA;</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extent to which the actions of the current administration may result in downward pressure on the price that we receive for IBSRELA;</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size of the treatable patient population;</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ability to successfully expand the IBSRELA eligible patient population, including with respect to our ongoing efforts to evaluate and seek approval of tenapanor for the treatment of CIC;</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 xml:space="preserve">our ability to continue to increase the market share of IBSRELA; </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effectiveness of our sales, market access and marketing efforts;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whether physicians view IBSRELA as a safe and effective treatment for adult patients with IBS-C, which will impact the adoption of IBSRELA by physicians for the treatment of IBS-C;</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availability, perceived advantages, relative cost, relative safety and relative efficacy of IBSRELA compared to alternative and competing treatments;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prevalence and severity of adverse side effects of IBSRELA;</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potential involvement in lawsuits in connection with enforcing intellectual property rights in and to IBSRELA;</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potential involvement in third-party interference, opposition, derivation or similar proceedings with respect to our patent rights directed to IBSRELA, and avoiding other challenges to our patent rights and patent infringement claims; and</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a continued acceptable safety and tolerability profile of IBSRELA following approval.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amount of potential revenue we may achieve from the commercialization of IBSRELA is subject to these and other factors, and may be unpredictable from quarter-to-quarter. If the number of patients in the market for IBSRELA or the price that the market can bear is not as significant as we estimate, if we are not able to continue to secure and maintain physician and patient acceptance of IBSRELA or adequate coverage and reimbursement for IBSRELA, or if we are not successful in our efforts to develop and obtain regulatory approval for IBSRELA for CIC patients in the time frame we expect, or at all, we may not generate sufficient revenue from sales of IBSRELA to achieve our business goals. Any failure of IBSRELA to maintain market acceptance, continue to increase market share, obtain and maintain sufficient third-party coverage or reimbursement, or achieve commercial success would adversely affect our results of operations.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There is no guarantee that we will achieve sufficient market acceptance for XPHOZAH, or that we will be able to secure and maintain adequate coverage and reimbursement for XPHOZAH, or generate sufficient revenue from product sales of XPHOZAH. The inclusion of XPHOZAH in the ESRD PPS creates additional uncertainty as to the commercial opportunity for XPHOZAH.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began selling XPHOZAH in the U.S. in November 2023. The overall commercial success of XPHOZAH will depend on a number of factors, including the following:</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extent to which access to XPHOZAH is impacted by the elimination of Medicare Part D coverage for XPHOZAH, which occurred on January 1, 2025, and the extent to which this change and any other regulatory action will interfere with the shared decision-making between healthcare professionals and their patients, regardless of insurance coverage;</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extent to which the actions of the current administration may result in downward pressure on the price that we receive for XPHOZAH;</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ability of the third-party manufacturers we contract with to provide an adequate (in amount and quality) supply of product to support the market demand for XPHOZAH;</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whether or not the content and breadth of the label that has been approved by the FDA for XPHOZAH will materially and adversely impact our ability to commercialize the product for the approved indication;</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prevalence and severity of adverse side effects of XPHOZAH;</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acceptance of XPHOZAH as safe, effective and well-tolerated by patients and the medical community;</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ability to manage the commercialization of IBSRELA and XPHOZAH and the complex pricing and reimbursement negotiations that may arise with marketing products containing the same active ingredient at different doses for separate indications;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availability, perceived advantages, relative cost, relative safety and relative efficacy of XPHOZAH compared to alternative and competing treatments;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obtaining and sustaining an adequate level of coverage and reimbursement for XPHOZAH by third-party payors;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potential involvement in lawsuits in connection with enforcing intellectual property rights in and to XPHOZAH;</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potential involvement in third-party interference, opposition, derivation or similar proceedings with respect to our patent rights, and avoiding other challenges to our patent rights and patent infringement claims; and</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a continued acceptable safety and tolerability profile of XPHOZAH following approval.</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pPr>
      <w:r>
        <w:rPr>
          <w:rFonts w:ascii="Times New Roman;serif" w:hAnsi="Times New Roman;serif"/>
          <w:b w:val="false"/>
          <w:color w:val="000000"/>
          <w:sz w:val="20"/>
        </w:rPr>
        <w:t>There is no guarantee that we will achieve sufficient market acceptance for XPHOZAH, or that we will be able to secure and maintain adequate coverage and reimbursement for XPHOZAH, or generate sufficient revenue from product sales of XPHOZAH. The inclusion of XPHOZAH in the ESRD PPS creates additional uncertainty as to the commercial opportunity for XPHOZAH. In addition, CMS’ March 27, 2026 operational guidance reiterating that ESRD facilities are expected by CMS to furnish XPHOZAH under the ESRD PPS bundled payment regardless of manufacturer distribution preferences could adversely affect XPHOZAH revenue. See “—</w:t>
      </w:r>
      <w:r>
        <w:rPr>
          <w:rFonts w:ascii="Times New Roman;serif" w:hAnsi="Times New Roman;serif"/>
          <w:b w:val="false"/>
          <w:i/>
          <w:color w:val="000000"/>
          <w:sz w:val="20"/>
        </w:rPr>
        <w:t>XPHOZAH became part of the ESRD PPS on January 1, 2025, which means coverage for XPHOZAH for Medicare beneficiaries is not available under Medicare Part D; this resulted in a negative and material impact on our XPHOZAH revenue in 2025; and the continued lack of Medicare Part D coverage for XPHOZAH will result in a materially lower pace of revenue growth as compared to expectations before XPHOZAH became part of the ESRD PPS</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XPHOZAH became part of the ESRD PPS on January 1, 2025, which means coverage for XPHOZAH for Medicare beneficiaries is not available under Medicare Part D; this resulted in a negative and material impact on our XPHOZAH revenue in 2025; and the continued lack of Medicare Part D coverage for XPHOZAH will result in a materially lower pace of revenue growth as compared to expectations before XPHOZAH became part of the ESRD PPS.</w:t>
      </w:r>
    </w:p>
    <w:p>
      <w:pPr>
        <w:pStyle w:val="TextBody"/>
        <w:bidi w:val="0"/>
        <w:spacing w:lineRule="auto" w:line="288" w:before="0" w:after="180"/>
        <w:ind w:left="0" w:right="0" w:firstLine="360"/>
        <w:jc w:val="left"/>
      </w:pPr>
      <w:r>
        <w:rPr>
          <w:rFonts w:ascii="Times New Roman;serif" w:hAnsi="Times New Roman;serif"/>
          <w:b w:val="false"/>
          <w:color w:val="000000"/>
          <w:sz w:val="20"/>
        </w:rPr>
        <w:t xml:space="preserve">In January 2011, CMS, an agency within the United States Department of Health and Human Services responsible for administering the Medicare program, implemented the ESRD PPS, a new PPS for dialysis treatment. Under the ESRD PPS,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drugs defined by CMS to be part of the renal dialysis service. CMS included XPHOZAH in the ESRD PPS, effective January 1, 2025, eliminating coverage for XPHOZAH for Medicare beneficiaries under Medicare Part D. The change in Medicare reimbursement coverage had a negative and material impact on our XPHOZAH revenue in 2025 and may have a material adverse impact on our XPHOZAH revenue in future periods. We anticipate the continued lack of Medicare Part D coverage for XPHOZAH will result in a materially lower pace of revenue growth as compared to expectations before XPHOZAH became part of the ESRD PPS. On June 26, 2026, the U.S. Court of Appeals for the District of Columbia Circuit affirmed dismissal of our lawsuit against CMS regarding the inclusion of XPHOZAH in the ESRD PPS. See </w:t>
      </w:r>
      <w:r>
        <w:rPr>
          <w:rFonts w:ascii="Times New Roman;serif" w:hAnsi="Times New Roman;serif"/>
          <w:b w:val="false"/>
          <w:i/>
          <w:color w:val="000000"/>
          <w:sz w:val="20"/>
        </w:rPr>
        <w:t>Note 14. Commitments and Contingencies</w:t>
      </w:r>
      <w:r>
        <w:rPr>
          <w:color w:val="000000"/>
        </w:rPr>
        <w:t xml:space="preserve"> </w:t>
      </w:r>
      <w:r>
        <w:rPr>
          <w:rFonts w:ascii="Times New Roman;serif" w:hAnsi="Times New Roman;serif"/>
          <w:b w:val="false"/>
          <w:color w:val="000000"/>
          <w:sz w:val="20"/>
        </w:rPr>
        <w:t>for more information. In addition, on March 27, 2026, CMS issued operational guidance reiterating that ESRD facilities are expected by CMS to furnish XPHOZAH under the bundled payment, which may limit our ability to effectively pursue alternative distribution approaches for XPHOZAH and negatively impact our XPHOZAH revenue and pace of revenue growth.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extent to which the inclusion of XPHOZAH in the ESRD PPS will continue to materially and adversely impact our XPHOZAH business is dependent on the following:</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 xml:space="preserve">the extent to which this change, the March 2026 CMS operational guidance and any other regulatory action will interfere with the shared decision-making between healthcare professionals and their patients, regardless of insurance coverage; and </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IBSRELA and/or XPHOZAH may cause undesirable side effects or have other properties that could limit the commercial success of the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Undesirable side effects caused by IBSRELA and/or XPHOZAH could cause us or regulatory authorities to interrupt, delay or halt the commercialization of the product. Despite marketing approval for IBSRELA and XPHOZAH, the prevalence and/or severity of side effects caused by IBSRELA and/or XPHOZAH could result in a number of potentially significant negative consequences, including:</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regulatory authorities may withdraw their approval of the product or seize the product;</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we or a collaboration partner may be required to recall the product;</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additional restrictions may be imposed on the marketing of the particular product or the manufacturing processes for the product or any component thereof, including the imposition of a REMS which could require creation of a Medication Guide or patient package insert outlining the risks of such side effects for distribution to patients, a communication plan to educate healthcare providers of the drugs’ risks, as well as other elements to assure safe use of the product, such as a patient registry and training and certification of prescribers;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we or a collaboration partner may be subject to fines, injunctions or the imposition of civil or criminal penalties;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regulatory authorities may require the addition of new labeling statements, such as a “black box” warning or a contraindication;</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we could be sued and held liable for harm caused to patients;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product may become less competitive; and</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reputation may suffer.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of the foregoing events could prevent us, or a collaboration partner, from achieving or maintaining market acceptance of IBSRELA and/or XPHOZAH, and could result in the loss of significant revenue to us, which would materially and adversely affect our results of operations and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Failure to obtain or maintain adequate coverage and reimbursement for IBSRELA and XPHOZAH could limit our ability to market those products and decrease our ability to generate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pricing, coverage and reimbursement of IBSRELA and XPHOZAH must be adequate to support a commercial infrastructure. The availability and adequacy of coverage and reimbursement by governmental and private payors are essential for most patients to be able to afford treatments. Sales of IBSRELA and XPHOZAH will depend substantially, both domestically and abroad, on the extent to which the costs of the product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IBSRELA or XPHOZAH. Even if coverage is provided, the approved reimbursement amount may not be high enough to allow us to establish or maintain pricing sufficient to realize a return on our investment. In addition, as our payor contracting strategy evolves, arrangements with payors may require rebates, discounts or other price concessions to obtain or maintain coverage or access. These arrangements could reduce the net prices we receive, and any resulting increase in access, utilization or sales may not be sufficient to offset those concessions.</w:t>
      </w:r>
    </w:p>
    <w:p>
      <w:pPr>
        <w:pStyle w:val="TextBody"/>
        <w:bidi w:val="0"/>
        <w:spacing w:lineRule="auto" w:line="288" w:before="0" w:after="180"/>
        <w:ind w:left="0" w:right="0" w:firstLine="360"/>
        <w:jc w:val="left"/>
      </w:pPr>
      <w:r>
        <w:rPr>
          <w:rFonts w:ascii="Times New Roman;serif" w:hAnsi="Times New Roman;serif"/>
          <w:b w:val="false"/>
          <w:color w:val="000000"/>
          <w:sz w:val="20"/>
        </w:rPr>
        <w:t>In the U.S., CMS decides whether and to what extent a new drug will be covered and reimbursed under Medicare. Private payors tend to follow the coverage reimbursement policies established by CMS to a substantial degree. On January 1, 2025, XPHOZAH, along with other oral drugs for ESRD patients on dialysis without injectable or intravenous equivalents, became part of the ESRD PPS and coverage for XPHOZAH and these other oral drugs under Medicare Part D was eliminated. See “—</w:t>
      </w:r>
      <w:r>
        <w:rPr>
          <w:rFonts w:ascii="Times New Roman;serif" w:hAnsi="Times New Roman;serif"/>
          <w:b w:val="false"/>
          <w:i/>
          <w:color w:val="000000"/>
          <w:sz w:val="20"/>
        </w:rPr>
        <w:t>XPHOZAH became part of the ESRD PPS on January 1, 2025, which means coverage for XPHOZAH for Medicare beneficiaries is not available under Medicare Part D; this resulted in a negative and material impact on our XPHOZAH revenue in 2025; and the continued lack of Medicare Part D coverage for XPHOZAH will result in a materially lower pace of revenue growth as compared to expectations before XPHOZAH became part of the ESRD PPS</w:t>
      </w:r>
      <w:r>
        <w:rPr>
          <w:color w:val="000000"/>
        </w:rPr>
        <w:t xml:space="preserve">” </w:t>
      </w:r>
      <w:r>
        <w:rPr>
          <w:rFonts w:ascii="Times New Roman;serif" w:hAnsi="Times New Roman;serif"/>
          <w:b w:val="false"/>
          <w:color w:val="000000"/>
          <w:sz w:val="20"/>
        </w:rPr>
        <w:t>above.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Outside the U.S., international operations are generally subject to extensive governmental price controls and other market regulations, and we believe the increasing emphasis on cost-containment initiatives in other countries has and will continue to put pressure on the pricing and usage of IBSRELA and XPHOZAH.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products. Accordingly, in markets outside the U.S., the reimbursement for our products may be reduced compared with the U.S. and may be insufficient to generate commercially reasonable revenue and profits.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increasing efforts by governmental and third-party payors in the U.S. and abroad to cap or reduce healthcare costs may cause such organizations to limit both coverage and the level of reimbursement for our products and, as a result, they may not cover or provide adequate payment for our product candidates. We expect to continue to experience pricing pressures in connection with the sale of IBSRELA and XPHOZAH,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and the continued commercial success of established products.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completely on third parties, including certain single-source suppliers,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XPHOZAH may be materially harmed.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currently have, nor do we plan to acquire, the infrastructure or capability internally to manufacture IBSRELA or XPHOZAH on a commercial scale, or to manufacture our drug supplies for use in the conduct of our nonclinical and clinical studies. Our success depends upon our ability to enter into new supplier agreements and maintain our relationships with suppliers who are critical and necessary to the production of our drug supply.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facilities used by our CMOs to manufacture our drug supply are subject to inspection by the FDA. Our ability to control the manufacturing process of our product candidates is limited to the contractual requirements and obligations we impose on our CMOs. Although they are contractually required to do so, we are completely dependent on our CMOs for compliance with the regulatory requirements, known as cGMP requirements, for manufacture of both active drug substances and finished drug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manufacture of pharmaceutical products requires significant expertise and capital investment. Manufacturers of pharmaceutical products often encounter difficulties in commercial production. These problems may include difficulties with production costs and yields, quality control, including stability of the product and quality assurance testing, and shortages of qualified personnel, as well as compliance with federal, state and foreign regulations and the challenges associated with complex supply chain management. Even if our CMOs do not experience problems and commercial manufacturing is achieved, their maximum or available manufacturing capacities may be insufficient to meet commercial demand. Finding alternative manufacturers or adding additional manufacturers requires a significant amount of time and involves significant expense. New manufacturers would need to develop and implement the necessary production techniques and processes, which along with their facilities, would need to be inspected and approved by the regulatory authorities in each applicable territory. In addition, the raw materials necessary to make API for our products are acquired from a limited number of sources. Any delay or disruption in the availability of these raw materials could result in production disruptions, delays or higher costs with consequent adverse effects on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our CMOs fail to adhere to applicable cGMP or other regulatory requirements, experience delays or disruptions in the availability of raw materials or experience manufacturing or distribution problems, we may suffer significant consequences, including the inability to meet our product requirements for our clinical development programs, and such events could result in product seizures or recalls, loss of product approval, fines and sanctions, reputational damage, shipment delays, inventory shortages, inventory write-offs and other product-related charges and increased manufacturing costs. As a result, or if maximum or available manufacturing capacities are insufficient to meet demand, our development or our commercialization efforts for IBSRELA and/or XPHOZAH may be materially harmed.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rely on foreign CROs and CMOs, which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For example, the U.S. BIOSECURE Act, which was enacted in December 2025, prohibits federal agencies from procuring or using any biotechnology equipment or services from “biotechnology companies of concern,” or entering into, extending, or renewing any contracts with entities that use such biotechnology equipment or services from “biotechnology companies of concern.” Congress has interpreted a “biotechnology company of concern” as an entity that is under the control of a foreign adversary and that poses a risk to national security based on its research or multiomic data collection (e.g., collection of genomic information). While the U.S. BIOSECURE Act has a grandfathering period of five years for existing contracts, and has carveouts for manufacture of drugs for supply under Medicaid and Medicare Part B, subject to the Secretary of Veterans Affairs’ discretion, the impact of the U.S. BIOSECURE Act on the biotechnology industry is uncertain. If the foreign CROs and CMOs we rely on become subject to trade restrictions, sanctions, increased tariffs or other regulatory requirements by the U.S. government (including designation as a “biotechnology company of concern” under the U.S. BIOSECURE Act), or if the U.S. or Chinese government take retaliatory actions due to recent or increased tensions between the U.S. and China, it may have the potential to severely restrict the ability of U.S. biopharmaceutical companies like us to purchase services or products from, or otherwise collaborate with, certain “biotechnology companies of concern” without losing the ability to contract with, or otherwise receive funding from, the U.S. government.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future business prospects may depend on our ability, alone or through our current or future collaborations, to successfully develop, gain regulatory approval of and commercialize our current and future product candidates.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Before obtaining marketing approval from regulatory authorities for the sale of our product candidates, including new uses for currently approved products, we must conduct extensive clinical studies to demonstrate the safety and efficacy of the product candidates in humans. The drug development process, including obtaining regulatory approval for a product, is a long, expensive and uncertain process, involving a high degree of risk. We cannot be certain that we will be able to complete ongoing clinical trials or to announce results of such trials with respect to any of our product candidates, on the timelines we expect or at all, or that the results of our clinical trials or other activities under our development programs will be positive. We cannot be certain that we will be able to advance such product candidates into additional trials or to successfully develop, obtain regulatory approval for, or successfully commercialize any of our product candidates, if approved.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example, in October 2025, we announced the initiation of a development program for RDX10531, an NHE3 inhibitor with potential application across multiple therapeutic areas. In January 2026, we initiated ACCEL (TEN-03-301), a Phase 3 clinical trial designed to assess the safety and efficacy of tenapanor for the treatment of CIC. Enrollment in ACCEL is now complete and we remain on track to announce topline data in the second half of 2027. We may not be able to demonstrate the efficacy and safety of these or any future product candidates, or we may encounter other issues with any clinical trials or non-clinical studies required for regulatory submissions of our product candidates. The results of clinical trials or non-clinical studies of our product candidates at any stage may not support further development or may not be sufficient to file for and obtain regulatory approval on the timelines we expect or at all. The FDA or other regulatory authorities may not agree with our interpretation of the results of clinical trials or non-clinical studies. Other decisions or actions of the FDA or other regulatory authorities may affect our plans, progress, results, timing or next steps, including whether to proceed with further development. Some or all of our current or future non-clinical studies or clinical trials may fail to meet their primary or key secondary endpoints, raise safety issues or generate mixed results, resulting in delays to or discontinuation of certain development efforts and/or additional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conduct of clinical trials, we could encounter delays in our development if any clinical trials are suspended or terminated by us, by the IRBs of the institutions in which the trial is being conducted,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ongoing and planned development activities may be negatively impacted by a number of factors. Widespread healthcare and vendor staffing shortages and increased competition for patients and clinical sites may make it difficult to enroll patients in our non-clinical studies and/or clinical trials and/or identify and activate participating clinical sites for our trials, may cause other delays at clinical trial sites and/or vendors, and may increase the rates of patients withdrawing from our clinical trials following enrollment. Some clinical sites may decline or delay participation in our trials due to capacity and resource constraints. These or other factors may substantially slow clinical site identification and activation and enrollment in our clinical trials, or cause us to pause trials, which may, in each case, significantly impact our ability to meet our expected timelines, budgets, or other plans.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Identifying and qualifying patients to participate in any clinical trials is critical to the success of the clinical trials. The timing of any future clinical trials that we may determine to conduct will depend, in part, on the speed at which we can recruit patients to participate in testing our product candidates. Patients may be unwilling to participate in our clinical studies because of concerns about adverse events observed with the current standard of care, competitor products and/or other investigational agents, in each case for the same indications and/or similar patient populations. In addition, patients currently receiving treatment with the current standard of care or a competitor product may be reluctant to participate in a clinical trial with an investigational drug, or our inclusion and exclusion criteria for our clinical trials may present challenges in identifying acceptable patients. As a result, the timeline for recruiting patients and conducting clinical trials may be delayed. These delays could result in increased costs, delays in advancing our development of the program or termination of the clinical studies altogether. Any of these occurrences may significantly harm our business, financial condition and prospects.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limitations or modifications to study procedures, study visits or data collection, restrictions on key clinical trial activities such as monitoring or auditing, or other restrictions that may affect data analysis activities may require additional assessment and evaluation from IRBs, negatively impact the integrity or completeness of our trial data, the powering of a trial, the integrity or relevance of clinical study endpoints, or impact the timing of availability of results. Any of these factors could delay or increase the expense of our ongoing or future development programs.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drug development process can take many years and may include post-marketing studies and surveillance, which will require the expenditure of substantial resources. Of the large number of drugs in development in the U.S., only a small percentage will successfully complete the FDA regulatory approval process and will be commercialized. Accordingly, even if we have the requisite financial resources, when needed, to continue to fund our development efforts, our current or future product candidates may never be successfully developed or commercialized. Even if we conduct the trials required by the FDA, the FDA may ultimately decide that the design, number and type of trials, number of patients studied or results, even if positive, are not sufficient to file for or gain regulatory approval of any of our product candidates in the indications we study, or do not support the safety or efficacy or our intended profile for the product. Any of these negative outcomes could materially impact our ongoing or future development programs and adversely affect our business, results of operations, financial condition and prospects and could lead us to make significant further changes to the scope and nature of our development efforts.</w:t>
      </w:r>
    </w:p>
    <w:p>
      <w:pPr>
        <w:pStyle w:val="TextBody"/>
        <w:bidi w:val="0"/>
        <w:spacing w:lineRule="auto" w:line="288" w:before="0" w:after="180"/>
        <w:jc w:val="left"/>
      </w:pPr>
      <w:r>
        <w:rPr>
          <w:rFonts w:ascii="Times New Roman;serif" w:hAnsi="Times New Roman;serif"/>
          <w:b/>
          <w:i/>
          <w:color w:val="000000"/>
          <w:sz w:val="20"/>
        </w:rPr>
        <w:t>Our future results depend on CMOs, many of whom are our single source manufacturers.</w:t>
      </w:r>
      <w:r>
        <w:rPr>
          <w:color w:val="000000"/>
        </w:rPr>
        <w:t xml:space="preser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CMOs are currently single source manufacturers. While we try to obtain multiple sources whenever possible, similar to other commercial pharmaceutical companies, three stages of our manufacturing process are currently completed by a single source, which exposes us to a number of risks related to our supply chain, including delivery failure and drug shortages. To date, we have no qualified alternative sources for these single source CMOs.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manufacturing and commercial supply agreements with our CMOs, including our single source CMOs, contain or are likely to contain pricing provisions that are subject to adjustment based on factors outside of our control, including changes in market prices. Substantial increases in the prices for necessary materials and equipment, whether due to supply chain or logistics issues, tariffs or due to inflation, would increase our operating costs and could reduce our margins. Any attempts to increase the announced or expected prices of IBSRELA and/or XPHOZAH in response to increased costs could be viewed negatively by the public and could adversely affect our business, prospects,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we currently and may in the future rely on foreign CMOs and CROs. Such foreign CMOs and CROs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 inability to continue to source product from any of these CMOs, which could be due to regulatory actions or requirements affecting the supplier, adverse financial or other strategic developments experienced by a CMO, labor disputes or shortages, unexpected demands, or quality issues, could adversely affect our ability to satisfy demand for our products, which could adversely and materially affect our product sales and operating results, which could significantly harm our business. Furthermore, qualifying alternate suppliers or developing our own manufacturing capability for certain highly customized stages of our manufacturing process would be time consuming and costly. Furthermore, any new CMO would need to complete validation batches and be approved by regulatory authorities as our manufacturer, including passing any required inspections, before we would be able to utilize the drug product or drug substance they manufacture for commercial purposes, which could result in significant costs and delays in product availability. There can be no assurance that our business, financial condition and results of operations will not be materially and adversely affected by supply chain disruptions. Any disruption in the supply chain, whether or not from a single source CMO, could temporarily disrupt production of our drug supply until an alternative supplier is fully qualified by us or until such CMO is able to perform. There can be no assurance that we would be able to successfully retain an alternative CMO on a timely basis, on acceptable terms, or at all. Changes in business conditions, force majeure, governmental changes, and other factors beyond our control or which we do not presently anticipate, could also affect our CMOs’ ability to deliver components to us on a timely basis. Any of the foregoing could materially and adversely affect our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operating activities may be restricted as a result of covenants related to the indebtedness under our loan and security agreement with SLR, as amended, and we may be required to repay the outstanding indebtedness in an event of default, which could have a materially adverse effect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23, 2022, we entered into a loan and security agreement (the Loan Agreement) with SLR as collateral agent and the lenders listed in the Loan Agreement (collectively, the Lenders). The Loan Agreement was subsequently amended in August 2022 (the First Amendment), February 2023 (the Second Amendment), October 2023 (the Third Amendment), October 2024 (Fourth Amendment), June 2025 (Fifth Amendment) and April 2026 (Sixth Amendment). The loan was funded in the amount of $27.5 million on February 23, 2022. An additional amount of $22.5 million was drawn on October 19, 2023, and an additional $50.0 million was drawn on each of March 1, 2024, October 29, 2024, June 30, 2025 and June 29, 2026, respectively. These are referred to as the Term A, B, C, D, E and F Loans, respectively. In connection with the Sixth Amendment, a portion of the $200.0 million in outstanding principal previously allocated among the Term A through C Loans was refinanced with a new Term H Loan, and the interest rate was collectively reduced under all term loans, including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undrawn term loans. As of September 30, 2026, we have the option to draw up to an additional $50.0 million pursuant to the Term G Loan, which is available at the Company’s election through December 20, 2026. Until we have repaid all funded indebtedness, the Loan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may be required to repay the outstanding indebtedness under the loan facility if an event of default occurs under the Loan Agreement. An event of default will occur if, among other things, we fail to make payments under the Loan Agreement; we breach any of our covenants under the Loan Agreement, subject to specified cure periods with respect to certain breaches; a Lender determines that a material adverse change has occurred; we or our assets become subject to certain legal proceedings, such as bankruptcy proceedings; we are unable to pay our debts as they become due; or we default on contracts with third parties which would permit a Lender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limit or reduce our activities necessary to commercialize IBSRELA and/or XPHOZAH, or delay or limit clinical trials for tenapanor or other product candidates. The Lenders could also exercise its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Additional Risks Related to Our Business and Industry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face substantial competition, and our competitors may discover, develop or commercialize products faster or more successfully than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Competition for IBSRELA largely comes from three prescription products marketed for certain patients with IBS-C that we are aware of, consisting of Linzess (linaclotide), Amitiza (lubiprostone) and Trulance (plecanatide). Generic lubiprostone is also available in the U.S. Additionally, over-the-counter products not indicated for IBS-C are commonly used to treat the constipation component of IBS-C, alone and in combination with the IBS-C-indicated prescription therapies. In addition, if successfully developed and approved for the treatment of CIC, we believe IBSRELA will also face competition from branded products Linzess (linaclotide) and Trulance (plecanatide) as well as generic lubiprostone and prucalopride.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XPHOZAH is indicated to reduce serum phosphorus in adults with CKD on dialysis as add-on therapy in patients who have an inadequate response to phosphate binders or who are intolerant of any dose of phosphate binder therapy. The various types of phosphate binders commercialized in the U.S. include the following: Calcium acetate (several prescription brands including PhosLo and Phoslyra); Lanthanum carbonate (Fosrenol); Sevelamer hydrochloride (Renagel); Sevelamer carbonate (Renvela); Sucroferric oxyhydroxide (Velphoro) and Ferric citrate (Auryxia). All of the listed phosphate binders are available as generics in the U.S., with the exception of Velphoro and Auryxia. Additionally, over-the-counter calcium carbonate, such as Tums and Caltrate, is also used to bind phosphorus.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the currently available phosphate binders, we are aware of at least four phosphate binders in development, including AP-301, developed by Alebund Pharmaceutical (Hong Kong) Limited and currently in Phase 3; VS-505, developed by Vidasym and currently in Phase 3; and TS-172, developed by Taisho Pharmaceutical and currently in Phase 3. On June 30, 2026, Unicycive Therapeutics, which is developing OLC, announced the receipt of a Complete Response Letter from the FDA citing manufacturing deficiencies. Additionally, Alebund is developing AP-306, an inhibitor of phosphate transporters NaPi-2b, PiT-1, and PiT-2, thus far studied in a Phase 2 clinical trial.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It is possible that our competitors’ drugs may be less expensive and more effective than our product candidates, or may render our product candidates obsolete. It is also possible that our competitors will commercialize competing drugs or treatments before we or our collaboration partners can launch any products developed from our product candidates. We also may face increased competition in the future as new companies enter into our target markets.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experience difficulties in managing our current activities and growth given our level of managerial, operational, financial and other resources.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manage our commercialization activities effectively;</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manage our clinical trials effectively;</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manage our internal development efforts effectively while carrying out our contractual obligations to licensors, contractors, collaborators, government agencies and other third parties;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continue to improve our operational, financial and management controls, reporting systems and procedures; and</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retain and motivate our remaining employees and potentially identify, recruit and integrate additional employees.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maintain or expand our managerial, operational, financial and other resources to the extent required to manage our development and commercialization activities, our business will be materially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engage in strategic transactions that could impact our liquidity, increase our expenses and present significant distractions to our management.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consider strategic transactions, such as acquisitions of companies, asset purchases, and/or in-licensing of products, product candidates or technologies. In addition, if we are unable to access capital on a timely basis and on terms that are acceptable to us, we may be forced to further restructure certain aspects of our business or identify and complete one or more strategic collaborations or other transactions in order to fund the commercialization of IBSRELA and XPHOZAH, and/or the development of discovery and developmental assets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up-front, milestone and royalty payments, equity investments and financial support of new research and development candidates including increase of personnel, all of which may be substantial;</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exposure to unknown liabilities;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disruption of our business and diversion of our management’s time and attention in order to develop acquired products, product candidates or technologies;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incurrence of substantial debt or dilutive issuances of equity securities;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higher-than-expected acquisition and integration costs;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write-downs of assets or goodwill or impairment charges;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increased amortization expenses;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difficulty and cost in combining the operations and personnel of any acquired businesses with our operations and personnel;</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impairment of relationships with key suppliers or customers of any acquired businesses due to changes in management and ownership; and</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inability to retain key employees of any acquired businesses.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product liability lawsuits are brought against us, we may incur substantial liabilities and may be required to limit commercialization of IBSRELA and/or XPHOZAH.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face an inherent risk of product liability as a result of the clinical testing of our product candidates and our commercialization of IBSRELA and XPHOZAH. For example, we may be sued if any product we develop and/or commercialize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decreased demand for the product;</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injury to our reputation;</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withdrawal of clinical trial participants;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costs to defend the related litigation;</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a diversion of management’s time and our resources;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substantial monetary awards to trial participants or patients;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regulatory investigations, product recalls or withdrawals, or labeling, marketing or promotional restrictions;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loss of revenue; and</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inability to commercialize or co-promote IBSRELA and/or XPHOZAH.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inability to obtain and maintain sufficient product liability insurance at an acceptable cost and scope of coverage to protect against potential product liability claims could prevent or inhibit the commercialization of any products we develop.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attract, retain and motivate our executives, senior management and key personnel, our business will suffer.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Recruiting and retaining qualified scientific, sales and marketing, clinical, medical, business development, manufacturing, finance and administrative personnel is critical to our success. We are highly dependent on our executives, senior management and certain other key employees. The loss of the services of our executives, senior management or other key employees could impede the achievement of our development and commercial objectives and seriously harm our ability to successfully implement our business strategy. Furthermore, replacing executives, senior management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or motivate these key personnel on acceptable terms given the intense competition among numerous biopharmaceutical companies for similar personnel, particularly in our geographic regions. If we are unable to continue to attract and retain high quality personnel, our ability to grow and pursue our business strategy will be limited.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global data protection landscape continues to rapidly evolve,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our operations and business continue to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number of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passed in other states, reflecting a trend toward more stringent privacy legislation in the U.S.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the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According to the FTC, failing to take appropriate steps to keep consumers’ personal information secure can constitute unfair acts or practices in or affecting commerce in violation of Section 5(a) of the FTC Act. The FTC and many state Attorneys General continue to enforce federal and state consumer protection laws against companies for online collection, use, dissemination and security practices that appear to be unfair or deceptive, including on websites, to regulate the presentation of website content.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or may become subject to rapidly evolving data protection laws, rules and regulations in foreign jurisdictions. For example, in Europe, we may be subject to the European Union General Data Protection Regulation (EU GDPR) and to the United Kingdom General Data Protection Regulation and Data Protection Act 2018 (collectively, the UK GDPR) (the EU GDPR and UK GDPR together referred to as the GDPR). The GDPR imposes strict requirements for processing the personal data of individuals within the EEA and UK. Companies that must comply with the GDPR face increased compliance obligations and risk, including more robust regulatory enforcement of data protection requirements and potential fines for noncompliance of up to €20 million/£17.5 million or four percent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United States remains uncertain. Case law from the Court of Justice of the European Union states that reliance on the standard contractual clauses - a standard form of contract approved by the European Commission as an adequate personal data transfer mechanism - alone may not necessarily be sufficient in all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circumstances and that transfers must be assessed on a case-by-case basis.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could suffer additional costs, complaints and/or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may be affected by the evolving regulatory framework for AI Technologies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use artificial intelligence (AI), machine learning, and automated decision-making technologies, (collectively, AI Technologies) throughout our business, and are making investments in this area. We expect that increased investment will be required in the future to continuously improve our use of AI Technologies. As with many technological innovations, there are significant risks involved in developing, maintaining and deploying these technologies, including that AI-generated content, analyses, or recommendations we utilize could be deficient, that our competitors may more quickly or effectively adopt AI capabilities, or that our use of AI or other emerging technologies increases regulatory, cybersecurity and other significant risks. There can be no assurance that the usage of our investments in such technologies will always enhance our products or services or be beneficial to our business, including our efficiency or profitability. Known risks of AI include inaccuracy, hallucinations, bias, toxicity, intellectual property infringement or misappropriation, data privacy and cybersecurity issues, and data provenance disputes, any of which could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particular, if the models underlying our AI Technologies are: incorrectly designed or implemented; trained or reliant on incomplete, inadequate, inaccurate, biased or otherwise poor 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could suffer or we could incur liability resulting from the violation of laws or contracts to which we are a party or civil claims.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in varying stages of development in relation to our products and internal business processes involving AI Technologies. The continuous development, maintenance and operation of our AI Technologies is expensive and complex, and may involve unforeseen difficulties including material performance problems, undetected defects or errors. For instance, the models underlying AI Technologies can experience decay (also known as “model drift”) in which their performance and accuracy decrease over time without further human intervention to correct such decay.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not be successful in our ongoing development and maintenance of these technologies in the face of novel and evolving technical, reputational and market factors. Our efforts to develop proprietary AI models may increase our operating costs. Developing, testing and deploying AI systems may increase our cost profile due to the nature of the computing costs involved in such systems, which could adversely affect our business and operating results. Our ability to develop proprietary AI models may be limited by our access to processing infrastructure or training data, and we may be dependent on third-party providers for such resources.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our use of AI Technologies in research and development could introduce unique intellectual property risks. Shifting legal standards creates substantial uncertainty regarding whether AI-generated inventions, chemical structures, or therapies are eligible for patent protection. The use of generative AI by vendors, employees, suppliers and contractors with access to our proprietary and confidential information, including know-how, could lead to the release of such information and impair our ability to realize the benefits of our intellectual property. If we are unable to obtain or maintain strong patent exclusivity for product candidates developed with the assistance of AI, our competitive position and long-term profitability could be materially harmed. We also face the risk that the AI tools we utilize could inadvertently ingest third-party proprietary data, exposing us to infringement or misappropriation claims, or that deploying our own proprietary data into these models could compromise our trade secrets.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our platform technologies, we have adopted and integrated, and in the future may adopt and integrate, generative AI tools into our systems for specific use cases. Our vendors may incorporate generative AI tools into their offerings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without disclosing this use to us, and providers of these tools may not meet existing or rapidly evolving regulatory or industry standards relating to privacy and data protection or may impair our or our vendors’ ability to maintain an adequate level of service. If we, our vendors or our third-party partners experience an actual or perceived breach or privacy or security incident because of generative AI use, we may lose valuable intellectual property and confidential information, and our reputation and the perceived effectiveness of our security measures could be harmed. Bad actors may use increasingly sophisticated methods, including AI, to steal or misuse personal information, confidential information and intellectual property. Our use of AI may also create novel and urgent cybersecurity and privacy risks, and emerging ethical issues surrounding AI could create reputational and legal risk if our deployment or use becomes controversial.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AI Technologies. For example, in the United States, states including Colorado and California have adopted laws regulating various AI uses, including certain uses in consequential decisions. The FDA has also issued draft guidance on the use of AI in regulatory decision-making for drug and biological products that focuses on context of use and establishes a credibility assessment framework for evaluating AI model outputs intended to support regulatory decision-making.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If we develop or use AI systems governed by these laws, regulations or guidance, we may need to meet higher standards of data quality, transparency, monitoring and human oversight and comply with potentially burdensome and costly ethical, accountability and administrative requirements. The regulatory landscape may also be affected by federal executive orders and changes in federal enforcement policy, including any moratorium on enforcement of state AI laws, which could further complicate our compliance obligations. Failure to appropriately respond to this evolving landscape may result in reputational, competitive and business harm as well as litigation and regulatory action and fines, penalties and expenses related thereto.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expand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 Non-compliance could also lead to significant fines, penalties, injunctions, litigation, restrictions on the use or deployment of AI Technologies, or significant restrictions on our ability to conduct business activities, any of which could materially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clinical trial data and personal information (collectively, Confidential Information). It is critical that we and our collaborators, CROs and other contractors and consultants do so in a secure manner to maintain the confidentiality and integrity of such Confidential Information. We have established physical, electronic and organizational measures designed to safeguard and secure our systems and reduce the risk of a data compromise, and rely on commercially available systems, software, tools, and monitoring to provide security for our information technology systems and the processing, transmission and storage of Confidential Information. We have also outsourced elements of our information technology infrastructure, and as a result, a number of third-party vendors may or could have access to our Confidential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information technology systems and infrastructure, and those of our current and any future collaborators, CROs, contractors and consultants and other third parties on which we rely, are vulnerable to attack, damage and interruption from diverse threat vectors, such as computer viruses, malware (e.g., ransomware), natural disasters, terrorism, war,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telecommunication and electrical failures, cyber-attacks or cyber-intrusions over the Internet, phishing attacks and other social engineering schemes, attachments to emails, human error, fraud, denial or degradation of service attacks, sophisticated nation-state and nation-state-supported actors or unauthorized access or use by persons inside our organization, or persons with access to systems inside our organization.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certain of our service providers are from time to time subject to cyberattacks and security incidents. 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including artificial intelligence, that are designed to circumvent controls, to avoid detection, and to remove or obfuscate forensic evidence.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Additionally, any integration of artificial intelligence in our or any third party’s operations, products or services is expected to pose new or unknown cybersecurity risks and challenges. There can also be no assurance that our and our collaborators’, CROs’, CMOs’, contractors’, consultants’ and other service providers’ cybersecurity risk management program and processes, including policies, controls or procedures, will be fully implemented, complied with or effective in protecting our systems, networks and Confidential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believe that we have experienced any significant system failure, accident or security breach to date, but if such an event were to occur and cause interruptions in our operations, it could result in a material disruption to our business. In addition, such a breach may require notification to governmental agencies, the media or individuals pursuant to various federal and state privacy and security laws, if applicable. Moreover, if a computer security breach affects our systems or those of our collaborators, CROs or other contractors, or results in the unauthorized release of personally identifiable information, our reputation could be materially damaged.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which could materially adversely affect our business, results of operations and financial condition. We cannot guarantee that any costs and liabilities incurred in relation to an attack or incident will be covered by our existing insurance policies or that applicable insurance will be available to us in the future on economically reasonable terms or at all.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failure to implement and maintain effective internal controls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controls over financial reporting, investor confidence in the reliability of our financial reports may be adversely affected, which could have a material adverse effect on the trading price of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formed in the past, and may form in the future, collaboration partnerships, joint ventures and/or licensing arrangements, and we may not realize the benefits of such collaborations.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current collaboration partnerships for the commercialization of tenapanor in certain foreign countries, and we may form additional collaboration partnerships, create joint ventures or enter into additional licensing arrangements with third parties in the U.S. and abroad that we believe will complement or augment our existing business. In particular, we have formed collaboration partnerships with Kyowa Kirin for commercialization of tenapanor for hyperphosphatemia in Japan; with Fosun Pharma for commercialization of tenapanor for hyperphosphatemia and IBS-C in China and related territories; and with METiS for the development and commercialization of a portfolio of TGR5 agonist compounds for all therapeutic areas. Our previous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collaboration partnership in Canada with Knight for commercialization of tenapanor for IBS-C and hyperphosphatemia was terminated in March 2026.</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we may pursue future collaborations, we face significant competition in seeking appropriate collaboration partners, and the process to identify an appropriate partner and negotiate appropriate terms is time-consuming and complex. Delays in identifying suitable additional collaboration partners and entering into agreements to commercialize our products in ex-U.S. territories and/or develop our product candidates will delay commercialization thereof, which may reduce their competitiveness even if they reach the market. In addition, current or future collaborations or partnerships with ex-U.S. parties and the expected benefits therefrom could be materially and adversely impacted by current or future healthcare reform legislation and initiatives (including evolving “most favored nation” pricing proposals) that may require U.S. pricing for our products to be tied to, or otherwise impacted by, ex-U.S. prices obtained by collaborators or partners.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will rely on third parties to conduct all of our nonclinical studies and clinical trials. If these third parties do not successfully carry out their contractual duties or meet expected deadlines, we may be unable to obtain regulatory approval for additional products or commercialize our product candidates.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have the ability to independently conduct nonclinical studies or clinical trials.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our nonclinical studies and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GCPs for clinical studies. GLPs and GCPs are regulations and guidelines enforced by the FDA, the Competent Authorities of the Member States of the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the European Medicines Agency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could add additional costs and could delay the regulatory approval process.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CMOs manufacture tenapanor API outside of the U.S. Our collaboration partners outside of the U.S. have sought and obtained and may continue to seek and obtain approval to commercialize tenapanor outside of the U.S., and as a result, a variety of risks associated with international operations could materially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collaboration partners have sought and obtained and may continue to seek and obtain marketing approval for tenapanor outside of the U.S. Furthermore, we may seek and obtain marketing approval for IBSRELA or XPHOZAH in other territories outside of the U.S. Additionally, we have contractual agreements with CMOs involving the manufacture of tenapanor API outside of the U.S., and may otherwise engage in business outside of the U.S., including entering into additional contractual agreements with third parties. We are subject to additional risks related to entering into these international business markets and relationships, including:</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different regulatory requirements for drug approvals in foreign countries;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differing U.S. and foreign drug import and export rules;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reduced protection for intellectual property rights in foreign countries;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changes in laws or policies governing the terms of foreign trade, and in particular, increased trade restrictions, tariffs or taxes on imports or exports from or to countries where we manufacture or sell, or our partners sell, our products to may affect the prices of and demand for our products;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different reimbursement systems, and different competitive drugs;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economic weakness, including inflation, or political instability in particular foreign economies and markets;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compliance with tax, employment, immigration and labor laws for employees living or traveling abroad;</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foreign taxes, including withholding of payroll taxes;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foreign currency fluctuations, which could result in increased operating expenses and reduced revenues, and other obligations incident to doing business in another country;</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workforce uncertainty in countries where labor unrest is more common than in the U.S.;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production shortages resulting from any events affecting raw material supply or manufacturing capabilities abroad;</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potential liability resulting from development work conducted by these distributors; and</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business interruptions resulting from geopolitical actions, including war and terrorism, or natural disasters.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U.S. and international trade policies may adversely impact our business and operating results.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currently rely on both U.S. and foreign third-party manufacturers. The U.S. government and persons involved in the current administration have made statements and taken certain actions that may lead to potential changes to U.S. and international trade policies. The extent and duration of any tariffs and the resulting impact on general economic conditions and on our business are uncertain and depend on various factors, such as negotiations between the United States and other countries, the response of such countries, exemptions or exclusions that may be granted, and the availability and cost of alternative sources of supply of materials we purchase from companies in other countries targeted with tariffs.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unfavorable government policies on international trade, such as export controls, capital controls or tariffs, may increase the cost of manufacturing our product candidates and platform materials, affect the demand for IBSRELA and XPHOZAH, and import or export of API and finished product. If any new tariffs, export controls, legislation and/or regulations are implemented, or if existing trade agreements are renegotiated or, in particular, if the U.S. government takes retaliatory trade actions due to the recent trade tension, such changes could have an adverse effect on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involves the use of hazardous materials and we and third parties with whom we contract must comply with environmental laws and regulations, which can be expensive and restrict how we do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manufacturers and suppliers with whom we may contract are subject to laws and regulations governing the use, manufacture, storage, handling, and disposal of hazardous materials, including the components of our tenapanor and our product candidates.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and business operations, and could result in environmental damage requiring costly clean-up and resulting in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or the third parties upon whom we depend may be adversely affected by natural disasters, severe weather, public health emergencies and other catastrophic events, and our business continuity and disaster recovery plans may not adequately protect us from a serious disaster.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Events outside of our control, including natural disasters, severe or inclement weather (such as extreme snow and ice, extreme heat, tornados and flooding), public health emergencies, power outages, cyber or telecommunications disruptions, transportation incidents or other catastrophic events, could severely disrupt our operations and have a material adverse effect on our business, operating results, prospects or financial condition. Such events could disrupt our sales efforts, ongoing clinical trials and/or other operations by damaging or limiting access to critical infrastructure and facilities, including those operated by third parties on whom we rely, such as contract research organizations, contract manufacturing organizations, suppliers,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specialty pharmacies and logistics and distribution providers, or by restricting travel, staffing availability or site access. If any such event prevents or materially impairs our ability, or the ability of these third parties, to manufacture or ship product or product candidates, conduct clinical trial activities, perform quality testing and release, or otherwise operate in the ordinary course, it may be difficult or, in certain cases, impossible for us to continue our business as currently planned.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shipment of product and product candidates, active pharmaceutical ingredients and other materials may be delayed, diverted or disrupted by severe weather or other events in any location where our third-party service providers operate or through which shipments must travel, including as a result of extreme snow or ice, extreme heat, tornados, flooding, transportation accidents or carrier interruptions. These disruptions could result in missed or delayed patient deliveries, delayed site resupply, inventory constraints, product loss or spoilage (including due to temperature excursions), increased shipping and handling costs, and delays in manufacturing, release or crucial business timelines, any of which could materially impact our sales, financial results, patient fulfillment efforts and reputation.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disaster recovery and business continuity plans we have in place may prove inadequate in the event of a serious disaster or similar event, including because we may not have sufficient redundancies, alternative suppliers, alternative distribution channels, backup manufacturing capacity or additional inventory to mitigate the impact of such disruptions. We may incur substantial expenses in connection with responding to and recovering from these events, and any of the foregoing could have a material adverse effect on our business, operating results, prospects or financial condition.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Government Regulation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Current and future healthcare reform legislation, regulation or action by the current administration may increase the difficulty and cost for us to commercialize our approved products and may adversely affect the prices we, or they, may obtain and may have a negative impact on our business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U.S. and some foreign jurisdictions, there have been, and continue to be, a number of legislative and regulatory changes and proposed changes regarding the healthcare system that could, among other things, restrict or regulate post approval activities with respect to our approved products and affect our ability to profitably sell our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U.S., the ACA was enacted in 2010 with a goal of reducing the cost of healthcare and substantially changing the way healthcare is financed by both government and private insurers. The ACA, among other things, increased the minimum Medicaid rebates owed by manufacturers under the MDRP, extended manufacturer rebate liability from fee-for-service Medicaid utilization to include the utilization of Medicaid managed care organizations and established annual fees and taxes on manufacturers of certain branded prescription drugs. Since its enactment, certain provisions of the ACA have been subject to judicial, executive, and legislative challenges. For example, on June 17, 2021, the U.S. Supreme Court dismissed the most recent judicial challenge to the ACA brought by several states without specifically ruling on the constitutionality of the ACA. There have also been ongoing changes to the implementation of the ACA since its adoption. For example, the availability of enhanced premium tax credits and other subsidies under the ACA expired as of December 31, 2025, and absent legislative action to reinstate or replace them, many individuals may experience higher out-of-pocket premium costs. These changes could result in an increase in uninsured or underinsured patients, which could negatively affect patients’ ability or willingness to start or continue treatment with our products or future product candidates, if successfully developed and approved, or may otherwise increase prescription abandonment rates or place greater downward pressure on drug pricing generally.</w:t>
      </w:r>
    </w:p>
    <w:p>
      <w:pPr>
        <w:pStyle w:val="TextBody"/>
        <w:bidi w:val="0"/>
        <w:spacing w:lineRule="auto" w:line="288" w:before="0" w:after="180"/>
        <w:ind w:left="0" w:right="0" w:firstLine="360"/>
        <w:jc w:val="left"/>
      </w:pPr>
      <w:r>
        <w:rPr>
          <w:rFonts w:ascii="Times New Roman;serif" w:hAnsi="Times New Roman;serif"/>
          <w:b w:val="false"/>
          <w:color w:val="000000"/>
          <w:sz w:val="20"/>
        </w:rPr>
        <w:t>Moreover, on January 1, 2025, XPHOZAH, along with other oral drugs for ESRD patients on dialysis without injectable or intravenous equivalents, became part of the ESRD PPS and coverage under Medicare Part D was eliminated. See “—</w:t>
      </w:r>
      <w:r>
        <w:rPr>
          <w:rFonts w:ascii="Times New Roman;serif" w:hAnsi="Times New Roman;serif"/>
          <w:b w:val="false"/>
          <w:i/>
          <w:color w:val="000000"/>
          <w:sz w:val="20"/>
        </w:rPr>
        <w:t>XPHOZAH became part of the ESRD PPS on January 1, 2025, which means coverage for XPHOZAH for Medicare beneficiaries is not available under Medicare Part D; this resulted in a negative and material impact on our XPHOZAH revenue in 2025; and the continued lack of Medicare Part D coverage for XPHOZAH will result in a materially lower pace of revenue growth as compared to expectations before XPHOZAH became part of the ESRD PPS</w:t>
      </w:r>
      <w:r>
        <w:rPr>
          <w:color w:val="000000"/>
        </w:rPr>
        <w:t xml:space="preserve">” </w:t>
      </w:r>
      <w:r>
        <w:rPr>
          <w:rFonts w:ascii="Times New Roman;serif" w:hAnsi="Times New Roman;serif"/>
          <w:b w:val="false"/>
          <w:color w:val="000000"/>
          <w:sz w:val="20"/>
        </w:rPr>
        <w:t>above.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legislative changes have been proposed and adopted in the U.S. since the ACA was enacted. These laws, among other things, included aggregate reductions of Medicare payments to providers that will remain in effect through 2032,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The American Rescue Plan Act of 2021 eliminated the statutory Medicaid drug rebate cap beginning January 1, 2024. The rebate was previously capped at 100% of a drug’s AMP.</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The IRA, which was enacted in 2022, marks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redesigns the Medicare Part D benefit; and replaces the Part D coverage gap discount program with a new manufacturer discount program. CMS has published the negotiated prices for the initial ten drugs, which went into effect in January 2026, and the subsequent 15 drugs, which will first be effective in 2027. CMS has also published the next set of 15 drugs that will be subject to negotiation. The IRA permits the Secretary of HHS to implement many of these provisions through guidance, as opposed to regulation, for the initial years. HHS has and will continue to issue and update guidance as these programs are implemented, although the Medicare drug price negotiation program is currently subject to legal challenges. While the impact of the IRA on us and the pharmaceutical industry cannot yet be fully determined, it is likely to be significant.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commercialize.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current administration is pursuing a two-fold strategy to reduce drug costs in the U.S. While it is unclear whether and how these proposals will be implemented, the current administration’s policies are likely to have a negative impact on the pharmaceutical industry and on our ability to receive adequate revenues for IBSRELA and XPHOZAH. On the one hand, President Trump in 2025 threatened to impose significant tariffs on pharmaceutical manufacturers that do not adopt pricing policies such as most favored nation pricing, which would tie the price for drugs in the U.S. to the lowest price in a group of other countries. In response, multiple manufacturers have entered into confidential pricing agreements with the federal government. On the other hand, the current administration is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Imposing a rebate in the U.S. that is based on drug prices outside the U.S. would mark a drastic and unprecedented shift in the U.S. pharmaceutical market, and while the impact of the GLOBE and GUARD proposed regulations, if finalized, cannot yet be determined, it is likely to be significant. In addition, a voluntary payment model, referred to as GENEROUS, seeks to impose most favored nation pricing in Medicaid, and multiple manufacturers have announced their participation. Even regulatory proposals or executive actions that are ultimately deemed unlawful could negatively impact the U.S. pharmaceutical sector and our business. In addition, pharmaceutical pricing and marketing has long been the subject of considerable discussion in Congress and among policymakers, and it is possible that Congress could enact additional laws that negatively affect the pharmaceutical industry.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April 2026, the current administration issued a proclamation imposing tariffs under Section 232 of the Trade Expansion Act of 1962 on imports of patented (brand) pharmaceutical products, including certain biologics, and their active pharmaceutical ingredients. This proclamation stated that companies that have executed or are negotiating agreements with the federal government regarding most favored nation pricing and onshoring of production and research and development, among others, are exempted from these tariffs. If these tariffs become applicable to our products or supply chain, our manufacturing and supply costs could increase and our business and results of operations could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Some states have enacted legislation creating so-called prescription drug affordability boards, which ultimately may attempt to impose price limits on certain drugs in these states, and at least one state board is imposing an upper payment limit. States are also seeking to implement general, across the board price caps for pharmaceuticals, or are seeking to regulate drug distribution.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Despite having received regulatory approval for IBSRELA and XPHOZAH, we will be subject to ongoing regulatory obligations and continued regulatory review, which may result in significant additional expense. Additionally, IBSRELA and XPHOZAH could be subject to other restrictions and market withdrawal, and we may be subject to penalties if we fail to comply with regulatory requirements or experience unanticipated problems with our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Even after a drug is approved by the FDA or foreign regulatory authorities, the manufacturing processes, labeling, packaging, distribution, pharmacovigilance,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CMOs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Later discovery of previously unknown problems with a product, including adverse events of unanticipated severity or frequency, or with our third-party manufacturers or manufacturing processes, or failure to comply with regulatory, agency or other requirements, may result in, among other things: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warning or untitled letters or fines;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restrictions on the marketing or manufacturing of the product, withdrawal of the product from the market or voluntary or mandatory product recalls;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injunctions or the imposition of civil or criminal penalties;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suspension or revocation of existing regulatory approvals;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suspension of any of our ongoing clinical trials;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refusal to approve pending applications or supplements to approved applications submitted by us;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restrictions on our or our CMOs’ operations; or</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product seizure or detention, or refusal to permit the import or export of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IBSRELA and XPHOZAH. If regulatory sanctions are applied or if regulatory approval is withdrawn, the value of our company and our operating results will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FDA’s policies may change, and additional government regulations may be enacted.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cannot predict the likelihood, nature or extent of government regulation that may arise from future legislation or administrative or executive action, either in the U.S. or abroad.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Disruptions at the FDA and other government agencies caused by funding shortages or global health concerns could hinder their ability to hire and retain key leadership and other personnel, or otherwise review and process regulatory submissions in a timely manner, which could negatively impact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ability of the FDA to review and process regulatory submissions can be affected by a variety of factors, including government budget and funding levels, ability to hire and retain key personnel and accept the payment of user fees, and statutory, regulatory, policy changes, and other events that may otherwise affect the FDA’s ability to perform routine functions.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example, over the last several years, the U.S. government has shut down several times, including October 2025 to November 2025, and a subsequent partial government shutdown in January and February 2026, and certain regulatory agencies, such as the FDA, have had to furlough FDA employees and suspend certain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Disruptions at the FDA and other agencies may also slow the time necessary for new drugs to be reviewed and/or approved by necessary government agencies, which would adversely affect our business. If a prolonged government shutdown occurs or continues,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and our CMOs are subject to significant regulation with respect to manufacturing IBSRELA and XPHOZAH. The manufacturing facilities on which we rely may not continue to meet regulatory requirements or may not be able to meet supply demands.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entities involved in the preparation of product for commercial sale, or product candidates for clinical trials, including our existing CMOs,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products or product candidates that may not be detectable in final product testing. We or our CMOs must supply all necessary documentation in support of an NDA or comparable regulatory filing on a timely basis and must adhere to cGMP regulations enforced by the FDA and other regulatory agencies through their facilities inspection programs. In addition, before approving an NDA, the facilities and quality systems of some, or all, of the relevant CMOs must pass a pre-approval inspection for compliance with the applicable regulations as a condition of regulatory approval of our product candidates. The FDA will not approve a product candidate unless it determines that the manufacturing processes and facilities are in compliance with cGMP requirements and are adequate to assure consistent production of the product within required specifications. In addition, the regulatory authorities may, at any time, audit or inspect a manufacturing facility involved with the manufacture of our product or the associated quality systems for compliance with the regulations applicable to the activities being conducted. We enter into quality agreements with our CMOs, pursuant to which we expect our CMOs to comply with cGMPs and applicable regulatory requirements. Although we oversee the CMOs, we cannot control the manufacturing process of, and are completely dependent on, our CMOs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direct control over the ability of our CMOs to maintain adequate quality control, quality assurance and qualified personnel. If our CMOs cannot successfully manufacture material that conforms to our specifications and the strict requirements of relevant regulatory authorities, and pass regulatory inspections, on the timelines we expect or at all, they will not be able to secure and/or maintain regulatory approval for their manufacturing facilities with respect to our products, which could materially impact our ability to supply product and harm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regulatory authorities also may, at any time following approval of a product for sale, audit the manufacturing facilities of our CMOs.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may result in delays to our desired clinical and commercial timelines.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comply or are found to have failed to comply with FDA and other regulations related to the promotion of our products for unapproved uses, other sales practices, as well as the design and implementation of our patient assistance programs, we could be subject to criminal penalties, substantial fines or other sanctions and damage awards.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regulations relating to the promotion of products for unapproved uses and the design and implementation of patient assistance programs are complex and subject to substantial interpretation by the FDA and other government agencies. With respect to the commercialization of IBSRELA and/or XPHOZAH, we are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have implemented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other sales practices, as well as the design and implementation of patient assistance programs, including the Department of Justice and various U.S. Attorneys’ Offices, the Office of Inspector General of the Department of Health and Human Services, the FDA, the FTC and various state Attorneys General offices. These investigations have alleged violations of various federal and state laws and regulations, including claims asserting antitrust violations, violations of the FFDCA,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the FDA or any other governmental agency initiates an enforcement action against us or if we are the subject of a qui tam suit and it is determined that we violated FDA or other regulations relating to the promotion of our products and/or the design and implementation of our patient assistance programs,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IBSRELA and/or XPHOZAH may cause or contribute to adverse medical events that we are required to report to regulatory agencies and if we fail to do so we could be subject to sanctions that would materially harm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required to report certain information about adverse medical events if our products may have caused or contributed to those adverse events. The timing of our obligation to report is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employees, independent contractors, principal investigators, CROs, collaboration partners, consultants, CMOs and vendors may engage in misconduct or other improper activities, including noncompliance with regulatory standards and requirements.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that our employees, independent contractors, principal investigators, CROs, collaboration partners, consultants, CMOs and vendors may engage in fraudulent conduct or other illegal activity. Misconduct by these parties could include intentional, reckless and/or negligent conduct or unauthorized activities that violate any of the following: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FDA regulations, including those laws that require the reporting of true, complete and accurate financial and other information to the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Failure to obtain regulatory approvals in foreign jurisdictions would prevent us from marketing our products internationally.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order to market any product in the EEA (which is composed of the 27 Member States of the European Union plus Norway, Iceland and Liechtenstein), and many other foreign jurisdictions, separate regulatory approvals are required. In the EEA, medicinal products can only be commercialized after obtaining a Marketing Authorization. Before the Marketing Authorization is granted, the European Medicines Agency or the competent authorities of the Member States of the EEA make an assessment of the risk-benefit balance of the product on the basis of scientific criteria concerning its quality, safety and efficacy.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and our collaboration partners are subject to healthcare laws, regulation and enforcement; our failure or the failure of any such collaboration partners to comply with these laws could have a material adverse effect on our results of operations and financial conditions.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our collaboration partners are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this statute or specific intent to violate it in order to have committed a violation;</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federal false claims laws, including the False Claims Act,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federal Anti-Kickback Statute constitutes a false or fraudulent claim for purposes of the False Claims Act;</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federal criminal laws that prohibit executing a scheme to defraud any healthcare benefit program or making false statements relating to healthcare matters. Similar to the federal Anti-Kickback Statute, a person or entity does not need to have actual knowledge of these statutes or specific intent to violate them in order to have committed a violation;</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federal Physician Payments Sunshine Act requirements under the ACA, which requires manufacturers of drugs, devices, biologics, and medical supplies to report annually to CMS information related to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and ownership and investment interests held by physicians (as defined by the statute) and their immediate family members;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state law equivalents of each of the above federal laws, such as anti-kickback and false claims laws which may apply to items or services reimbursed by any third-party payor, including commercial insurers;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state laws that require drug manufacturers to report information related to payments and other transfers of value to physicians and other healthcare providers or pricing information and marketing expenditures; and</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European and other foreign law equivalents of each of the laws, including reporting requirements detailing interactions with and payments to healthcare providers.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Legislative or regulatory healthcare reforms in the U.S. may make it more difficult and costly for us to obtain regulatory clearance or approval of our product candidates and to produce, market and distribute our products after clearance or approval is obtained.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additional clinical trials to be conducted prior to obtaining approval;</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changes to manufacturing methods;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recall, replacement, or discontinuance of one or more of our products; and</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additional record keeping.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comply with our reporting and payment obligations under the MDRP or other governmental pricing programs in the U.S., we could be subject to additional reimbursement requirements, penalties, sanctions and fines, which could have a material adverse effect on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participate in the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Medicaid drug rebates are based on pricing data that we are obligated to report on a monthly and quarterly basis to CMS, the federal agency that administers the MDRP and Medicare programs. For the MDRP, these data include the AMP and the best price for each drug. If we become aware that our MDRP price reporting submission for a prior period was incorrect or has changed as a result of recalculation of the pricing data, we must resubmit the corrected data for up to three years after those data originally were due. In addition, there is increased focus by the Office of Inspector General within HHS on the methodologies used by manufacturers to calculate AMP and best price, to assess manufacturer compliance with MDRP reporting requirements.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drugs under Medicaid and Medicare Part B. Failure to make necessary disclosures and/or to identify overpayments could result in allegations against us under the Federal False Claims Act and other laws and regulations.</w:t>
      </w:r>
    </w:p>
    <w:p>
      <w:pPr>
        <w:pStyle w:val="TextBody"/>
        <w:bidi w:val="0"/>
        <w:spacing w:lineRule="auto" w:line="288" w:before="0" w:after="180"/>
        <w:ind w:left="0" w:right="0" w:firstLine="360"/>
        <w:jc w:val="left"/>
      </w:pPr>
      <w:r>
        <w:rPr>
          <w:rFonts w:ascii="Times New Roman;serif" w:hAnsi="Times New Roman;serif"/>
          <w:b w:val="false"/>
          <w:color w:val="000000"/>
          <w:sz w:val="20"/>
        </w:rPr>
        <w:t>The IRA imposes rebates under Medicare Part B and Medicare Part D that are triggered by price increases that outpace inflation, as described under “—</w:t>
      </w:r>
      <w:r>
        <w:rPr>
          <w:rFonts w:ascii="Times New Roman;serif" w:hAnsi="Times New Roman;serif"/>
          <w:b w:val="false"/>
          <w:i/>
          <w:color w:val="000000"/>
          <w:sz w:val="20"/>
        </w:rPr>
        <w:t>Current and future healthcare reform legislation, regulation or action by the current administration may increase the difficulty and cost for us to commercialize our approved products and may adversely affect the prices we, or they, may obtain and may have a negative impact on our business and results of operations.</w:t>
      </w:r>
      <w:r>
        <w:rPr>
          <w:color w:val="000000"/>
        </w:rPr>
        <w:t xml:space="preserve">” </w:t>
      </w:r>
      <w:r>
        <w:rPr>
          <w:rFonts w:ascii="Times New Roman;serif" w:hAnsi="Times New Roman;serif"/>
          <w:b w:val="false"/>
          <w:color w:val="000000"/>
          <w:sz w:val="20"/>
        </w:rPr>
        <w:t>The Medicare Part D rebate, if applicable, will be calculated on the basis of the AMP figures we report pursuant to the MDRP.</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Federal law requires that a manufacturer that participates in the MDRP also participate in the 340B program in order for federal funds to be available for the manufacturer’s covered outpatient drugs under Medicaid and Medicare Part B. We participate in the 340B program, which is administered by HRSA, and requires us to charge statutorily defined covered entities no more than the 340B “ceiling price” for our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MDRP. In general, products subject to Medicaid price reporting and rebate liability are also subject to the 340B ceiling price calculation and discount requirement. We are obligated to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order to be eligible to have drug products paid for with federal funds under Medicaid and Medicare Part B and purchased by certain federal agencies and grantees, we also participate in the U.S. VA/FSS pricing program. Under the VA/FSS program, we are obligated to report the Non-FAMP for our covered drugs to the VA and charge certain federal agencies no more than the Federal Ceiling Price (FCP), which is calculated based on Non-FAMP using a statutory formula. These four agencies are the VA, the U.S. Department of Defense, the U.S. Coast Guard and the U.S. Public Health Service (including the Indian Health Service).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participate in the Tricare Retail Pharmacy program, under which we are required to pay quarterly rebates on utilization of innovator products that are dispensed through the Tricare Retail Pharmacy network to Tricare beneficiaries. The rebates are calculated as the difference between the annual Non-FAMP and FCP. We are required to list our innovator products on a Tricare Agreement in order for them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could result in allegations against us under the False Claims Act and other laws and regulations. If we fail to provide timely information or are found to have knowingly submitted false information, we may be subject to civil monetary penalties.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considered in taking such increases, wholesale acquisition cost information disclosure to prescribers, purchasers, and state agencies, and new product notice and reporting. Such legislation could limit the price or payment for IBSRELA and XPHOZAH,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Pricing and rebate calculations are complex, vary among products and programs, and are often subject to interpretation by us,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are required to offer products under the 340B program. Civil monetary penalties can be applied if we are found to have knowingly submitted any false price or product information to the government, if we fail to submit the required price data on a timely basis, or if we are found to have charged 340B covered entities more than the statutorily mandated ceiling price. In the event that CMS were to terminate our Medicaid rebate agreement, no federal payments would be available under Medicaid or Medicare for IBSRELA or XPHOZAH. We cannot offer any assurances that our submissions will not be found to be incomplete or incorrect.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success will depend on our ability to obtain, maintain and protect our intellectual property rights.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and ability to compete depend in part on our ability to obtain, maintain and enforce issued patents, trademarks and other intellectual property rights and proprietary technology in the U.S.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a combination of contractual provisions, confidentiality procedures and patent, trademark, copyright, trade secret and other intellectual property laws to protect the proprietary aspects of our products, product candidates, brands, technologies, trade secrets, know-how and data. These legal measures afford only limited protection, and competitors or others may gain access to or use our intellectual property rights and proprietary information.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U.S. and other jurisdictions we depend upon may not provide sufficient protection in the future to prevent the infringement, use, violation, or misappropriation of our patents, trademarks, data, technology, and other intellectual property rights and products by others, and may not provide an adequate remedy if our intellectual property rights are infringed, misappropriated, or otherwise violated by others.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rely in part on our portfolio of issued and pending patent applications in the U.S. and other countries to protect our intellectual property and competitive position. However, it is also possible that we may fail to identify patentable aspects of inventions made in the course of our development, manufacture and commercialization activities before it is too late to obtain patent protection on them.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Any of these outcomes could impair our ability to prevent competition from third parties, which may have an adverse impact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granted patents will be sufficient to stop a competitor from developing, manufacturing and commercializing a product or technologies in a non-infringing manner that would be competitive with one or more of our products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Patents have a limited lifespan. In the U.S., the natural expiration of a utility patent is generally 20 years from the earliest effective non-provisional filing date. 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may own may not provide the anticipated level of, or any, protection against competitors. Furthermore, an adverse decision may result in a third party receiving a patent right sought by us, which in turn could affect our ability to develop, manufacture or commercialize our products or technologies.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U.S. federal government retains certain rights in inventions produced with its financial assistance under the Patent and Trademark Law Amendments Act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we choose to collaborate with academic institutions to accelerate our preclinical research or development, we cannot be sure that any co-developed intellectual property will be free from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degree of future protection for our proprietary rights is uncertain, and we cannot ensure that:</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Any of our patents, or any of our pending patent applications, if issued, will include claims having a scope sufficient to protect our products or product candidates;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Any of our pending patent applications will issue as patents;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We were the first to make the inventions covered by each of our patents and pending patent applications;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We were the first to file patent applications for these inventions;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Others will not develop, manufacture and/or commercialize similar or alternative products or technologies that do not infringe our patents;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Any of our challenged patents will ultimately be found to be valid and enforceable;</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Any patents issued to us will provide a basis for an exclusive market for our commercially viable products or technologies will provide us with any competitive advantages or will not be challenged by third parties;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We will develop additional proprietary technologies or products that are separately patentable; or</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Our commercial activities or products will not infringe upon the patents of others.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become subject to third-party claims alleging infringement, misappropriation or violation of such third parties’ patents or other intellectual property rights and/or third-party claims seeking to invalidate our patents, which would be costly, time consuming and, if successfully asserted against us, delay or prevent the development, manufacture or commercialization of our products or product candidates.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ability to develop, manufacture or commercialize our products and product candidates without infringing, misappropriating or otherwise violating the intellectual property rights of third parties. There have been many lawsuits and other proceedings asserting infringement or misappropriation of patents and other intellectual property rights in the pharmaceutical and biotechnology industries, and companies in the industry have used intellectual property litigation to gain a competitive advantage. While we take steps to ensure that we do not infringe upon, misappropriate or otherwise violate the intellectual property rights of others, there can be no assurances that we will not be subject to claims alleging that the manufacture, use or sale of IBSRELA or XPHOZAH or of any other product candidates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IBSRELA or XPHOZAH or other product candidates.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IBSRELA or XPHOZAH or our other product candidates.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Third parties may initiate legal proceedings alleging that we are infringing, misappropriating or otherwise violating their intellectual property rights. These proceedings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development, manufacturing or sales of the product or product candidate that is the subject of the suit.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could be ordered to pay substantial damages, including treble damages and attorney’s fees if we are found to be willfully infringing a third party’s patents or other intellectual property right. Even if we believe such claims are without merit, a court of competent jurisdiction could hold that these third-party patents are valid and enforceable, and infringed by the use of our products and/or technologies, which could have a negative impact on the commercial success of our current and any future products or technologies. If we were to challenge the validity of any such third-party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third-party claim of patent infringement. Even if we are successful in defending against such claims, such litigation can be expensive and time consuming to litigate and would divert management’s attention from our core business. Any of these events could harm our business significantly.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infringement claims against us, third parties may also raise similar claims before administrative bodies in the U.S. or abroad. Such mechanisms include reexamination, post grant review, inter partes review, derivation or opposition proceedings before the USPTO or other jurisdictional body relating to our intellectual property rights or the intellectual property rights of others. If third parties prepare and file patent applications in the U.S.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not able to successfully enforce our intellectual property rights, the commercial value of IBSRELA and XPHOZAH or other product candidates may be adversely affected and we may not be able to compete effectively in our market.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enforceability of patents in the biotechnology and pharmaceutical field involves complex legal and scientific questions, the answers to which can be uncertain. The patent applications that we own or license may fail to result in issued patents in the U.S. or in foreign countries. Additionally, our research and development efforts may result in product candidates for which patent protection is limited or not available. Even if patents do issue, third parties may challenge the validity, enforceability, scope or infringement thereof, which may result in such patents being narrowed, invalidated, held unenforceable or not infringed. For example, U.S. patents can be challenged by any person before the new USPTO Patent Trial and Appeal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U.S., Europe and other jurisdictions, third parties can raise questions of validity with a patent office even before a patent has granted. Furthermore, even if unchallenged, our patents and patent applications may not prevent others from designing around our patent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IBSRELA and XPHOZAH or any future product candidates is successfully challenged, then our ability to commercialize such product could be negatively affected, and we may face unexpected competition that could have a material adverse impact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Even where laws provide intellectual property and/or regulatory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a product or product candidate, the defendant could counterclaim that our patent is invalid, unenforceable and/or not infringed. In patent litigation in the U.S. and other jurisdictions, defendant counterclaims alleging invalidity, unenforceability and/or noninfringement are commonplace. Grounds for a validity challenge could be an alleged failure to meet any of several statutory requirements, including novelty, nonobviousness and enablement. Grounds for an unenforceability assertion could be an allegation that someone connected with prosecution of the patent withheld relevant information from the USPTO, or made a misleading statement, during prosecution. The outcome following legal assertions of invalidity, unenforceability and noninfringement is unpredictable. With respect to validity, for example, we cannot be certain that there is no invalidating prior art, of which we and the patent examiner were unaware during prosecution. If a defendant were to prevail on a legal assertion of invalidity, unenforceability or non-infringement of our intellectual property related to a product or a product candidate, we could lose part, and possibly all, of the patent protection on such product or product candidate. Such a loss of patent protection could have a material adverse impact on our business. Moreover, our competitors could counterclaim that we infringe their intellectual property and may attempt to prevent us from commercializing a product.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the composition and use of IBSRELA and XPHOZAH are currently claimed by patents that are listed in the FDA’s Orange Book, we cannot assure that we will be successful in defending against third parties asserting that any of our patents are invalid, unenforceable or not infringed by the third parties’ products, or in competing against third parties seeking to introduce generic versions of IBSRELA, XPHOZAH or any of our future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U.S., the Hatch-Waxman Act provides non-patent regulatory exclusivity for five years from the date of the first FDA approval of a drug containing an NCE. The FDA is prohibited during those five years from approving an ANDA or 505(b)(2)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NDA that references the NDA that has been granted NCE exclusivity. However, if any patents are listed in the FDA Orange Book for such NCE-containing drug, a follow-on product manufacturer may file an ANDA or 505(b)(2) NDA that references an NDA product with granted NCE exclusivity after four years from the first NDA approval date provided it is accompanied by a Paragraph IV certification asserting that each Orange Book listed patent is invalid, unenforceable, or that the generic product does not infringe the Orange Book listed patents. The Hatch-Waxman Act does not prevent a third party from filing, or the FDA from approving, another full 505(b)(1) NDA for an already-approved drug where the third party has conducted its own pre-clinical and clinical trials to independently demonstrate safety and effectiveness without reliance on the original NDA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cases where NCE exclusivity has been granted for an NDA, as in the case of IBSRELA and XPHOZAH, if an ANDA or 505(b)(2) sponsor has provided a Paragraph IV certification to the FDA when filing its application, the sponsor must also send a notice thereof to the NCE NDA owner. The NCE NDA owner may then initiate a patent infringement lawsuit in response to the Paragraph IV certification. The filing of a patent infringement lawsuit within 45 days after the NCE NDA owner’s receipt of a notice of the Paragraph IV certification automatically prevents the FDA from approving the ANDA or 505(b)(2) NDA until the earlier of 30 months after the NCE NDA owner’s receipt of the Paragraph IV certification notice, a final decision in the infringement case in favor of the ANDA or 505(b)(2) sponsor, or another date established by the court. There can be no assurances that an ANDA or 505(b)(2) NDA that references our IBSRELA or XPHOZAH NDAs and includes a Paragraph IV certification will not be filed, or that we will be successful in enforcing our Orange Book listed patents against such ANDA or 505(b)(2) sponsor. Furthermore, any Paragraph IV litigation, whether settled or litigated to resolution, could involve substantial expense, result in patent invalidation, trigger earlier-than-expected generic entry, or expose us to legal and regulatory challenges under federal and state antitrust laws.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were actively involved in the discovery and design of our products or potential drug candidates, or in the development of our discovery and design platform could require us to pursue legal action to protect our trade secrets and confidential information, which could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the laws of some foreign countries do not protect proprietary rights to the same extent or in the same manner as the laws of the U.S. As a result, we may encounter significant problems in protecting and defending our intellectual property both in the U.S.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Although we have obtained patent term extension in the U.S. under the Hatch-Waxman Act, extending the term of exclusivity for tenapanor, if we do not obtain patent term extension in foreign countries under similar legislation, our business may be materially harmed. Furthermore, we have obtained patent term adjustment in the U.S. under the American Inventors Protection Act extending the patent term for certain patents covering tenapanor.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U.S. Patent No. 8,541,448 covering tenapanor was subject to patent term adjustment under the American Inventors Protection Act for delays by the USPTO in granting the patent. Additionally, following the approval by the FDA for our NDA to market tenapanor for IBS-C, this patent was granted patent term extension under the Hatch-Waxman Act and together with patent term adjustment provides us with exclusivity for tenapanor and uses thereof until August 1, 2033. The Hatch-Waxman Act allows a maximum of one patent to be extended per FDA approved product. Extension and/or adjustment of patent term (collectively, Patent Restoration) also may be available in certain foreign countries upon regulatory approval of our product candidates. Despite seeking Patent Restoration for tenapanor in all countries where it is available, it may not be granted in any foreign country because of, for example, failing to apply within applicable deadlines, failing to apply prior to expiration of relevant patents or otherwise failing to satisfy applicable requirements. Moreover, the term of patent protection subject to Patent Restoration, as well as the scope of patent protection during any such Patent Restoration, afforded by the governmental authority could be less than we request or could change due to changes to applicable Patent Restoration laws or regulations or interpretations thereof.</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obtain Patent Term Restoration in any particular country, or the term of any such extension is less than we request, or is changed due to changes in applicable laws or regulations or interpretations thereof, the period during which we will have exclusive rights to our product in such country could be shortened and our competitors may obtain approval of competing products following our non-extended/adjusted patent expiration, and our revenue could be reduced, possibly materially.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There could also be delays at the USPTO caused by staffing cuts and other U.S. government actions as a result of the U.S. Department of Government Efficiency or other executive actions to reduce the size of the U.S. government. In such an event, competitors might be able to enter the market earlier than would otherwise have been the case.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not be able to enforce our intellectual property rights throughout the world.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European Union’s (EU) new Unified Patent Court (UPC), which took effect on June 1, 2023, may, in particular, present uncertainties for our ability to protect and enforce our patent rights against competitors in Europe, including those based on European patent applications filed after introduction of the new system. Under the new system, the proprietor of a European patent can opt for that patent to become a unitary patent which will cover all of the EU states that have ratified the Agreement on the Unified Patent Court at that point in time (hereinafter referred to as UPC Countries), and the European patent will then be subject to the jurisdiction of the UPC. During a transition period of the first seven years of the UPC’s existence (which under the current legislation could potentially be extended by the Administrative Committee of the UPC for up to seven additional years), European patent applications can be opted out of the jurisdiction of the UPC, and validated as exclusively national patents in any one or more of the UPC Countries, even if those patents grant after the end of the transition period.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decide to opt out future European patents from the UPC, but doing so may preclude us from realizing some benefits of the UPC. If we do opt a European patent out of the jurisdiction of the UPC, we may decide to opt that European patent back into the jurisdiction of the UPC in the future if we do wish to take advantage of certain benefits of the UPC, but we will only be able to do this if no actions have been brought before a national court in relation to the European patent concerned. In addition, if we do not meet all of the formalities and requirements for opt-out under the UPC, our future European patents could remain under the jurisdiction of the UPC.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decide not to opt out of future European Patents from the UPC, but not opting out will put our European patent under the jurisdiction of the UPC for all UPC Countries and we will still be required to validate the European patent in countries that are not signatories to the unitary patent system, such as Spain, Switzerland and the United Kingdom, and failure to validate would prevent us from securing patent rights in those countries. European patents that are under the jurisdiction of the UPC may be challenged in a single UPC-based revocation proceeding that could invalidate the patent in all UPC countries.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UPC will also provide our competitors with a new forum to centrally revoke our European patents, and allow for the possibility of a competitor to obtain pan-European injunction against us in infringement proceedings, in at least all countries which are signatories to the UPC. Further, because the UPC is a new court system having little established precedent for the court's decisions, there is increased uncertainty regarding the outcome of any patent litigation. We are unable to predict what impact the new patent regime may have on our ability to exclude competitors in the European market.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importing products made using our inventions in and into Russia. Accordingly, our competitive position may be impaired, and our business, financial condition, results of operations and prospects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U.S. and foreign countries may affect our ability to obtain and enforce adequate intellectual property protection for our technology.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unable to protect the confidentiality of our trade secrets, the value of our technology could be materially adversely affected and our business would be harmed.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consider proprietary trade secrets, confidential know-how and unpatented know-how to be important to our business. We seek to protect our confidential proprietary information, in part, by entering into confidentiality agreements and invention assignment agreements with parties who have access to them, including our employees, consultants, scientific advisors, contractors, CROs, contract manufacturers, collaborators and other third parties, that are designed to protect our proprietary information. However, we cannot be certain that such agreements have been entered into with all relevant parties that may have or have had access to our trade secrets or proprietary technology, and we cannot be certain that our trade secrets and other confidential proprietary information will not be disclosed or that competitors will not otherwise gain access to our trade secrets and other confidential proprietary technology, or independently develop substantially equivalent information and techniques. For example, any of these parties with whom we have entered into such confidentiality or invention assignment agreements may breach the agreements and disclose our proprietary information, including trade secrets, and we may not be able to obtain adequate remedies for such breaches. 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Monitoring unauthorized uses and disclosures of our intellectual property is difficult, and we do not know whether the steps we have taken to protect our intellectual property will be effective.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Unauthorized parties may also attempt to copy or reverse engineer certain aspects of our products that we consider proprietary. We may not be able to obtain adequate remedies in the event of such unauthorized use. Enforcing a claim that a party illegally disclosed or misappropriated a trade secret can be difficult, expensive and time consuming, and the outcome is unpredictable. In addition, some courts inside and outside the United States are less willing or unwilling to protect trade secrets. Trade secrets will also over time be disseminated within the industry through independent development, the publication of journal articles and the movement of personnel skilled in the art from company to company or academic institutions to industry scientific positions. Though our agreements with third parties typically restrict the ability of our advisors, employees, collaborators, licensors, suppliers, third-party contractors and consultants to publish data potentially relating to our trade secrets and proprietary information, our agreements may contain certain limited publication rights. In addition, if any of our trade secrets were to be lawfully obtained or independently developed by a competitor, we would have no right to prevent such competitor from using that technology or information to compete with us, which could harm our competitive position. Despite employing the contractual and other security precautions described above, the need to share trade secrets increases the risk that such trade secrets become known by our competitors, are incorporated (inadvertently or not) into the technology of others, or are disclosed or used in violation of these agreements. We may need to share our proprietary information, including trade secrets, with our current and future business partners, collaborators, contractors and others located in countries at heightened risk of theft of trade secrets, including through direct intrusion by private parties or foreign actors, and those affiliated with or controlled by state actors. If any of these events occurs or if we otherwise lose protection for our trade secrets, the value of such information may be greatly reduced and our competitive position, business, financial condition, results of operations and prospects would be harmed.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current or future registered or unregistered trademarks or trade names may be challenged, infringed, circumvented or declared generic or descriptive, cancelled or determined to be infringing on other marks. We may not be able to protect or preserve our rights to these trademarks and trade names or may be forced to stop using those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If we assert trademark infringement claims, a court may determine that the marks we have asserted are invalid or unenforceable, or that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party against whom we have asserted trademark infringement has superior rights to the marks in question. In this case, we could ultimately be forced to cease use of such trademarks.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competitive position, business, financial condition, results of operations and prospects.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any name we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subject to claims that we or our employees have misappropriated the intellectual property, including know-how or trade secrets, of a third party, or claiming ownership of what we regard as our own intellectual property.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to defend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stock price may continue to be volatile and our stockholders may not be able to resell shares of our common stock at or above the price they paid.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is highly volatile and could be subject to wide fluctuations in response to various factors, some of which are beyond our control. These factors include those discussed in this “Risk Factors” section and others such as: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success or lack of success with regards to our commercialization of IBSRELA and XPHOZAH;</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results of regulatory inspections of our facilities or those of our CMOs, or specific label restrictions or patient populations for XPHOZAH’s use, or changes or delays in the regulatory review process;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announcements regarding coverage and reimbursement for XPHOZAH alone or with other oral ESRD-related drugs without injectable or intravenous equivalents;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announcements regarding the results of clinical trials we may run evaluating tenapanor for CIC, RDX10531 or any other product candidates;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announcements relating to our current or future collaboration partnerships;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announcements of therapeutic innovations or new products or strategic transactions by us or our competitors;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adverse actions taken by regulatory agencies with respect to our product label, our clinical trials, manufacturing supply chain or sales and marketing activities;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changes or developments in laws or regulations applicable to our approved products or our product candidates;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failure to meet any of our projected timelines or goals with regard to the commercialization of IBSRELA and XPHOZAH, or the clinical development and commercialization of any of our product candidates;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success of our efforts to acquire or license or discover additional product candidates;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any intellectual property infringement actions in which we may become involved;</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developments in the securities class action and stockholder derivative litigation pending against us and certain of our current and former directors and officers, or in any other litigation, investigation or legal proceeding to which we are or may become a party;</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success of our efforts to obtain adequate intellectual property protection for our products and product candidates;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announcements concerning our competitors or the pharmaceutical industry in general;</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achievement of expected product sales and profitability;</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manufacture, supply or distribution shortages;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actual or anticipated fluctuations in our operating results;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FDA or other U.S. or foreign regulatory actions affecting us or our industry or other healthcare reform measures in the U.S.;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changes in financial estimates or recommendations by securities analysts;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trading volume of our common stock;</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sales of our common stock by us, our executive officers and directors or our stockholders in the future;</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sales of debt securities and sales or licensing of assets;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general economic and market conditions and overall fluctuations in the U.S. equity markets; and</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loss of any of our key scientific or management personnel.</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firstLine="360"/>
        <w:jc w:val="left"/>
      </w:pPr>
      <w:r>
        <w:rPr>
          <w:rFonts w:ascii="Times New Roman;serif" w:hAnsi="Times New Roman;serif"/>
          <w:b w:val="false"/>
          <w:color w:val="000000"/>
          <w:sz w:val="20"/>
        </w:rPr>
        <w:t xml:space="preserve">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We are currently subject to a putative securities class action and a related stockholder derivative action, which are described in </w:t>
      </w:r>
      <w:r>
        <w:rPr>
          <w:rFonts w:ascii="Times New Roman;serif" w:hAnsi="Times New Roman;serif"/>
          <w:b w:val="false"/>
          <w:i/>
          <w:color w:val="000000"/>
          <w:sz w:val="20"/>
        </w:rPr>
        <w:t>Note 14. Commitments and Contingencies</w:t>
      </w:r>
      <w:r>
        <w:rPr>
          <w:color w:val="000000"/>
        </w:rPr>
        <w:t xml:space="preserve"> </w:t>
      </w:r>
      <w:r>
        <w:rPr>
          <w:rFonts w:ascii="Times New Roman;serif" w:hAnsi="Times New Roman;serif"/>
          <w:b w:val="false"/>
          <w:color w:val="000000"/>
          <w:sz w:val="20"/>
        </w:rPr>
        <w:t>to our condensed financial statements included in Part I, Item 1, of this Quarterly Report. In defending these lawsuits, or any similar lawsuits that may be brought against us in the future, we could incur substantial costs and the attention of our management would be diverted from the operation of our business, which could seriously harm our financial position. We are currently unable to predict the outcome of these lawsuits or reasonably estimate a range of potential losses, if any. Any adverse determination in litigation could also subject us to significant liabilities. Our directors’ and officers’ liability insurance may not cover, or may be insufficient to cover, these costs and liabilities, and we are responsible for amounts within the applicable retention.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sell shares of our common stock in future financings, stockholders may experience immediate dilution and, as a result, our stock price may decline.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will experience additional dilution and, as a result, our stock price may decline.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incur significant costs as a result of operating as a public company, and our management devotes substantial time to new compliance initiatives. We may fail to comply with the rules that apply to public companies, including Section 404 of the Sarbanes-Oxley Act of 2002, which could result in sanctions or other penalties that would harm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incur significant legal, accounting and other expenses as a public company, including costs resulting from public company reporting obligations under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need to devote a substantial amount of time to ensure that we comply with all of these requirements.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Section 404 of the Sarbanes-Oxley Act of 2002 (Section 404) and the related rules of the SEC, which generally require, among other things, our management and independent registered public accounting firm to report on the effectiveness of our internal control over financial reporting. Our compliance with Section 404 requires that we incur substantial expense and expend significant management efforts.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adversely affected by the global economic environment.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number of uninsured persons in the U.S., presidential elections, geopolitical tensions, other political influences and inflationary pressures. Our results of operations could be adversely affected by general conditions in the global economy and in the global financial markets, including the current inflationary environment and rising interest rates. Adverse developments that affect financial institutions, transactional counterparties, or other third parties, or concerns or rumors about these events, have in the past and may in the future lead to market-wide liquidity problems. We currently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 We cannot anticipate all the ways in which the global economic climate and global financial market conditions could adversely impact our business in the future.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U.S. result in widespread and prolonged unemployment, either regionally or on a national basis, or if certain provisions of the Patient Protection and ACA, as amended by the Health Care and Education Reconciliation Act, collectively known as the ACA,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Provisions in our charter documents and under Delaware law could discourage a takeover that stockholders may consider favorable and may lead to entrenchment of management.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a classified board of directors with three-year staggered terms, which may delay the ability of stockholders to change the membership of a majority of our board of directors;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no cumulative voting in the election of directors, which limits the ability of minority stockholders to elect director candidates;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required approval of at least two-thirds of the shares entitled to vote to remove a director for cause, and the prohibition on removal of directors without cause;</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ability of our board of directors to alter our bylaws without obtaining stockholder approval;</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a prohibition on stockholder action by written consent, which forces stockholder action to be taken at an annual or special meeting of our stockholders;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these provisions would apply even if we were to receive an offer that some stockholders may consider beneficial.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Claims for indemnification by our directors and officers may reduce our available funds to satisfy successful third-party claims against us and may reduce the amount of money available to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provide that we will indemnify our directors and officers, in each case to the fullest extent permitted by Delaware law.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as permitted by Section 145 of the Delaware General Corporation Law, our amended and restated bylaws and our indemnification agreements that we have entered into with our directors and officers provide that:</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a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We may, in our discretion, indemnify employees and agents in those circumstances where indemnification is permitted by applicable law.</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The rights conferred in our amended and restated bylaws are not exclusive, and we are authorized to enter into indemnification agreements with our directors, officers, employees and agents and to obtain insurance to indemnify such persons.</w:t>
      </w:r>
    </w:p>
    <w:p>
      <w:pPr>
        <w:pStyle w:val="TextBody"/>
        <w:bidi w:val="0"/>
        <w:spacing w:lineRule="auto" w:line="288" w:before="0" w:after="180"/>
        <w:ind w:left="0" w:right="0" w:hanging="360"/>
        <w:jc w:val="left"/>
      </w:pPr>
      <w:r>
        <w:rPr>
          <w:color w:val="000000"/>
        </w:rPr>
        <w:t>•</w:t>
      </w:r>
      <w:r>
        <w:rPr>
          <w:rFonts w:ascii="Times New Roman;serif" w:hAnsi="Times New Roman;serif"/>
          <w:b w:val="false"/>
          <w:color w:val="000000"/>
          <w:sz w:val="20"/>
        </w:rPr>
        <w:t>We may not retroactively amend our amended and restated bylaws to reduce our indemnification obligations to directors, officers, employees and agents.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do not currently intend to pay dividends on our common stock, and, consequently, our stockholders’ ability to achieve a return on their investment will depend on appreciation in the price of our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currently intend to pay any cash dividends on our common stock for the foreseeable future. We currently intend to invest our future earnings, if any, to fund our future business opportunities. Additionally, the terms of our Loan Agreement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Use of Proceeds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Trading Plans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no Section 16 officer or director adopted or terminated any contracts, instructions or written plans for the purchase or sale of our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1"/>
        <w:gridCol w:w="273"/>
        <w:gridCol w:w="274"/>
        <w:gridCol w:w="109"/>
        <w:gridCol w:w="109"/>
        <w:gridCol w:w="109"/>
        <w:gridCol w:w="1777"/>
        <w:gridCol w:w="1498"/>
        <w:gridCol w:w="1504"/>
        <w:gridCol w:w="109"/>
        <w:gridCol w:w="109"/>
        <w:gridCol w:w="109"/>
        <w:gridCol w:w="195"/>
        <w:gridCol w:w="195"/>
        <w:gridCol w:w="196"/>
        <w:gridCol w:w="112"/>
        <w:gridCol w:w="112"/>
        <w:gridCol w:w="112"/>
        <w:gridCol w:w="186"/>
        <w:gridCol w:w="186"/>
        <w:gridCol w:w="190"/>
        <w:gridCol w:w="112"/>
        <w:gridCol w:w="112"/>
        <w:gridCol w:w="112"/>
        <w:gridCol w:w="265"/>
        <w:gridCol w:w="265"/>
        <w:gridCol w:w="266"/>
        <w:gridCol w:w="109"/>
        <w:gridCol w:w="109"/>
        <w:gridCol w:w="109"/>
        <w:gridCol w:w="281"/>
        <w:gridCol w:w="281"/>
        <w:gridCol w:w="409"/>
      </w:tblGrid>
      <w:t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c>
          <w:tcPr>
            <w:tcW w:w="85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Filed Herewith</w:t>
            </w:r>
          </w:p>
        </w:tc>
      </w:tr>
      <w:tr>
        <w:tc>
          <w:tcPr>
            <w:tcW w:w="858"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vMerge w:val="continue"/>
            <w:tcBorders/>
            <w:tcMar>
              <w:top w:w="0" w:type="dxa"/>
              <w:left w:w="0" w:type="dxa"/>
              <w:bottom w:w="0" w:type="dxa"/>
              <w:right w:w="0" w:type="dxa"/>
            </w:tcMar>
            <w:vAlign w:val="center"/>
          </w:tcPr>
          <w:p>
            <w:pPr>
              <w:pStyle w:val="Normal"/>
              <w:bidi w:val="0"/>
              <w:jc w:val="left"/>
            </w:pPr>
            <w:r/>
          </w:p>
        </w:tc>
      </w:tr>
      <w:tr>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pPr>
            <w:hyperlink r:id="rId3">
              <w:r>
                <w:rPr>
                  <w:rStyle w:val="InternetLink"/>
                  <w:rFonts w:ascii="Times New Roman;serif" w:hAnsi="Times New Roman;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06/24/2014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4">
              <w:r>
                <w:rPr>
                  <w:rStyle w:val="InternetLink"/>
                  <w:rFonts w:ascii="Times New Roman;serif" w:hAnsi="Times New Roman;serif"/>
                  <w:b w:val="false"/>
                  <w:color w:val="0000FF"/>
                  <w:sz w:val="20"/>
                  <w:u w:val="single"/>
                </w:rPr>
                <w:t>Certificate of Amendment to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06/20/2023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5">
              <w:r>
                <w:rPr>
                  <w:rStyle w:val="InternetLink"/>
                  <w:rFonts w:ascii="Times New Roman;serif" w:hAnsi="Times New Roman;serif"/>
                  <w:b w:val="false"/>
                  <w:color w:val="0000FF"/>
                  <w:sz w:val="20"/>
                  <w:u w:val="single"/>
                </w:rPr>
                <w:t>Second 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08/04/2025</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rdx-20260930xex101.htm">
              <w:r>
                <w:rPr>
                  <w:rStyle w:val="InternetLink"/>
                  <w:rFonts w:ascii="Times New Roman;serif" w:hAnsi="Times New Roman;serif"/>
                  <w:b w:val="false"/>
                  <w:color w:val="0000FF"/>
                  <w:sz w:val="20"/>
                  <w:u w:val="single"/>
                </w:rPr>
                <w:t>Transition and Separation Agreement, dated June 9, 2026, by and between Ardelyx, Inc. and Laura A. Williams, M.D., M.P.H., together with the General Release of Claims thereunder, effective September 10,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rdx-20260930xex191.htm">
              <w:r>
                <w:rPr>
                  <w:rStyle w:val="InternetLink"/>
                  <w:rFonts w:ascii="Times New Roman;serif" w:hAnsi="Times New Roman;serif"/>
                  <w:b w:val="false"/>
                  <w:color w:val="0000FF"/>
                  <w:sz w:val="20"/>
                  <w:u w:val="single"/>
                </w:rPr>
                <w:t>Ardelyx, Inc. Insider Trading Compliance Policy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rdx-20260930xex311.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rdx-20260930xex312.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rdx-20260930xex321.htm">
              <w:r>
                <w:rPr>
                  <w:rStyle w:val="InternetLink"/>
                  <w:rFonts w:ascii="Times New Roman;serif" w:hAnsi="Times New Roman;serif"/>
                  <w:b w:val="false"/>
                  <w:color w:val="0000FF"/>
                  <w:sz w:val="20"/>
                  <w:u w:val="single"/>
                </w:rPr>
                <w:t>Certification of Chief Executive Officer and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statements, formatted in Inline Extensible Business Reporting Language (XBRL): (i) Condensed Balance Sheets as of September 30, 2026 and December 31, 2025, (ii) Condensed Statements of Operations and Comprehensive Loss for the three and nine months ended September 30, 2026 and 2025, (iii) Condensed Statements of Changes in Stockholders’ Equity for the three and nine months ended September 30, 2026 and 2025, (iv) Condensed Statements of Cash Flows for the nine months ended September 30, 2026 and 2025, and (v) Notes to Unaudited Condensed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c>
          <w:tcPr>
            <w:tcW w:w="8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w:t>
              <w:br/>
              <w:t>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The certifications attached as Exhibit 32.1 that accompany this Quarterly Report on Form 10-Q are deemed furnished and not filed with the SEC and are not to be incorporated by reference into any filing of Ardelyx,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275" w:type="dxa"/>
        <w:jc w:val="left"/>
        <w:tblInd w:w="0" w:type="dxa"/>
        <w:tblLayout w:type="fixed"/>
        <w:tblCellMar>
          <w:top w:w="28" w:type="dxa"/>
          <w:left w:w="28" w:type="dxa"/>
          <w:bottom w:w="28" w:type="dxa"/>
          <w:right w:w="28" w:type="dxa"/>
        </w:tblCellMar>
      </w:tblPr>
      <w:tblGrid>
        <w:gridCol w:w="759"/>
        <w:gridCol w:w="668"/>
        <w:gridCol w:w="672"/>
        <w:gridCol w:w="199"/>
        <w:gridCol w:w="199"/>
        <w:gridCol w:w="199"/>
        <w:gridCol w:w="1466"/>
        <w:gridCol w:w="1466"/>
        <w:gridCol w:w="1493"/>
        <w:gridCol w:w="154"/>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Ardelyx, Inc.</w:t>
            </w:r>
          </w:p>
        </w:tc>
        <w:tc>
          <w:tcPr>
            <w:tcW w:w="154" w:type="dxa"/>
            <w:tcBorders/>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3, 2026</w:t>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2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Joseph Reilly</w:t>
            </w:r>
          </w:p>
        </w:tc>
        <w:tc>
          <w:tcPr>
            <w:tcW w:w="154" w:type="dxa"/>
            <w:tcBorders/>
          </w:tcPr>
          <w:p>
            <w:pPr>
              <w:pStyle w:val="TableContents"/>
              <w:bidi w:val="0"/>
              <w:spacing w:before="0" w:after="283"/>
              <w:jc w:val="left"/>
              <w:rPr>
                <w:sz w:val="4"/>
                <w:szCs w:val="4"/>
              </w:rPr>
            </w:pPr>
            <w:r>
              <w:rPr>
                <w:sz w:val="4"/>
                <w:szCs w:val="4"/>
              </w:rPr>
            </w:r>
          </w:p>
        </w:tc>
      </w:tr>
      <w:tr>
        <w:tc>
          <w:tcPr>
            <w:tcW w:w="209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Joseph Reilly</w:t>
            </w:r>
          </w:p>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Senior Vice President and Chief Accounting Officer</w:t>
            </w:r>
          </w:p>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(Principal Accounting Officer)</w:t>
            </w:r>
          </w:p>
        </w:tc>
        <w:tc>
          <w:tcPr>
            <w:tcW w:w="154" w:type="dxa"/>
            <w:tcBorders/>
          </w:tcPr>
          <w:p>
            <w:pPr>
              <w:pStyle w:val="TableContents"/>
              <w:bidi w:val="0"/>
              <w:spacing w:before="0" w:after="283"/>
              <w:jc w:val="left"/>
              <w:rPr>
                <w:sz w:val="4"/>
                <w:szCs w:val="4"/>
              </w:rPr>
            </w:pPr>
            <w:r>
              <w:rPr>
                <w:sz w:val="4"/>
                <w:szCs w:val="4"/>
              </w:rPr>
            </w:r>
          </w:p>
        </w:tc>
      </w:tr>
      <w:tr>
        <w:tc>
          <w:tcPr>
            <w:tcW w:w="2099" w:type="dxa"/>
            <w:gridSpan w:val="3"/>
            <w:vMerge w:val="continue"/>
            <w:tcBorders/>
            <w:tcMar>
              <w:top w:w="0" w:type="dxa"/>
              <w:left w:w="0" w:type="dxa"/>
              <w:bottom w:w="0" w:type="dxa"/>
              <w:right w:w="0" w:type="dxa"/>
            </w:tcMar>
            <w:vAlign w:val="center"/>
          </w:tcPr>
          <w:p>
            <w:pPr>
              <w:pStyle w:val="Normal"/>
              <w:bidi w:val="0"/>
              <w:jc w:val="left"/>
            </w:pPr>
            <w:r/>
          </w:p>
        </w:tc>
        <w:tc>
          <w:tcPr>
            <w:tcW w:w="597" w:type="dxa"/>
            <w:gridSpan w:val="3"/>
            <w:vMerge w:val="continue"/>
            <w:tcBorders/>
            <w:tcMar>
              <w:top w:w="0" w:type="dxa"/>
              <w:left w:w="0" w:type="dxa"/>
              <w:bottom w:w="0" w:type="dxa"/>
              <w:right w:w="0" w:type="dxa"/>
            </w:tcMar>
            <w:vAlign w:val="center"/>
          </w:tcPr>
          <w:p>
            <w:pPr>
              <w:pStyle w:val="Normal"/>
              <w:bidi w:val="0"/>
              <w:jc w:val="left"/>
            </w:pPr>
            <w:r/>
          </w:p>
        </w:tc>
        <w:tc>
          <w:tcPr>
            <w:tcW w:w="44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154" w:type="dxa"/>
            <w:tcBorders/>
            <w:vAlign w:val="center"/>
          </w:tcPr>
          <w:p>
            <w:pPr>
              <w:pStyle w:val="TableContents"/>
              <w:bidi w:val="0"/>
              <w:spacing w:before="0" w:after="283"/>
              <w:jc w:val="left"/>
              <w:rPr>
                <w:sz w:val="4"/>
                <w:szCs w:val="4"/>
              </w:rPr>
            </w:pPr>
            <w:r>
              <w:rPr>
                <w:sz w:val="4"/>
                <w:szCs w:val="4"/>
              </w:rPr>
            </w:r>
          </w:p>
        </w:tc>
      </w:tr>
      <w:tr>
        <w:tc>
          <w:tcPr>
            <w:tcW w:w="2099" w:type="dxa"/>
            <w:gridSpan w:val="3"/>
            <w:vMerge w:val="continue"/>
            <w:tcBorders/>
            <w:tcMar>
              <w:top w:w="0" w:type="dxa"/>
              <w:left w:w="0" w:type="dxa"/>
              <w:bottom w:w="0" w:type="dxa"/>
              <w:right w:w="0" w:type="dxa"/>
            </w:tcMar>
            <w:vAlign w:val="center"/>
          </w:tcPr>
          <w:p>
            <w:pPr>
              <w:pStyle w:val="Normal"/>
              <w:bidi w:val="0"/>
              <w:jc w:val="left"/>
            </w:pPr>
            <w:r/>
          </w:p>
        </w:tc>
        <w:tc>
          <w:tcPr>
            <w:tcW w:w="597" w:type="dxa"/>
            <w:gridSpan w:val="3"/>
            <w:vMerge w:val="continue"/>
            <w:tcBorders/>
            <w:tcMar>
              <w:top w:w="0" w:type="dxa"/>
              <w:left w:w="0" w:type="dxa"/>
              <w:bottom w:w="0" w:type="dxa"/>
              <w:right w:w="0" w:type="dxa"/>
            </w:tcMar>
            <w:vAlign w:val="center"/>
          </w:tcPr>
          <w:p>
            <w:pPr>
              <w:pStyle w:val="Normal"/>
              <w:bidi w:val="0"/>
              <w:jc w:val="left"/>
            </w:pPr>
            <w:r/>
          </w:p>
        </w:tc>
        <w:tc>
          <w:tcPr>
            <w:tcW w:w="44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240" w:after="283"/>
        <w:jc w:val="both"/>
      </w:pPr>
      <w:hyperlink w:anchor="if3eeb40649944ce2aa29715a439a1a70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SUMMARY OF ABBREVIATED TERMS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Throughout this Quarterly Report on Form 10-Q, we have used terms which are defined below:</w:t>
      </w:r>
    </w:p>
    <w:tbl>
      <w:tblPr>
        <w:tblW w:w="10205" w:type="dxa"/>
        <w:jc w:val="center"/>
        <w:tblInd w:w="0" w:type="dxa"/>
        <w:tblLayout w:type="fixed"/>
        <w:tblCellMar>
          <w:top w:w="28" w:type="dxa"/>
          <w:left w:w="28" w:type="dxa"/>
          <w:bottom w:w="28" w:type="dxa"/>
          <w:right w:w="28" w:type="dxa"/>
        </w:tblCellMar>
      </w:tblPr>
      <w:tblGrid>
        <w:gridCol w:w="501"/>
        <w:gridCol w:w="436"/>
        <w:gridCol w:w="277"/>
        <w:gridCol w:w="1430"/>
        <w:gridCol w:w="1317"/>
        <w:gridCol w:w="1321"/>
        <w:gridCol w:w="411"/>
        <w:gridCol w:w="345"/>
        <w:gridCol w:w="350"/>
        <w:gridCol w:w="1236"/>
        <w:gridCol w:w="1066"/>
        <w:gridCol w:w="1515"/>
      </w:tblGrid>
      <w:tr>
        <w:tc>
          <w:tcPr>
            <w:tcW w:w="50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r>
      <w:tr>
        <w:tc>
          <w:tcPr>
            <w:tcW w:w="121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2025 Form 10-K</w:t>
            </w:r>
          </w:p>
        </w:tc>
        <w:tc>
          <w:tcPr>
            <w:tcW w:w="40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Annual Report on Form 10-K for the year ended December 31, 2025 filed with the SEC on February 19, 2026</w:t>
            </w:r>
          </w:p>
        </w:tc>
        <w:tc>
          <w:tcPr>
            <w:tcW w:w="11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HCR</w:t>
            </w:r>
          </w:p>
        </w:tc>
        <w:tc>
          <w:tcPr>
            <w:tcW w:w="3817" w:type="dxa"/>
            <w:gridSpan w:val="3"/>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HealthCare Royalty Partners IV, L.P.</w:t>
            </w:r>
          </w:p>
        </w:tc>
      </w:tr>
      <w:t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340B Program</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Health Service’s 340B Drug Pricing Program</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HCR Agreement</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Royalty and Sales Milestone Interest Acquisition Agreement</w:t>
            </w:r>
          </w:p>
        </w:tc>
      </w:tr>
      <w:t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AAKP</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American Association of Kidney Patients</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HHS</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Department of Health and Human Services</w:t>
            </w:r>
          </w:p>
        </w:tc>
      </w:tr>
      <w:t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ACA</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Affordable Care Act</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HIPAA</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Health Insurance Portability and Accountability Act of 1996, as amended, and regulations promulgated thereunder</w:t>
            </w:r>
          </w:p>
        </w:tc>
      </w:tr>
      <w:t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AI Technologies</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Artificial intelligence (AI), machine learning, and automated decision-making technologies, (collectively, AI Technologies) </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HRSA</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Health Resources and Services Administration</w:t>
            </w:r>
          </w:p>
        </w:tc>
      </w:tr>
      <w:t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AMP</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manufacturer price</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IBS-C</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irritable bowel syndrome with constipation</w:t>
            </w:r>
          </w:p>
        </w:tc>
      </w:tr>
      <w:t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ANDA</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abbreviated New Drug Application</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Investigational New Drug</w:t>
            </w:r>
          </w:p>
        </w:tc>
      </w:tr>
      <w:t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API</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active pharmaceutical ingredient</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IRA</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Inflation Reduction Act of 2022</w:t>
            </w:r>
          </w:p>
        </w:tc>
      </w:tr>
      <w:t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AstraZeneca</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AstraZeneca AB</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IRB</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Institutional Review Board</w:t>
            </w:r>
          </w:p>
        </w:tc>
      </w:tr>
      <w:t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ASU</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Accounting Standards Update</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IT</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information technology</w:t>
            </w:r>
          </w:p>
        </w:tc>
      </w:tr>
      <w:t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CCPA</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California Consumer Privacy Act, as amended by the California Privacy Rights Act</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Jefferies</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Jefferies LLC</w:t>
            </w:r>
          </w:p>
        </w:tc>
      </w:tr>
      <w:t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cGMP</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Good Manufacturing Practice</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Knight</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Knight Therapeutics, Inc.</w:t>
            </w:r>
          </w:p>
        </w:tc>
      </w:tr>
      <w:t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CIC</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chronic idiopathic constipation</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Kyowa Kirin</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Kyowa Kirin Co., Ltd.</w:t>
            </w:r>
          </w:p>
        </w:tc>
      </w:tr>
      <w:t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CKD</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chronic kidney disease</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MDRP</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Medicaid Drug Rebate Program</w:t>
            </w:r>
          </w:p>
        </w:tc>
      </w:tr>
      <w:t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CME</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Chicago Mercantile Exchange</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MIPPA</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Medicare Improvements for Patients and</w:t>
              <w:br/>
              <w:t>Providers Act</w:t>
            </w:r>
          </w:p>
        </w:tc>
      </w:tr>
      <w:t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CMO</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manufacturing organization</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METiS</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METiS Therapeutics, Inc.</w:t>
            </w:r>
          </w:p>
        </w:tc>
      </w:tr>
      <w:t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CMS</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Centers for Medicare &amp; Medicaid Services</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MHLW</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Ministry of Health, Labour and Welfare</w:t>
            </w:r>
          </w:p>
        </w:tc>
      </w:tr>
      <w:t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research organization</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NCE</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chemical entity</w:t>
            </w:r>
          </w:p>
        </w:tc>
      </w:tr>
      <w:t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Customers</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collectively, major wholesalers, specialty pharmacies and GPOs (IBSRELA) and specialty wholesaler (XPHOZAH)</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NDA</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Drug Application</w:t>
            </w:r>
          </w:p>
        </w:tc>
      </w:tr>
      <w:t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DPF</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EU-US Data Privacy Framework</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NHE3</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sodium hydrogen exchange 3</w:t>
            </w:r>
          </w:p>
        </w:tc>
      </w:tr>
      <w:t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EEA</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European Economic Area</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NMPA</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National Medical Products Administration</w:t>
            </w:r>
          </w:p>
        </w:tc>
      </w:tr>
      <w:t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ESPP</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Stock Purchase Plan</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NMQF</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National Minority Quality Forum</w:t>
            </w:r>
          </w:p>
        </w:tc>
      </w:tr>
      <w:t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ESRD</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End-Stage Renal Disease</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NOL</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operating loss</w:t>
            </w:r>
          </w:p>
        </w:tc>
      </w:tr>
      <w:t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ESRD PPS</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End-Stage Renal Disease Prospective Payment System</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Non-FAMP</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Non-Federal Average Manufacturer Price</w:t>
            </w:r>
          </w:p>
        </w:tc>
      </w:tr>
      <w:t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 Patent Package</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European Patent Package</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OLC</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Oxylanthanum Carbonate</w:t>
            </w:r>
          </w:p>
        </w:tc>
      </w:tr>
      <w:t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Exchange Act</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Securities Exchange Act of 1934, as amended</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R&amp;D</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r>
      <w:t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FASB</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Accounting Standards Board</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REMS</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 Evaluation and Mitigation Strategy</w:t>
            </w:r>
          </w:p>
        </w:tc>
      </w:tr>
      <w:t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FDA</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Drug Administration</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r>
      <w:t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FFDCA</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Food, Drug, and Cosmetic Act</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SEC</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and Exchange Commission</w:t>
            </w:r>
          </w:p>
        </w:tc>
      </w:tr>
      <w:t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Fosun Pharma</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Shanghai Fosun Pharmaceutical Industrial Development Co. Ltd.</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SLR</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SLR Investment Corp.</w:t>
            </w:r>
          </w:p>
        </w:tc>
      </w:tr>
      <w:t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FSS</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Supply Schedule</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SOFR</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Secured Overnight Financing Rate</w:t>
            </w:r>
          </w:p>
        </w:tc>
      </w:tr>
      <w:t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FTC</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Federal Trade Commission</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TDAPA</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Transitional Drug Add-on Payment Adjustment</w:t>
            </w:r>
          </w:p>
        </w:tc>
      </w:tr>
      <w:t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GCP</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 Clinical Practice</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UPC</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Unified Patent Court</w:t>
            </w:r>
          </w:p>
        </w:tc>
      </w:tr>
      <w:t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GDPR</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European Union General Data Protection Regulation</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c>
          <w:tcPr>
            <w:tcW w:w="121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GLP</w:t>
            </w:r>
          </w:p>
        </w:tc>
        <w:tc>
          <w:tcPr>
            <w:tcW w:w="4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 Laboratory Practice</w:t>
            </w:r>
          </w:p>
        </w:tc>
        <w:tc>
          <w:tcPr>
            <w:tcW w:w="1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USPTO</w:t>
            </w:r>
          </w:p>
        </w:tc>
        <w:tc>
          <w:tcPr>
            <w:tcW w:w="3817" w:type="dxa"/>
            <w:gridSpan w:val="3"/>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Patent and Trademark Office</w:t>
            </w:r>
          </w:p>
        </w:tc>
      </w:tr>
      <w:tr>
        <w:tc>
          <w:tcPr>
            <w:tcW w:w="121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GPO</w:t>
            </w:r>
          </w:p>
        </w:tc>
        <w:tc>
          <w:tcPr>
            <w:tcW w:w="4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group purchasing organization</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w:t>
            </w:r>
          </w:p>
        </w:tc>
        <w:tc>
          <w:tcPr>
            <w:tcW w:w="3817"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Department of Veterans Affairs</w:t>
            </w:r>
          </w:p>
        </w:tc>
      </w:tr>
      <w:tr>
        <w:tc>
          <w:tcPr>
            <w:tcW w:w="1214" w:type="dxa"/>
            <w:gridSpan w:val="3"/>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GTN</w:t>
            </w:r>
          </w:p>
        </w:tc>
        <w:tc>
          <w:tcPr>
            <w:tcW w:w="406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gross-to-net</w:t>
            </w:r>
          </w:p>
        </w:tc>
        <w:tc>
          <w:tcPr>
            <w:tcW w:w="110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7" w:type="dxa"/>
            <w:gridSpan w:val="3"/>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220"/>
        <w:jc w:val="right"/>
        <w:rPr>
          <w:rFonts w:ascii="Times New Roman;serif" w:hAnsi="Times New Roman;serif"/>
          <w:b/>
          <w:color w:val="000000"/>
          <w:sz w:val="22"/>
        </w:rPr>
      </w:pPr>
      <w:r>
        <w:rPr>
          <w:rFonts w:ascii="Times New Roman;serif" w:hAnsi="Times New Roman;serif"/>
          <w:b/>
          <w:color w:val="000000"/>
          <w:sz w:val="22"/>
        </w:rPr>
        <w:t>Exhibit 10.1</w:t>
      </w:r>
    </w:p>
    <w:p>
      <w:pPr>
        <w:pStyle w:val="TextBody"/>
        <w:bidi w:val="0"/>
        <w:spacing w:lineRule="auto" w:line="288" w:before="0" w:after="220"/>
        <w:jc w:val="center"/>
        <w:rPr>
          <w:rFonts w:ascii="Times New Roman;serif" w:hAnsi="Times New Roman;serif"/>
          <w:b/>
          <w:color w:val="000000"/>
          <w:sz w:val="24"/>
          <w:u w:val="single"/>
        </w:rPr>
      </w:pPr>
      <w:r>
        <w:rPr>
          <w:rFonts w:ascii="Times New Roman;serif" w:hAnsi="Times New Roman;serif"/>
          <w:b/>
          <w:color w:val="000000"/>
          <w:sz w:val="24"/>
          <w:u w:val="single"/>
        </w:rPr>
        <w:t>TRANSITION AND SEPARATION AGREEMENT</w:t>
      </w:r>
    </w:p>
    <w:p>
      <w:pPr>
        <w:pStyle w:val="TextBody"/>
        <w:bidi w:val="0"/>
        <w:spacing w:lineRule="auto" w:line="288" w:before="0" w:after="220"/>
        <w:ind w:left="0" w:right="0" w:firstLine="720"/>
        <w:jc w:val="both"/>
      </w:pPr>
      <w:r>
        <w:rPr>
          <w:rFonts w:ascii="Times New Roman;serif" w:hAnsi="Times New Roman;serif"/>
          <w:b w:val="false"/>
          <w:color w:val="000000"/>
          <w:sz w:val="24"/>
        </w:rPr>
        <w:t>This Transition and Separation Agreement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entered into by and between Laura A. Williams, M.D., M.P.H.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and Ardelyx,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effective as of the Effective Date set forth in Section 4(d) below, with reference to the following facts:</w:t>
      </w:r>
    </w:p>
    <w:p>
      <w:pPr>
        <w:pStyle w:val="TextBody"/>
        <w:bidi w:val="0"/>
        <w:spacing w:lineRule="auto" w:line="288" w:before="0" w:after="220"/>
        <w:ind w:left="0" w:right="0" w:firstLine="1440"/>
        <w:jc w:val="both"/>
      </w:pPr>
      <w:r>
        <w:rPr>
          <w:rFonts w:ascii="Times New Roman;serif" w:hAnsi="Times New Roman;serif"/>
          <w:b w:val="false"/>
          <w:color w:val="000000"/>
          <w:sz w:val="24"/>
        </w:rPr>
        <w:t>A.</w:t>
      </w:r>
      <w:r>
        <w:rPr>
          <w:rFonts w:ascii="Times New Roman;serif" w:hAnsi="Times New Roman;serif"/>
          <w:b w:val="false"/>
          <w:color w:val="000000"/>
          <w:sz w:val="24"/>
        </w:rPr>
        <w:t>Executive, who currently serves as the Company’s Chief Patient Officer, has notified the Company of her intent to retire from such position effective as of September 1, 2026 (the “</w:t>
      </w:r>
      <w:r>
        <w:rPr>
          <w:rFonts w:ascii="Times New Roman;serif" w:hAnsi="Times New Roman;serif"/>
          <w:b w:val="false"/>
          <w:color w:val="000000"/>
          <w:sz w:val="24"/>
          <w:u w:val="single"/>
        </w:rPr>
        <w:t>Planned Retirement Date</w:t>
      </w:r>
      <w:r>
        <w:rPr>
          <w:color w:val="000000"/>
        </w:rPr>
        <w:t>”</w:t>
      </w:r>
      <w:r>
        <w:rPr>
          <w:rFonts w:ascii="Times New Roman;serif" w:hAnsi="Times New Roman;serif"/>
          <w:b w:val="false"/>
          <w:color w:val="000000"/>
          <w:sz w:val="24"/>
        </w:rPr>
        <w:t>).</w:t>
      </w:r>
    </w:p>
    <w:p>
      <w:pPr>
        <w:pStyle w:val="TextBody"/>
        <w:bidi w:val="0"/>
        <w:spacing w:lineRule="auto" w:line="288" w:before="0" w:after="220"/>
        <w:ind w:left="0" w:right="0" w:firstLine="1440"/>
        <w:jc w:val="both"/>
      </w:pPr>
      <w:r>
        <w:rPr>
          <w:rFonts w:ascii="Times New Roman;serif" w:hAnsi="Times New Roman;serif"/>
          <w:b w:val="false"/>
          <w:color w:val="000000"/>
          <w:sz w:val="24"/>
        </w:rPr>
        <w:t>B.</w:t>
      </w:r>
      <w:r>
        <w:rPr>
          <w:rFonts w:ascii="Times New Roman;serif" w:hAnsi="Times New Roman;serif"/>
          <w:b w:val="false"/>
          <w:color w:val="000000"/>
          <w:sz w:val="24"/>
        </w:rPr>
        <w:t>Executive is party with the Company to an offer letter dated as of August 24, 2020 (the “</w:t>
      </w:r>
      <w:r>
        <w:rPr>
          <w:rFonts w:ascii="Times New Roman;serif" w:hAnsi="Times New Roman;serif"/>
          <w:b w:val="false"/>
          <w:color w:val="000000"/>
          <w:sz w:val="24"/>
          <w:u w:val="single"/>
        </w:rPr>
        <w:t>Offer Letter</w:t>
      </w:r>
      <w:r>
        <w:rPr>
          <w:color w:val="000000"/>
        </w:rPr>
        <w:t>”</w:t>
      </w:r>
      <w:r>
        <w:rPr>
          <w:rFonts w:ascii="Times New Roman;serif" w:hAnsi="Times New Roman;serif"/>
          <w:b w:val="false"/>
          <w:color w:val="000000"/>
          <w:sz w:val="24"/>
        </w:rPr>
        <w:t>) and a Second Amended and Restated Change in Control Severance Agreement entered into as of April 29, 2025 (the “</w:t>
      </w:r>
      <w:r>
        <w:rPr>
          <w:rFonts w:ascii="Times New Roman;serif" w:hAnsi="Times New Roman;serif"/>
          <w:b w:val="false"/>
          <w:color w:val="000000"/>
          <w:sz w:val="24"/>
          <w:u w:val="single"/>
        </w:rPr>
        <w:t>Severance Agreement</w:t>
      </w:r>
      <w:r>
        <w:rPr>
          <w:color w:val="000000"/>
        </w:rPr>
        <w:t>”</w:t>
      </w:r>
      <w:r>
        <w:rPr>
          <w:rFonts w:ascii="Times New Roman;serif" w:hAnsi="Times New Roman;serif"/>
          <w:b w:val="false"/>
          <w:color w:val="000000"/>
          <w:sz w:val="24"/>
        </w:rPr>
        <w:t>).</w:t>
      </w:r>
    </w:p>
    <w:p>
      <w:pPr>
        <w:pStyle w:val="TextBody"/>
        <w:bidi w:val="0"/>
        <w:spacing w:lineRule="auto" w:line="288" w:before="0" w:after="220"/>
        <w:ind w:left="0" w:right="0" w:firstLine="1440"/>
        <w:jc w:val="both"/>
      </w:pPr>
      <w:r>
        <w:rPr>
          <w:rFonts w:ascii="Times New Roman;serif" w:hAnsi="Times New Roman;serif"/>
          <w:b w:val="false"/>
          <w:color w:val="000000"/>
          <w:sz w:val="24"/>
        </w:rPr>
        <w:t>C.</w:t>
      </w:r>
      <w:r>
        <w:rPr>
          <w:rFonts w:ascii="Times New Roman;serif" w:hAnsi="Times New Roman;serif"/>
          <w:b w:val="false"/>
          <w:color w:val="000000"/>
          <w:sz w:val="24"/>
        </w:rPr>
        <w:t>Executive and the Company want to end their relationship amicably and also to establish the obligations of the parties including, without limitation, all amounts due and owing to Executive in connection with Executive’s employment with the Company.</w:t>
      </w:r>
    </w:p>
    <w:p>
      <w:pPr>
        <w:pStyle w:val="TextBody"/>
        <w:bidi w:val="0"/>
        <w:spacing w:lineRule="auto" w:line="288" w:before="0" w:after="2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covenants and agreements hereinafter set forth, the parties agree as follows:</w:t>
      </w:r>
    </w:p>
    <w:p>
      <w:pPr>
        <w:pStyle w:val="TextBody"/>
        <w:bidi w:val="0"/>
        <w:spacing w:lineRule="auto" w:line="288" w:before="0" w:after="220"/>
        <w:ind w:left="0" w:right="0" w:firstLine="1440"/>
        <w:jc w:val="both"/>
      </w:pPr>
      <w:r>
        <w:rPr>
          <w:rFonts w:ascii="Times New Roman;serif" w:hAnsi="Times New Roman;serif"/>
          <w:b w:val="false"/>
          <w:color w:val="000000"/>
          <w:sz w:val="24"/>
        </w:rPr>
        <w:t>1.</w:t>
      </w:r>
      <w:r>
        <w:rPr>
          <w:rFonts w:ascii="Times New Roman;serif" w:hAnsi="Times New Roman;serif"/>
          <w:b w:val="false"/>
          <w:color w:val="000000"/>
          <w:sz w:val="24"/>
          <w:u w:val="single"/>
        </w:rPr>
        <w:t>Continued Employment Period</w:t>
      </w:r>
      <w:r>
        <w:rPr>
          <w:rFonts w:ascii="Times New Roman;serif" w:hAnsi="Times New Roman;serif"/>
          <w:b w:val="false"/>
          <w:color w:val="000000"/>
          <w:sz w:val="24"/>
        </w:rPr>
        <w:t>. Executive and the Company acknowledge and agree that Executive shall continue to remain employed on a full time basis as Chief Patient Officer through the earliest of (i) the later of (A) the Planned Retirement Date or (B), solely in the event a definitive agreement that contemplates a Change in Control (as defined in the Severance Agreement) is entered into on or prior to the Planned Retirement Date, the date such Change in Control is consummated (or if such definitive agreement is terminated without the Change in Control being consummated, the date of such termination) (such later date, the “</w:t>
      </w:r>
      <w:r>
        <w:rPr>
          <w:rFonts w:ascii="Times New Roman;serif" w:hAnsi="Times New Roman;serif"/>
          <w:b w:val="false"/>
          <w:color w:val="000000"/>
          <w:sz w:val="24"/>
          <w:u w:val="single"/>
        </w:rPr>
        <w:t>Qualifying Retirement Date</w:t>
      </w:r>
      <w:r>
        <w:rPr>
          <w:color w:val="000000"/>
        </w:rPr>
        <w:t>”</w:t>
      </w:r>
      <w:r>
        <w:rPr>
          <w:rFonts w:ascii="Times New Roman;serif" w:hAnsi="Times New Roman;serif"/>
          <w:b w:val="false"/>
          <w:color w:val="000000"/>
          <w:sz w:val="24"/>
        </w:rPr>
        <w:t>) (ii) the date the Company terminates Executive’s employment for Cause (as defined in the Severance Agreement) or (iii) the date Executive voluntarily resigns from her employment with the Company (such earliest date, the “</w:t>
      </w:r>
      <w:r>
        <w:rPr>
          <w:rFonts w:ascii="Times New Roman;serif" w:hAnsi="Times New Roman;serif"/>
          <w:b w:val="false"/>
          <w:color w:val="000000"/>
          <w:sz w:val="24"/>
          <w:u w:val="single"/>
        </w:rPr>
        <w:t>Retirement Date</w:t>
      </w:r>
      <w:r>
        <w:rPr>
          <w:color w:val="000000"/>
        </w:rPr>
        <w:t xml:space="preserve">” </w:t>
      </w:r>
      <w:r>
        <w:rPr>
          <w:rFonts w:ascii="Times New Roman;serif" w:hAnsi="Times New Roman;serif"/>
          <w:b w:val="false"/>
          <w:color w:val="000000"/>
          <w:sz w:val="24"/>
        </w:rPr>
        <w:t>and, the period between the date hereof and the Retirement Date, the “</w:t>
      </w:r>
      <w:r>
        <w:rPr>
          <w:rFonts w:ascii="Times New Roman;serif" w:hAnsi="Times New Roman;serif"/>
          <w:b w:val="false"/>
          <w:color w:val="000000"/>
          <w:sz w:val="24"/>
          <w:u w:val="single"/>
        </w:rPr>
        <w:t>Continued</w:t>
      </w:r>
      <w:r>
        <w:rPr>
          <w:color w:val="000000"/>
        </w:rPr>
        <w:t xml:space="preserve"> </w:t>
      </w:r>
      <w:r>
        <w:rPr>
          <w:rFonts w:ascii="Times New Roman;serif" w:hAnsi="Times New Roman;serif"/>
          <w:b w:val="false"/>
          <w:color w:val="000000"/>
          <w:sz w:val="24"/>
          <w:u w:val="single"/>
        </w:rPr>
        <w:t>Employment Period</w:t>
      </w:r>
      <w:r>
        <w:rPr>
          <w:color w:val="000000"/>
        </w:rPr>
        <w:t>”</w:t>
      </w:r>
      <w:r>
        <w:rPr>
          <w:rFonts w:ascii="Times New Roman;serif" w:hAnsi="Times New Roman;serif"/>
          <w:b w:val="false"/>
          <w:color w:val="000000"/>
          <w:sz w:val="24"/>
        </w:rPr>
        <w:t>). Executive acknowledges that Executive status as an officer of the Company and each of its subsidiaries shall terminate on the last day of the Continued Employment Period. Executive agrees to execute such additional documentation as the Company determines is necessary or appropriate to effect Executive’s cessation of service as an officer, provided that any such documentation is consistent with this Agreement.</w:t>
      </w:r>
    </w:p>
    <w:p>
      <w:pPr>
        <w:pStyle w:val="TextBody"/>
        <w:bidi w:val="0"/>
        <w:spacing w:lineRule="auto" w:line="288" w:before="0" w:after="220"/>
        <w:ind w:left="0" w:right="0" w:firstLine="1440"/>
        <w:jc w:val="both"/>
      </w:pPr>
      <w:r>
        <w:rPr>
          <w:rFonts w:ascii="Times New Roman;serif" w:hAnsi="Times New Roman;serif"/>
          <w:b w:val="false"/>
          <w:color w:val="000000"/>
          <w:sz w:val="24"/>
        </w:rPr>
        <w:t>(a)</w:t>
      </w:r>
      <w:r>
        <w:rPr>
          <w:rFonts w:ascii="Times New Roman;serif" w:hAnsi="Times New Roman;serif"/>
          <w:b w:val="false"/>
          <w:i/>
          <w:color w:val="000000"/>
          <w:sz w:val="24"/>
        </w:rPr>
        <w:t>Duties</w:t>
      </w:r>
      <w:r>
        <w:rPr>
          <w:rFonts w:ascii="Times New Roman;serif" w:hAnsi="Times New Roman;serif"/>
          <w:b w:val="false"/>
          <w:color w:val="000000"/>
          <w:sz w:val="24"/>
        </w:rPr>
        <w:t>. During the Continued Employment Period, Executive shall continue to perform such duties as are customarily associated with the position of Chief Patient Officer and such other duties as assigned by the Company’s Chief Executive Officer to assist with transitioning Executive’s duties to her successor(s).</w:t>
      </w:r>
    </w:p>
    <w:p>
      <w:pPr>
        <w:pStyle w:val="TextBody"/>
        <w:bidi w:val="0"/>
        <w:spacing w:lineRule="auto" w:line="288" w:before="0" w:after="220"/>
        <w:ind w:left="0" w:right="0" w:firstLine="1440"/>
        <w:jc w:val="both"/>
      </w:pPr>
      <w:r>
        <w:rPr>
          <w:rFonts w:ascii="Times New Roman;serif" w:hAnsi="Times New Roman;serif"/>
          <w:b w:val="false"/>
          <w:color w:val="000000"/>
          <w:sz w:val="24"/>
        </w:rPr>
        <w:t>(b)</w:t>
      </w:r>
      <w:r>
        <w:rPr>
          <w:rFonts w:ascii="Times New Roman;serif" w:hAnsi="Times New Roman;serif"/>
          <w:b w:val="false"/>
          <w:i/>
          <w:color w:val="000000"/>
          <w:sz w:val="24"/>
        </w:rPr>
        <w:t>Salary and Benefits Continuation</w:t>
      </w:r>
      <w:r>
        <w:rPr>
          <w:rFonts w:ascii="Times New Roman;serif" w:hAnsi="Times New Roman;serif"/>
          <w:b w:val="false"/>
          <w:color w:val="000000"/>
          <w:sz w:val="24"/>
        </w:rPr>
        <w:t xml:space="preserve">. During the Continued Employment Period, Executive will continue to be (i) paid base salary at the rate in effect on the date of this Agreement in accordance with the Company’s regular payroll procedures and (ii) eligible for all employee benefit plans available to senior executives of the Company in accordance </w:t>
      </w:r>
    </w:p>
    <w:p>
      <w:pPr>
        <w:pStyle w:val="TextBody"/>
        <w:bidi w:val="0"/>
        <w:spacing w:before="0" w:after="0"/>
        <w:jc w:val="left"/>
      </w:p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74"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4"/>
        </w:rPr>
      </w:pPr>
      <w:r>
        <w:rPr>
          <w:rFonts w:ascii="Times New Roman;serif" w:hAnsi="Times New Roman;serif"/>
          <w:b w:val="false"/>
          <w:color w:val="000000"/>
          <w:sz w:val="24"/>
        </w:rPr>
        <w:t>with their terms, and all payments made to Executive will be subject to required withholding taxes and authorized deductions.</w:t>
      </w:r>
    </w:p>
    <w:p>
      <w:pPr>
        <w:pStyle w:val="TextBody"/>
        <w:bidi w:val="0"/>
        <w:spacing w:lineRule="auto" w:line="288" w:before="0" w:after="220"/>
        <w:ind w:left="0" w:right="0" w:firstLine="1440"/>
        <w:jc w:val="both"/>
      </w:pPr>
      <w:r>
        <w:rPr>
          <w:rFonts w:ascii="Times New Roman;serif" w:hAnsi="Times New Roman;serif"/>
          <w:b w:val="false"/>
          <w:color w:val="000000"/>
          <w:sz w:val="24"/>
        </w:rPr>
        <w:t>(c)</w:t>
      </w:r>
      <w:r>
        <w:rPr>
          <w:rFonts w:ascii="Times New Roman;serif" w:hAnsi="Times New Roman;serif"/>
          <w:b w:val="false"/>
          <w:i/>
          <w:color w:val="000000"/>
          <w:sz w:val="24"/>
        </w:rPr>
        <w:t xml:space="preserve">Bonus. </w:t>
      </w:r>
      <w:r>
        <w:rPr>
          <w:rFonts w:ascii="Times New Roman;serif" w:hAnsi="Times New Roman;serif"/>
          <w:b w:val="false"/>
          <w:color w:val="000000"/>
          <w:sz w:val="24"/>
        </w:rPr>
        <w:t>During the Continued Employment Period, Executive will not be eligible for an annual bonus except to the extent provided in Section 3 of this Agreement.</w:t>
      </w:r>
    </w:p>
    <w:p>
      <w:pPr>
        <w:pStyle w:val="TextBody"/>
        <w:bidi w:val="0"/>
        <w:spacing w:lineRule="auto" w:line="288" w:before="0" w:after="220"/>
        <w:ind w:left="0" w:right="0" w:firstLine="1440"/>
        <w:jc w:val="both"/>
      </w:pPr>
      <w:r>
        <w:rPr>
          <w:rFonts w:ascii="Times New Roman;serif" w:hAnsi="Times New Roman;serif"/>
          <w:b w:val="false"/>
          <w:color w:val="000000"/>
          <w:sz w:val="24"/>
        </w:rPr>
        <w:t>(d)</w:t>
      </w:r>
      <w:r>
        <w:rPr>
          <w:rFonts w:ascii="Times New Roman;serif" w:hAnsi="Times New Roman;serif"/>
          <w:b w:val="false"/>
          <w:i/>
          <w:color w:val="000000"/>
          <w:sz w:val="24"/>
        </w:rPr>
        <w:t>Equity Awards</w:t>
      </w:r>
      <w:r>
        <w:rPr>
          <w:rFonts w:ascii="Times New Roman;serif" w:hAnsi="Times New Roman;serif"/>
          <w:b w:val="false"/>
          <w:color w:val="000000"/>
          <w:sz w:val="24"/>
        </w:rPr>
        <w:t>. During the Continued Employment Period, Executive’s outstanding, unvested equity awards (the “</w:t>
      </w:r>
      <w:r>
        <w:rPr>
          <w:rFonts w:ascii="Times New Roman;serif" w:hAnsi="Times New Roman;serif"/>
          <w:b w:val="false"/>
          <w:color w:val="000000"/>
          <w:sz w:val="24"/>
          <w:u w:val="single"/>
        </w:rPr>
        <w:t>Equity Awards</w:t>
      </w:r>
      <w:r>
        <w:rPr>
          <w:color w:val="000000"/>
        </w:rPr>
        <w:t>”</w:t>
      </w:r>
      <w:r>
        <w:rPr>
          <w:rFonts w:ascii="Times New Roman;serif" w:hAnsi="Times New Roman;serif"/>
          <w:b w:val="false"/>
          <w:color w:val="000000"/>
          <w:sz w:val="24"/>
        </w:rPr>
        <w:t>) shall continue to vest and, if applicable, become exercisable and the restrictions thereupon shall lapse in accordance with their existing vesting schedules based on Executive’s continued employment.</w:t>
      </w:r>
    </w:p>
    <w:p>
      <w:pPr>
        <w:pStyle w:val="TextBody"/>
        <w:bidi w:val="0"/>
        <w:spacing w:lineRule="auto" w:line="288" w:before="0" w:after="220"/>
        <w:ind w:left="0" w:right="0" w:firstLine="1440"/>
        <w:jc w:val="both"/>
      </w:pPr>
      <w:r>
        <w:rPr>
          <w:rFonts w:ascii="Times New Roman;serif" w:hAnsi="Times New Roman;serif"/>
          <w:b w:val="false"/>
          <w:color w:val="000000"/>
          <w:sz w:val="24"/>
        </w:rPr>
        <w:t>(e)</w:t>
      </w:r>
      <w:r>
        <w:rPr>
          <w:rFonts w:ascii="Times New Roman;serif" w:hAnsi="Times New Roman;serif"/>
          <w:b w:val="false"/>
          <w:i/>
          <w:color w:val="000000"/>
          <w:sz w:val="24"/>
        </w:rPr>
        <w:t>Protection of Information</w:t>
      </w:r>
      <w:r>
        <w:rPr>
          <w:rFonts w:ascii="Times New Roman;serif" w:hAnsi="Times New Roman;serif"/>
          <w:b w:val="false"/>
          <w:color w:val="000000"/>
          <w:sz w:val="24"/>
        </w:rPr>
        <w:t>. Executive reaffirms Executive’s commitment to remain in compliance with that certain Proprietary Information and Invention Assignment Agreement entered into between Executive and the Company (the “</w:t>
      </w:r>
      <w:r>
        <w:rPr>
          <w:rFonts w:ascii="Times New Roman;serif" w:hAnsi="Times New Roman;serif"/>
          <w:b w:val="false"/>
          <w:color w:val="000000"/>
          <w:sz w:val="24"/>
          <w:u w:val="single"/>
        </w:rPr>
        <w:t>Confidentiality Agreement</w:t>
      </w:r>
      <w:r>
        <w:rPr>
          <w:color w:val="000000"/>
        </w:rPr>
        <w:t>”</w:t>
      </w:r>
      <w:r>
        <w:rPr>
          <w:rFonts w:ascii="Times New Roman;serif" w:hAnsi="Times New Roman;serif"/>
          <w:b w:val="false"/>
          <w:color w:val="000000"/>
          <w:sz w:val="24"/>
        </w:rPr>
        <w:t>) during the Continued Employment Period. Without limiting the foregoing, Executive acknowledges and agrees that, during the Continued Employment Period, Executive shall not, directly or indirectly, become employed by or provide assistance to any competitor of the Company.</w:t>
      </w:r>
    </w:p>
    <w:p>
      <w:pPr>
        <w:pStyle w:val="TextBody"/>
        <w:bidi w:val="0"/>
        <w:spacing w:lineRule="auto" w:line="288" w:before="0" w:after="220"/>
        <w:ind w:left="0" w:right="0" w:firstLine="1440"/>
        <w:jc w:val="both"/>
      </w:pPr>
      <w:r>
        <w:rPr>
          <w:rFonts w:ascii="Times New Roman;serif" w:hAnsi="Times New Roman;serif"/>
          <w:b w:val="false"/>
          <w:color w:val="000000"/>
          <w:sz w:val="24"/>
        </w:rPr>
        <w:t>(f)</w:t>
      </w:r>
      <w:r>
        <w:rPr>
          <w:rFonts w:ascii="Times New Roman;serif" w:hAnsi="Times New Roman;serif"/>
          <w:b w:val="false"/>
          <w:i/>
          <w:color w:val="000000"/>
          <w:sz w:val="24"/>
        </w:rPr>
        <w:t xml:space="preserve">SEC Reporting. </w:t>
      </w:r>
      <w:r>
        <w:rPr>
          <w:rFonts w:ascii="Times New Roman;serif" w:hAnsi="Times New Roman;serif"/>
          <w:b w:val="false"/>
          <w:color w:val="000000"/>
          <w:sz w:val="24"/>
        </w:rPr>
        <w:t>Executive acknowledges that to the extent required by the Securities Exchange Act of 1934, as amended (the “</w:t>
      </w:r>
      <w:r>
        <w:rPr>
          <w:rFonts w:ascii="Times New Roman;serif" w:hAnsi="Times New Roman;serif"/>
          <w:b w:val="false"/>
          <w:color w:val="000000"/>
          <w:sz w:val="24"/>
          <w:u w:val="single"/>
        </w:rPr>
        <w:t>Exchange Act</w:t>
      </w:r>
      <w:r>
        <w:rPr>
          <w:color w:val="000000"/>
        </w:rPr>
        <w:t>”</w:t>
      </w:r>
      <w:r>
        <w:rPr>
          <w:rFonts w:ascii="Times New Roman;serif" w:hAnsi="Times New Roman;serif"/>
          <w:b w:val="false"/>
          <w:color w:val="000000"/>
          <w:sz w:val="24"/>
        </w:rPr>
        <w:t>), Executive will have continuing obligations under Section 16(a) and 16(b) of the Exchange Act to report matching transactions, if any, in Company common stock for up to six (6) months following the Retirement Date. Executive further acknowledges that any transactions by Executive involving Company securities will remain subject to securities laws in all respects, including, without limitation, laws regarding trading on the basis of material nonpublic information.</w:t>
      </w:r>
    </w:p>
    <w:p>
      <w:pPr>
        <w:pStyle w:val="TextBody"/>
        <w:bidi w:val="0"/>
        <w:spacing w:lineRule="auto" w:line="288" w:before="0" w:after="220"/>
        <w:ind w:left="0" w:right="0" w:firstLine="1440"/>
        <w:jc w:val="both"/>
      </w:pPr>
      <w:r>
        <w:rPr>
          <w:rFonts w:ascii="Times New Roman;serif" w:hAnsi="Times New Roman;serif"/>
          <w:b w:val="false"/>
          <w:color w:val="000000"/>
          <w:sz w:val="24"/>
        </w:rPr>
        <w:t>2.</w:t>
      </w:r>
      <w:r>
        <w:rPr>
          <w:rFonts w:ascii="Times New Roman;serif" w:hAnsi="Times New Roman;serif"/>
          <w:b w:val="false"/>
          <w:color w:val="000000"/>
          <w:sz w:val="24"/>
          <w:u w:val="single"/>
        </w:rPr>
        <w:t>Final Paycheck; Payment of Accrued Wages and Expenses</w:t>
      </w:r>
      <w:r>
        <w:rPr>
          <w:rFonts w:ascii="Times New Roman;serif" w:hAnsi="Times New Roman;serif"/>
          <w:b w:val="false"/>
          <w:color w:val="000000"/>
          <w:sz w:val="24"/>
        </w:rPr>
        <w:t>. As soon as administratively practicable on or after the Retirement Date, the Company will pay Executive all accrued but unpaid base salary and any accrued but unpaid paid time off, subject to standard payroll deductions and withholdings. The Company will also reimburse Executive for all outstanding expenses incurred prior to the Retirement Date which are consistent with the Company’s policies in effect from time to time with respect to travel, entertainment and other business expenses, subject to the Company’s requirements with respect to reporting and documenting such expenses. Executive is entitled to these payments regardless of whether Executive executes this Agreement.</w:t>
      </w:r>
    </w:p>
    <w:p>
      <w:pPr>
        <w:pStyle w:val="TextBody"/>
        <w:bidi w:val="0"/>
        <w:spacing w:lineRule="auto" w:line="288" w:before="0" w:after="220"/>
        <w:ind w:left="0" w:right="0" w:firstLine="1440"/>
        <w:jc w:val="both"/>
      </w:pPr>
      <w:r>
        <w:rPr>
          <w:rFonts w:ascii="Times New Roman;serif" w:hAnsi="Times New Roman;serif"/>
          <w:b w:val="false"/>
          <w:color w:val="000000"/>
          <w:sz w:val="24"/>
        </w:rPr>
        <w:t>3.</w:t>
      </w:r>
      <w:r>
        <w:rPr>
          <w:rFonts w:ascii="Times New Roman;serif" w:hAnsi="Times New Roman;serif"/>
          <w:b w:val="false"/>
          <w:color w:val="000000"/>
          <w:sz w:val="24"/>
          <w:u w:val="single"/>
        </w:rPr>
        <w:t>Separation Benefits</w:t>
      </w:r>
      <w:r>
        <w:rPr>
          <w:rFonts w:ascii="Times New Roman;serif" w:hAnsi="Times New Roman;serif"/>
          <w:b w:val="false"/>
          <w:color w:val="000000"/>
          <w:sz w:val="24"/>
        </w:rPr>
        <w:t xml:space="preserve">. In the event the Retirement Date occurs on the Planned Retirement Date or another Qualifying Retirement Date, then, subject to Executive’s delivery to the Company of a General Release of Claims in the form attached hereto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Release of</w:t>
      </w:r>
      <w:r>
        <w:rPr>
          <w:color w:val="000000"/>
        </w:rPr>
        <w:t xml:space="preserve"> </w:t>
      </w:r>
      <w:r>
        <w:rPr>
          <w:rFonts w:ascii="Times New Roman;serif" w:hAnsi="Times New Roman;serif"/>
          <w:b w:val="false"/>
          <w:color w:val="000000"/>
          <w:sz w:val="24"/>
          <w:u w:val="single"/>
        </w:rPr>
        <w:t>Claims</w:t>
      </w:r>
      <w:r>
        <w:rPr>
          <w:color w:val="000000"/>
        </w:rPr>
        <w:t>”</w:t>
      </w:r>
      <w:r>
        <w:rPr>
          <w:rFonts w:ascii="Times New Roman;serif" w:hAnsi="Times New Roman;serif"/>
          <w:b w:val="false"/>
          <w:color w:val="000000"/>
          <w:sz w:val="24"/>
        </w:rPr>
        <w:t>) that is executed on or after the Retirement Date becomes effective and irrevocable within 30 days following the Retirement Date, as well as Executive’s performance of Executive’s continuing obligations pursuant to this Agreement and the Confidentiality Agreement, the Company shall provide Executive the following severance benefits:</w:t>
      </w:r>
    </w:p>
    <w:p>
      <w:pPr>
        <w:pStyle w:val="TextBody"/>
        <w:bidi w:val="0"/>
        <w:spacing w:lineRule="auto" w:line="288" w:before="0" w:after="220"/>
        <w:ind w:left="0" w:right="0" w:firstLine="1440"/>
        <w:jc w:val="both"/>
      </w:pPr>
      <w:r>
        <w:rPr>
          <w:rFonts w:ascii="Times New Roman;serif" w:hAnsi="Times New Roman;serif"/>
          <w:b w:val="false"/>
          <w:color w:val="000000"/>
          <w:sz w:val="24"/>
        </w:rPr>
        <w:t>(a)</w:t>
      </w:r>
      <w:r>
        <w:rPr>
          <w:rFonts w:ascii="Times New Roman;serif" w:hAnsi="Times New Roman;serif"/>
          <w:b w:val="false"/>
          <w:i/>
          <w:color w:val="000000"/>
          <w:sz w:val="24"/>
        </w:rPr>
        <w:t>Continued Base Salary</w:t>
      </w:r>
      <w:r>
        <w:rPr>
          <w:rFonts w:ascii="Times New Roman;serif" w:hAnsi="Times New Roman;serif"/>
          <w:b w:val="false"/>
          <w:color w:val="000000"/>
          <w:sz w:val="24"/>
        </w:rPr>
        <w:t xml:space="preserve">. During the twelve (12) month period immediately following the Retirement Date, the Company shall continue to pay to Executive Executive’s annual base salary as in effect immediately prior to the Retirement Date, subject </w:t>
      </w:r>
    </w:p>
    <w:p>
      <w:pPr>
        <w:pStyle w:val="TextBody"/>
        <w:bidi w:val="0"/>
        <w:spacing w:before="0" w:after="0"/>
        <w:jc w:val="left"/>
      </w:p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0655"/>
                <wp:effectExtent l="0" t="0" r="0" b="0"/>
                <wp:wrapNone/>
                <wp:docPr id="75" name="Frame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4"/>
        </w:rPr>
      </w:pPr>
      <w:r>
        <w:rPr>
          <w:rFonts w:ascii="Times New Roman;serif" w:hAnsi="Times New Roman;serif"/>
          <w:b w:val="false"/>
          <w:color w:val="000000"/>
          <w:sz w:val="24"/>
        </w:rPr>
        <w:t>to required withholding taxes, such payments to be made in accordance with the Company’s standard payroll procedures, with the first such payment to be made on the first payroll date after the Release of Claims becomes effective and irrevocable and inclusive of any installments that would have been made had the Release of Claims been effective and irrevocable on the Retirement Date.</w:t>
      </w:r>
    </w:p>
    <w:p>
      <w:pPr>
        <w:pStyle w:val="TextBody"/>
        <w:bidi w:val="0"/>
        <w:spacing w:lineRule="auto" w:line="288" w:before="0" w:after="220"/>
        <w:ind w:left="0" w:right="0" w:firstLine="1440"/>
        <w:jc w:val="both"/>
      </w:pPr>
      <w:r>
        <w:rPr>
          <w:rFonts w:ascii="Times New Roman;serif" w:hAnsi="Times New Roman;serif"/>
          <w:b w:val="false"/>
          <w:color w:val="000000"/>
          <w:sz w:val="24"/>
        </w:rPr>
        <w:t>(b)</w:t>
      </w:r>
      <w:r>
        <w:rPr>
          <w:rFonts w:ascii="Times New Roman;serif" w:hAnsi="Times New Roman;serif"/>
          <w:b w:val="false"/>
          <w:i/>
          <w:color w:val="000000"/>
          <w:sz w:val="24"/>
        </w:rPr>
        <w:t xml:space="preserve">Bonus. </w:t>
      </w:r>
      <w:r>
        <w:rPr>
          <w:rFonts w:ascii="Times New Roman;serif" w:hAnsi="Times New Roman;serif"/>
          <w:b w:val="false"/>
          <w:color w:val="000000"/>
          <w:sz w:val="24"/>
        </w:rPr>
        <w:t>Executive will be paid Executive’s annual bonus for 2026, with all performance metrics certified at the target level of achievement and the amount of such bonus prorated through the Retirement Date and paid at the same time bonuses are paid to other executives of the Company, subject to required withholding taxes.</w:t>
      </w:r>
    </w:p>
    <w:p>
      <w:pPr>
        <w:pStyle w:val="TextBody"/>
        <w:bidi w:val="0"/>
        <w:spacing w:lineRule="auto" w:line="288" w:before="0" w:after="220"/>
        <w:ind w:left="0" w:right="0" w:firstLine="1440"/>
        <w:jc w:val="both"/>
      </w:pPr>
      <w:r>
        <w:rPr>
          <w:rFonts w:ascii="Times New Roman;serif" w:hAnsi="Times New Roman;serif"/>
          <w:b w:val="false"/>
          <w:color w:val="000000"/>
          <w:sz w:val="24"/>
        </w:rPr>
        <w:t>(c)</w:t>
      </w:r>
      <w:r>
        <w:rPr>
          <w:rFonts w:ascii="Times New Roman;serif" w:hAnsi="Times New Roman;serif"/>
          <w:b w:val="false"/>
          <w:i/>
          <w:color w:val="000000"/>
          <w:sz w:val="24"/>
        </w:rPr>
        <w:t>Equity Awards</w:t>
      </w:r>
      <w:r>
        <w:rPr>
          <w:rFonts w:ascii="Times New Roman;serif" w:hAnsi="Times New Roman;serif"/>
          <w:b w:val="false"/>
          <w:color w:val="000000"/>
          <w:sz w:val="24"/>
        </w:rPr>
        <w:t>. Upon the Retirement Date, the Equity Awards shall vest and, if applicable, become exercisable and the restrictions thereupon shall lapse as to that number of shares that would have vested had Executive’s employment with the Company continued for a period of twelve (12) months immediately following the Retirement Date (the “</w:t>
      </w:r>
      <w:r>
        <w:rPr>
          <w:rFonts w:ascii="Times New Roman;serif" w:hAnsi="Times New Roman;serif"/>
          <w:b w:val="false"/>
          <w:color w:val="000000"/>
          <w:sz w:val="24"/>
          <w:u w:val="single"/>
        </w:rPr>
        <w:t>Equity Acceleration</w:t>
      </w:r>
      <w:r>
        <w:rPr>
          <w:color w:val="000000"/>
        </w:rPr>
        <w:t>”</w:t>
      </w:r>
      <w:r>
        <w:rPr>
          <w:rFonts w:ascii="Times New Roman;serif" w:hAnsi="Times New Roman;serif"/>
          <w:b w:val="false"/>
          <w:color w:val="000000"/>
          <w:sz w:val="24"/>
        </w:rPr>
        <w:t>). Each of Executive’s outstanding stock options that are vested as of the Retirement Date (after giving effect to the Equity Acceleration) shall remain exercisable until the earlier of the twelve (12) month anniversary of the Retirement Date and the original expiration date of such stock option.</w:t>
      </w:r>
    </w:p>
    <w:p>
      <w:pPr>
        <w:pStyle w:val="TextBody"/>
        <w:bidi w:val="0"/>
        <w:spacing w:lineRule="auto" w:line="288" w:before="0" w:after="220"/>
        <w:ind w:left="0" w:right="0" w:firstLine="1440"/>
        <w:jc w:val="both"/>
      </w:pPr>
      <w:r>
        <w:rPr>
          <w:rFonts w:ascii="Times New Roman;serif" w:hAnsi="Times New Roman;serif"/>
          <w:b w:val="false"/>
          <w:color w:val="000000"/>
          <w:sz w:val="24"/>
        </w:rPr>
        <w:t>(d)</w:t>
      </w:r>
      <w:r>
        <w:rPr>
          <w:rFonts w:ascii="Times New Roman;serif" w:hAnsi="Times New Roman;serif"/>
          <w:b w:val="false"/>
          <w:i/>
          <w:color w:val="000000"/>
          <w:sz w:val="24"/>
        </w:rPr>
        <w:t>Continued Healthcare</w:t>
      </w:r>
      <w:r>
        <w:rPr>
          <w:rFonts w:ascii="Times New Roman;serif" w:hAnsi="Times New Roman;serif"/>
          <w:b w:val="false"/>
          <w:color w:val="000000"/>
          <w:sz w:val="24"/>
        </w:rPr>
        <w:t>. If Executive timely elects to receive and retain continued healthcare coverage pursuant to the provisions of Consolidated Omnibus Budget Reconciliation Act of 1985, as amended (“</w:t>
      </w:r>
      <w:r>
        <w:rPr>
          <w:rFonts w:ascii="Times New Roman;serif" w:hAnsi="Times New Roman;serif"/>
          <w:b w:val="false"/>
          <w:color w:val="000000"/>
          <w:sz w:val="24"/>
          <w:u w:val="single"/>
        </w:rPr>
        <w:t>COBRA</w:t>
      </w:r>
      <w:r>
        <w:rPr>
          <w:color w:val="000000"/>
        </w:rPr>
        <w:t>”</w:t>
      </w:r>
      <w:r>
        <w:rPr>
          <w:rFonts w:ascii="Times New Roman;serif" w:hAnsi="Times New Roman;serif"/>
          <w:b w:val="false"/>
          <w:color w:val="000000"/>
          <w:sz w:val="24"/>
        </w:rPr>
        <w:t>), the Company shall directly pay, or reimburse Executive for, the premium for Executive and Executive’s covered dependents from the Retirement Date through the earlier of (i) the eighteen (18) month anniversary of the Retirement Date and (ii) the date Executive and Executive’s covered dependents, if any, become eligible for healthcare coverage under another employer’s plan(s). After the Company ceases to pay premiums pursuant to the preceding sentence, Executive may, if eligible, elect to continue healthcare coverage at Executive’s expense in accordance with the provisions of COBRA. Notwithstanding the foregoing, (i) if any plan pursuant to which such benefits are provided is not, or ceases prior to the expiration of the period of continuation coverage to be, exempt from the application of Section 409A of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3(d), Executive may, if eligible, elect to continue healthcare coverage at Executive’s expense in accordance with the provisions of COBRA. Executive shall notify the Company immediately if Executive becomes covered by a group health plan of a subsequent employer.</w:t>
      </w:r>
    </w:p>
    <w:p>
      <w:pPr>
        <w:pStyle w:val="TextBody"/>
        <w:bidi w:val="0"/>
        <w:spacing w:lineRule="auto" w:line="288" w:before="0" w:after="220"/>
        <w:ind w:left="0" w:right="0" w:firstLine="1440"/>
        <w:jc w:val="both"/>
      </w:pPr>
      <w:r>
        <w:rPr>
          <w:rFonts w:ascii="Times New Roman;serif" w:hAnsi="Times New Roman;serif"/>
          <w:b w:val="false"/>
          <w:color w:val="000000"/>
          <w:sz w:val="24"/>
        </w:rPr>
        <w:t>(e)</w:t>
      </w:r>
      <w:r>
        <w:rPr>
          <w:rFonts w:ascii="Times New Roman;serif" w:hAnsi="Times New Roman;serif"/>
          <w:b w:val="false"/>
          <w:i/>
          <w:color w:val="000000"/>
          <w:sz w:val="24"/>
        </w:rPr>
        <w:t>Change in Control</w:t>
      </w:r>
      <w:r>
        <w:rPr>
          <w:rFonts w:ascii="Times New Roman;serif" w:hAnsi="Times New Roman;serif"/>
          <w:b w:val="false"/>
          <w:color w:val="000000"/>
          <w:sz w:val="24"/>
        </w:rPr>
        <w:t xml:space="preserve">. Notwithstanding anything herein to the contrary, in the event a definitive agreement contemplating a Change in Control of the Company is entered into on or prior to the Planned Retirement Date and Executive remains employed with the Company through the consummation of such Change in Control, then Executive shall receive the severance benefits set forth in Section 4 of the Severance Agreement in lieu of the benefits set forth in this Section 3. For the avoidance of doubt, if such a definitive </w:t>
      </w:r>
    </w:p>
    <w:p>
      <w:pPr>
        <w:pStyle w:val="TextBody"/>
        <w:bidi w:val="0"/>
        <w:spacing w:before="0" w:after="0"/>
        <w:jc w:val="left"/>
      </w:p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0655"/>
                <wp:effectExtent l="0" t="0" r="0" b="0"/>
                <wp:wrapNone/>
                <wp:docPr id="76" name="Frame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4"/>
        </w:rPr>
      </w:pPr>
      <w:r>
        <w:rPr>
          <w:rFonts w:ascii="Times New Roman;serif" w:hAnsi="Times New Roman;serif"/>
          <w:b w:val="false"/>
          <w:color w:val="000000"/>
          <w:sz w:val="24"/>
        </w:rPr>
        <w:t>agreement is not entered into on or prior to the Planned Retirement Date or Executive terminates employment with the Company prior to the consummation of the Change in Control contemplated by a definitive agreement entered into on or prior to the Planned Retirement Date, then, in each case, Executive shall not be entitled to the severance benefits set forth in Section 4 of the Severance Agreement.</w:t>
      </w:r>
    </w:p>
    <w:p>
      <w:pPr>
        <w:pStyle w:val="TextBody"/>
        <w:bidi w:val="0"/>
        <w:spacing w:lineRule="auto" w:line="288" w:before="0" w:after="220"/>
        <w:ind w:left="0" w:right="0" w:firstLine="1440"/>
        <w:jc w:val="both"/>
      </w:pPr>
      <w:r>
        <w:rPr>
          <w:rFonts w:ascii="Times New Roman;serif" w:hAnsi="Times New Roman;serif"/>
          <w:b w:val="false"/>
          <w:color w:val="000000"/>
          <w:sz w:val="24"/>
        </w:rPr>
        <w:t>D.</w:t>
      </w:r>
      <w:r>
        <w:rPr>
          <w:rFonts w:ascii="Times New Roman;serif" w:hAnsi="Times New Roman;serif"/>
          <w:b w:val="false"/>
          <w:color w:val="000000"/>
          <w:sz w:val="24"/>
          <w:u w:val="single"/>
        </w:rPr>
        <w:t>Executive’s Release of the Company</w:t>
      </w:r>
      <w:r>
        <w:rPr>
          <w:rFonts w:ascii="Times New Roman;serif" w:hAnsi="Times New Roman;serif"/>
          <w:b w:val="false"/>
          <w:color w:val="000000"/>
          <w:sz w:val="24"/>
        </w:rPr>
        <w:t>. Executive understands that by agreeing to the release provided by this Section 4, Executive is agreeing not to sue, or otherwise file any claim against, the Company or any of its directors, officers, employees, investors or other agents for any reason whatsoever based on anything that is the subject of this release and that has occurred as of the date Executive signs this Agreement.</w:t>
      </w:r>
    </w:p>
    <w:p>
      <w:pPr>
        <w:pStyle w:val="TextBody"/>
        <w:bidi w:val="0"/>
        <w:spacing w:lineRule="auto" w:line="288" w:before="0" w:after="220"/>
        <w:ind w:left="0" w:right="0" w:firstLine="1440"/>
        <w:jc w:val="both"/>
      </w:pPr>
      <w:r>
        <w:rPr>
          <w:rFonts w:ascii="Times New Roman;serif" w:hAnsi="Times New Roman;serif"/>
          <w:b w:val="false"/>
          <w:color w:val="000000"/>
          <w:sz w:val="24"/>
        </w:rPr>
        <w:t>(a)</w:t>
      </w:r>
      <w:r>
        <w:rPr>
          <w:rFonts w:ascii="Times New Roman;serif" w:hAnsi="Times New Roman;serif"/>
          <w:b w:val="false"/>
          <w:i/>
          <w:color w:val="000000"/>
          <w:sz w:val="24"/>
        </w:rPr>
        <w:t xml:space="preserve">Released Claims. </w:t>
      </w:r>
      <w:r>
        <w:rPr>
          <w:rFonts w:ascii="Times New Roman;serif" w:hAnsi="Times New Roman;serif"/>
          <w:b w:val="false"/>
          <w:color w:val="000000"/>
          <w:sz w:val="24"/>
        </w:rPr>
        <w:t>On behalf of Executive and Executive’s heirs, assigns, executors, administrators, trusts, spouse and estate, Executive hereby releases and forever discharges the “</w:t>
      </w:r>
      <w:r>
        <w:rPr>
          <w:rFonts w:ascii="Times New Roman;serif" w:hAnsi="Times New Roman;serif"/>
          <w:b w:val="false"/>
          <w:color w:val="000000"/>
          <w:sz w:val="24"/>
          <w:u w:val="single"/>
        </w:rPr>
        <w:t>Releasees</w:t>
      </w:r>
      <w:r>
        <w:rPr>
          <w:color w:val="000000"/>
        </w:rPr>
        <w:t xml:space="preserve">” </w:t>
      </w:r>
      <w:r>
        <w:rPr>
          <w:rFonts w:ascii="Times New Roman;serif" w:hAnsi="Times New Roman;serif"/>
          <w:b w:val="false"/>
          <w:color w:val="000000"/>
          <w:sz w:val="24"/>
        </w:rPr>
        <w:t>hereunder, consisting of the Company and each of its owners, affiliates, subsidiaries, predecessors, successors, assigns, agents, directors, officers, partners, employees, and insurers,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Times New Roman;serif" w:hAnsi="Times New Roman;serif"/>
          <w:b w:val="false"/>
          <w:color w:val="000000"/>
          <w:sz w:val="24"/>
          <w:u w:val="single"/>
        </w:rPr>
        <w:t>Claims</w:t>
      </w:r>
      <w:r>
        <w:rPr>
          <w:color w:val="000000"/>
        </w:rPr>
        <w:t>”</w:t>
      </w:r>
      <w:r>
        <w:rPr>
          <w:rFonts w:ascii="Times New Roman;serif" w:hAnsi="Times New Roman;serif"/>
          <w:b w:val="false"/>
          <w:color w:val="000000"/>
          <w:sz w:val="24"/>
        </w:rPr>
        <w:t>), which Executive now has or may hereafter have against the Releasees, or any of them, by reason of any matter, cause, or thing whatsoever from the beginning of time to the date Executive signs this Agreement, including, without limiting the generality of the foregoing, any Claims arising out of, based upon, or relating to Executive’s hire, employment, remuneration or termination by the Releasees, or any of them, Claims arising under federal, state, or local laws relating to employment, Claims of any kind that may be brought in any court or administrative agency, including any Claims arising under Title VII of the Civil Rights Act of 1964, as amended, 42 U.S.C. § 2000, et seq.; Americans with Disabilities Act, as amended, 42 U.S.C. § 12101 et seq.; the Rehabilitation Act of 1973, as amended, 29 U.S.C. § 701 et seq.; the Age Discrimination in Employment Act (“</w:t>
      </w:r>
      <w:r>
        <w:rPr>
          <w:rFonts w:ascii="Times New Roman;serif" w:hAnsi="Times New Roman;serif"/>
          <w:b w:val="false"/>
          <w:color w:val="000000"/>
          <w:sz w:val="24"/>
          <w:u w:val="single"/>
        </w:rPr>
        <w:t>ADEA</w:t>
      </w:r>
      <w:r>
        <w:rPr>
          <w:color w:val="000000"/>
        </w:rPr>
        <w:t>”</w:t>
      </w:r>
      <w:r>
        <w:rPr>
          <w:rFonts w:ascii="Times New Roman;serif" w:hAnsi="Times New Roman;serif"/>
          <w:b w:val="false"/>
          <w:color w:val="000000"/>
          <w:sz w:val="24"/>
        </w:rPr>
        <w:t xml:space="preserve">), as amended, 29 U.S.C. § 621, et seq.; Civil Rights Act of 1866, and Civil Rights Act of 1991; 42 U.S.C. § 1981, et seq.; Equal Pay Act, as amended, 29 U.S.C. § 206(d); regulations of the Office of Federal Contract Compliance, 41 C.F.R. Section 60, et seq.; the Family and Medical Leave Act, as amended, 29 U.S.C. § 2601 et seq.; the Fair Labor Standards Act of 1938, as amended, 29 U.S.C. § 201 et seq.; the Employee Retirement Income Security Act, as amended, 29 U.S.C. § 1001 et seq.; the Worker Adjustment and Retraining Notification Act, as amended, 29 U.S.C. § 2101 et seq.; the Massachusetts Fair Employment Practices Act., the Massachusetts Civil Rights Act, the Massachusetts Equal Rights Act, the Massachusetts Equal Pay Act, the Massachusetts Labor and Industries Act, the Massachusetts Right of Privacy law, the Massachusetts Parental Leave Act, the Massachusetts Small Necessities Leave Act and any other federal, state or local laws of similar effect; the employment and civil rights laws of Massachusetts; Claims for breach of implied or express contract; Claims arising in tort, including, without limitation, Claims of wrongful dismissal or discharge, discrimination, harassment, retaliation, fraud, misrepresentation, defamation, libel, slander, infliction of emotional distress, violation of public policy, and/or breach of the implied covenant of good faith and fair dealing; and </w:t>
      </w:r>
    </w:p>
    <w:p>
      <w:pPr>
        <w:pStyle w:val="TextBody"/>
        <w:bidi w:val="0"/>
        <w:spacing w:before="0" w:after="0"/>
        <w:jc w:val="left"/>
      </w:p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0655"/>
                <wp:effectExtent l="0" t="0" r="0" b="0"/>
                <wp:wrapNone/>
                <wp:docPr id="77" name="Frame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4"/>
        </w:rPr>
      </w:pPr>
      <w:r>
        <w:rPr>
          <w:rFonts w:ascii="Times New Roman;serif" w:hAnsi="Times New Roman;serif"/>
          <w:b w:val="false"/>
          <w:color w:val="000000"/>
          <w:sz w:val="24"/>
        </w:rPr>
        <w:t>Claims for damages or other remedies of any sort, including, without limitation, compensatory damages, punitive damages, injunctive relief and attorney’s fees.</w:t>
      </w:r>
    </w:p>
    <w:p>
      <w:pPr>
        <w:pStyle w:val="TextBody"/>
        <w:bidi w:val="0"/>
        <w:spacing w:lineRule="auto" w:line="288" w:before="0" w:after="220"/>
        <w:ind w:left="0" w:right="0" w:firstLine="1440"/>
        <w:jc w:val="both"/>
      </w:pPr>
      <w:r>
        <w:rPr>
          <w:rFonts w:ascii="Times New Roman;serif" w:hAnsi="Times New Roman;serif"/>
          <w:b w:val="false"/>
          <w:color w:val="000000"/>
          <w:sz w:val="24"/>
        </w:rPr>
        <w:t>(b)</w:t>
      </w:r>
      <w:r>
        <w:rPr>
          <w:rFonts w:ascii="Times New Roman;serif" w:hAnsi="Times New Roman;serif"/>
          <w:b w:val="false"/>
          <w:i/>
          <w:color w:val="000000"/>
          <w:sz w:val="24"/>
        </w:rPr>
        <w:t xml:space="preserve">Unreleased Claims. </w:t>
      </w:r>
      <w:r>
        <w:rPr>
          <w:rFonts w:ascii="Times New Roman;serif" w:hAnsi="Times New Roman;serif"/>
          <w:b w:val="false"/>
          <w:color w:val="000000"/>
          <w:sz w:val="24"/>
        </w:rPr>
        <w:t>Notwithstanding the generality of the foregoing, Executive does not release the following claims (the “</w:t>
      </w:r>
      <w:r>
        <w:rPr>
          <w:rFonts w:ascii="Times New Roman;serif" w:hAnsi="Times New Roman;serif"/>
          <w:b w:val="false"/>
          <w:color w:val="000000"/>
          <w:sz w:val="24"/>
          <w:u w:val="single"/>
        </w:rPr>
        <w:t>Unreleased Claims</w:t>
      </w:r>
      <w:r>
        <w:rPr>
          <w:color w:val="000000"/>
        </w:rPr>
        <w:t>”</w:t>
      </w:r>
      <w:r>
        <w:rPr>
          <w:rFonts w:ascii="Times New Roman;serif" w:hAnsi="Times New Roman;serif"/>
          <w:b w:val="false"/>
          <w:color w:val="000000"/>
          <w:sz w:val="24"/>
        </w:rPr>
        <w:t>):</w:t>
      </w:r>
    </w:p>
    <w:p>
      <w:pPr>
        <w:pStyle w:val="TextBody"/>
        <w:bidi w:val="0"/>
        <w:spacing w:lineRule="auto" w:line="288" w:before="0" w:after="22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(i)Claims for unemployment compensation or any state disability insurance benefits pursuant to the terms of applicable state law;</w:t>
      </w:r>
    </w:p>
    <w:p>
      <w:pPr>
        <w:pStyle w:val="TextBody"/>
        <w:bidi w:val="0"/>
        <w:spacing w:lineRule="auto" w:line="288" w:before="0" w:after="22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(ii)Claims for workers’ compensation insurance benefits under the terms of any worker’s compensation insurance policy or fund of the Company;</w:t>
      </w:r>
    </w:p>
    <w:p>
      <w:pPr>
        <w:pStyle w:val="TextBody"/>
        <w:bidi w:val="0"/>
        <w:spacing w:lineRule="auto" w:line="288" w:before="0" w:after="22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(iii)Claims to continued participation in certain of the Company’s group benefit plans pursuant to the terms and conditions of COBRA;</w:t>
      </w:r>
    </w:p>
    <w:p>
      <w:pPr>
        <w:pStyle w:val="TextBody"/>
        <w:bidi w:val="0"/>
        <w:spacing w:lineRule="auto" w:line="288" w:before="0" w:after="2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(iv)Claims to accrued but unpaid base salary, accrued but unpaid paid time off or any benefit entitlements vested as of the date Executive signs this Agreement, pursuant to written terms of any Company or affiliate employee benefit plan, program, or policy, including to vested stock options;</w:t>
      </w:r>
    </w:p>
    <w:p>
      <w:pPr>
        <w:pStyle w:val="TextBody"/>
        <w:bidi w:val="0"/>
        <w:spacing w:lineRule="auto" w:line="288" w:before="0" w:after="22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(v)Claims for indemnification under any indemnification agreement, the Company’s bylaws or other organizational documents, applicable directors’ and officers’ insurance coverage, or any applicable law;</w:t>
      </w:r>
    </w:p>
    <w:p>
      <w:pPr>
        <w:pStyle w:val="TextBody"/>
        <w:bidi w:val="0"/>
        <w:spacing w:lineRule="auto" w:line="288" w:before="0" w:after="22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(vi)Claims for rights that cannot be waived as a matter of law;</w:t>
      </w:r>
    </w:p>
    <w:p>
      <w:pPr>
        <w:pStyle w:val="TextBody"/>
        <w:bidi w:val="0"/>
        <w:spacing w:lineRule="auto" w:line="288" w:before="0" w:after="22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(vii)Executive’s right to enforce the terms of this Agreement; and</w:t>
      </w:r>
    </w:p>
    <w:p>
      <w:pPr>
        <w:pStyle w:val="TextBody"/>
        <w:bidi w:val="0"/>
        <w:spacing w:lineRule="auto" w:line="288" w:before="0" w:after="220"/>
        <w:ind w:left="0" w:right="0" w:firstLine="1440"/>
        <w:jc w:val="both"/>
      </w:pPr>
      <w:r>
        <w:rPr>
          <w:rFonts w:ascii="Times New Roman;serif" w:hAnsi="Times New Roman;serif"/>
          <w:b w:val="false"/>
          <w:color w:val="000000"/>
          <w:sz w:val="24"/>
        </w:rPr>
        <w:t xml:space="preserve">(viii)Executive’s right to bring to the attention of the Equal Employment Opportunity Commission claims of discrimination;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Executive does release Executive’s right to secure any damages for alleged discriminatory treatment.</w:t>
      </w:r>
    </w:p>
    <w:p>
      <w:pPr>
        <w:pStyle w:val="TextBody"/>
        <w:bidi w:val="0"/>
        <w:spacing w:lineRule="auto" w:line="288" w:before="0" w:after="220"/>
        <w:ind w:left="0" w:right="0" w:firstLine="1440"/>
        <w:jc w:val="both"/>
      </w:pPr>
      <w:r>
        <w:rPr>
          <w:rFonts w:ascii="Times New Roman;serif" w:hAnsi="Times New Roman;serif"/>
          <w:b w:val="false"/>
          <w:color w:val="000000"/>
          <w:sz w:val="24"/>
        </w:rPr>
        <w:t>(c)</w:t>
      </w:r>
      <w:r>
        <w:rPr>
          <w:rFonts w:ascii="Times New Roman;serif" w:hAnsi="Times New Roman;serif"/>
          <w:b w:val="false"/>
          <w:i/>
          <w:color w:val="000000"/>
          <w:sz w:val="24"/>
        </w:rPr>
        <w:t xml:space="preserve">ADEA/OWBPA Waiver and Acknowledgement. </w:t>
      </w:r>
      <w:r>
        <w:rPr>
          <w:rFonts w:ascii="Times New Roman;serif" w:hAnsi="Times New Roman;serif"/>
          <w:b w:val="false"/>
          <w:color w:val="000000"/>
          <w:sz w:val="24"/>
        </w:rPr>
        <w:t>Executive understands that the release set forth in Section 4 includes a release of claims Executive may have under the ADEA against any of the Releasees that may have existed on or prior to the date upon which Executive executes this Agreement. Executive understands that the ADEA is a federal statute that prohibits discrimination on the basis of age. Executive wishes to waive any and all claims under the ADEA that Executive may have against any of the Releasees as of the date upon which Executive executes this Agreement and hereby waives such claims. Executive understands that claims under the ADEA that may arise after the date on which Executive executes this Agreement are not waived. Executive acknowledges that Executive is receiving consideration to which Executive is not already entitled for the waiver of any and all claims under the ADEA. Executive is herein advised to consult with an attorney prior to signing this Agreement. In accordance with the Older Workers Benefit Protection Act of 1990, Executive has been advised of the following:</w:t>
      </w:r>
    </w:p>
    <w:p>
      <w:pPr>
        <w:pStyle w:val="TextBody"/>
        <w:bidi w:val="0"/>
        <w:spacing w:lineRule="auto" w:line="288" w:before="0" w:after="22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(i)Executive should consult with an attorney before signing this</w:t>
      </w:r>
    </w:p>
    <w:p>
      <w:pPr>
        <w:pStyle w:val="TextBody"/>
        <w:bidi w:val="0"/>
        <w:spacing w:lineRule="auto" w:line="288" w:before="0" w:after="220"/>
        <w:jc w:val="left"/>
        <w:rPr>
          <w:rFonts w:ascii="Times New Roman;serif" w:hAnsi="Times New Roman;serif"/>
          <w:b w:val="false"/>
          <w:color w:val="000000"/>
          <w:sz w:val="24"/>
        </w:rPr>
      </w:pPr>
      <w:r>
        <w:rPr>
          <w:rFonts w:ascii="Times New Roman;serif" w:hAnsi="Times New Roman;serif"/>
          <w:b w:val="false"/>
          <w:color w:val="000000"/>
          <w:sz w:val="24"/>
        </w:rPr>
        <w:t>Agreement;</w:t>
      </w:r>
    </w:p>
    <w:p>
      <w:pPr>
        <w:pStyle w:val="TextBody"/>
        <w:bidi w:val="0"/>
        <w:spacing w:before="0" w:after="0"/>
        <w:jc w:val="left"/>
      </w:p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0655"/>
                <wp:effectExtent l="0" t="0" r="0" b="0"/>
                <wp:wrapNone/>
                <wp:docPr id="78" name="Frame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88" w:before="0" w:after="220"/>
        <w:ind w:left="0" w:right="0" w:firstLine="1440"/>
        <w:jc w:val="both"/>
      </w:pPr>
      <w:r>
        <w:rPr>
          <w:rFonts w:ascii="Times New Roman;serif" w:hAnsi="Times New Roman;serif"/>
          <w:b w:val="false"/>
          <w:color w:val="000000"/>
          <w:sz w:val="24"/>
        </w:rPr>
        <w:t>(ii)Executive has been given at least twenty-one (21) days after the date on which Executive received a copy of this Agreement to consider this Agreement (the “</w:t>
      </w:r>
      <w:r>
        <w:rPr>
          <w:rFonts w:ascii="Times New Roman;serif" w:hAnsi="Times New Roman;serif"/>
          <w:b w:val="false"/>
          <w:color w:val="000000"/>
          <w:sz w:val="24"/>
          <w:u w:val="single"/>
        </w:rPr>
        <w:t>Review Period</w:t>
      </w:r>
      <w:r>
        <w:rPr>
          <w:color w:val="000000"/>
        </w:rPr>
        <w:t>”</w:t>
      </w:r>
      <w:r>
        <w:rPr>
          <w:rFonts w:ascii="Times New Roman;serif" w:hAnsi="Times New Roman;serif"/>
          <w:b w:val="false"/>
          <w:color w:val="000000"/>
          <w:sz w:val="24"/>
        </w:rPr>
        <w:t>); and</w:t>
      </w:r>
    </w:p>
    <w:p>
      <w:pPr>
        <w:pStyle w:val="TextBody"/>
        <w:bidi w:val="0"/>
        <w:spacing w:lineRule="auto" w:line="288" w:before="0" w:after="220"/>
        <w:ind w:left="0" w:right="0" w:firstLine="1440"/>
        <w:jc w:val="both"/>
      </w:pPr>
      <w:r>
        <w:rPr>
          <w:rFonts w:ascii="Times New Roman;serif" w:hAnsi="Times New Roman;serif"/>
          <w:b w:val="false"/>
          <w:color w:val="000000"/>
          <w:sz w:val="24"/>
        </w:rPr>
        <w:t>(iii)Executive has seven (7) days after signing this Agreement to revoke it (the “</w:t>
      </w:r>
      <w:r>
        <w:rPr>
          <w:rFonts w:ascii="Times New Roman;serif" w:hAnsi="Times New Roman;serif"/>
          <w:b w:val="false"/>
          <w:color w:val="000000"/>
          <w:sz w:val="24"/>
          <w:u w:val="single"/>
        </w:rPr>
        <w:t>Revocation Period</w:t>
      </w:r>
      <w:r>
        <w:rPr>
          <w:color w:val="000000"/>
        </w:rPr>
        <w:t>”</w:t>
      </w:r>
      <w:r>
        <w:rPr>
          <w:rFonts w:ascii="Times New Roman;serif" w:hAnsi="Times New Roman;serif"/>
          <w:b w:val="false"/>
          <w:color w:val="000000"/>
          <w:sz w:val="24"/>
        </w:rPr>
        <w:t>). If Executive wishes to revoke this Agreement, Executive must deliver notice of Executive’s revocation in writing, no later than 11:59 p.m. PT on the 7th day following Executive’s execution of this Agreement to James P. Brady, CHRO at jbrady@ardelyx.com. Executive understands that if Executive revokes this Agreement, it will be null and void in its entirety, and Executive will not be entitled to any payments or benefits provided in this Agreement that are not otherwise required by applicable law.</w:t>
      </w:r>
    </w:p>
    <w:p>
      <w:pPr>
        <w:pStyle w:val="TextBody"/>
        <w:bidi w:val="0"/>
        <w:spacing w:lineRule="auto" w:line="288" w:before="0" w:after="220"/>
        <w:ind w:left="0" w:right="0" w:firstLine="1440"/>
        <w:jc w:val="both"/>
      </w:pPr>
      <w:r>
        <w:rPr>
          <w:rFonts w:ascii="Times New Roman;serif" w:hAnsi="Times New Roman;serif"/>
          <w:b w:val="false"/>
          <w:color w:val="000000"/>
          <w:sz w:val="24"/>
        </w:rPr>
        <w:t>(d)Executive has been advised of the following:(d) Executive has been advised that this Agreement will not become effective or enforceable until after a timely signed Agreement has been timely delivered to the Company and the Revocation Period has expired with no revocation. If Executive does not revoke acceptance within the Revocation Period, Executive’s acceptance of this Agreement shall become binding and enforceable on the eighth day after Executive timely signs this Agreement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w:t>
      </w:r>
    </w:p>
    <w:p>
      <w:pPr>
        <w:pStyle w:val="TextBody"/>
        <w:bidi w:val="0"/>
        <w:spacing w:lineRule="auto" w:line="288" w:before="0" w:after="220"/>
        <w:ind w:left="0" w:right="0" w:firstLine="1440"/>
        <w:jc w:val="left"/>
      </w:pPr>
      <w:r>
        <w:rPr>
          <w:rFonts w:ascii="Times New Roman;serif" w:hAnsi="Times New Roman;serif"/>
          <w:b w:val="false"/>
          <w:color w:val="000000"/>
          <w:sz w:val="24"/>
        </w:rPr>
        <w:t>5.</w:t>
      </w:r>
      <w:r>
        <w:rPr>
          <w:rFonts w:ascii="Times New Roman;serif" w:hAnsi="Times New Roman;serif"/>
          <w:b w:val="false"/>
          <w:color w:val="000000"/>
          <w:sz w:val="24"/>
          <w:u w:val="single"/>
        </w:rPr>
        <w:t>Non-Disparagement, Transition and Return of Company Property</w:t>
      </w:r>
      <w:r>
        <w:rPr>
          <w:rFonts w:ascii="Times New Roman;serif" w:hAnsi="Times New Roman;serif"/>
          <w:b w:val="false"/>
          <w:color w:val="000000"/>
          <w:sz w:val="24"/>
        </w:rPr>
        <w:t>.</w:t>
      </w:r>
    </w:p>
    <w:p>
      <w:pPr>
        <w:pStyle w:val="TextBody"/>
        <w:bidi w:val="0"/>
        <w:spacing w:lineRule="auto" w:line="288" w:before="0" w:after="220"/>
        <w:ind w:left="0" w:right="0" w:firstLine="1440"/>
        <w:jc w:val="both"/>
      </w:pPr>
      <w:r>
        <w:rPr>
          <w:rFonts w:ascii="Times New Roman;serif" w:hAnsi="Times New Roman;serif"/>
          <w:b w:val="false"/>
          <w:color w:val="000000"/>
          <w:sz w:val="24"/>
        </w:rPr>
        <w:t>(a)</w:t>
      </w:r>
      <w:r>
        <w:rPr>
          <w:rFonts w:ascii="Times New Roman;serif" w:hAnsi="Times New Roman;serif"/>
          <w:b w:val="false"/>
          <w:i/>
          <w:color w:val="000000"/>
          <w:sz w:val="24"/>
        </w:rPr>
        <w:t>Mutual Non-Disparagement</w:t>
      </w:r>
      <w:r>
        <w:rPr>
          <w:rFonts w:ascii="Times New Roman;serif" w:hAnsi="Times New Roman;serif"/>
          <w:b w:val="false"/>
          <w:color w:val="000000"/>
          <w:sz w:val="24"/>
        </w:rPr>
        <w:t>. Executive agrees that Executive shall not disparage, criticize or defame the Company, its affiliates and their respective affiliates, directors, officers, agents, partners, stockholders, employees, products, services, technology or business, either publicly or privately. The Company agrees that it shall not, and shall instruct its officers and directors to not, disparage, criticize or defame Executive. Nothing in this Section 5(a) shall have application to any evidence or testimony required by any court, arbitrator or Government Agency (as defined below).</w:t>
      </w:r>
    </w:p>
    <w:p>
      <w:pPr>
        <w:pStyle w:val="TextBody"/>
        <w:bidi w:val="0"/>
        <w:spacing w:lineRule="auto" w:line="288" w:before="0" w:after="220"/>
        <w:ind w:left="0" w:right="0" w:firstLine="1440"/>
        <w:jc w:val="both"/>
      </w:pPr>
      <w:r>
        <w:rPr>
          <w:rFonts w:ascii="Times New Roman;serif" w:hAnsi="Times New Roman;serif"/>
          <w:b w:val="false"/>
          <w:color w:val="000000"/>
          <w:sz w:val="24"/>
        </w:rPr>
        <w:t>(b)</w:t>
      </w:r>
      <w:r>
        <w:rPr>
          <w:rFonts w:ascii="Times New Roman;serif" w:hAnsi="Times New Roman;serif"/>
          <w:b w:val="false"/>
          <w:i/>
          <w:color w:val="000000"/>
          <w:sz w:val="24"/>
        </w:rPr>
        <w:t>Transition</w:t>
      </w:r>
      <w:r>
        <w:rPr>
          <w:rFonts w:ascii="Times New Roman;serif" w:hAnsi="Times New Roman;serif"/>
          <w:b w:val="false"/>
          <w:color w:val="000000"/>
          <w:sz w:val="24"/>
        </w:rPr>
        <w:t>. Each of the Company and Executive shall use their respective reasonable efforts to cooperate with each other in good faith to facilitate a smooth transition of Executive’s duties to other executive(s) of the Company.</w:t>
      </w:r>
    </w:p>
    <w:p>
      <w:pPr>
        <w:pStyle w:val="TextBody"/>
        <w:bidi w:val="0"/>
        <w:spacing w:lineRule="auto" w:line="288" w:before="0" w:after="220"/>
        <w:ind w:left="0" w:right="0" w:firstLine="1440"/>
        <w:jc w:val="both"/>
      </w:pPr>
      <w:r>
        <w:rPr>
          <w:rFonts w:ascii="Times New Roman;serif" w:hAnsi="Times New Roman;serif"/>
          <w:b w:val="false"/>
          <w:color w:val="000000"/>
          <w:sz w:val="24"/>
        </w:rPr>
        <w:t>(c)</w:t>
      </w:r>
      <w:r>
        <w:rPr>
          <w:rFonts w:ascii="Times New Roman;serif" w:hAnsi="Times New Roman;serif"/>
          <w:b w:val="false"/>
          <w:i/>
          <w:color w:val="000000"/>
          <w:sz w:val="24"/>
        </w:rPr>
        <w:t>Return of Company Property</w:t>
      </w:r>
      <w:r>
        <w:rPr>
          <w:rFonts w:ascii="Times New Roman;serif" w:hAnsi="Times New Roman;serif"/>
          <w:b w:val="false"/>
          <w:color w:val="000000"/>
          <w:sz w:val="24"/>
        </w:rPr>
        <w:t>. On or before the end of the Continued Employment Period, Executive shall turn over to the Company all files, memoranda, records, and other documents, and any other physical or personal property which are the property of the Company and which Executive had in Executive’s possession, custody or control at the time Executive signed this Agreement.</w:t>
      </w:r>
    </w:p>
    <w:p>
      <w:pPr>
        <w:pStyle w:val="TextBody"/>
        <w:bidi w:val="0"/>
        <w:spacing w:lineRule="auto" w:line="288" w:before="0" w:after="220"/>
        <w:ind w:left="0" w:right="0" w:firstLine="1440"/>
        <w:jc w:val="both"/>
      </w:pPr>
      <w:r>
        <w:rPr>
          <w:rFonts w:ascii="Times New Roman;serif" w:hAnsi="Times New Roman;serif"/>
          <w:b w:val="false"/>
          <w:color w:val="000000"/>
          <w:sz w:val="24"/>
        </w:rPr>
        <w:t>6.</w:t>
      </w:r>
      <w:r>
        <w:rPr>
          <w:rFonts w:ascii="Times New Roman;serif" w:hAnsi="Times New Roman;serif"/>
          <w:b w:val="false"/>
          <w:color w:val="000000"/>
          <w:sz w:val="24"/>
          <w:u w:val="single"/>
        </w:rPr>
        <w:t>Executive Representations</w:t>
      </w:r>
      <w:r>
        <w:rPr>
          <w:rFonts w:ascii="Times New Roman;serif" w:hAnsi="Times New Roman;serif"/>
          <w:b w:val="false"/>
          <w:color w:val="000000"/>
          <w:sz w:val="24"/>
        </w:rPr>
        <w:t xml:space="preserve">. Executive warrants and represents that (a) Executive has not filed or authorized the filing of any complaints, charges or lawsuits against the Company or any affiliate of the Company with any governmental agency or court, and that if, unbeknownst to Executive, such a complaint, charge or lawsuit has been filed on Executive’s behalf, Executive will immediately cause it to be withdrawn and dismissed, (b) Executive has been paid all compensation, wages, bonuses, commissions, and/or benefits to which Executive may be entitled and no other compensation, wages, bonuses, commissions and/or benefits are due to Executive, except as provided in this Agreement, (c) Executive has no known workplace injuries or </w:t>
      </w:r>
    </w:p>
    <w:p>
      <w:pPr>
        <w:pStyle w:val="TextBody"/>
        <w:bidi w:val="0"/>
        <w:spacing w:before="0" w:after="0"/>
        <w:jc w:val="left"/>
      </w:p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60655"/>
                <wp:effectExtent l="0" t="0" r="0" b="0"/>
                <wp:wrapNone/>
                <wp:docPr id="79" name="Frame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4"/>
        </w:rPr>
      </w:pPr>
      <w:r>
        <w:rPr>
          <w:rFonts w:ascii="Times New Roman;serif" w:hAnsi="Times New Roman;serif"/>
          <w:b w:val="false"/>
          <w:color w:val="000000"/>
          <w:sz w:val="24"/>
        </w:rPr>
        <w:t>occupational diseases and has been provided and/or has not been denied any leave requested under the Family and Medical Leave Act or any similar state law, (d) the execution, delivery and performance of this Agreement by Executive does not and will not conflict with, breach, violate or cause a default under any agreement, contract or instrument to which Executive is a party or any judgment, order or decree to which Executive is subject, and (e) Executive is not aware of any violations of the Company’s anti-harassment or anti-discrimination policies that Executive has not already disclosed to the Company pursuant to the Company’s internal reporting procedure, (f) Executive will maintain, not disclose and not use any confidential and proprietary information of the Company or any of its affiliates that was in Executive’s possession or control as a result of Executive’s employment or engagement by the Company or any of its affiliates, provided, however, such confidentiality obligations shall cease to exist for any information that becomes publicly available without a breach of this Agreement or any other agreement or obligation to the Company or any of its affiliates, (g) Executive acknowledges that Executive has carefully read and fully understands all of the provisions of this Agreement and that Executive is voluntarily and knowingly entering into this Agreement, and (h) upon the execution and delivery of this Agreement by the Company and Executive, this Agreement will be a valid and binding obligation of Executive, enforceable in accordance with its terms.</w:t>
      </w:r>
    </w:p>
    <w:p>
      <w:pPr>
        <w:pStyle w:val="TextBody"/>
        <w:bidi w:val="0"/>
        <w:spacing w:lineRule="auto" w:line="288" w:before="0" w:after="220"/>
        <w:ind w:left="0" w:right="0" w:firstLine="1440"/>
        <w:jc w:val="both"/>
      </w:pPr>
      <w:r>
        <w:rPr>
          <w:rFonts w:ascii="Times New Roman;serif" w:hAnsi="Times New Roman;serif"/>
          <w:b w:val="false"/>
          <w:color w:val="000000"/>
          <w:sz w:val="24"/>
        </w:rPr>
        <w:t>7.</w:t>
      </w:r>
      <w:r>
        <w:rPr>
          <w:rFonts w:ascii="Times New Roman;serif" w:hAnsi="Times New Roman;serif"/>
          <w:b w:val="false"/>
          <w:color w:val="000000"/>
          <w:sz w:val="24"/>
          <w:u w:val="single"/>
        </w:rPr>
        <w:t>No Assignment by Executive</w:t>
      </w:r>
      <w:r>
        <w:rPr>
          <w:rFonts w:ascii="Times New Roman;serif" w:hAnsi="Times New Roman;serif"/>
          <w:b w:val="false"/>
          <w:color w:val="000000"/>
          <w:sz w:val="24"/>
        </w:rPr>
        <w:t>. Executive warrants and represents that no portion of any of the matters released herein, and no portion of any recovery or settlement to which Executive might be entitled, has been assigned or transferred to any other person, firm or corporation not a party to this Agreement, in any manner, including by way of subrogation or operation of law or otherwise. If any claim, action, demand or suit should be made or instituted against the Company or any other Releasee because of any actual assignment, subrogation or transfer by Executive, Executive agrees to indemnify and hold harmless the Company and all other Releasees against such claim, action, suit or demand, including necessary expenses of investigation, attorneys’ fees and costs. In the event of Executive’s death, this Agreement shall inure to the benefit of Executive and Executive’s executors, administrators, heirs, distributees, devisees, and legatees. None of Executive’s rights or obligations may be assigned or transferred by Executive, other than Executive’s rights to payments hereunder, which may be transferred only upon Executive’s death by will or operation of law.</w:t>
      </w:r>
    </w:p>
    <w:p>
      <w:pPr>
        <w:pStyle w:val="TextBody"/>
        <w:bidi w:val="0"/>
        <w:spacing w:lineRule="auto" w:line="288" w:before="0" w:after="220"/>
        <w:ind w:left="0" w:right="0" w:firstLine="1440"/>
        <w:jc w:val="both"/>
      </w:pPr>
      <w:r>
        <w:rPr>
          <w:rFonts w:ascii="Times New Roman;serif" w:hAnsi="Times New Roman;serif"/>
          <w:b w:val="false"/>
          <w:color w:val="000000"/>
          <w:sz w:val="24"/>
        </w:rPr>
        <w:t>8.</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construed and enforced in accordance with, and the rights of the parties shall be governed by, the laws of the Commonwealth of Massachusetts or, where applicable, United States federal law, in each case, without regard to any conflicts of laws provisions or those of any other state or commonwealth.</w:t>
      </w:r>
    </w:p>
    <w:p>
      <w:pPr>
        <w:pStyle w:val="TextBody"/>
        <w:bidi w:val="0"/>
        <w:spacing w:lineRule="auto" w:line="288" w:before="0" w:after="220"/>
        <w:ind w:left="0" w:right="0" w:firstLine="1440"/>
        <w:jc w:val="both"/>
      </w:pPr>
      <w:r>
        <w:rPr>
          <w:rFonts w:ascii="Times New Roman;serif" w:hAnsi="Times New Roman;serif"/>
          <w:b w:val="false"/>
          <w:color w:val="000000"/>
          <w:sz w:val="24"/>
        </w:rPr>
        <w:t>9.</w:t>
      </w:r>
      <w:r>
        <w:rPr>
          <w:rFonts w:ascii="Times New Roman;serif" w:hAnsi="Times New Roman;serif"/>
          <w:b w:val="false"/>
          <w:color w:val="000000"/>
          <w:sz w:val="24"/>
          <w:u w:val="single"/>
        </w:rPr>
        <w:t>Dispute Resolution</w:t>
      </w:r>
      <w:r>
        <w:rPr>
          <w:rFonts w:ascii="Times New Roman;serif" w:hAnsi="Times New Roman;serif"/>
          <w:b w:val="false"/>
          <w:color w:val="000000"/>
          <w:sz w:val="24"/>
        </w:rPr>
        <w:t>. Except as excluded herein below, any controversy, dispute or claim arising out of or relating to this Agreement, or breach thereof, or Executive’s employment with or termination of employment from the Company (each, a “</w:t>
      </w:r>
      <w:r>
        <w:rPr>
          <w:rFonts w:ascii="Times New Roman;serif" w:hAnsi="Times New Roman;serif"/>
          <w:b w:val="false"/>
          <w:color w:val="000000"/>
          <w:sz w:val="24"/>
          <w:u w:val="single"/>
        </w:rPr>
        <w:t>Covered Claim</w:t>
      </w:r>
      <w:r>
        <w:rPr>
          <w:color w:val="000000"/>
        </w:rPr>
        <w:t>”</w:t>
      </w:r>
      <w:r>
        <w:rPr>
          <w:rFonts w:ascii="Times New Roman;serif" w:hAnsi="Times New Roman;serif"/>
          <w:b w:val="false"/>
          <w:color w:val="000000"/>
          <w:sz w:val="24"/>
        </w:rPr>
        <w:t xml:space="preserve">) shall be resolved by final and binding arbitration administered by JAMS. The arbitration shall be conducted by a single, neutral arbitrator, pursuant to JAMS’s Employment Arbitration Rules &amp; Procedures, available at https://www.jamsadr.com/rules-employment-arbitration/English, as in effect at the time of the initiation of arbitration, which the Company will provide to Executive upon reasonable request, in the county in which Executive currently works or last worked for the Company. Notwithstanding anything in this Agreement to the contrary, the arbitration provisions of this Agreement shall be governed by and enforceable pursuant to the Federal Arbitration Act, and, in </w:t>
      </w:r>
    </w:p>
    <w:p>
      <w:pPr>
        <w:pStyle w:val="TextBody"/>
        <w:bidi w:val="0"/>
        <w:spacing w:before="0" w:after="0"/>
        <w:jc w:val="left"/>
      </w:p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60655"/>
                <wp:effectExtent l="0" t="0" r="0" b="0"/>
                <wp:wrapNone/>
                <wp:docPr id="80" name="Frame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220"/>
        <w:jc w:val="both"/>
        <w:rPr>
          <w:rFonts w:ascii="Times New Roman;serif" w:hAnsi="Times New Roman;serif"/>
          <w:b w:val="false"/>
          <w:color w:val="000000"/>
          <w:sz w:val="24"/>
        </w:rPr>
      </w:pPr>
      <w:r>
        <w:rPr>
          <w:rFonts w:ascii="Times New Roman;serif" w:hAnsi="Times New Roman;serif"/>
          <w:b w:val="false"/>
          <w:color w:val="000000"/>
          <w:sz w:val="24"/>
        </w:rPr>
        <w:t>all other respects, the arbitrator shall apply the substantive laws of California or applicable Federal law, with the same statutes of limitation and available remedies that would apply if the claims were brought in a court of law of competent jurisdiction. The costs unique to arbitration, including the arbitration administrative fees, arbitrator compensation and expenses, and any costs of any witnesses call by the arbitrator, that would not be incurred in a court proceeding shall be borne by the Company. Unless otherwise ordered by the arbitrator under applicable law, the Company and Executive shall each bear its, their, his, or her own expenses, such as expert witness fees, filing fees, and attorneys’ fees and costs. Nothing herein shall prevent the Company or Executive from seeking a statutory award of reasonable attorneys’ fees and costs under applicable law. THE COMPANY AND EXECUTIVE RECOGNIZE THAT, BY AGREEING TO ARBITRATE THEIR DISPUTES, EACH WAIVE ITS, THEIR, HIS, OR HER RIGHT TO A TRIAL BY JURY OF ANY COVERED CLAIM. THE COMPANY AND EXECUTIVE WAIVE ITS, THEIR, HIS, OR HER RIGHT TO BRING ANY COVERED CLAIM AS PART OF OR IN CONNECTION WITH A CLASS OR COLLECTIVE ACTION. Notwithstanding the foregoing, this section shall not preclude either party from seeking a temporary restraining order or a preliminary injunction from a court of competent jurisdiction if such relief is not available in a timely fashion through arbitration. Further, this arbitration agreement shall not apply to: (a) claims for unemployment and workers’ compensation benefits; (b) sexual harassment and sexual assault disputes arising under federal, state, local, or tribal law, unless Executive elects to arbitrate such disputes; (c) claims arising under the National Labor Relations Act or which are brought before the National Labor Relations Board; (d) claims brought before the Equal Employment Opportunity Commission or similar state or local agency, if Executive is required to exhaust Executive’s administrative remedies; provided, that any appeal from an award or denial of an award by any such agency or any further action upon receipt of a right-to-sue letter shall be arbitrated pursuant to the terms of this Agreement; and (e) any other claim, which by law cannot be subject to mandatory arbitration.</w:t>
      </w:r>
    </w:p>
    <w:p>
      <w:pPr>
        <w:pStyle w:val="TextBody"/>
        <w:bidi w:val="0"/>
        <w:spacing w:lineRule="auto" w:line="288" w:before="0" w:after="220"/>
        <w:ind w:left="0" w:right="0" w:firstLine="1440"/>
        <w:jc w:val="both"/>
      </w:pPr>
      <w:r>
        <w:rPr>
          <w:rFonts w:ascii="Times New Roman;serif" w:hAnsi="Times New Roman;serif"/>
          <w:b w:val="false"/>
          <w:color w:val="000000"/>
          <w:sz w:val="24"/>
        </w:rPr>
        <w:t>10.</w:t>
      </w:r>
      <w:r>
        <w:rPr>
          <w:rFonts w:ascii="Times New Roman;serif" w:hAnsi="Times New Roman;serif"/>
          <w:b w:val="false"/>
          <w:color w:val="000000"/>
          <w:sz w:val="24"/>
          <w:u w:val="single"/>
        </w:rPr>
        <w:t>Miscellaneous</w:t>
      </w:r>
      <w:r>
        <w:rPr>
          <w:rFonts w:ascii="Times New Roman;serif" w:hAnsi="Times New Roman;serif"/>
          <w:b w:val="false"/>
          <w:color w:val="000000"/>
          <w:sz w:val="24"/>
        </w:rPr>
        <w:t>. This Agreement, collectively with the Confidentiality Agreement, Section 4 of the Severance Agreement (solely to the extent provided in Section 3 of this Agreement), any indemnification agreement between Executive and the Company and any agreements evidencing Executive’s Equity Awards, comprises the entire agreement between the parties with regard to the subject matter hereof and supersedes, in their entirety, any other agreements between Executive and the Company with regard to the subject matter hereof, including, without limitation, the Offer Letter and Severance Agreement (other than Section 4 thereof to the extent provided in Section 3 of this Agreement). Executive acknowledges that there are no other agreements, written, oral or implied, and that Executive may not rely on any prior negotiations, discussions, representations or agreements. This Agreement may be modified only in writing, and such writing must be signed by both parties and recited that it is intended to modify this Agreement. This Agreement may be executed in separate counterparts, each of which is deemed to be an original and all of which taken together constitute one and the same agreement.</w:t>
      </w:r>
    </w:p>
    <w:p>
      <w:pPr>
        <w:pStyle w:val="TextBody"/>
        <w:bidi w:val="0"/>
        <w:spacing w:lineRule="auto" w:line="288" w:before="0" w:after="220"/>
        <w:ind w:left="0" w:right="0" w:firstLine="1440"/>
        <w:jc w:val="both"/>
      </w:pPr>
      <w:r>
        <w:rPr>
          <w:rFonts w:ascii="Times New Roman;serif" w:hAnsi="Times New Roman;serif"/>
          <w:b w:val="false"/>
          <w:color w:val="000000"/>
          <w:sz w:val="24"/>
        </w:rPr>
        <w:t>11.</w:t>
      </w:r>
      <w:r>
        <w:rPr>
          <w:rFonts w:ascii="Times New Roman;serif" w:hAnsi="Times New Roman;serif"/>
          <w:b w:val="false"/>
          <w:color w:val="000000"/>
          <w:sz w:val="24"/>
          <w:u w:val="single"/>
        </w:rPr>
        <w:t>Company Assignment and Successors</w:t>
      </w:r>
      <w:r>
        <w:rPr>
          <w:rFonts w:ascii="Times New Roman;serif" w:hAnsi="Times New Roman;serif"/>
          <w:b w:val="false"/>
          <w:color w:val="000000"/>
          <w:sz w:val="24"/>
        </w:rPr>
        <w:t>. The Company shall assign its rights and obligations under this Agreement to any successor to all or substantially all of the business or the assets of the Company (by merger or otherwise). This Agreement shall be binding upon and inure to the benefit of the Company and its successors, assigns, personnel and legal representatives.</w:t>
      </w:r>
    </w:p>
    <w:p>
      <w:pPr>
        <w:pStyle w:val="TextBody"/>
        <w:bidi w:val="0"/>
        <w:spacing w:lineRule="auto" w:line="288" w:before="0" w:after="220"/>
        <w:ind w:left="0" w:right="0" w:firstLine="1440"/>
        <w:jc w:val="left"/>
      </w:pPr>
      <w:r>
        <w:rPr>
          <w:rFonts w:ascii="Times New Roman;serif" w:hAnsi="Times New Roman;serif"/>
          <w:b w:val="false"/>
          <w:color w:val="000000"/>
          <w:sz w:val="24"/>
        </w:rPr>
        <w:t>12.</w:t>
      </w:r>
      <w:r>
        <w:rPr>
          <w:rFonts w:ascii="Times New Roman;serif" w:hAnsi="Times New Roman;serif"/>
          <w:b w:val="false"/>
          <w:color w:val="000000"/>
          <w:sz w:val="24"/>
          <w:u w:val="single"/>
        </w:rPr>
        <w:t>Section 409A</w:t>
      </w:r>
      <w:r>
        <w:rPr>
          <w:rFonts w:ascii="Times New Roman;serif" w:hAnsi="Times New Roman;serif"/>
          <w:b w:val="false"/>
          <w:color w:val="000000"/>
          <w:sz w:val="24"/>
        </w:rPr>
        <w:t>.</w:t>
      </w:r>
    </w:p>
    <w:p>
      <w:pPr>
        <w:pStyle w:val="TextBody"/>
        <w:bidi w:val="0"/>
        <w:spacing w:before="0" w:after="0"/>
        <w:jc w:val="left"/>
      </w:p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60655"/>
                <wp:effectExtent l="0" t="0" r="0" b="0"/>
                <wp:wrapNone/>
                <wp:docPr id="81" name="Frame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220"/>
        <w:ind w:left="0" w:right="0" w:firstLine="1440"/>
        <w:jc w:val="both"/>
      </w:pPr>
      <w:r>
        <w:rPr>
          <w:rFonts w:ascii="Times New Roman;serif" w:hAnsi="Times New Roman;serif"/>
          <w:b w:val="false"/>
          <w:color w:val="000000"/>
          <w:sz w:val="24"/>
        </w:rPr>
        <w:t>(a)</w:t>
      </w:r>
      <w:r>
        <w:rPr>
          <w:rFonts w:ascii="Times New Roman;serif" w:hAnsi="Times New Roman;serif"/>
          <w:b w:val="false"/>
          <w:color w:val="000000"/>
          <w:sz w:val="24"/>
          <w:u w:val="single"/>
        </w:rPr>
        <w:t>Compliance with or exemption from Section 409A</w:t>
      </w:r>
      <w:r>
        <w:rPr>
          <w:rFonts w:ascii="Times New Roman;serif" w:hAnsi="Times New Roman;serif"/>
          <w:b w:val="false"/>
          <w:color w:val="000000"/>
          <w:sz w:val="24"/>
        </w:rPr>
        <w:t>. It is intended that payments and benefits under this Agreement comply with, or be exempt from, the provisions of Section 409A of the Code and the Department of Treasury regulations and other interpretive guidance issued thereunder, including without limitation any such regulations or other guidance that may be issued after the date of this Agreement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This Agreement will be interpreted and administered in a manner consistent with this intent. Each payment and each provision of benefits described in this Agreement will be considered a separate payment and not one of a series of payments for purposes of Section 409A. In no event will any payment under this Agreement that constitutes “nonqualified deferred compensation” for purposes of Section 409A be subject to offset by any other amount unless otherwise permitted by Section 409A.</w:t>
      </w:r>
    </w:p>
    <w:p>
      <w:pPr>
        <w:pStyle w:val="TextBody"/>
        <w:bidi w:val="0"/>
        <w:spacing w:lineRule="auto" w:line="288" w:before="0" w:after="220"/>
        <w:ind w:left="0" w:right="0" w:firstLine="1440"/>
        <w:jc w:val="both"/>
      </w:pPr>
      <w:r>
        <w:rPr>
          <w:rFonts w:ascii="Times New Roman;serif" w:hAnsi="Times New Roman;serif"/>
          <w:b w:val="false"/>
          <w:color w:val="000000"/>
          <w:sz w:val="24"/>
        </w:rPr>
        <w:t>(b)</w:t>
      </w:r>
      <w:r>
        <w:rPr>
          <w:rFonts w:ascii="Times New Roman;serif" w:hAnsi="Times New Roman;serif"/>
          <w:b w:val="false"/>
          <w:color w:val="000000"/>
          <w:sz w:val="24"/>
          <w:u w:val="single"/>
        </w:rPr>
        <w:t>Separation from Service</w:t>
      </w:r>
      <w:r>
        <w:rPr>
          <w:rFonts w:ascii="Times New Roman;serif" w:hAnsi="Times New Roman;serif"/>
          <w:b w:val="false"/>
          <w:color w:val="000000"/>
          <w:sz w:val="24"/>
        </w:rPr>
        <w:t>. The Company and Executive acknowledge that the separation of Executive’s employment with the Company is intended to constitute an involuntary “separation from service” for the purposes of Section 409A.</w:t>
      </w:r>
    </w:p>
    <w:p>
      <w:pPr>
        <w:pStyle w:val="TextBody"/>
        <w:bidi w:val="0"/>
        <w:spacing w:lineRule="auto" w:line="288" w:before="0" w:after="220"/>
        <w:ind w:left="0" w:right="0" w:firstLine="1440"/>
        <w:jc w:val="both"/>
      </w:pPr>
      <w:r>
        <w:rPr>
          <w:rFonts w:ascii="Times New Roman;serif" w:hAnsi="Times New Roman;serif"/>
          <w:b w:val="false"/>
          <w:color w:val="000000"/>
          <w:sz w:val="24"/>
        </w:rPr>
        <w:t>(c)</w:t>
      </w:r>
      <w:r>
        <w:rPr>
          <w:rFonts w:ascii="Times New Roman;serif" w:hAnsi="Times New Roman;serif"/>
          <w:b w:val="false"/>
          <w:color w:val="000000"/>
          <w:sz w:val="24"/>
          <w:u w:val="single"/>
        </w:rPr>
        <w:t>Specific Exemptions</w:t>
      </w:r>
      <w:r>
        <w:rPr>
          <w:rFonts w:ascii="Times New Roman;serif" w:hAnsi="Times New Roman;serif"/>
          <w:b w:val="false"/>
          <w:color w:val="000000"/>
          <w:sz w:val="24"/>
        </w:rPr>
        <w:t>. If any reimbursements or in-kind benefits provided by the Company or any Releasee pursuant to this Agreement would constitute “nonqualified deferred compensation” for purposes of Section 409A, such reimbursements or in- kind benefits will be subject to the following rules: (A) the amounts to be reimbursed, or the in-kind benefits to be provided, will be determined pursuant to the terms of the applicable benefit plan, policy or agreement and will be limited to Executive’s lifetime and the lifetime of Executive’s eligible dependents; (B) the amounts eligible for reimbursement, or the in-kind benefits provided, during any calendar year may not affect the expenses eligible for reimbursement, or the in-kind benefits provided, in any other calendar year; (C) any reimbursement of an eligible expense will be made on or before the last day of the calendar year following the calendar year in which the expense was incurred; (D) Executive’s right to an in-kind benefit or reimbursement is not subject to liquidation or exchange for cash or another benefit and (E) if Executive is a “specified employee” within the meaning of Section 409A, no payments of any of such severance or other benefit shall be made for six (6) months plus one (1) day after the “separation from service,” or, if earlier, upon Executive’s death (the “</w:t>
      </w:r>
      <w:r>
        <w:rPr>
          <w:rFonts w:ascii="Times New Roman;serif" w:hAnsi="Times New Roman;serif"/>
          <w:b w:val="false"/>
          <w:color w:val="000000"/>
          <w:sz w:val="24"/>
          <w:u w:val="single"/>
        </w:rPr>
        <w:t>New Payment Date</w:t>
      </w:r>
      <w:r>
        <w:rPr>
          <w:color w:val="000000"/>
        </w:rPr>
        <w:t>”</w:t>
      </w:r>
      <w:r>
        <w:rPr>
          <w:rFonts w:ascii="Times New Roman;serif" w:hAnsi="Times New Roman;serif"/>
          <w:b w:val="false"/>
          <w:color w:val="000000"/>
          <w:sz w:val="24"/>
        </w:rPr>
        <w:t>). The aggregate of any such payments that would have otherwise been paid during the period between the “separation from service” and the New Payment Date shall be paid to Executive in a lump sum on the New Payment Date.</w:t>
      </w:r>
    </w:p>
    <w:p>
      <w:pPr>
        <w:pStyle w:val="TextBody"/>
        <w:bidi w:val="0"/>
        <w:spacing w:lineRule="auto" w:line="288" w:before="0" w:after="220"/>
        <w:ind w:left="0" w:right="0" w:firstLine="1440"/>
        <w:jc w:val="both"/>
      </w:pPr>
      <w:r>
        <w:rPr>
          <w:rFonts w:ascii="Times New Roman;serif" w:hAnsi="Times New Roman;serif"/>
          <w:b w:val="false"/>
          <w:color w:val="000000"/>
          <w:sz w:val="24"/>
        </w:rPr>
        <w:t>13.</w:t>
      </w:r>
      <w:r>
        <w:rPr>
          <w:rFonts w:ascii="Times New Roman;serif" w:hAnsi="Times New Roman;serif"/>
          <w:b w:val="false"/>
          <w:color w:val="000000"/>
          <w:sz w:val="24"/>
          <w:u w:val="single"/>
        </w:rPr>
        <w:t>Taxes</w:t>
      </w:r>
      <w:r>
        <w:rPr>
          <w:rFonts w:ascii="Times New Roman;serif" w:hAnsi="Times New Roman;serif"/>
          <w:b w:val="false"/>
          <w:color w:val="000000"/>
          <w:sz w:val="24"/>
        </w:rPr>
        <w:t>. Executive understands and agrees that all payments under this Agreement will be subject to appropriate tax withholding and other deductions. To the extent any taxes may be payable by Executive for the benefits provided to Executive by this Agreement beyond those withheld by the Company, Executive agrees to pay them.</w:t>
      </w:r>
    </w:p>
    <w:p>
      <w:pPr>
        <w:pStyle w:val="TextBody"/>
        <w:bidi w:val="0"/>
        <w:spacing w:lineRule="auto" w:line="288" w:before="0" w:after="220"/>
        <w:ind w:left="0" w:right="0" w:firstLine="1440"/>
        <w:jc w:val="both"/>
      </w:pPr>
      <w:r>
        <w:rPr>
          <w:rFonts w:ascii="Times New Roman;serif" w:hAnsi="Times New Roman;serif"/>
          <w:b w:val="false"/>
          <w:color w:val="000000"/>
          <w:sz w:val="24"/>
        </w:rPr>
        <w:t>14.</w:t>
      </w:r>
      <w:r>
        <w:rPr>
          <w:rFonts w:ascii="Times New Roman;serif" w:hAnsi="Times New Roman;serif"/>
          <w:b w:val="false"/>
          <w:color w:val="000000"/>
          <w:sz w:val="24"/>
          <w:u w:val="single"/>
        </w:rPr>
        <w:t>Maintaining Confidential Information</w:t>
      </w:r>
      <w:r>
        <w:rPr>
          <w:rFonts w:ascii="Times New Roman;serif" w:hAnsi="Times New Roman;serif"/>
          <w:b w:val="false"/>
          <w:color w:val="000000"/>
          <w:sz w:val="24"/>
        </w:rPr>
        <w:t>. Nothing in this Agreement or the Confidentiality Agreement will be construed to prohibit Executive from (i) pursuing unemployment or workers compensation benefits; (ii) filing a charge or complaint with the Equal Employment Opportunity Commission (“</w:t>
      </w:r>
      <w:r>
        <w:rPr>
          <w:rFonts w:ascii="Times New Roman;serif" w:hAnsi="Times New Roman;serif"/>
          <w:b w:val="false"/>
          <w:color w:val="000000"/>
          <w:sz w:val="24"/>
          <w:u w:val="single"/>
        </w:rPr>
        <w:t>EEOC</w:t>
      </w:r>
      <w:r>
        <w:rPr>
          <w:color w:val="000000"/>
        </w:rPr>
        <w:t>”</w:t>
      </w:r>
      <w:r>
        <w:rPr>
          <w:rFonts w:ascii="Times New Roman;serif" w:hAnsi="Times New Roman;serif"/>
          <w:b w:val="false"/>
          <w:color w:val="000000"/>
          <w:sz w:val="24"/>
        </w:rPr>
        <w:t>), the National Labor Relations Board (“</w:t>
      </w:r>
      <w:r>
        <w:rPr>
          <w:rFonts w:ascii="Times New Roman;serif" w:hAnsi="Times New Roman;serif"/>
          <w:b w:val="false"/>
          <w:color w:val="000000"/>
          <w:sz w:val="24"/>
          <w:u w:val="single"/>
        </w:rPr>
        <w:t>NLRB</w:t>
      </w:r>
      <w:r>
        <w:rPr>
          <w:color w:val="000000"/>
        </w:rPr>
        <w:t>”</w:t>
      </w:r>
      <w:r>
        <w:rPr>
          <w:rFonts w:ascii="Times New Roman;serif" w:hAnsi="Times New Roman;serif"/>
          <w:b w:val="false"/>
          <w:color w:val="000000"/>
          <w:sz w:val="24"/>
        </w:rPr>
        <w:t>), or any similar state government agency or commission, provided, however, Executive releases and waives Executive’s right to receive damages or other relief in connection with any such matter to the maximum extent permitted by applicable law; (iii) communicating with, cooperating with, or reporting wrongdoing to the Securities and Exchange Commission (“</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xml:space="preserve">), the Financial Industry </w:t>
      </w:r>
    </w:p>
    <w:p>
      <w:pPr>
        <w:pStyle w:val="TextBody"/>
        <w:bidi w:val="0"/>
        <w:spacing w:before="0" w:after="0"/>
        <w:jc w:val="left"/>
      </w:p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60655"/>
                <wp:effectExtent l="0" t="0" r="0" b="0"/>
                <wp:wrapNone/>
                <wp:docPr id="82" name="Frame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0" w:after="220"/>
        <w:jc w:val="both"/>
      </w:pPr>
      <w:r>
        <w:rPr>
          <w:rFonts w:ascii="Times New Roman;serif" w:hAnsi="Times New Roman;serif"/>
          <w:b w:val="false"/>
          <w:color w:val="000000"/>
          <w:sz w:val="24"/>
        </w:rPr>
        <w:t>Regulatory Authority, the EEOC, the NLRB, the Occupational Safety and Health Administration, the Commodity Futures Trading Commission, the Department of Justice (“</w:t>
      </w:r>
      <w:r>
        <w:rPr>
          <w:rFonts w:ascii="Times New Roman;serif" w:hAnsi="Times New Roman;serif"/>
          <w:b w:val="false"/>
          <w:color w:val="000000"/>
          <w:sz w:val="24"/>
          <w:u w:val="single"/>
        </w:rPr>
        <w:t>DOJ</w:t>
      </w:r>
      <w:r>
        <w:rPr>
          <w:color w:val="000000"/>
        </w:rPr>
        <w:t>”</w:t>
      </w:r>
      <w:r>
        <w:rPr>
          <w:rFonts w:ascii="Times New Roman;serif" w:hAnsi="Times New Roman;serif"/>
          <w:b w:val="false"/>
          <w:color w:val="000000"/>
          <w:sz w:val="24"/>
        </w:rPr>
        <w:t>), or any other federal, state or local government agency or commission (collectively, “</w:t>
      </w:r>
      <w:r>
        <w:rPr>
          <w:rFonts w:ascii="Times New Roman;serif" w:hAnsi="Times New Roman;serif"/>
          <w:b w:val="false"/>
          <w:color w:val="000000"/>
          <w:sz w:val="24"/>
          <w:u w:val="single"/>
        </w:rPr>
        <w:t>Government Agencies</w:t>
      </w:r>
      <w:r>
        <w:rPr>
          <w:color w:val="000000"/>
        </w:rPr>
        <w:t>”</w:t>
      </w:r>
      <w:r>
        <w:rPr>
          <w:rFonts w:ascii="Times New Roman;serif" w:hAnsi="Times New Roman;serif"/>
          <w:b w:val="false"/>
          <w:color w:val="000000"/>
          <w:sz w:val="24"/>
        </w:rPr>
        <w:t>), or otherwise participating in any investigation or proceeding that may be conducted by a Government Agency, including providing documents or other information, without notice to the Company; (iv) receiving a reward for information provided to the SEC, the DOJ or any other Government Agency; (v) exercising any rights Executive may have under Section 7 of the U.S. National Labor Relations Act; (vi) testifying pursuant to a court order, subpoena, or written request from an administrative agency or legislature; (vii) discussing or disclosing information about unlawful acts in the workplace, such as harassment or discrimination based on a protected characteristic or any other conduct that Executive has reason to believe is unlawful; or (viii) engaging in any other protected conduct or filing claims that cannot be waived by applicable law. Furthermore, in accordance with 18 U.S.C. § 1833, notwithstanding anything to the contrary in the Confidentiality Agreement or this Agreement: (i) Executive shall not be in breach of the Confidentiality Agreement or this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pStyle w:val="TextBody"/>
        <w:bidi w:val="0"/>
        <w:spacing w:lineRule="auto" w:line="288" w:before="0" w:after="220"/>
        <w:ind w:left="0" w:right="0" w:firstLine="1440"/>
        <w:jc w:val="both"/>
      </w:pPr>
      <w:r>
        <w:rPr>
          <w:rFonts w:ascii="Times New Roman;serif" w:hAnsi="Times New Roman;serif"/>
          <w:b w:val="false"/>
          <w:color w:val="000000"/>
          <w:sz w:val="24"/>
        </w:rPr>
        <w:t>15.</w:t>
      </w:r>
      <w:r>
        <w:rPr>
          <w:rFonts w:ascii="Times New Roman;serif" w:hAnsi="Times New Roman;serif"/>
          <w:b w:val="false"/>
          <w:color w:val="000000"/>
          <w:sz w:val="24"/>
          <w:u w:val="single"/>
        </w:rPr>
        <w:t>Executive’s Cooperation</w:t>
      </w:r>
      <w:r>
        <w:rPr>
          <w:rFonts w:ascii="Times New Roman;serif" w:hAnsi="Times New Roman;serif"/>
          <w:b w:val="false"/>
          <w:color w:val="000000"/>
          <w:sz w:val="24"/>
        </w:rPr>
        <w:t xml:space="preserve">. After the Retirement Date, Executive shall cooperate with the Company and its affiliates, upon the Company’s reasonable request, with respect to any internal investigation or administrative, regulatory or judicial proceeding involving matters within the scope of Executive’s duties and responsibilities to the Company or its affiliates during Executive’s employment with the Company (including, without limitation, Executive being available to the Company upon reasonable notice for interviews and factual investigations, appearing at the Company’s reasonable request to give testimony without requiring service of a subpoena or other legal process, and turning over to the Company all relevant Company documents which are or may have come into Executive’s possession during Executive’s employment);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 any such request by the Company shall not be unduly burdensome or interfere with Executive’s personal schedule or ability to engage in gainful employment and (ii) this provision shall not apply to any such investigation or proceeding that arises out of or relates to a dispute between Executive and the Company and/or any of its affiliates or if Executive’s reasonable interests are adverse to the Company or its affiliates in any such investigation or proceeding.</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60655"/>
                <wp:effectExtent l="0" t="0" r="0" b="0"/>
                <wp:wrapNone/>
                <wp:docPr id="83" name="Frame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undersigned have caused this Separation Agreement to be duly executed and delivered as of the date indicated next to their respective signatures below.</w:t>
      </w:r>
    </w:p>
    <w:p>
      <w:pPr>
        <w:pStyle w:val="TextBody"/>
        <w:bidi w:val="0"/>
        <w:spacing w:before="0" w:after="0"/>
        <w:jc w:val="left"/>
      </w:pPr>
      <w:r/>
    </w:p>
    <w:p>
      <w:pPr>
        <w:pStyle w:val="TextBody"/>
        <w:bidi w:val="0"/>
        <w:spacing w:before="0" w:after="0"/>
        <w:jc w:val="left"/>
      </w:pPr>
      <w:r/>
    </w:p>
    <w:tbl>
      <w:tblPr>
        <w:tblW w:w="5891" w:type="dxa"/>
        <w:jc w:val="left"/>
        <w:tblInd w:w="0" w:type="dxa"/>
        <w:tblLayout w:type="fixed"/>
        <w:tblCellMar>
          <w:top w:w="28" w:type="dxa"/>
          <w:left w:w="28" w:type="dxa"/>
          <w:bottom w:w="28" w:type="dxa"/>
          <w:right w:w="28" w:type="dxa"/>
        </w:tblCellMar>
      </w:tblPr>
      <w:tblGrid>
        <w:gridCol w:w="369"/>
        <w:gridCol w:w="325"/>
        <w:gridCol w:w="326"/>
        <w:gridCol w:w="394"/>
        <w:gridCol w:w="394"/>
        <w:gridCol w:w="396"/>
        <w:gridCol w:w="109"/>
        <w:gridCol w:w="109"/>
        <w:gridCol w:w="109"/>
        <w:gridCol w:w="983"/>
        <w:gridCol w:w="983"/>
        <w:gridCol w:w="1394"/>
      </w:tblGrid>
      <w:t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r>
      <w:tr>
        <w:tc>
          <w:tcPr>
            <w:tcW w:w="102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4"/>
              </w:rPr>
            </w:pPr>
            <w:r>
              <w:rPr>
                <w:rFonts w:ascii="Times New Roman;serif" w:hAnsi="Times New Roman;serif"/>
                <w:b w:val="false"/>
                <w:color w:val="000000"/>
                <w:sz w:val="24"/>
              </w:rPr>
              <w:t>DATED:</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4"/>
              </w:rPr>
            </w:pPr>
            <w:r>
              <w:rPr>
                <w:rFonts w:ascii="Times New Roman;serif" w:hAnsi="Times New Roman;serif"/>
                <w:b w:val="false"/>
                <w:color w:val="000000"/>
                <w:sz w:val="24"/>
              </w:rPr>
              <w:t>06/09/2026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4"/>
              </w:rPr>
            </w:pPr>
            <w:r>
              <w:rPr>
                <w:rFonts w:ascii="Times New Roman;serif" w:hAnsi="Times New Roman;serif"/>
                <w:b w:val="false"/>
                <w:color w:val="000000"/>
                <w:sz w:val="24"/>
              </w:rPr>
              <w:t>/s/ Laura A. Williams</w:t>
            </w:r>
          </w:p>
        </w:tc>
      </w:tr>
      <w:t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5" w:after="180"/>
              <w:jc w:val="both"/>
              <w:rPr>
                <w:rFonts w:ascii="Times New Roman;serif" w:hAnsi="Times New Roman;serif"/>
                <w:b w:val="false"/>
                <w:color w:val="000000"/>
                <w:sz w:val="24"/>
              </w:rPr>
            </w:pPr>
            <w:r>
              <w:rPr>
                <w:rFonts w:ascii="Times New Roman;serif" w:hAnsi="Times New Roman;serif"/>
                <w:b w:val="false"/>
                <w:color w:val="000000"/>
                <w:sz w:val="24"/>
              </w:rPr>
              <w:t>Laura A. Williams, M.D., M.P.H.</w:t>
            </w:r>
          </w:p>
        </w:tc>
      </w:tr>
      <w:t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ARDELYX, INC.</w:t>
            </w:r>
          </w:p>
        </w:tc>
      </w:tr>
      <w:t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4"/>
              </w:rPr>
            </w:pPr>
            <w:r>
              <w:rPr>
                <w:rFonts w:ascii="Times New Roman;serif" w:hAnsi="Times New Roman;serif"/>
                <w:b w:val="false"/>
                <w:color w:val="000000"/>
                <w:sz w:val="24"/>
              </w:rPr>
              <w:t>DATED:</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180"/>
              <w:jc w:val="left"/>
              <w:rPr>
                <w:rFonts w:ascii="Times New Roman;serif" w:hAnsi="Times New Roman;serif"/>
                <w:b w:val="false"/>
                <w:color w:val="000000"/>
                <w:sz w:val="24"/>
              </w:rPr>
            </w:pPr>
            <w:r>
              <w:rPr>
                <w:rFonts w:ascii="Times New Roman;serif" w:hAnsi="Times New Roman;serif"/>
                <w:b w:val="false"/>
                <w:color w:val="000000"/>
                <w:sz w:val="24"/>
              </w:rPr>
              <w:t>06/09/2026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4"/>
              </w:rPr>
            </w:pPr>
            <w:r>
              <w:rPr>
                <w:rFonts w:ascii="Times New Roman;serif" w:hAnsi="Times New Roman;serif"/>
                <w:b w:val="false"/>
                <w:color w:val="000000"/>
                <w:sz w:val="24"/>
              </w:rPr>
              <w:t>By: /s/ Mike Raab</w:t>
            </w:r>
          </w:p>
        </w:tc>
      </w:tr>
      <w:t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Mike Raab</w:t>
            </w:r>
          </w:p>
        </w:tc>
      </w:tr>
      <w:t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President &amp; CEO</w:t>
            </w:r>
          </w:p>
        </w:tc>
      </w:tr>
      <w:t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60655"/>
                <wp:effectExtent l="0" t="0" r="0" b="0"/>
                <wp:wrapNone/>
                <wp:docPr id="84" name="Frame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88" w:before="0" w:after="17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0" w:after="170"/>
        <w:jc w:val="center"/>
        <w:rPr>
          <w:rFonts w:ascii="Times New Roman;serif" w:hAnsi="Times New Roman;serif"/>
          <w:b/>
          <w:color w:val="000000"/>
          <w:sz w:val="24"/>
          <w:u w:val="single"/>
        </w:rPr>
      </w:pPr>
      <w:r>
        <w:rPr>
          <w:rFonts w:ascii="Times New Roman;serif" w:hAnsi="Times New Roman;serif"/>
          <w:b/>
          <w:color w:val="000000"/>
          <w:sz w:val="24"/>
          <w:u w:val="single"/>
        </w:rPr>
        <w:t>GENERAL RELEASE OF CLAIMS</w:t>
      </w:r>
    </w:p>
    <w:p>
      <w:pPr>
        <w:pStyle w:val="TextBody"/>
        <w:bidi w:val="0"/>
        <w:spacing w:lineRule="auto" w:line="288" w:before="0" w:after="170"/>
        <w:ind w:left="0" w:right="0" w:firstLine="720"/>
        <w:jc w:val="left"/>
      </w:pPr>
      <w:r>
        <w:rPr>
          <w:rFonts w:ascii="Times New Roman;serif" w:hAnsi="Times New Roman;serif"/>
          <w:b w:val="false"/>
          <w:color w:val="000000"/>
          <w:sz w:val="24"/>
        </w:rPr>
        <w:t>This General Release of Claims (“</w:t>
      </w:r>
      <w:r>
        <w:rPr>
          <w:rFonts w:ascii="Times New Roman;serif" w:hAnsi="Times New Roman;serif"/>
          <w:b w:val="false"/>
          <w:color w:val="000000"/>
          <w:sz w:val="24"/>
          <w:u w:val="single"/>
        </w:rPr>
        <w:t>Release</w:t>
      </w:r>
      <w:r>
        <w:rPr>
          <w:color w:val="000000"/>
        </w:rPr>
        <w:t>”</w:t>
      </w:r>
      <w:r>
        <w:rPr>
          <w:rFonts w:ascii="Times New Roman;serif" w:hAnsi="Times New Roman;serif"/>
          <w:b w:val="false"/>
          <w:color w:val="000000"/>
          <w:sz w:val="24"/>
        </w:rPr>
        <w:t xml:space="preserve">) is entered into as of </w:t>
      </w:r>
      <w:r>
        <w:rPr>
          <w:color w:val="000000"/>
          <w:u w:val="single"/>
        </w:rPr>
        <w:t>    </w:t>
      </w:r>
      <w:r>
        <w:rPr>
          <w:rFonts w:ascii="Times New Roman;serif" w:hAnsi="Times New Roman;serif"/>
          <w:b w:val="false"/>
          <w:color w:val="000000"/>
          <w:sz w:val="24"/>
        </w:rPr>
        <w:t>, 2026, between Laura A. Williams, M.D., M.P.H.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and Ardelyx,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effective as of the eighth (8</w:t>
      </w:r>
      <w:r>
        <w:rPr>
          <w:rFonts w:ascii="Times New Roman;serif" w:hAnsi="Times New Roman;serif"/>
          <w:b w:val="false"/>
          <w:color w:val="000000"/>
          <w:sz w:val="16"/>
        </w:rPr>
        <w:t>th</w:t>
      </w:r>
      <w:r>
        <w:rPr>
          <w:rFonts w:ascii="Times New Roman;serif" w:hAnsi="Times New Roman;serif"/>
          <w:b w:val="false"/>
          <w:color w:val="000000"/>
          <w:sz w:val="24"/>
        </w:rPr>
        <w:t>) day after the date of Executive’s signature hereto.</w:t>
      </w:r>
    </w:p>
    <w:p>
      <w:pPr>
        <w:pStyle w:val="TextBody"/>
        <w:bidi w:val="0"/>
        <w:spacing w:lineRule="auto" w:line="288" w:before="0" w:after="170"/>
        <w:ind w:left="0" w:right="0" w:firstLine="1440"/>
        <w:jc w:val="left"/>
      </w:pPr>
      <w:r>
        <w:rPr>
          <w:rFonts w:ascii="Times New Roman;serif" w:hAnsi="Times New Roman;serif"/>
          <w:b w:val="false"/>
          <w:color w:val="000000"/>
          <w:sz w:val="24"/>
        </w:rPr>
        <w:t>1.</w:t>
      </w:r>
      <w:r>
        <w:rPr>
          <w:rFonts w:ascii="Times New Roman;serif" w:hAnsi="Times New Roman;serif"/>
          <w:b w:val="false"/>
          <w:color w:val="000000"/>
          <w:sz w:val="24"/>
          <w:u w:val="single"/>
        </w:rPr>
        <w:t>Executive’s Release of the Company</w:t>
      </w:r>
      <w:r>
        <w:rPr>
          <w:rFonts w:ascii="Times New Roman;serif" w:hAnsi="Times New Roman;serif"/>
          <w:b w:val="false"/>
          <w:color w:val="000000"/>
          <w:sz w:val="24"/>
        </w:rPr>
        <w:t>. Executive understands that by agreeing to this Release, Executive is agreeing not to sue, or otherwise file any claim against, the Company or any of its directors, officers, employees, investors or other agents for any reason whatsoever based on anything that is the subject of this Release and that has occurred as of the date Executive signs this Release.</w:t>
      </w:r>
    </w:p>
    <w:p>
      <w:pPr>
        <w:pStyle w:val="TextBody"/>
        <w:bidi w:val="0"/>
        <w:spacing w:lineRule="auto" w:line="288" w:before="0" w:after="170"/>
        <w:ind w:left="0" w:right="0" w:firstLine="1440"/>
        <w:jc w:val="left"/>
      </w:pPr>
      <w:r>
        <w:rPr>
          <w:rFonts w:ascii="Times New Roman;serif" w:hAnsi="Times New Roman;serif"/>
          <w:b w:val="false"/>
          <w:color w:val="000000"/>
          <w:sz w:val="24"/>
        </w:rPr>
        <w:t>(a)On behalf of Executive and Executive’s heirs, assigns, executors, administrators, trusts, spouse and estate, Executive hereby releases and forever discharges the “</w:t>
      </w:r>
      <w:r>
        <w:rPr>
          <w:rFonts w:ascii="Times New Roman;serif" w:hAnsi="Times New Roman;serif"/>
          <w:b w:val="false"/>
          <w:color w:val="000000"/>
          <w:sz w:val="24"/>
          <w:u w:val="single"/>
        </w:rPr>
        <w:t>Releasees</w:t>
      </w:r>
      <w:r>
        <w:rPr>
          <w:color w:val="000000"/>
        </w:rPr>
        <w:t xml:space="preserve">” </w:t>
      </w:r>
      <w:r>
        <w:rPr>
          <w:rFonts w:ascii="Times New Roman;serif" w:hAnsi="Times New Roman;serif"/>
          <w:b w:val="false"/>
          <w:color w:val="000000"/>
          <w:sz w:val="24"/>
        </w:rPr>
        <w:t>hereunder, consisting of the Company and each of its owners, affiliates, subsidiaries, predecessors, successors, assigns, agents, directors, officers, partners, employees, and insurers, and all persons acting by, through, under or in concert with them, or any of them, of and from any and all manner of action or actions, cause or causes of action, in law or in equity, suits, debts, liens, contracts, agreements, promises, liability, claims, demands, damages, loss, cost or expense, of any nature whatsoever, known or unknown, fixed or contingent (hereinafter called “</w:t>
      </w:r>
      <w:r>
        <w:rPr>
          <w:rFonts w:ascii="Times New Roman;serif" w:hAnsi="Times New Roman;serif"/>
          <w:b w:val="false"/>
          <w:color w:val="000000"/>
          <w:sz w:val="24"/>
          <w:u w:val="single"/>
        </w:rPr>
        <w:t>Claims</w:t>
      </w:r>
      <w:r>
        <w:rPr>
          <w:color w:val="000000"/>
        </w:rPr>
        <w:t>”</w:t>
      </w:r>
      <w:r>
        <w:rPr>
          <w:rFonts w:ascii="Times New Roman;serif" w:hAnsi="Times New Roman;serif"/>
          <w:b w:val="false"/>
          <w:color w:val="000000"/>
          <w:sz w:val="24"/>
        </w:rPr>
        <w:t xml:space="preserve">), which Executive now has or may hereafter have against the Releasees, or any of them, by reason of any matter, cause, or thing whatsoever from the beginning of time to the date hereof, including, without limiting the generality of the foregoing, any Claims arising out of, based upon, or relating to Executive’s hire, employment, remuneration or termination by the Releasees, or any of them, Claims arising under federal, state, or local laws relating to employment, Claims of any kind that may be brought in any court or administrative agency, including any Claims arising under Title VII of the Civil Rights Act of 1964, as amended, 42 U.S.C. § 2000, et seq.; Americans with Disabilities Act, as amended, 42 U.S.C. § 12101 et seq.; the Rehabilitation Act of 1973, as amended, 29 U.S.C. § 701 et seq.; the Age Discrimination in Employment Act, as amended, 29 U.S.C. § 621, et seq.; Civil Rights Act of 1866, and Civil Rights Act of 1991; 42 U.S.C. § 1981, et seq.; Equal Pay Act, as amended, 29 U.S.C. § 206(d); regulations of the Office of Federal Contract Compliance, 41 C.F.R. Section 60, et seq.; the Family and Medical Leave Act, as amended, 29 U.S.C. § 2601 et seq.; the Fair Labor Standards Act of 1938, as amended, 29 U.S.C. § 201 et seq.; the Employee Retirement Income Security Act, as amended, 29 U.S.C. § 1001 et seq.; the Worker Adjustment and Retraining Notification Act, as amended, 29 U.S.C. § 2101 et seq.; the Massachusetts Fair Employment Practices Act., the Massachusetts Civil Rights Act, the Massachusetts Equal Rights Act, the Massachusetts Equal Pay Act, the Massachusetts Labor and Industries Act, the Massachusetts Right of Privacy law, the Massachusetts Parental Leave Act, the Massachusetts Small Necessities Leave Act and any other federal, state or local laws of similar effect; the employment and civil rights laws of Massachusetts; Claims for breach of implied or express contract; Claims arising in tort, including, without limitation, Claims of wrongful dismissal or discharge, discrimination, harassment, retaliation, fraud, misrepresentation, defamation, libel, slander, infliction of emotional distress, violation of public policy, and/or breach of the implied covenant of good faith and fair dealing; and Claims for damages or other remedies of </w:t>
      </w:r>
    </w:p>
    <w:p>
      <w:pPr>
        <w:pStyle w:val="TextBody"/>
        <w:bidi w:val="0"/>
        <w:spacing w:before="0" w:after="0"/>
        <w:jc w:val="left"/>
      </w:p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60655"/>
                <wp:effectExtent l="0" t="0" r="0" b="0"/>
                <wp:wrapNone/>
                <wp:docPr id="85" name="Frame8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A-1</w:t>
                      </w:r>
                    </w:p>
                  </w:txbxContent>
                </v:textbox>
                <w10:wrap type="none"/>
              </v:rect>
            </w:pict>
          </mc:Fallback>
        </mc:AlternateContent>
      </w:r>
    </w:p>
    <w:p>
      <w:pPr>
        <w:pStyle w:val="TextBody"/>
        <w:bidi w:val="0"/>
        <w:spacing w:lineRule="auto" w:line="288" w:before="0" w:after="170"/>
        <w:jc w:val="left"/>
        <w:rPr>
          <w:rFonts w:ascii="Times New Roman;serif" w:hAnsi="Times New Roman;serif"/>
          <w:b w:val="false"/>
          <w:color w:val="000000"/>
          <w:sz w:val="24"/>
        </w:rPr>
      </w:pPr>
      <w:r>
        <w:rPr>
          <w:rFonts w:ascii="Times New Roman;serif" w:hAnsi="Times New Roman;serif"/>
          <w:b w:val="false"/>
          <w:color w:val="000000"/>
          <w:sz w:val="24"/>
        </w:rPr>
        <w:t>any sort, including, without limitation, compensatory damages, punitive damages, injunctive relief and attorney’s fees.</w:t>
      </w:r>
    </w:p>
    <w:p>
      <w:pPr>
        <w:pStyle w:val="TextBody"/>
        <w:bidi w:val="0"/>
        <w:spacing w:lineRule="auto" w:line="288" w:before="0" w:after="17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(b)Notwithstanding the generality of the foregoing, Executive does not release the following claims:</w:t>
      </w:r>
    </w:p>
    <w:p>
      <w:pPr>
        <w:pStyle w:val="TextBody"/>
        <w:bidi w:val="0"/>
        <w:spacing w:lineRule="auto" w:line="288" w:before="0" w:after="170"/>
        <w:ind w:left="0" w:right="0" w:firstLine="1440"/>
        <w:jc w:val="left"/>
      </w:pPr>
      <w:r>
        <w:rPr>
          <w:rFonts w:ascii="Times New Roman;serif" w:hAnsi="Times New Roman;serif"/>
          <w:b w:val="false"/>
          <w:color w:val="000000"/>
          <w:sz w:val="24"/>
        </w:rPr>
        <w:t>(i)Claims to enforce Executive’s rights under the Transition and Separation Agreement entered into between the Company and Executive on [</w:t>
      </w:r>
      <w:r>
        <w:rPr>
          <w:color w:val="000000"/>
          <w:u w:val="single"/>
        </w:rPr>
        <w:t>    </w:t>
      </w:r>
      <w:r>
        <w:rPr>
          <w:rFonts w:ascii="Times New Roman;serif" w:hAnsi="Times New Roman;serif"/>
          <w:b w:val="false"/>
          <w:color w:val="000000"/>
          <w:sz w:val="24"/>
        </w:rPr>
        <w:t>], 2026 (the “</w:t>
      </w:r>
      <w:r>
        <w:rPr>
          <w:rFonts w:ascii="Times New Roman;serif" w:hAnsi="Times New Roman;serif"/>
          <w:b w:val="false"/>
          <w:color w:val="000000"/>
          <w:sz w:val="24"/>
          <w:u w:val="single"/>
        </w:rPr>
        <w:t>Separation Agreement</w:t>
      </w:r>
      <w:r>
        <w:rPr>
          <w:color w:val="000000"/>
        </w:rPr>
        <w:t>”</w:t>
      </w:r>
      <w:r>
        <w:rPr>
          <w:rFonts w:ascii="Times New Roman;serif" w:hAnsi="Times New Roman;serif"/>
          <w:b w:val="false"/>
          <w:color w:val="000000"/>
          <w:sz w:val="24"/>
        </w:rPr>
        <w:t>).</w:t>
      </w:r>
    </w:p>
    <w:p>
      <w:pPr>
        <w:pStyle w:val="TextBody"/>
        <w:bidi w:val="0"/>
        <w:spacing w:lineRule="auto" w:line="288" w:before="0" w:after="17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(ii)Claims for unemployment compensation or any state disability insurance benefits pursuant to the terms of applicable state law;</w:t>
      </w:r>
    </w:p>
    <w:p>
      <w:pPr>
        <w:pStyle w:val="TextBody"/>
        <w:bidi w:val="0"/>
        <w:spacing w:lineRule="auto" w:line="288" w:before="0" w:after="17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(iii)Claims for workers’ compensation insurance benefits under the terms of any worker’s compensation insurance policy or fund of the Company;</w:t>
      </w:r>
    </w:p>
    <w:p>
      <w:pPr>
        <w:pStyle w:val="TextBody"/>
        <w:bidi w:val="0"/>
        <w:spacing w:lineRule="auto" w:line="288" w:before="0" w:after="17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(iv)Claims to continued participation in certain of the Company’s group benefit plans pursuant to the terms and conditions of COBRA;</w:t>
      </w:r>
    </w:p>
    <w:p>
      <w:pPr>
        <w:pStyle w:val="TextBody"/>
        <w:bidi w:val="0"/>
        <w:spacing w:lineRule="auto" w:line="288" w:before="0" w:after="17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(v)Claims to accrued but unpaid base salary, accrued but unpaid paid time off or any benefit entitlements vested as the date of Executive’s employment termination, pursuant to written terms of any Company or affiliate employee benefit plan, program or policy, including to vested stock options;</w:t>
      </w:r>
    </w:p>
    <w:p>
      <w:pPr>
        <w:pStyle w:val="TextBody"/>
        <w:bidi w:val="0"/>
        <w:spacing w:lineRule="auto" w:line="288" w:before="0" w:after="17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(vi)Claims for indemnification under any indemnification agreement, the Company’s Bylaws or other organizational documents, applicable directors’ and officers’ insurance coverage, or any other applicable law;</w:t>
      </w:r>
    </w:p>
    <w:p>
      <w:pPr>
        <w:pStyle w:val="TextBody"/>
        <w:bidi w:val="0"/>
        <w:spacing w:lineRule="auto" w:line="288" w:before="0" w:after="17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(vii)Executive’s right to enforce the terms of this Agreement; and</w:t>
      </w:r>
    </w:p>
    <w:p>
      <w:pPr>
        <w:pStyle w:val="TextBody"/>
        <w:bidi w:val="0"/>
        <w:spacing w:lineRule="auto" w:line="288" w:before="0" w:after="170"/>
        <w:ind w:left="0" w:right="0" w:firstLine="1440"/>
        <w:jc w:val="left"/>
      </w:pPr>
      <w:r>
        <w:rPr>
          <w:rFonts w:ascii="Times New Roman;serif" w:hAnsi="Times New Roman;serif"/>
          <w:b w:val="false"/>
          <w:color w:val="000000"/>
          <w:sz w:val="24"/>
        </w:rPr>
        <w:t xml:space="preserve">(viii)Executive’s right to bring to the attention of the Equal Employment Opportunity Commission claims of discrimination;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Executive does release Executive’s right to secure any damages for alleged discriminatory treatment.</w:t>
      </w:r>
    </w:p>
    <w:p>
      <w:pPr>
        <w:pStyle w:val="TextBody"/>
        <w:bidi w:val="0"/>
        <w:spacing w:lineRule="auto" w:line="288" w:before="0" w:after="170"/>
        <w:ind w:left="0" w:right="0" w:firstLine="1440"/>
        <w:jc w:val="left"/>
      </w:pPr>
      <w:r>
        <w:rPr>
          <w:rFonts w:ascii="Times New Roman;serif" w:hAnsi="Times New Roman;serif"/>
          <w:b w:val="false"/>
          <w:color w:val="000000"/>
          <w:sz w:val="24"/>
        </w:rPr>
        <w:t>(c)</w:t>
      </w:r>
      <w:r>
        <w:rPr>
          <w:rFonts w:ascii="Times New Roman;serif" w:hAnsi="Times New Roman;serif"/>
          <w:b w:val="false"/>
          <w:i/>
          <w:color w:val="000000"/>
          <w:sz w:val="24"/>
        </w:rPr>
        <w:t xml:space="preserve">Acknowledgement. </w:t>
      </w:r>
      <w:r>
        <w:rPr>
          <w:rFonts w:ascii="Times New Roman;serif" w:hAnsi="Times New Roman;serif"/>
          <w:b w:val="false"/>
          <w:color w:val="000000"/>
          <w:sz w:val="24"/>
        </w:rPr>
        <w:t>In accordance with the Older Workers Benefit Protection Act of 1990, Executive has been advised of the following:</w:t>
      </w:r>
    </w:p>
    <w:p>
      <w:pPr>
        <w:pStyle w:val="TextBody"/>
        <w:bidi w:val="0"/>
        <w:spacing w:lineRule="auto" w:line="288" w:before="0" w:after="17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(i)Executive should consult with an attorney before signing this Agreement;</w:t>
      </w:r>
    </w:p>
    <w:p>
      <w:pPr>
        <w:pStyle w:val="TextBody"/>
        <w:bidi w:val="0"/>
        <w:spacing w:lineRule="auto" w:line="288" w:before="0" w:after="17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(ii)Executive has been given at least twenty-one (21) days to consider this Agreement;</w:t>
      </w:r>
    </w:p>
    <w:p>
      <w:pPr>
        <w:pStyle w:val="TextBody"/>
        <w:bidi w:val="0"/>
        <w:spacing w:lineRule="auto" w:line="288" w:before="0" w:after="17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(iii)Executive has seven (7) days after signing this Agreement to revoke it. If Executive wishes to revoke this Agreement, Executive must deliver notice of Executive’s revocation in writing, no later than 5:00 p.m. on the 7th day following Executive’s execution of this Release to James P. Brady, CHRO, email: jbrady@ardelyx.com. Executive understands that if Executive revokes this Release, it will be null and void in its entirety, and Executive will not be entitled to any </w:t>
      </w:r>
    </w:p>
    <w:p>
      <w:pPr>
        <w:pStyle w:val="TextBody"/>
        <w:bidi w:val="0"/>
        <w:spacing w:before="0" w:after="0"/>
        <w:jc w:val="left"/>
      </w:p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60655"/>
                <wp:effectExtent l="0" t="0" r="0" b="0"/>
                <wp:wrapNone/>
                <wp:docPr id="86" name="Frame8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A-2</w:t>
                      </w:r>
                    </w:p>
                  </w:txbxContent>
                </v:textbox>
                <w10:wrap type="none"/>
              </v:rect>
            </w:pict>
          </mc:Fallback>
        </mc:AlternateContent>
      </w:r>
    </w:p>
    <w:p>
      <w:pPr>
        <w:pStyle w:val="TextBody"/>
        <w:bidi w:val="0"/>
        <w:spacing w:lineRule="auto" w:line="288" w:before="0" w:after="170"/>
        <w:jc w:val="left"/>
        <w:rPr>
          <w:rFonts w:ascii="Times New Roman;serif" w:hAnsi="Times New Roman;serif"/>
          <w:b w:val="false"/>
          <w:color w:val="000000"/>
          <w:sz w:val="24"/>
        </w:rPr>
      </w:pPr>
      <w:r>
        <w:rPr>
          <w:rFonts w:ascii="Times New Roman;serif" w:hAnsi="Times New Roman;serif"/>
          <w:b w:val="false"/>
          <w:color w:val="000000"/>
          <w:sz w:val="24"/>
        </w:rPr>
        <w:t>payments or benefits provided in the Separation Agreement, other than as provided in Section 2 thereof.</w:t>
      </w:r>
    </w:p>
    <w:p>
      <w:pPr>
        <w:pStyle w:val="TextBody"/>
        <w:bidi w:val="0"/>
        <w:spacing w:lineRule="auto" w:line="288" w:before="0" w:after="170"/>
        <w:ind w:left="0" w:right="0" w:firstLine="1440"/>
        <w:jc w:val="left"/>
      </w:pPr>
      <w:r>
        <w:rPr>
          <w:rFonts w:ascii="Times New Roman;serif" w:hAnsi="Times New Roman;serif"/>
          <w:b w:val="false"/>
          <w:color w:val="000000"/>
          <w:sz w:val="24"/>
        </w:rPr>
        <w:t>2.</w:t>
      </w:r>
      <w:r>
        <w:rPr>
          <w:rFonts w:ascii="Times New Roman;serif" w:hAnsi="Times New Roman;serif"/>
          <w:b w:val="false"/>
          <w:color w:val="000000"/>
          <w:sz w:val="24"/>
          <w:u w:val="single"/>
        </w:rPr>
        <w:t>Executive Representations</w:t>
      </w:r>
      <w:r>
        <w:rPr>
          <w:rFonts w:ascii="Times New Roman;serif" w:hAnsi="Times New Roman;serif"/>
          <w:b w:val="false"/>
          <w:color w:val="000000"/>
          <w:sz w:val="24"/>
        </w:rPr>
        <w:t>. Executive warrants and represents that (a) Executive has not filed or authorized the filing of any complaints, charges or lawsuits against the Company or any of its affiliates with any governmental agency or court, and that if, unbeknownst to Executive, such a complaint, charge or lawsuit has been filed on Executive’s behalf, Executive will immediately cause it to be withdrawn and dismissed, (b) Executive has been paid all compensation, wages, bonuses, commissions, and/or benefits to which Executive may be entitled and no other compensation, wages, bonuses, commissions and/or benefits are due to Executive, except as provided in Section 2 of the Separation Agreement, (c) Executive has no known workplace injuries or occupational diseases and has been provided and/or has not been denied any leave requested under the Family and Medical Leave Act or any similar state law, (d) the execution, delivery and performance of this Release by Executive does not and will not conflict with, breach, violate or cause a default under any agreement, contract or instrument to which Executive is a party or any judgment, order or decree to which Executive is subject, and (e) upon the execution and delivery of this Release by the Company and Executive, this Release will be a valid and binding obligation of Executive, enforceable in accordance with its terms.</w:t>
      </w:r>
    </w:p>
    <w:p>
      <w:pPr>
        <w:pStyle w:val="TextBody"/>
        <w:bidi w:val="0"/>
        <w:spacing w:lineRule="auto" w:line="288" w:before="0" w:after="170"/>
        <w:ind w:left="0" w:right="0" w:firstLine="1440"/>
        <w:jc w:val="left"/>
      </w:pPr>
      <w:r>
        <w:rPr>
          <w:rFonts w:ascii="Times New Roman;serif" w:hAnsi="Times New Roman;serif"/>
          <w:b w:val="false"/>
          <w:color w:val="000000"/>
          <w:sz w:val="24"/>
        </w:rPr>
        <w:t>3.</w:t>
      </w:r>
      <w:r>
        <w:rPr>
          <w:rFonts w:ascii="Times New Roman;serif" w:hAnsi="Times New Roman;serif"/>
          <w:b w:val="false"/>
          <w:color w:val="000000"/>
          <w:sz w:val="24"/>
          <w:u w:val="single"/>
        </w:rPr>
        <w:t>Maintaining Confidential Information</w:t>
      </w:r>
      <w:r>
        <w:rPr>
          <w:rFonts w:ascii="Times New Roman;serif" w:hAnsi="Times New Roman;serif"/>
          <w:b w:val="false"/>
          <w:color w:val="000000"/>
          <w:sz w:val="24"/>
        </w:rPr>
        <w:t>. Executive reaffirms Executive’s obligations under the Confidential Information Agreement (as defined in the Separation Agreement). Executive acknowledges and agrees that the payments and benefits provided in Section 3 of the Separation Agreement shall be subject to Executive’s continued compliance with Executive’s obligations under the Confidential Information Agreement.</w:t>
      </w:r>
    </w:p>
    <w:p>
      <w:pPr>
        <w:pStyle w:val="TextBody"/>
        <w:bidi w:val="0"/>
        <w:spacing w:lineRule="auto" w:line="288" w:before="0" w:after="170"/>
        <w:ind w:left="0" w:right="0" w:firstLine="1440"/>
        <w:jc w:val="left"/>
      </w:pPr>
      <w:r>
        <w:rPr>
          <w:rFonts w:ascii="Times New Roman;serif" w:hAnsi="Times New Roman;serif"/>
          <w:b w:val="false"/>
          <w:color w:val="000000"/>
          <w:sz w:val="24"/>
        </w:rPr>
        <w:t>4.</w:t>
      </w:r>
      <w:r>
        <w:rPr>
          <w:rFonts w:ascii="Times New Roman;serif" w:hAnsi="Times New Roman;serif"/>
          <w:b w:val="false"/>
          <w:color w:val="000000"/>
          <w:sz w:val="24"/>
          <w:u w:val="single"/>
        </w:rPr>
        <w:t>Cooperation With the Company</w:t>
      </w:r>
      <w:r>
        <w:rPr>
          <w:rFonts w:ascii="Times New Roman;serif" w:hAnsi="Times New Roman;serif"/>
          <w:b w:val="false"/>
          <w:color w:val="000000"/>
          <w:sz w:val="24"/>
        </w:rPr>
        <w:t>. Executive reaffirms Executive’s obligations to cooperate with the Company pursuant to Section 15 of the Separation Agreement.</w:t>
      </w:r>
    </w:p>
    <w:p>
      <w:pPr>
        <w:pStyle w:val="TextBody"/>
        <w:bidi w:val="0"/>
        <w:spacing w:lineRule="auto" w:line="288" w:before="0" w:after="170"/>
        <w:ind w:left="0" w:right="0" w:firstLine="1440"/>
        <w:jc w:val="left"/>
      </w:pPr>
      <w:r>
        <w:rPr>
          <w:rFonts w:ascii="Times New Roman;serif" w:hAnsi="Times New Roman;serif"/>
          <w:b w:val="false"/>
          <w:color w:val="000000"/>
          <w:sz w:val="24"/>
        </w:rPr>
        <w:t>5.</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provisions of this Release are severable. If any provision is held to be invalid or unenforceable, it shall not affect the validity or enforceability of any other provision.</w:t>
      </w:r>
    </w:p>
    <w:p>
      <w:pPr>
        <w:pStyle w:val="TextBody"/>
        <w:bidi w:val="0"/>
        <w:spacing w:lineRule="auto" w:line="288" w:before="0" w:after="170"/>
        <w:ind w:left="0" w:right="0" w:firstLine="1440"/>
        <w:jc w:val="left"/>
      </w:pPr>
      <w:r>
        <w:rPr>
          <w:rFonts w:ascii="Times New Roman;serif" w:hAnsi="Times New Roman;serif"/>
          <w:b w:val="false"/>
          <w:color w:val="000000"/>
          <w:sz w:val="24"/>
        </w:rPr>
        <w:t>6.</w:t>
      </w:r>
      <w:r>
        <w:rPr>
          <w:rFonts w:ascii="Times New Roman;serif" w:hAnsi="Times New Roman;serif"/>
          <w:b w:val="false"/>
          <w:color w:val="000000"/>
          <w:sz w:val="24"/>
          <w:u w:val="single"/>
        </w:rPr>
        <w:t>Choice of Law</w:t>
      </w:r>
      <w:r>
        <w:rPr>
          <w:rFonts w:ascii="Times New Roman;serif" w:hAnsi="Times New Roman;serif"/>
          <w:b w:val="false"/>
          <w:color w:val="000000"/>
          <w:sz w:val="24"/>
        </w:rPr>
        <w:t>. This Release shall in all respects be governed and construed in accordance with the laws of the Commonwealth of Massachusetts, including all matters of construction, validity and performance, without regard to conflicts of law principles.</w:t>
      </w:r>
    </w:p>
    <w:p>
      <w:pPr>
        <w:pStyle w:val="TextBody"/>
        <w:bidi w:val="0"/>
        <w:spacing w:lineRule="auto" w:line="288" w:before="0" w:after="170"/>
        <w:ind w:left="0" w:right="0" w:firstLine="1440"/>
        <w:jc w:val="left"/>
      </w:pPr>
      <w:r>
        <w:rPr>
          <w:rFonts w:ascii="Times New Roman;serif" w:hAnsi="Times New Roman;serif"/>
          <w:b w:val="false"/>
          <w:color w:val="000000"/>
          <w:sz w:val="24"/>
        </w:rPr>
        <w:t>7.</w:t>
      </w:r>
      <w:r>
        <w:rPr>
          <w:rFonts w:ascii="Times New Roman;serif" w:hAnsi="Times New Roman;serif"/>
          <w:b w:val="false"/>
          <w:color w:val="000000"/>
          <w:sz w:val="24"/>
          <w:u w:val="single"/>
        </w:rPr>
        <w:t>Integration Clause</w:t>
      </w:r>
      <w:r>
        <w:rPr>
          <w:rFonts w:ascii="Times New Roman;serif" w:hAnsi="Times New Roman;serif"/>
          <w:b w:val="false"/>
          <w:color w:val="000000"/>
          <w:sz w:val="24"/>
        </w:rPr>
        <w:t>. This Release and the Separation Agreement contain the parties’ entire agreement with regard to the transition and separation of Executive’s employment, and supersede and replace any prior agreements as to those matters, whether oral or written. This Release may not be changed or modified, in whole or in part, except by an instrument in writing signed by Executive and the Chief Executive Officer of the Company.</w:t>
      </w:r>
    </w:p>
    <w:p>
      <w:pPr>
        <w:pStyle w:val="TextBody"/>
        <w:bidi w:val="0"/>
        <w:spacing w:lineRule="auto" w:line="288" w:before="0" w:after="170"/>
        <w:ind w:left="0" w:right="0" w:firstLine="1440"/>
        <w:jc w:val="left"/>
      </w:pPr>
      <w:r>
        <w:rPr>
          <w:rFonts w:ascii="Times New Roman;serif" w:hAnsi="Times New Roman;serif"/>
          <w:b w:val="false"/>
          <w:color w:val="000000"/>
          <w:sz w:val="24"/>
        </w:rPr>
        <w:t>8.</w:t>
      </w:r>
      <w:r>
        <w:rPr>
          <w:rFonts w:ascii="Times New Roman;serif" w:hAnsi="Times New Roman;serif"/>
          <w:b w:val="false"/>
          <w:color w:val="000000"/>
          <w:sz w:val="24"/>
          <w:u w:val="single"/>
        </w:rPr>
        <w:t>Execution in Counterparts</w:t>
      </w:r>
      <w:r>
        <w:rPr>
          <w:rFonts w:ascii="Times New Roman;serif" w:hAnsi="Times New Roman;serif"/>
          <w:b w:val="false"/>
          <w:color w:val="000000"/>
          <w:sz w:val="24"/>
        </w:rPr>
        <w:t>. This Release may be executed in counterparts with the same force and effectiveness as though executed in a single document. Facsimile signatures shall have the same force and effectiveness as original signatures.</w:t>
      </w:r>
    </w:p>
    <w:p>
      <w:pPr>
        <w:pStyle w:val="TextBody"/>
        <w:bidi w:val="0"/>
        <w:spacing w:lineRule="auto" w:line="288" w:before="0" w:after="170"/>
        <w:ind w:left="0" w:right="0" w:firstLine="1440"/>
        <w:jc w:val="left"/>
      </w:pPr>
      <w:r>
        <w:rPr>
          <w:rFonts w:ascii="Times New Roman;serif" w:hAnsi="Times New Roman;serif"/>
          <w:b w:val="false"/>
          <w:color w:val="000000"/>
          <w:sz w:val="24"/>
        </w:rPr>
        <w:t>9.</w:t>
      </w:r>
      <w:r>
        <w:rPr>
          <w:rFonts w:ascii="Times New Roman;serif" w:hAnsi="Times New Roman;serif"/>
          <w:b w:val="false"/>
          <w:color w:val="000000"/>
          <w:sz w:val="24"/>
          <w:u w:val="single"/>
        </w:rPr>
        <w:t>Intent to be Bound</w:t>
      </w:r>
      <w:r>
        <w:rPr>
          <w:rFonts w:ascii="Times New Roman;serif" w:hAnsi="Times New Roman;serif"/>
          <w:b w:val="false"/>
          <w:color w:val="000000"/>
          <w:sz w:val="24"/>
        </w:rPr>
        <w:t>. The parties have carefully read this Release in its entirety; fully understand and agree to its terms and provisions; and intend and agree that it is final and binding on all parties.</w:t>
      </w:r>
    </w:p>
    <w:p>
      <w:pPr>
        <w:pStyle w:val="TextBody"/>
        <w:bidi w:val="0"/>
        <w:spacing w:lineRule="auto" w:line="288" w:before="0" w:after="170"/>
        <w:jc w:val="center"/>
      </w:pPr>
      <w:r>
        <w:rPr>
          <w:rFonts w:ascii="Times New Roman;serif" w:hAnsi="Times New Roman;serif"/>
          <w:b w:val="false"/>
          <w:color w:val="000000"/>
          <w:sz w:val="24"/>
        </w:rPr>
        <w:t>(</w:t>
      </w:r>
      <w:r>
        <w:rPr>
          <w:rFonts w:ascii="Times New Roman;serif" w:hAnsi="Times New Roman;serif"/>
          <w:b w:val="false"/>
          <w:i/>
          <w:color w:val="000000"/>
          <w:sz w:val="24"/>
        </w:rPr>
        <w:t>Signature page(s) follow</w:t>
      </w:r>
      <w:r>
        <w:rPr>
          <w:rFonts w:ascii="Times New Roman;serif" w:hAnsi="Times New Roman;serif"/>
          <w:b w:val="false"/>
          <w:color w:val="000000"/>
          <w:sz w:val="24"/>
        </w:rPr>
        <w:t>)</w:t>
      </w:r>
    </w:p>
    <w:p>
      <w:pPr>
        <w:pStyle w:val="TextBody"/>
        <w:bidi w:val="0"/>
        <w:spacing w:before="0" w:after="0"/>
        <w:jc w:val="left"/>
      </w:p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60655"/>
                <wp:effectExtent l="0" t="0" r="0" b="0"/>
                <wp:wrapNone/>
                <wp:docPr id="87" name="Frame8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A-3</w:t>
                      </w:r>
                    </w:p>
                  </w:txbxContent>
                </v:textbox>
                <w10:wrap type="none"/>
              </v:rect>
            </w:pict>
          </mc:Fallback>
        </mc:AlternateContent>
      </w:r>
    </w:p>
    <w:p>
      <w:pPr>
        <w:pStyle w:val="TextBody"/>
        <w:bidi w:val="0"/>
        <w:spacing w:lineRule="auto" w:line="288" w:before="0" w:after="18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WITNESS WHEREOF, the undersigned have caused this General Release of Claims to be duly executed and delivered as of the date indicated next to their respective signatures below.</w:t>
      </w:r>
    </w:p>
    <w:p>
      <w:pPr>
        <w:pStyle w:val="TextBody"/>
        <w:bidi w:val="0"/>
        <w:spacing w:before="0" w:after="0"/>
        <w:jc w:val="left"/>
      </w:pPr>
      <w:r/>
    </w:p>
    <w:p>
      <w:pPr>
        <w:pStyle w:val="TextBody"/>
        <w:bidi w:val="0"/>
        <w:spacing w:before="0" w:after="0"/>
        <w:jc w:val="left"/>
      </w:pPr>
      <w:r/>
    </w:p>
    <w:tbl>
      <w:tblPr>
        <w:tblW w:w="7585" w:type="dxa"/>
        <w:jc w:val="left"/>
        <w:tblInd w:w="0" w:type="dxa"/>
        <w:tblLayout w:type="fixed"/>
        <w:tblCellMar>
          <w:top w:w="28" w:type="dxa"/>
          <w:left w:w="28" w:type="dxa"/>
          <w:bottom w:w="28" w:type="dxa"/>
          <w:right w:w="28" w:type="dxa"/>
        </w:tblCellMar>
      </w:tblPr>
      <w:tblGrid>
        <w:gridCol w:w="369"/>
        <w:gridCol w:w="325"/>
        <w:gridCol w:w="326"/>
        <w:gridCol w:w="109"/>
        <w:gridCol w:w="109"/>
        <w:gridCol w:w="109"/>
        <w:gridCol w:w="243"/>
        <w:gridCol w:w="243"/>
        <w:gridCol w:w="248"/>
        <w:gridCol w:w="1611"/>
        <w:gridCol w:w="1611"/>
        <w:gridCol w:w="2282"/>
      </w:tblGrid>
      <w:tr>
        <w:tc>
          <w:tcPr>
            <w:tcW w:w="36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r>
      <w:t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TO BE SIGNED AFTER THE SEPARATION DATE</w:t>
            </w:r>
          </w:p>
        </w:tc>
      </w:tr>
      <w:t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Laura A. Williams, M.D., M.P.H.</w:t>
            </w:r>
          </w:p>
        </w:tc>
      </w:tr>
      <w:t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ARDELYX, INC.</w:t>
            </w:r>
          </w:p>
        </w:tc>
      </w:tr>
      <w:t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By:</w:t>
            </w:r>
          </w:p>
        </w:tc>
        <w:tc>
          <w:tcPr>
            <w:tcW w:w="5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TO BE SIGNED AFTER THE SEPARATION DATE</w:t>
            </w:r>
          </w:p>
        </w:tc>
      </w:tr>
      <w:t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Name:</w:t>
            </w:r>
          </w:p>
        </w:tc>
        <w:tc>
          <w:tcPr>
            <w:tcW w:w="5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Title:</w:t>
            </w:r>
          </w:p>
        </w:tc>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pPr>
      <w:r/>
    </w:p>
    <w:p>
      <w:pPr>
        <w:pStyle w:val="TextBody"/>
        <w:bidi w:val="0"/>
        <w:spacing w:before="0" w:after="200"/>
        <w:jc w:val="left"/>
      </w:pPr>
      <w:r/>
    </w:p>
    <w:p>
      <w:pPr>
        <w:pStyle w:val="TextBody"/>
        <w:bidi w:val="0"/>
        <w:spacing w:before="209" w:after="283"/>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8"/>
        <w:ind w:left="0" w:right="0" w:firstLine="710"/>
        <w:jc w:val="right"/>
      </w:p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60655"/>
                <wp:effectExtent l="0" t="0" r="0" b="0"/>
                <wp:wrapNone/>
                <wp:docPr id="88" name="Frame8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A-4</w:t>
                      </w:r>
                    </w:p>
                  </w:txbxContent>
                </v:textbox>
                <w10:wrap type="none"/>
              </v:rect>
            </w:pict>
          </mc:Fallback>
        </mc:AlternateContent>
      </w:r>
    </w:p>
    <w:p>
      <w:pPr>
        <w:pStyle w:val="TextBody"/>
        <w:bidi w:val="0"/>
        <w:spacing w:lineRule="auto" w:line="288" w:before="0" w:after="240"/>
        <w:ind w:left="0" w:right="0" w:hanging="10"/>
        <w:jc w:val="right"/>
        <w:rPr>
          <w:rFonts w:ascii="Times New Roman;serif" w:hAnsi="Times New Roman;serif"/>
          <w:b/>
          <w:color w:val="000000"/>
          <w:sz w:val="22"/>
        </w:rPr>
      </w:pPr>
      <w:r>
        <w:rPr>
          <w:rFonts w:ascii="Times New Roman;serif" w:hAnsi="Times New Roman;serif"/>
          <w:b/>
          <w:color w:val="000000"/>
          <w:sz w:val="22"/>
        </w:rPr>
        <w:t>Exhibit 19.1</w:t>
      </w:r>
    </w:p>
    <w:p>
      <w:pPr>
        <w:pStyle w:val="TextBody"/>
        <w:bidi w:val="0"/>
        <w:spacing w:before="0" w:after="0"/>
        <w:ind w:left="0" w:right="0" w:firstLine="710"/>
        <w:jc w:val="center"/>
      </w:pPr>
      <w:r/>
    </w:p>
    <w:p>
      <w:pPr>
        <w:pStyle w:val="TextBody"/>
        <w:bidi w:val="0"/>
        <w:spacing w:lineRule="auto" w:line="300" w:before="0" w:after="0"/>
        <w:ind w:left="0" w:right="0" w:hanging="10"/>
        <w:jc w:val="center"/>
        <w:rPr>
          <w:rFonts w:ascii="Times New Roman;serif" w:hAnsi="Times New Roman;serif"/>
          <w:b/>
          <w:color w:val="000000"/>
          <w:sz w:val="24"/>
        </w:rPr>
      </w:pPr>
      <w:r>
        <w:rPr>
          <w:rFonts w:ascii="Times New Roman;serif" w:hAnsi="Times New Roman;serif"/>
          <w:b/>
          <w:color w:val="000000"/>
          <w:sz w:val="24"/>
        </w:rPr>
        <w:t xml:space="preserve">ARDELYX, INC. </w:t>
      </w:r>
    </w:p>
    <w:p>
      <w:pPr>
        <w:pStyle w:val="TextBody"/>
        <w:bidi w:val="0"/>
        <w:spacing w:lineRule="auto" w:line="288" w:before="0" w:after="240"/>
        <w:ind w:left="0" w:right="0" w:hanging="10"/>
        <w:jc w:val="center"/>
        <w:rPr>
          <w:rFonts w:ascii="Times New Roman;serif" w:hAnsi="Times New Roman;serif"/>
          <w:b/>
          <w:color w:val="000000"/>
          <w:sz w:val="24"/>
        </w:rPr>
      </w:pPr>
      <w:r>
        <w:rPr>
          <w:rFonts w:ascii="Times New Roman;serif" w:hAnsi="Times New Roman;serif"/>
          <w:b/>
          <w:color w:val="000000"/>
          <w:sz w:val="24"/>
        </w:rPr>
        <w:t xml:space="preserve">INSIDER TRADING COMPLIANCE POLICY AND PROCEDURES </w:t>
      </w:r>
    </w:p>
    <w:p>
      <w:pPr>
        <w:pStyle w:val="TextBody"/>
        <w:bidi w:val="0"/>
        <w:spacing w:lineRule="auto" w:line="288" w:before="0" w:after="100"/>
        <w:ind w:left="0" w:right="0" w:hanging="10"/>
        <w:jc w:val="center"/>
        <w:rPr>
          <w:rFonts w:ascii="Times New Roman;serif" w:hAnsi="Times New Roman;serif"/>
          <w:b w:val="false"/>
          <w:color w:val="000000"/>
          <w:sz w:val="24"/>
        </w:rPr>
      </w:pPr>
      <w:r>
        <w:rPr>
          <w:rFonts w:ascii="Times New Roman;serif" w:hAnsi="Times New Roman;serif"/>
          <w:b w:val="false"/>
          <w:color w:val="000000"/>
          <w:sz w:val="24"/>
        </w:rPr>
        <w:t xml:space="preserve">(As amended on September 25, 2026) </w:t>
      </w:r>
    </w:p>
    <w:tbl>
      <w:tblPr>
        <w:tblW w:w="8113" w:type="dxa"/>
        <w:jc w:val="center"/>
        <w:tblInd w:w="0" w:type="dxa"/>
        <w:tblLayout w:type="fixed"/>
        <w:tblCellMar>
          <w:top w:w="28" w:type="dxa"/>
          <w:left w:w="28" w:type="dxa"/>
          <w:bottom w:w="28" w:type="dxa"/>
          <w:right w:w="28" w:type="dxa"/>
        </w:tblCellMar>
      </w:tblPr>
      <w:tblGrid>
        <w:gridCol w:w="494"/>
        <w:gridCol w:w="433"/>
        <w:gridCol w:w="438"/>
        <w:gridCol w:w="1944"/>
        <w:gridCol w:w="1944"/>
        <w:gridCol w:w="1961"/>
        <w:gridCol w:w="263"/>
        <w:gridCol w:w="263"/>
        <w:gridCol w:w="373"/>
      </w:tblGrid>
      <w:t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c>
          <w:tcPr>
            <w:tcW w:w="1365"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Section I</w:t>
            </w:r>
          </w:p>
        </w:tc>
        <w:tc>
          <w:tcPr>
            <w:tcW w:w="5849"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Summary</w:t>
            </w:r>
          </w:p>
        </w:tc>
        <w:tc>
          <w:tcPr>
            <w:tcW w:w="899" w:type="dxa"/>
            <w:gridSpan w:val="3"/>
            <w:tcBorders>
              <w:top w:val="single" w:sz="4" w:space="0" w:color="BFBFBF"/>
              <w:left w:val="single" w:sz="4" w:space="0" w:color="BFBFBF"/>
              <w:right w:val="single" w:sz="4" w:space="0" w:color="BFBFBF"/>
            </w:tcBorders>
            <w:tcMar>
              <w:top w:w="30" w:type="dxa"/>
              <w:bottom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1</w:t>
            </w:r>
          </w:p>
        </w:tc>
      </w:tr>
      <w:tr>
        <w:tc>
          <w:tcPr>
            <w:tcW w:w="1365" w:type="dxa"/>
            <w:gridSpan w:val="3"/>
            <w:tcBorders>
              <w:top w:val="single" w:sz="4" w:space="0" w:color="BFBFBF"/>
              <w:left w:val="single" w:sz="4" w:space="0" w:color="BFBFBF"/>
            </w:tcBorders>
            <w:shd w:fill="F2F2F2"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Section II</w:t>
            </w:r>
          </w:p>
        </w:tc>
        <w:tc>
          <w:tcPr>
            <w:tcW w:w="5849" w:type="dxa"/>
            <w:gridSpan w:val="3"/>
            <w:tcBorders>
              <w:top w:val="single" w:sz="4" w:space="0" w:color="BFBFBF"/>
              <w:left w:val="single" w:sz="4" w:space="0" w:color="BFBFBF"/>
            </w:tcBorders>
            <w:shd w:fill="F2F2F2"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Persons covered and administration of policy</w:t>
            </w:r>
          </w:p>
        </w:tc>
        <w:tc>
          <w:tcPr>
            <w:tcW w:w="899" w:type="dxa"/>
            <w:gridSpan w:val="3"/>
            <w:tcBorders>
              <w:top w:val="single" w:sz="4" w:space="0" w:color="BFBFBF"/>
              <w:left w:val="single" w:sz="4" w:space="0" w:color="BFBFBF"/>
              <w:right w:val="single" w:sz="4" w:space="0" w:color="BFBFBF"/>
            </w:tcBorders>
            <w:shd w:fill="F2F2F2" w:val="clear"/>
            <w:tcMar>
              <w:top w:w="30" w:type="dxa"/>
              <w:bottom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2</w:t>
            </w:r>
          </w:p>
        </w:tc>
      </w:tr>
      <w:tr>
        <w:tc>
          <w:tcPr>
            <w:tcW w:w="1365"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Section III</w:t>
            </w:r>
          </w:p>
        </w:tc>
        <w:tc>
          <w:tcPr>
            <w:tcW w:w="5849"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Policy statement</w:t>
            </w:r>
          </w:p>
        </w:tc>
        <w:tc>
          <w:tcPr>
            <w:tcW w:w="899" w:type="dxa"/>
            <w:gridSpan w:val="3"/>
            <w:tcBorders>
              <w:top w:val="single" w:sz="4" w:space="0" w:color="BFBFBF"/>
              <w:left w:val="single" w:sz="4" w:space="0" w:color="BFBFBF"/>
              <w:right w:val="single" w:sz="4" w:space="0" w:color="BFBFBF"/>
            </w:tcBorders>
            <w:tcMar>
              <w:top w:w="30" w:type="dxa"/>
              <w:bottom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2</w:t>
            </w:r>
          </w:p>
        </w:tc>
      </w:tr>
      <w:tr>
        <w:tc>
          <w:tcPr>
            <w:tcW w:w="1365" w:type="dxa"/>
            <w:gridSpan w:val="3"/>
            <w:tcBorders>
              <w:top w:val="single" w:sz="4" w:space="0" w:color="BFBFBF"/>
              <w:left w:val="single" w:sz="4" w:space="0" w:color="BFBFBF"/>
            </w:tcBorders>
            <w:shd w:fill="F2F2F2"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Section IV</w:t>
            </w:r>
          </w:p>
        </w:tc>
        <w:tc>
          <w:tcPr>
            <w:tcW w:w="5849" w:type="dxa"/>
            <w:gridSpan w:val="3"/>
            <w:tcBorders>
              <w:top w:val="single" w:sz="4" w:space="0" w:color="BFBFBF"/>
              <w:left w:val="single" w:sz="4" w:space="0" w:color="BFBFBF"/>
            </w:tcBorders>
            <w:shd w:fill="F2F2F2"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Blackout periods</w:t>
            </w:r>
          </w:p>
        </w:tc>
        <w:tc>
          <w:tcPr>
            <w:tcW w:w="899" w:type="dxa"/>
            <w:gridSpan w:val="3"/>
            <w:tcBorders>
              <w:top w:val="single" w:sz="4" w:space="0" w:color="BFBFBF"/>
              <w:left w:val="single" w:sz="4" w:space="0" w:color="BFBFBF"/>
              <w:right w:val="single" w:sz="4" w:space="0" w:color="BFBFBF"/>
            </w:tcBorders>
            <w:shd w:fill="F2F2F2" w:val="clear"/>
            <w:tcMar>
              <w:top w:w="30" w:type="dxa"/>
              <w:bottom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3</w:t>
            </w:r>
          </w:p>
        </w:tc>
      </w:tr>
      <w:tr>
        <w:tc>
          <w:tcPr>
            <w:tcW w:w="1365"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Section V</w:t>
            </w:r>
          </w:p>
        </w:tc>
        <w:tc>
          <w:tcPr>
            <w:tcW w:w="5849"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Preclearance of trades</w:t>
            </w:r>
          </w:p>
        </w:tc>
        <w:tc>
          <w:tcPr>
            <w:tcW w:w="899" w:type="dxa"/>
            <w:gridSpan w:val="3"/>
            <w:tcBorders>
              <w:top w:val="single" w:sz="4" w:space="0" w:color="BFBFBF"/>
              <w:left w:val="single" w:sz="4" w:space="0" w:color="BFBFBF"/>
              <w:right w:val="single" w:sz="4" w:space="0" w:color="BFBFBF"/>
            </w:tcBorders>
            <w:tcMar>
              <w:top w:w="30" w:type="dxa"/>
              <w:bottom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4</w:t>
            </w:r>
          </w:p>
        </w:tc>
      </w:tr>
      <w:tr>
        <w:tc>
          <w:tcPr>
            <w:tcW w:w="1365" w:type="dxa"/>
            <w:gridSpan w:val="3"/>
            <w:tcBorders>
              <w:top w:val="single" w:sz="4" w:space="0" w:color="BFBFBF"/>
              <w:left w:val="single" w:sz="4" w:space="0" w:color="BFBFBF"/>
            </w:tcBorders>
            <w:shd w:fill="F2F2F2"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Section VI</w:t>
            </w:r>
          </w:p>
        </w:tc>
        <w:tc>
          <w:tcPr>
            <w:tcW w:w="5849" w:type="dxa"/>
            <w:gridSpan w:val="3"/>
            <w:tcBorders>
              <w:top w:val="single" w:sz="4" w:space="0" w:color="BFBFBF"/>
              <w:left w:val="single" w:sz="4" w:space="0" w:color="BFBFBF"/>
            </w:tcBorders>
            <w:shd w:fill="F2F2F2"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Exempt transactions</w:t>
            </w:r>
          </w:p>
        </w:tc>
        <w:tc>
          <w:tcPr>
            <w:tcW w:w="899" w:type="dxa"/>
            <w:gridSpan w:val="3"/>
            <w:tcBorders>
              <w:top w:val="single" w:sz="4" w:space="0" w:color="BFBFBF"/>
              <w:left w:val="single" w:sz="4" w:space="0" w:color="BFBFBF"/>
              <w:right w:val="single" w:sz="4" w:space="0" w:color="BFBFBF"/>
            </w:tcBorders>
            <w:shd w:fill="F2F2F2" w:val="clear"/>
            <w:tcMar>
              <w:top w:w="30" w:type="dxa"/>
              <w:bottom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5</w:t>
            </w:r>
          </w:p>
        </w:tc>
      </w:tr>
      <w:tr>
        <w:tc>
          <w:tcPr>
            <w:tcW w:w="1365"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Section VII</w:t>
            </w:r>
          </w:p>
        </w:tc>
        <w:tc>
          <w:tcPr>
            <w:tcW w:w="5849"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Material non-public information</w:t>
            </w:r>
          </w:p>
        </w:tc>
        <w:tc>
          <w:tcPr>
            <w:tcW w:w="899" w:type="dxa"/>
            <w:gridSpan w:val="3"/>
            <w:tcBorders>
              <w:top w:val="single" w:sz="4" w:space="0" w:color="BFBFBF"/>
              <w:left w:val="single" w:sz="4" w:space="0" w:color="BFBFBF"/>
              <w:right w:val="single" w:sz="4" w:space="0" w:color="BFBFBF"/>
            </w:tcBorders>
            <w:tcMar>
              <w:top w:w="30" w:type="dxa"/>
              <w:bottom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6</w:t>
            </w:r>
          </w:p>
        </w:tc>
      </w:tr>
      <w:tr>
        <w:tc>
          <w:tcPr>
            <w:tcW w:w="1365" w:type="dxa"/>
            <w:gridSpan w:val="3"/>
            <w:tcBorders>
              <w:top w:val="single" w:sz="4" w:space="0" w:color="BFBFBF"/>
              <w:left w:val="single" w:sz="4" w:space="0" w:color="BFBFBF"/>
            </w:tcBorders>
            <w:shd w:fill="F2F2F2"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Section VIII</w:t>
            </w:r>
          </w:p>
        </w:tc>
        <w:tc>
          <w:tcPr>
            <w:tcW w:w="5849" w:type="dxa"/>
            <w:gridSpan w:val="3"/>
            <w:tcBorders>
              <w:top w:val="single" w:sz="4" w:space="0" w:color="BFBFBF"/>
              <w:left w:val="single" w:sz="4" w:space="0" w:color="BFBFBF"/>
            </w:tcBorders>
            <w:shd w:fill="F2F2F2"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Post-termination and prohibited transactions</w:t>
            </w:r>
          </w:p>
        </w:tc>
        <w:tc>
          <w:tcPr>
            <w:tcW w:w="899" w:type="dxa"/>
            <w:gridSpan w:val="3"/>
            <w:tcBorders>
              <w:top w:val="single" w:sz="4" w:space="0" w:color="BFBFBF"/>
              <w:left w:val="single" w:sz="4" w:space="0" w:color="BFBFBF"/>
              <w:right w:val="single" w:sz="4" w:space="0" w:color="BFBFBF"/>
            </w:tcBorders>
            <w:shd w:fill="F2F2F2" w:val="clear"/>
            <w:tcMar>
              <w:top w:w="30" w:type="dxa"/>
              <w:bottom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7</w:t>
            </w:r>
          </w:p>
        </w:tc>
      </w:tr>
      <w:tr>
        <w:tc>
          <w:tcPr>
            <w:tcW w:w="1365"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Section IX</w:t>
            </w:r>
          </w:p>
        </w:tc>
        <w:tc>
          <w:tcPr>
            <w:tcW w:w="5849" w:type="dxa"/>
            <w:gridSpan w:val="3"/>
            <w:tcBorders>
              <w:top w:val="single" w:sz="4" w:space="0" w:color="BFBFBF"/>
              <w:left w:val="single" w:sz="4" w:space="0" w:color="BFBFBF"/>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Rule 10b5-1 trading plans</w:t>
            </w:r>
          </w:p>
        </w:tc>
        <w:tc>
          <w:tcPr>
            <w:tcW w:w="899" w:type="dxa"/>
            <w:gridSpan w:val="3"/>
            <w:tcBorders>
              <w:top w:val="single" w:sz="4" w:space="0" w:color="BFBFBF"/>
              <w:left w:val="single" w:sz="4" w:space="0" w:color="BFBFBF"/>
              <w:right w:val="single" w:sz="4" w:space="0" w:color="BFBFBF"/>
            </w:tcBorders>
            <w:tcMar>
              <w:top w:w="30" w:type="dxa"/>
              <w:bottom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8</w:t>
            </w:r>
          </w:p>
        </w:tc>
      </w:tr>
      <w:tr>
        <w:tc>
          <w:tcPr>
            <w:tcW w:w="1365" w:type="dxa"/>
            <w:gridSpan w:val="3"/>
            <w:tcBorders>
              <w:top w:val="single" w:sz="4" w:space="0" w:color="BFBFBF"/>
              <w:left w:val="single" w:sz="4" w:space="0" w:color="BFBFBF"/>
            </w:tcBorders>
            <w:shd w:fill="F2F2F2"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Section X</w:t>
            </w:r>
          </w:p>
        </w:tc>
        <w:tc>
          <w:tcPr>
            <w:tcW w:w="5849" w:type="dxa"/>
            <w:gridSpan w:val="3"/>
            <w:tcBorders>
              <w:top w:val="single" w:sz="4" w:space="0" w:color="BFBFBF"/>
              <w:left w:val="single" w:sz="4" w:space="0" w:color="BFBFBF"/>
            </w:tcBorders>
            <w:shd w:fill="F2F2F2"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Interpretation, amendment, and implementation of this policy</w:t>
            </w:r>
          </w:p>
        </w:tc>
        <w:tc>
          <w:tcPr>
            <w:tcW w:w="899" w:type="dxa"/>
            <w:gridSpan w:val="3"/>
            <w:tcBorders>
              <w:top w:val="single" w:sz="4" w:space="0" w:color="BFBFBF"/>
              <w:left w:val="single" w:sz="4" w:space="0" w:color="BFBFBF"/>
              <w:right w:val="single" w:sz="4" w:space="0" w:color="BFBFBF"/>
            </w:tcBorders>
            <w:shd w:fill="F2F2F2" w:val="clear"/>
            <w:tcMar>
              <w:top w:w="30" w:type="dxa"/>
              <w:bottom w:w="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10</w:t>
            </w:r>
          </w:p>
        </w:tc>
      </w:tr>
      <w:tr>
        <w:tc>
          <w:tcPr>
            <w:tcW w:w="1365" w:type="dxa"/>
            <w:gridSpan w:val="3"/>
            <w:tcBorders>
              <w:top w:val="single" w:sz="4" w:space="0" w:color="BFBFBF"/>
              <w:left w:val="single" w:sz="4" w:space="0" w:color="BFBFBF"/>
              <w:bottom w:val="single" w:sz="4" w:space="0" w:color="BFBFBF"/>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Section XI</w:t>
            </w:r>
          </w:p>
        </w:tc>
        <w:tc>
          <w:tcPr>
            <w:tcW w:w="5849" w:type="dxa"/>
            <w:gridSpan w:val="3"/>
            <w:tcBorders>
              <w:top w:val="single" w:sz="4" w:space="0" w:color="BFBFBF"/>
              <w:left w:val="single" w:sz="4" w:space="0" w:color="BFBFBF"/>
              <w:bottom w:val="single" w:sz="4" w:space="0" w:color="BFBFBF"/>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Review and acknowledgement of this policy</w:t>
            </w:r>
          </w:p>
        </w:tc>
        <w:tc>
          <w:tcPr>
            <w:tcW w:w="899" w:type="dxa"/>
            <w:gridSpan w:val="3"/>
            <w:tcBorders>
              <w:top w:val="single" w:sz="4" w:space="0" w:color="BFBFBF"/>
              <w:left w:val="single" w:sz="4" w:space="0" w:color="BFBFBF"/>
              <w:bottom w:val="single" w:sz="4" w:space="0" w:color="BFBFBF"/>
              <w:right w:val="single" w:sz="4" w:space="0" w:color="BFBFBF"/>
            </w:tcBorders>
            <w:tcMar>
              <w:top w:w="30" w:type="dxa"/>
              <w:bottom w:w="30" w:type="dxa"/>
            </w:tcMar>
            <w:vAlign w:val="center"/>
          </w:tcPr>
          <w:p>
            <w:pPr>
              <w:pStyle w:val="TableContents"/>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page 10</w:t>
            </w:r>
          </w:p>
        </w:tc>
      </w:tr>
    </w:tbl>
    <w:p>
      <w:pPr>
        <w:pStyle w:val="TextBody"/>
        <w:bidi w:val="0"/>
        <w:spacing w:lineRule="auto" w:line="288" w:before="0" w:after="240"/>
        <w:jc w:val="left"/>
      </w:pPr>
      <w:r>
        <w:rPr>
          <w:rFonts w:ascii="Times New Roman;serif" w:hAnsi="Times New Roman;serif"/>
          <w:b/>
          <w:color w:val="000000"/>
          <w:sz w:val="24"/>
        </w:rPr>
        <w:t>I.</w:t>
      </w:r>
      <w:r>
        <w:rPr>
          <w:color w:val="000000"/>
        </w:rPr>
        <w:t>    </w:t>
      </w:r>
      <w:r>
        <w:rPr>
          <w:rFonts w:ascii="Times New Roman;serif" w:hAnsi="Times New Roman;serif"/>
          <w:b/>
          <w:color w:val="000000"/>
          <w:sz w:val="24"/>
        </w:rPr>
        <w:t>SUMMARY</w:t>
      </w:r>
    </w:p>
    <w:p>
      <w:pPr>
        <w:pStyle w:val="TextBody"/>
        <w:bidi w:val="0"/>
        <w:spacing w:lineRule="auto" w:line="288" w:before="0" w:after="240"/>
        <w:ind w:left="0" w:right="0" w:firstLine="720"/>
        <w:jc w:val="left"/>
      </w:pPr>
      <w:r>
        <w:rPr>
          <w:rFonts w:ascii="Times New Roman;serif" w:hAnsi="Times New Roman;serif"/>
          <w:b w:val="false"/>
          <w:color w:val="000000"/>
          <w:sz w:val="24"/>
        </w:rPr>
        <w:t>Preventing insider trading is necessary to comply with securities laws and to preserve the reputation and integrity of Ardelyx,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as well as that of all persons affiliated with the Company. “Insider trading” occurs when any person purchases or sells a security (e.g., stock) while in possession of “inside information” relating to the security. “Inside information” is information that is both “material” and “non-public.” Insider trading violates several laws, including civil and criminal laws. This Insider Trading Compliance Policy (this “</w:t>
      </w:r>
      <w:r>
        <w:rPr>
          <w:rFonts w:ascii="Times New Roman;serif" w:hAnsi="Times New Roman;serif"/>
          <w:b w:val="false"/>
          <w:color w:val="000000"/>
          <w:sz w:val="24"/>
          <w:u w:val="single"/>
        </w:rPr>
        <w:t>Policy</w:t>
      </w:r>
      <w:r>
        <w:rPr>
          <w:color w:val="000000"/>
        </w:rPr>
        <w:t>”</w:t>
      </w:r>
      <w:r>
        <w:rPr>
          <w:rFonts w:ascii="Times New Roman;serif" w:hAnsi="Times New Roman;serif"/>
          <w:b w:val="false"/>
          <w:color w:val="000000"/>
          <w:sz w:val="24"/>
        </w:rPr>
        <w:t>) is designed to facilitate compliance with those laws. The penalties for violating insider trading laws include imprisonment, disgorgement of profits, civil fines, and criminal fines. Insider trading is also prohibited by this Policy, and violation of this Policy may result in Company-imposed sanctions, including removal or dismissal for cause. The Company reserves the right to take disciplinary or other measure(s) it determines in its sole discretion to be appropriate in any particular situation, including disclosure of wrongdoing to governmental authorities.</w:t>
      </w:r>
    </w:p>
    <w:p>
      <w:pPr>
        <w:pStyle w:val="TextBody"/>
        <w:bidi w:val="0"/>
        <w:spacing w:before="0" w:after="248"/>
        <w:ind w:left="0" w:right="0" w:firstLine="710"/>
        <w:jc w:val="right"/>
      </w:p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929292"/>
                                <w:sz w:val="24"/>
                              </w:rPr>
                            </w:pPr>
                            <w:r>
                              <w:rPr>
                                <w:rFonts w:ascii="Times New Roman;serif" w:hAnsi="Times New Roman;serif"/>
                                <w:b w:val="false"/>
                                <w:color w:val="929292"/>
                                <w:sz w:val="24"/>
                              </w:rPr>
                              <w:t>Page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929292"/>
                          <w:sz w:val="24"/>
                        </w:rPr>
                      </w:pPr>
                      <w:r>
                        <w:rPr>
                          <w:rFonts w:ascii="Times New Roman;serif" w:hAnsi="Times New Roman;serif"/>
                          <w:b w:val="false"/>
                          <w:color w:val="929292"/>
                          <w:sz w:val="24"/>
                        </w:rPr>
                        <w:t>Page 1</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II.    PERSONS COVERED AND ADMINISTRATION OF POLICY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This Policy applies to all officers, directors and employees of the Company and extends to all activities within and outside an individual’s duties at the Company. For purposes of this Policy, “officers” refer to those individuals who meet the definition of “officer” under Section 16 of the Securities Exchange Act of 1934 (as amended, the “Exchange Act”). Individuals subject to this Policy are responsible for ensuring that family members and members of their household comply with this Policy. This Policy also applies to any entities controlled by individuals subject to this Policy, including any corporations, limited liability companies, partnerships or trusts, and transactions by these entities should be treated for the purposes of this Policy as if they were for the individual’s own account. For purposes of this Policy, “family members” include a spouse or life-partner, brothers, sisters, parents, in-laws, and children, whether such relationships are by blood or adoption, who share the same address as, or are financially dependent on, the officer, director, or employee subject to this policy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 may determine that this Policy applies to additional persons with access to material non-public information, such as contractors or consultants, listed under “Applicable Contractors and Consultants” (if any) on Schedule A or any other consultant otherwise designated as such by written notice from the Company’s Chief Legal Officer, together with family members, members of their households, and any other person designated above as being subject to this Policy and by the Company’s Chief Legal Officer are referred to collectively as “Covered Persons.”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Questions regarding this Policy should be directed to the Company’s Chief Legal Officer, who is responsible for the administration of this Policy. The Company’s Chief Financial Officer will administer this Policy as it applies to any trading activity by the Company’s Chief Legal Officer.</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III.    POLICY STATEMENT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Unless otherwise permitted by this Policy, no Covered Person shall:</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4"/>
        </w:rPr>
        <w:t>purchase, sell, gift, or otherwise transfer any type of security of the Company while in possession of material non-public information about the Company;</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4"/>
        </w:rPr>
        <w:t>purchase, sell, gift, or otherwise transfer any security of any other company, including a customer, supplier, business partner, or an economically-linked company, such as a competitor or peer company, while in possession of material non-public information obtained in connection with your employment by, or service to, the Company (to the extent there is a reasonable likelihood that such information would be considered important to an investor in making an investment decision in such other company);</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4"/>
        </w:rPr>
        <w:t>directly or indirectly communicate (or “tip”) material non-public information to anyone outside the Company unless in accordance with Company policy regarding confidential information; or</w:t>
      </w:r>
    </w:p>
    <w:p>
      <w:pPr>
        <w:pStyle w:val="TextBody"/>
        <w:bidi w:val="0"/>
        <w:spacing w:before="0" w:after="248"/>
        <w:ind w:left="0" w:right="0" w:firstLine="710"/>
        <w:jc w:val="right"/>
      </w:p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929292"/>
                                <w:sz w:val="24"/>
                              </w:rPr>
                            </w:pPr>
                            <w:r>
                              <w:rPr>
                                <w:rFonts w:ascii="Times New Roman;serif" w:hAnsi="Times New Roman;serif"/>
                                <w:b w:val="false"/>
                                <w:color w:val="929292"/>
                                <w:sz w:val="24"/>
                              </w:rPr>
                              <w:t>Page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929292"/>
                          <w:sz w:val="24"/>
                        </w:rPr>
                      </w:pPr>
                      <w:r>
                        <w:rPr>
                          <w:rFonts w:ascii="Times New Roman;serif" w:hAnsi="Times New Roman;serif"/>
                          <w:b w:val="false"/>
                          <w:color w:val="929292"/>
                          <w:sz w:val="24"/>
                        </w:rPr>
                        <w:t>Page 2</w:t>
                      </w:r>
                    </w:p>
                  </w:txbxContent>
                </v:textbox>
                <w10:wrap type="none"/>
              </v:rect>
            </w:pict>
          </mc:Fallback>
        </mc:AlternateConten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4"/>
        </w:rPr>
        <w:t>directly or indirectly communicate material non-public information to anyone within the Company except on a need-to-know basis.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For this purpose:</w:t>
      </w:r>
    </w:p>
    <w:p>
      <w:pPr>
        <w:pStyle w:val="TextBody"/>
        <w:bidi w:val="0"/>
        <w:spacing w:lineRule="auto" w:line="288" w:before="0" w:after="240"/>
        <w:ind w:left="0" w:right="0" w:firstLine="720"/>
        <w:jc w:val="left"/>
      </w:pPr>
      <w:r>
        <w:rPr>
          <w:color w:val="000000"/>
        </w:rPr>
        <w:t>“</w:t>
      </w:r>
      <w:r>
        <w:rPr>
          <w:rFonts w:ascii="Times New Roman;serif" w:hAnsi="Times New Roman;serif"/>
          <w:b w:val="false"/>
          <w:i/>
          <w:color w:val="000000"/>
          <w:sz w:val="24"/>
          <w:u w:val="single"/>
        </w:rPr>
        <w:t>Securities</w:t>
      </w:r>
      <w:r>
        <w:rPr>
          <w:color w:val="000000"/>
        </w:rPr>
        <w:t xml:space="preserve">” </w:t>
      </w:r>
      <w:r>
        <w:rPr>
          <w:rFonts w:ascii="Times New Roman;serif" w:hAnsi="Times New Roman;serif"/>
          <w:b w:val="false"/>
          <w:color w:val="000000"/>
          <w:sz w:val="24"/>
        </w:rPr>
        <w:t>includes stocks, bonds, notes, debentures, options, warrants, equity and other convertible securities, as well as derivative instruments.</w:t>
      </w:r>
    </w:p>
    <w:p>
      <w:pPr>
        <w:pStyle w:val="TextBody"/>
        <w:bidi w:val="0"/>
        <w:spacing w:lineRule="auto" w:line="288" w:before="0" w:after="240"/>
        <w:ind w:left="0" w:right="0" w:firstLine="720"/>
        <w:jc w:val="left"/>
      </w:pPr>
      <w:r>
        <w:rPr>
          <w:color w:val="000000"/>
        </w:rPr>
        <w:t>“</w:t>
      </w:r>
      <w:r>
        <w:rPr>
          <w:rFonts w:ascii="Times New Roman;serif" w:hAnsi="Times New Roman;serif"/>
          <w:b w:val="false"/>
          <w:i/>
          <w:color w:val="000000"/>
          <w:sz w:val="24"/>
          <w:u w:val="single"/>
        </w:rPr>
        <w:t>Purchase</w:t>
      </w:r>
      <w:r>
        <w:rPr>
          <w:color w:val="000000"/>
        </w:rPr>
        <w:t xml:space="preserve">” </w:t>
      </w:r>
      <w:r>
        <w:rPr>
          <w:rFonts w:ascii="Times New Roman;serif" w:hAnsi="Times New Roman;serif"/>
          <w:b w:val="false"/>
          <w:color w:val="000000"/>
          <w:sz w:val="24"/>
        </w:rPr>
        <w:t xml:space="preserve">and </w:t>
      </w:r>
      <w:r>
        <w:rPr>
          <w:color w:val="000000"/>
        </w:rPr>
        <w:t>“</w:t>
      </w:r>
      <w:r>
        <w:rPr>
          <w:rFonts w:ascii="Times New Roman;serif" w:hAnsi="Times New Roman;serif"/>
          <w:b w:val="false"/>
          <w:i/>
          <w:color w:val="000000"/>
          <w:sz w:val="24"/>
          <w:u w:val="single"/>
        </w:rPr>
        <w:t>sale</w:t>
      </w:r>
      <w:r>
        <w:rPr>
          <w:color w:val="000000"/>
        </w:rPr>
        <w:t xml:space="preserve">” </w:t>
      </w:r>
      <w:r>
        <w:rPr>
          <w:rFonts w:ascii="Times New Roman;serif" w:hAnsi="Times New Roman;serif"/>
          <w:b w:val="false"/>
          <w:color w:val="000000"/>
          <w:sz w:val="24"/>
        </w:rPr>
        <w:t xml:space="preserve">are defined broadly under the federal securities laws. </w:t>
      </w:r>
      <w:r>
        <w:rPr>
          <w:color w:val="000000"/>
        </w:rPr>
        <w:t>“</w:t>
      </w:r>
      <w:r>
        <w:rPr>
          <w:rFonts w:ascii="Times New Roman;serif" w:hAnsi="Times New Roman;serif"/>
          <w:b w:val="false"/>
          <w:i/>
          <w:color w:val="000000"/>
          <w:sz w:val="24"/>
        </w:rPr>
        <w:t>Purchase”</w:t>
      </w:r>
      <w:r>
        <w:rPr>
          <w:color w:val="000000"/>
        </w:rPr>
        <w:t xml:space="preserve"> </w:t>
      </w:r>
      <w:r>
        <w:rPr>
          <w:rFonts w:ascii="Times New Roman;serif" w:hAnsi="Times New Roman;serif"/>
          <w:b w:val="false"/>
          <w:color w:val="000000"/>
          <w:sz w:val="24"/>
        </w:rPr>
        <w:t xml:space="preserve">includes not only the actual purchase of a security, but also any contract to purchase or otherwise acquire a security. </w:t>
      </w:r>
      <w:r>
        <w:rPr>
          <w:color w:val="000000"/>
        </w:rPr>
        <w:t>“</w:t>
      </w:r>
      <w:r>
        <w:rPr>
          <w:rFonts w:ascii="Times New Roman;serif" w:hAnsi="Times New Roman;serif"/>
          <w:b w:val="false"/>
          <w:i/>
          <w:color w:val="000000"/>
          <w:sz w:val="24"/>
        </w:rPr>
        <w:t>Sale”</w:t>
      </w:r>
      <w:r>
        <w:rPr>
          <w:color w:val="000000"/>
        </w:rPr>
        <w:t xml:space="preserve"> </w:t>
      </w:r>
      <w:r>
        <w:rPr>
          <w:rFonts w:ascii="Times New Roman;serif" w:hAnsi="Times New Roman;serif"/>
          <w:b w:val="false"/>
          <w:color w:val="000000"/>
          <w:sz w:val="24"/>
        </w:rPr>
        <w:t>includes not only the actual sale of a security, but also any contract to sell or otherwise dispose of a security. These definitions extend to a broad range of transactions, including conventional cash-for-stock transactions, conversions, the exercise of stock options or warrants, puts, calls, pledging and margin loans, or other derivative securities.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laws and regulations concerning insider trading are complex, and Covered Persons are encouraged to seek guidance from the Chief Legal Officer prior to considering a transaction in Company securities.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IV.    BLACKOUT PERIODS</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Quarterly Blackout Periods</w:t>
      </w:r>
    </w:p>
    <w:p>
      <w:pPr>
        <w:pStyle w:val="TextBody"/>
        <w:bidi w:val="0"/>
        <w:spacing w:lineRule="auto" w:line="288" w:before="0" w:after="240"/>
        <w:ind w:left="0" w:right="0" w:firstLine="720"/>
        <w:jc w:val="left"/>
      </w:pPr>
      <w:r>
        <w:rPr>
          <w:rFonts w:ascii="Times New Roman;serif" w:hAnsi="Times New Roman;serif"/>
          <w:b w:val="false"/>
          <w:color w:val="000000"/>
          <w:sz w:val="24"/>
        </w:rPr>
        <w:t xml:space="preserve">The Chief Legal Officer will designate a list of persons on </w:t>
      </w:r>
      <w:r>
        <w:rPr>
          <w:rFonts w:ascii="Times New Roman;serif" w:hAnsi="Times New Roman;serif"/>
          <w:b w:val="false"/>
          <w:color w:val="000000"/>
          <w:sz w:val="24"/>
          <w:u w:val="single"/>
        </w:rPr>
        <w:t>Schedule B</w:t>
      </w:r>
      <w:r>
        <w:rPr>
          <w:rFonts w:ascii="Times New Roman;serif" w:hAnsi="Times New Roman;serif"/>
          <w:b w:val="false"/>
          <w:color w:val="000000"/>
          <w:sz w:val="24"/>
        </w:rPr>
        <w:t>, as it may be revised by the Chief Legal Officer, or his or her designee, in each of his or her reasonable discretion, who (together with their controlled entities, family members, and household members) must not purchase, sell, gift or otherwise transfer any security of the Company during any blackout period, except as otherwise permitted by this Policy.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quarterly blackout period:</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4"/>
        </w:rPr>
        <w:t>begins on the tenth (10th) calendar day before the end of any fiscal quarter of the Company and</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4"/>
        </w:rPr>
        <w:t>ends one full trading day after the public release of earnings data for such fiscal quarter.</w:t>
      </w:r>
    </w:p>
    <w:p>
      <w:pPr>
        <w:pStyle w:val="TextBody"/>
        <w:bidi w:val="0"/>
        <w:spacing w:lineRule="auto" w:line="288" w:before="0" w:after="240"/>
        <w:ind w:left="0" w:right="0" w:firstLine="720"/>
        <w:jc w:val="left"/>
      </w:pPr>
      <w:r>
        <w:rPr>
          <w:rFonts w:ascii="Times New Roman;serif" w:hAnsi="Times New Roman;serif"/>
          <w:b w:val="false"/>
          <w:color w:val="000000"/>
          <w:sz w:val="24"/>
        </w:rPr>
        <w:t>For the purposes of this Policy, a “</w:t>
      </w:r>
      <w:r>
        <w:rPr>
          <w:rFonts w:ascii="Times New Roman;serif" w:hAnsi="Times New Roman;serif"/>
          <w:b w:val="false"/>
          <w:color w:val="000000"/>
          <w:sz w:val="24"/>
          <w:u w:val="single"/>
        </w:rPr>
        <w:t>trading day</w:t>
      </w:r>
      <w:r>
        <w:rPr>
          <w:color w:val="000000"/>
        </w:rPr>
        <w:t xml:space="preserve">” </w:t>
      </w:r>
      <w:r>
        <w:rPr>
          <w:rFonts w:ascii="Times New Roman;serif" w:hAnsi="Times New Roman;serif"/>
          <w:b w:val="false"/>
          <w:color w:val="000000"/>
          <w:sz w:val="24"/>
        </w:rPr>
        <w:t>is a day on which U.S. national stock exchanges are open for trading. If, for example, the Company were to make an announcement on Monday prior to 9:30 a.m. Eastern Time, then the blackout period would terminate after the close of trading on Monday. If an announcement were made on Monday after 9:30 a.m. Eastern Time, then the blackout period would terminate after the close of trading on Tuesday. If you have any question as to whether information is publicly available, please direct an inquiry to the Chief Legal Officer.</w:t>
      </w:r>
    </w:p>
    <w:p>
      <w:pPr>
        <w:pStyle w:val="TextBody"/>
        <w:bidi w:val="0"/>
        <w:spacing w:before="0" w:after="248"/>
        <w:ind w:left="0" w:right="0" w:firstLine="710"/>
        <w:jc w:val="right"/>
      </w:p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929292"/>
                                <w:sz w:val="24"/>
                              </w:rPr>
                            </w:pPr>
                            <w:r>
                              <w:rPr>
                                <w:rFonts w:ascii="Times New Roman;serif" w:hAnsi="Times New Roman;serif"/>
                                <w:b w:val="false"/>
                                <w:color w:val="929292"/>
                                <w:sz w:val="24"/>
                              </w:rPr>
                              <w:t>Page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929292"/>
                          <w:sz w:val="24"/>
                        </w:rPr>
                      </w:pPr>
                      <w:r>
                        <w:rPr>
                          <w:rFonts w:ascii="Times New Roman;serif" w:hAnsi="Times New Roman;serif"/>
                          <w:b w:val="false"/>
                          <w:color w:val="929292"/>
                          <w:sz w:val="24"/>
                        </w:rPr>
                        <w:t>Page 3</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Additional Blackout Periods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From time to time, the Chief Legal Officer may determine that an additional blackout period is appropriate. Persons subject to an additional blackout period must not purchase, sell, gift or otherwise transfer any security of the Company, except as otherwise permitted by this Policy, and must not disclose to others that an additional blackout period is in effect.</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V.    PRECLEARANCE OF TRADES</w:t>
      </w:r>
    </w:p>
    <w:p>
      <w:pPr>
        <w:pStyle w:val="TextBody"/>
        <w:bidi w:val="0"/>
        <w:spacing w:lineRule="auto" w:line="288" w:before="0" w:after="240"/>
        <w:ind w:left="0" w:right="0" w:firstLine="720"/>
        <w:jc w:val="left"/>
      </w:pPr>
      <w:r>
        <w:rPr>
          <w:rFonts w:ascii="Times New Roman;serif" w:hAnsi="Times New Roman;serif"/>
          <w:b w:val="false"/>
          <w:color w:val="000000"/>
          <w:sz w:val="24"/>
        </w:rPr>
        <w:t xml:space="preserve">All transactions in the Company’s securities (including without limitation, acquisitions and dispositions of Company stock, the “cashless exercise” of stock options and the sale of Company stock issued upon exercise of stock options) by all directors and officers and those employees and consultants (if any) listed on </w:t>
      </w:r>
      <w:r>
        <w:rPr>
          <w:rFonts w:ascii="Times New Roman;serif" w:hAnsi="Times New Roman;serif"/>
          <w:b w:val="false"/>
          <w:color w:val="000000"/>
          <w:sz w:val="24"/>
          <w:u w:val="single"/>
        </w:rPr>
        <w:t>Schedule C</w:t>
      </w:r>
      <w:r>
        <w:rPr>
          <w:rFonts w:ascii="Times New Roman;serif" w:hAnsi="Times New Roman;serif"/>
          <w:b w:val="false"/>
          <w:color w:val="000000"/>
          <w:sz w:val="24"/>
        </w:rPr>
        <w:t>, as it may be revised by the Chief Legal Officer, or his or her designee, in each of his or her reasonable discretion (together with their controlled entities, family members, and household members, each, a “</w:t>
      </w:r>
      <w:r>
        <w:rPr>
          <w:rFonts w:ascii="Times New Roman;serif" w:hAnsi="Times New Roman;serif"/>
          <w:b w:val="false"/>
          <w:color w:val="000000"/>
          <w:sz w:val="24"/>
          <w:u w:val="single"/>
        </w:rPr>
        <w:t>Preclearance Person</w:t>
      </w:r>
      <w:r>
        <w:rPr>
          <w:color w:val="000000"/>
        </w:rPr>
        <w:t>”</w:t>
      </w:r>
      <w:r>
        <w:rPr>
          <w:rFonts w:ascii="Times New Roman;serif" w:hAnsi="Times New Roman;serif"/>
          <w:b w:val="false"/>
          <w:color w:val="000000"/>
          <w:sz w:val="24"/>
        </w:rPr>
        <w:t>) must be precleared by the Chief Legal Officer, or his or her designee (except that trading activity by the Chief Legal Officer must be precleared by the Chief Financial Officer), by emailing preclearance@ardelyx.com.</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request for pre-clearance must be in writing, should be made at least two business days in advance of the proposed transaction, and should include the identity of the Preclearance Person, a description of the proposed transaction, the proposed date of the transaction, and the number of shares or other securities involved. In addition, the Preclearance Person must confirm in writing that he or she is not aware of material nonpublic information about the Company. The Chief Legal Officer, or his or her designee, shall have sole discretion to decide whether to clear any contemplated transaction, except that the Chief Financial Officer shall have sole discretion to decide whether to clear any contemplated transaction by the Chief Legal Officer. Preclearance approval will remain valid for five business days after it is granted. If the transaction is not effected within that period, renewed approval must be obtained before the transaction may be effected. Notwithstanding receipt of preclearance, if the Preclearance Person becomes aware of material nonpublic information, or becomes subject to a blackout period before the transaction is effected, the transaction may not be completed.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Preclearance should not be understood to represent legal advice by the Company that a proposed transaction complies with the law and preclearance does not relieve anyone of their responsibility under the rules of the Securities and Exchange Commission (the “SEC”). None of the Company, the Chief Legal Officer, or the Company’s other employees will have any liability for any delay in reviewing, or refusal of, a request for preclearance.</w:t>
      </w:r>
    </w:p>
    <w:p>
      <w:pPr>
        <w:pStyle w:val="TextBody"/>
        <w:bidi w:val="0"/>
        <w:spacing w:before="0" w:after="248"/>
        <w:ind w:left="0" w:right="0" w:firstLine="710"/>
        <w:jc w:val="right"/>
      </w:p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929292"/>
                                <w:sz w:val="24"/>
                              </w:rPr>
                            </w:pPr>
                            <w:r>
                              <w:rPr>
                                <w:rFonts w:ascii="Times New Roman;serif" w:hAnsi="Times New Roman;serif"/>
                                <w:b w:val="false"/>
                                <w:color w:val="929292"/>
                                <w:sz w:val="24"/>
                              </w:rPr>
                              <w:t>Page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929292"/>
                          <w:sz w:val="24"/>
                        </w:rPr>
                      </w:pPr>
                      <w:r>
                        <w:rPr>
                          <w:rFonts w:ascii="Times New Roman;serif" w:hAnsi="Times New Roman;serif"/>
                          <w:b w:val="false"/>
                          <w:color w:val="929292"/>
                          <w:sz w:val="24"/>
                        </w:rPr>
                        <w:t>Page 4</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 xml:space="preserve">VI.    EXEMPT TRANSACTIONS </w:t>
      </w:r>
    </w:p>
    <w:p>
      <w:pPr>
        <w:pStyle w:val="TextBody"/>
        <w:bidi w:val="0"/>
        <w:spacing w:lineRule="auto" w:line="288" w:before="0" w:after="240"/>
        <w:ind w:left="0" w:right="0" w:firstLine="720"/>
        <w:jc w:val="left"/>
      </w:pPr>
      <w:r>
        <w:rPr>
          <w:rFonts w:ascii="Times New Roman;serif" w:hAnsi="Times New Roman;serif"/>
          <w:b w:val="false"/>
          <w:color w:val="000000"/>
          <w:sz w:val="24"/>
        </w:rPr>
        <w:t xml:space="preserve">The prohibitions set forth in </w:t>
      </w:r>
      <w:r>
        <w:rPr>
          <w:rFonts w:ascii="Times New Roman;serif" w:hAnsi="Times New Roman;serif"/>
          <w:b w:val="false"/>
          <w:color w:val="000000"/>
          <w:sz w:val="24"/>
          <w:u w:val="single"/>
        </w:rPr>
        <w:t>Section IV</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V</w:t>
      </w:r>
      <w:r>
        <w:rPr>
          <w:color w:val="000000"/>
        </w:rPr>
        <w:t xml:space="preserve"> </w:t>
      </w:r>
      <w:r>
        <w:rPr>
          <w:rFonts w:ascii="Times New Roman;serif" w:hAnsi="Times New Roman;serif"/>
          <w:b w:val="false"/>
          <w:color w:val="000000"/>
          <w:sz w:val="24"/>
        </w:rPr>
        <w:t xml:space="preserve">do not apply to: </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4"/>
        </w:rPr>
        <w:t>purchases of the Company’s securities from the Company or sales of the Company’s securities to the Company, or the surrender to or withholding by the Company of the Company’s securities (</w:t>
      </w:r>
      <w:r>
        <w:rPr>
          <w:rFonts w:ascii="Times New Roman;serif" w:hAnsi="Times New Roman;serif"/>
          <w:b w:val="false"/>
          <w:i/>
          <w:color w:val="000000"/>
          <w:sz w:val="24"/>
        </w:rPr>
        <w:t>e.g.</w:t>
      </w:r>
      <w:r>
        <w:rPr>
          <w:rFonts w:ascii="Times New Roman;serif" w:hAnsi="Times New Roman;serif"/>
          <w:b w:val="false"/>
          <w:color w:val="000000"/>
          <w:sz w:val="24"/>
        </w:rPr>
        <w:t>, to cover withholding obligations upon the vesting or settlement of equity-based awards);</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4"/>
        </w:rPr>
        <w:t xml:space="preserve">exercises of stock options or other equity awards or vesting of equity-based awards that do not involve a market sale of the Company’s securities (note that the “cashless exercise” of a Company stock option or other equity award through a broker </w:t>
      </w:r>
      <w:r>
        <w:rPr>
          <w:rFonts w:ascii="Times New Roman;serif" w:hAnsi="Times New Roman;serif"/>
          <w:b w:val="false"/>
          <w:color w:val="000000"/>
          <w:sz w:val="24"/>
          <w:u w:val="single"/>
        </w:rPr>
        <w:t>does</w:t>
      </w:r>
      <w:r>
        <w:rPr>
          <w:color w:val="000000"/>
        </w:rPr>
        <w:t xml:space="preserve"> </w:t>
      </w:r>
      <w:r>
        <w:rPr>
          <w:rFonts w:ascii="Times New Roman;serif" w:hAnsi="Times New Roman;serif"/>
          <w:b w:val="false"/>
          <w:color w:val="000000"/>
          <w:sz w:val="24"/>
        </w:rPr>
        <w:t>involve a market sale of the Company’s securities, and therefore would not qualify under this exception);</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4"/>
        </w:rPr>
        <w:t>initial elections to participate in the Company’s Employee Stock Purchase Plan (“</w:t>
      </w:r>
      <w:r>
        <w:rPr>
          <w:rFonts w:ascii="Times New Roman;serif" w:hAnsi="Times New Roman;serif"/>
          <w:b w:val="false"/>
          <w:color w:val="000000"/>
          <w:sz w:val="24"/>
          <w:u w:val="single"/>
        </w:rPr>
        <w:t>ESPP</w:t>
      </w:r>
      <w:r>
        <w:rPr>
          <w:color w:val="000000"/>
        </w:rPr>
        <w:t>”</w:t>
      </w:r>
      <w:r>
        <w:rPr>
          <w:rFonts w:ascii="Times New Roman;serif" w:hAnsi="Times New Roman;serif"/>
          <w:b w:val="false"/>
          <w:color w:val="000000"/>
          <w:sz w:val="24"/>
        </w:rPr>
        <w:t>), subsequent elections to change the contribution amount under the ESPP, or purchases made pursuant to and in accordance with the ESPP;</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4"/>
        </w:rPr>
        <w:t>gift transactions for family or estate planning purposes, where securities are gifted to a person or entity subject to this Policy, except that gift transactions involving Company securities are subject to pre-clearance;</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4"/>
        </w:rPr>
        <w:t>sell-to-cover” transactions pursuant to a non-discretionary policy adopted by the Company that is intended to facilitate the payment of withholding taxes associated with vesting of equity awards (other than stock options); or</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4"/>
        </w:rPr>
        <w:t>purchases or sales of the Company’s securities made pursuant to a plan adopted to comply with Exchange Act Rule 10b5-1 (“</w:t>
      </w:r>
      <w:r>
        <w:rPr>
          <w:rFonts w:ascii="Times New Roman;serif" w:hAnsi="Times New Roman;serif"/>
          <w:b w:val="false"/>
          <w:color w:val="000000"/>
          <w:sz w:val="24"/>
          <w:u w:val="single"/>
        </w:rPr>
        <w:t>Rule 10b5-1</w:t>
      </w:r>
      <w:r>
        <w:rPr>
          <w:color w:val="000000"/>
        </w:rPr>
        <w:t>”</w:t>
      </w:r>
      <w:r>
        <w:rPr>
          <w:rFonts w:ascii="Times New Roman;serif" w:hAnsi="Times New Roman;serif"/>
          <w:b w:val="false"/>
          <w:color w:val="000000"/>
          <w:sz w:val="24"/>
        </w:rPr>
        <w:t xml:space="preserve">) and which plan (i) was precleared in advance pursuant to this Policy and (ii) has not been amended or modified in any respect after such initial preclearance without such amendment or modification being precleared in advance pursuant to this Policy. For more information about Rule 10b5-1 trading plans, see </w:t>
      </w:r>
      <w:r>
        <w:rPr>
          <w:rFonts w:ascii="Times New Roman;serif" w:hAnsi="Times New Roman;serif"/>
          <w:b w:val="false"/>
          <w:color w:val="000000"/>
          <w:sz w:val="24"/>
          <w:u w:val="single"/>
        </w:rPr>
        <w:t>Section IX</w:t>
      </w:r>
      <w:r>
        <w:rPr>
          <w:color w:val="000000"/>
        </w:rPr>
        <w:t xml:space="preserve"> </w:t>
      </w:r>
      <w:r>
        <w:rPr>
          <w:rFonts w:ascii="Times New Roman;serif" w:hAnsi="Times New Roman;serif"/>
          <w:b w:val="false"/>
          <w:color w:val="000000"/>
          <w:sz w:val="24"/>
        </w:rPr>
        <w:t>below.</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Exceptions to the blackout period policy may be approved by the Chief Legal Officer; provided, however, that any exception applicable to a director or Section 16 officer must be approved by the Board of Directors or the Audit Committee of the Board of Directors.</w:t>
      </w:r>
    </w:p>
    <w:p>
      <w:pPr>
        <w:pStyle w:val="TextBody"/>
        <w:bidi w:val="0"/>
        <w:spacing w:before="0" w:after="248"/>
        <w:ind w:left="0" w:right="0" w:firstLine="710"/>
        <w:jc w:val="right"/>
      </w:p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929292"/>
                                <w:sz w:val="24"/>
                              </w:rPr>
                            </w:pPr>
                            <w:r>
                              <w:rPr>
                                <w:rFonts w:ascii="Times New Roman;serif" w:hAnsi="Times New Roman;serif"/>
                                <w:b w:val="false"/>
                                <w:color w:val="929292"/>
                                <w:sz w:val="24"/>
                              </w:rPr>
                              <w:t>Page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929292"/>
                          <w:sz w:val="24"/>
                        </w:rPr>
                      </w:pPr>
                      <w:r>
                        <w:rPr>
                          <w:rFonts w:ascii="Times New Roman;serif" w:hAnsi="Times New Roman;serif"/>
                          <w:b w:val="false"/>
                          <w:color w:val="929292"/>
                          <w:sz w:val="24"/>
                        </w:rPr>
                        <w:t>Page 5</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VII.    MATERIAL NON-PUBLIC INFORMATION</w:t>
      </w:r>
    </w:p>
    <w:p>
      <w:pPr>
        <w:pStyle w:val="TextBody"/>
        <w:bidi w:val="0"/>
        <w:spacing w:lineRule="auto" w:line="288" w:before="0" w:after="240"/>
        <w:ind w:left="0" w:right="0" w:firstLine="720"/>
        <w:jc w:val="left"/>
      </w:pPr>
      <w:r>
        <w:rPr>
          <w:rFonts w:ascii="Times New Roman;serif" w:hAnsi="Times New Roman;serif"/>
          <w:b w:val="false"/>
          <w:color w:val="000000"/>
          <w:sz w:val="24"/>
        </w:rPr>
        <w:t>The materiality of a fact depends upon the circumstances. A fact is considered “</w:t>
      </w:r>
      <w:r>
        <w:rPr>
          <w:rFonts w:ascii="Times New Roman;serif" w:hAnsi="Times New Roman;serif"/>
          <w:b w:val="false"/>
          <w:color w:val="000000"/>
          <w:sz w:val="24"/>
          <w:u w:val="single"/>
        </w:rPr>
        <w:t>material</w:t>
      </w:r>
      <w:r>
        <w:rPr>
          <w:color w:val="000000"/>
        </w:rPr>
        <w:t xml:space="preserve">” </w:t>
      </w:r>
      <w:r>
        <w:rPr>
          <w:rFonts w:ascii="Times New Roman;serif" w:hAnsi="Times New Roman;serif"/>
          <w:b w:val="false"/>
          <w:color w:val="000000"/>
          <w:sz w:val="24"/>
        </w:rPr>
        <w:t>if there is a substantial likelihood that a reasonable investor would consider it important in making a decision to buy, sell or hold a security, or if the fact is likely to have a significant effect on the market price of the security. Material information can be positive or negative and can relate to virtually any aspect of a company’s business or to any type of security, debt or equity. Also, information that something is likely to happen in the future—or even just that it may happen—could be deemed material.</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Examples of material information may include (but are not limited to) information about:</w:t>
      </w:r>
    </w:p>
    <w:p>
      <w:pPr>
        <w:pStyle w:val="TextBody"/>
        <w:bidi w:val="0"/>
        <w:spacing w:lineRule="auto" w:line="288" w:before="0" w:after="240"/>
        <w:ind w:left="0" w:right="0" w:firstLine="360"/>
        <w:jc w:val="left"/>
      </w:pPr>
      <w:r>
        <w:rPr>
          <w:color w:val="000000"/>
        </w:rPr>
        <w:t>•</w:t>
      </w:r>
      <w:r>
        <w:rPr>
          <w:rFonts w:ascii="Times New Roman;serif" w:hAnsi="Times New Roman;serif"/>
          <w:b w:val="false"/>
          <w:color w:val="000000"/>
          <w:sz w:val="24"/>
        </w:rPr>
        <w:t>corporate earnings or earnings forecasts;</w:t>
      </w:r>
    </w:p>
    <w:p>
      <w:pPr>
        <w:pStyle w:val="TextBody"/>
        <w:bidi w:val="0"/>
        <w:spacing w:lineRule="auto" w:line="288" w:before="0" w:after="240"/>
        <w:ind w:left="0" w:right="0" w:firstLine="360"/>
        <w:jc w:val="left"/>
      </w:pPr>
      <w:r>
        <w:rPr>
          <w:color w:val="000000"/>
        </w:rPr>
        <w:t>•</w:t>
      </w:r>
      <w:r>
        <w:rPr>
          <w:rFonts w:ascii="Times New Roman;serif" w:hAnsi="Times New Roman;serif"/>
          <w:b w:val="false"/>
          <w:color w:val="000000"/>
          <w:sz w:val="24"/>
        </w:rPr>
        <w:t>communications sent to or received from the U.S. Food and Drug Administration;</w:t>
      </w:r>
    </w:p>
    <w:p>
      <w:pPr>
        <w:pStyle w:val="TextBody"/>
        <w:bidi w:val="0"/>
        <w:spacing w:lineRule="auto" w:line="288" w:before="0" w:after="240"/>
        <w:ind w:left="0" w:right="0" w:firstLine="360"/>
        <w:jc w:val="left"/>
      </w:pPr>
      <w:r>
        <w:rPr>
          <w:color w:val="000000"/>
        </w:rPr>
        <w:t>•</w:t>
      </w:r>
      <w:r>
        <w:rPr>
          <w:rFonts w:ascii="Times New Roman;serif" w:hAnsi="Times New Roman;serif"/>
          <w:b w:val="false"/>
          <w:color w:val="000000"/>
          <w:sz w:val="24"/>
        </w:rPr>
        <w:t>possible mergers, acquisitions, tender offers or dispositions;</w:t>
      </w:r>
    </w:p>
    <w:p>
      <w:pPr>
        <w:pStyle w:val="TextBody"/>
        <w:bidi w:val="0"/>
        <w:spacing w:lineRule="auto" w:line="288" w:before="0" w:after="240"/>
        <w:ind w:left="0" w:right="0" w:firstLine="360"/>
        <w:jc w:val="left"/>
      </w:pPr>
      <w:r>
        <w:rPr>
          <w:color w:val="000000"/>
        </w:rPr>
        <w:t>•</w:t>
      </w:r>
      <w:r>
        <w:rPr>
          <w:rFonts w:ascii="Times New Roman;serif" w:hAnsi="Times New Roman;serif"/>
          <w:b w:val="false"/>
          <w:color w:val="000000"/>
          <w:sz w:val="24"/>
        </w:rPr>
        <w:t>major new products or product developments;</w:t>
      </w:r>
    </w:p>
    <w:p>
      <w:pPr>
        <w:pStyle w:val="TextBody"/>
        <w:bidi w:val="0"/>
        <w:spacing w:lineRule="auto" w:line="288" w:before="0" w:after="240"/>
        <w:ind w:left="0" w:right="0" w:firstLine="360"/>
        <w:jc w:val="left"/>
      </w:pPr>
      <w:r>
        <w:rPr>
          <w:color w:val="000000"/>
        </w:rPr>
        <w:t>•</w:t>
      </w:r>
      <w:r>
        <w:rPr>
          <w:rFonts w:ascii="Times New Roman;serif" w:hAnsi="Times New Roman;serif"/>
          <w:b w:val="false"/>
          <w:color w:val="000000"/>
          <w:sz w:val="24"/>
        </w:rPr>
        <w:t>important business developments such as developments regarding strategic collaborations;</w:t>
      </w:r>
    </w:p>
    <w:p>
      <w:pPr>
        <w:pStyle w:val="TextBody"/>
        <w:bidi w:val="0"/>
        <w:spacing w:lineRule="auto" w:line="288" w:before="0" w:after="240"/>
        <w:ind w:left="0" w:right="0" w:firstLine="360"/>
        <w:jc w:val="left"/>
      </w:pPr>
      <w:r>
        <w:rPr>
          <w:color w:val="000000"/>
        </w:rPr>
        <w:t>•</w:t>
      </w:r>
      <w:r>
        <w:rPr>
          <w:rFonts w:ascii="Times New Roman;serif" w:hAnsi="Times New Roman;serif"/>
          <w:b w:val="false"/>
          <w:color w:val="000000"/>
          <w:sz w:val="24"/>
        </w:rPr>
        <w:t>management or control changes;</w:t>
      </w:r>
    </w:p>
    <w:p>
      <w:pPr>
        <w:pStyle w:val="TextBody"/>
        <w:bidi w:val="0"/>
        <w:spacing w:lineRule="auto" w:line="288" w:before="0" w:after="240"/>
        <w:ind w:left="0" w:right="0" w:firstLine="360"/>
        <w:jc w:val="left"/>
      </w:pPr>
      <w:r>
        <w:rPr>
          <w:color w:val="000000"/>
        </w:rPr>
        <w:t>•</w:t>
      </w:r>
      <w:r>
        <w:rPr>
          <w:rFonts w:ascii="Times New Roman;serif" w:hAnsi="Times New Roman;serif"/>
          <w:b w:val="false"/>
          <w:color w:val="000000"/>
          <w:sz w:val="24"/>
        </w:rPr>
        <w:t>significant borrowing or financing developments including pending public sales or offerings of debt or equity securities;</w:t>
      </w:r>
    </w:p>
    <w:p>
      <w:pPr>
        <w:pStyle w:val="TextBody"/>
        <w:bidi w:val="0"/>
        <w:spacing w:lineRule="auto" w:line="288" w:before="0" w:after="240"/>
        <w:ind w:left="0" w:right="0" w:firstLine="360"/>
        <w:jc w:val="left"/>
      </w:pPr>
      <w:r>
        <w:rPr>
          <w:color w:val="000000"/>
        </w:rPr>
        <w:t>•</w:t>
      </w:r>
      <w:r>
        <w:rPr>
          <w:rFonts w:ascii="Times New Roman;serif" w:hAnsi="Times New Roman;serif"/>
          <w:b w:val="false"/>
          <w:color w:val="000000"/>
          <w:sz w:val="24"/>
        </w:rPr>
        <w:t>defaults on borrowings;</w:t>
      </w:r>
    </w:p>
    <w:p>
      <w:pPr>
        <w:pStyle w:val="TextBody"/>
        <w:bidi w:val="0"/>
        <w:spacing w:lineRule="auto" w:line="288" w:before="0" w:after="240"/>
        <w:ind w:left="0" w:right="0" w:firstLine="360"/>
        <w:jc w:val="left"/>
      </w:pPr>
      <w:r>
        <w:rPr>
          <w:color w:val="000000"/>
        </w:rPr>
        <w:t>•</w:t>
      </w:r>
      <w:r>
        <w:rPr>
          <w:rFonts w:ascii="Times New Roman;serif" w:hAnsi="Times New Roman;serif"/>
          <w:b w:val="false"/>
          <w:color w:val="000000"/>
          <w:sz w:val="24"/>
        </w:rPr>
        <w:t>bankruptcies;</w:t>
      </w:r>
    </w:p>
    <w:p>
      <w:pPr>
        <w:pStyle w:val="TextBody"/>
        <w:bidi w:val="0"/>
        <w:spacing w:lineRule="auto" w:line="288" w:before="0" w:after="240"/>
        <w:ind w:left="0" w:right="0" w:firstLine="360"/>
        <w:jc w:val="left"/>
      </w:pPr>
      <w:r>
        <w:rPr>
          <w:color w:val="000000"/>
        </w:rPr>
        <w:t>•</w:t>
      </w:r>
      <w:r>
        <w:rPr>
          <w:rFonts w:ascii="Times New Roman;serif" w:hAnsi="Times New Roman;serif"/>
          <w:b w:val="false"/>
          <w:color w:val="000000"/>
          <w:sz w:val="24"/>
        </w:rPr>
        <w:t>cybersecurity or data security incidents; and</w:t>
      </w:r>
    </w:p>
    <w:p>
      <w:pPr>
        <w:pStyle w:val="TextBody"/>
        <w:bidi w:val="0"/>
        <w:spacing w:lineRule="auto" w:line="288" w:before="0" w:after="240"/>
        <w:ind w:left="0" w:right="0" w:firstLine="360"/>
        <w:jc w:val="left"/>
      </w:pPr>
      <w:r>
        <w:rPr>
          <w:color w:val="000000"/>
        </w:rPr>
        <w:t>•</w:t>
      </w:r>
      <w:r>
        <w:rPr>
          <w:rFonts w:ascii="Times New Roman;serif" w:hAnsi="Times New Roman;serif"/>
          <w:b w:val="false"/>
          <w:color w:val="000000"/>
          <w:sz w:val="24"/>
        </w:rPr>
        <w:t>significant litigation or regulatory actions.</w:t>
      </w:r>
    </w:p>
    <w:p>
      <w:pPr>
        <w:pStyle w:val="TextBody"/>
        <w:bidi w:val="0"/>
        <w:spacing w:lineRule="auto" w:line="288" w:before="0" w:after="240"/>
        <w:ind w:left="0" w:right="0" w:firstLine="720"/>
        <w:jc w:val="left"/>
      </w:pPr>
      <w:r>
        <w:rPr>
          <w:rFonts w:ascii="Times New Roman;serif" w:hAnsi="Times New Roman;serif"/>
          <w:b w:val="false"/>
          <w:color w:val="000000"/>
          <w:sz w:val="24"/>
        </w:rPr>
        <w:t>Information is “</w:t>
      </w:r>
      <w:r>
        <w:rPr>
          <w:rFonts w:ascii="Times New Roman;serif" w:hAnsi="Times New Roman;serif"/>
          <w:b w:val="false"/>
          <w:color w:val="000000"/>
          <w:sz w:val="24"/>
          <w:u w:val="single"/>
        </w:rPr>
        <w:t>non-public</w:t>
      </w:r>
      <w:r>
        <w:rPr>
          <w:color w:val="000000"/>
        </w:rPr>
        <w:t xml:space="preserve">” </w:t>
      </w:r>
      <w:r>
        <w:rPr>
          <w:rFonts w:ascii="Times New Roman;serif" w:hAnsi="Times New Roman;serif"/>
          <w:b w:val="false"/>
          <w:color w:val="000000"/>
          <w:sz w:val="24"/>
        </w:rPr>
        <w:t>if it is not available to the general public. In order for information to be considered public, it must be widely disseminated in a manner making it generally available to investors in a Regulation FD-compliant method, such as through a press release, a filing with the SEC or a Regulation FD compliant conference call. The Chief Legal Officer shall have sole discretion to decide whether information is public for purposes of this Policy.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circulation of rumors, even if accurate and reported in the media, does not constitute public dissemination. In addition, even after a public announcement, a reasonable period of time may need to lapse in order for the market to react to the information. Generally, one should allow </w:t>
      </w:r>
    </w:p>
    <w:p>
      <w:pPr>
        <w:pStyle w:val="TextBody"/>
        <w:bidi w:val="0"/>
        <w:spacing w:before="0" w:after="248"/>
        <w:ind w:left="0" w:right="0" w:firstLine="710"/>
        <w:jc w:val="right"/>
      </w:p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929292"/>
                                <w:sz w:val="24"/>
                              </w:rPr>
                            </w:pPr>
                            <w:r>
                              <w:rPr>
                                <w:rFonts w:ascii="Times New Roman;serif" w:hAnsi="Times New Roman;serif"/>
                                <w:b w:val="false"/>
                                <w:color w:val="929292"/>
                                <w:sz w:val="24"/>
                              </w:rPr>
                              <w:t>Page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929292"/>
                          <w:sz w:val="24"/>
                        </w:rPr>
                      </w:pPr>
                      <w:r>
                        <w:rPr>
                          <w:rFonts w:ascii="Times New Roman;serif" w:hAnsi="Times New Roman;serif"/>
                          <w:b w:val="false"/>
                          <w:color w:val="929292"/>
                          <w:sz w:val="24"/>
                        </w:rPr>
                        <w:t>Page 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one full trading day following release of information to the public, as a reasonable waiting period before such information is deemed to be public.</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VIII.    POST-TERMINATION AND PROHIBITED TRANSACTIONS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A.    Post-Termination Transactions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an individual is in possession of material non-public information when his or her service terminates, that individual may not trade in the Company’s securities until that information has become public or is no longer material.</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 xml:space="preserve">B.    Prohibited Transactions </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 has determined that there is a heightened legal risk and/or the appearance of improper or inappropriate conduct if the persons subject to this Policy engage in certain types of transactions. Therefore, Covered Persons shall comply with the following policies with respect to certain transactions in the Company’s securities:</w:t>
      </w:r>
    </w:p>
    <w:p>
      <w:pPr>
        <w:pStyle w:val="TextBody"/>
        <w:bidi w:val="0"/>
        <w:spacing w:lineRule="auto" w:line="288" w:before="0" w:after="240"/>
        <w:jc w:val="left"/>
      </w:pPr>
      <w:r>
        <w:rPr>
          <w:rFonts w:ascii="Times New Roman;serif" w:hAnsi="Times New Roman;serif"/>
          <w:b w:val="false"/>
          <w:color w:val="000000"/>
          <w:sz w:val="24"/>
        </w:rPr>
        <w:t>1.</w:t>
      </w:r>
      <w:r>
        <w:rPr>
          <w:color w:val="000000"/>
        </w:rPr>
        <w:t xml:space="preserve"> </w:t>
      </w:r>
      <w:r>
        <w:rPr>
          <w:rFonts w:ascii="Times New Roman;serif" w:hAnsi="Times New Roman;serif"/>
          <w:b w:val="false"/>
          <w:color w:val="000000"/>
          <w:sz w:val="24"/>
          <w:u w:val="single"/>
        </w:rPr>
        <w:t>Short Sales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Short sales of the Company’s securities are prohibited by this Policy. Short sales are sales of shares that the insider does not own at the time of sale, or sales of shares against which the insider does not deliver the shares within 20 days after the sale, evidence an expectation on the part of the seller that the securities will decline in value, and therefore signal to the market that the seller has no confidence in the Company or its short-term prospects. In addition, Section 16(c) of the Exchange Act prohibits Section 16 reporting persons (i.e., directors, officers, and the Company's 10% stockholders) from making short sales of the Company's equity securities.</w:t>
      </w:r>
    </w:p>
    <w:p>
      <w:pPr>
        <w:pStyle w:val="TextBody"/>
        <w:bidi w:val="0"/>
        <w:spacing w:lineRule="auto" w:line="288" w:before="0" w:after="240"/>
        <w:jc w:val="left"/>
      </w:pPr>
      <w:r>
        <w:rPr>
          <w:rFonts w:ascii="Times New Roman;serif" w:hAnsi="Times New Roman;serif"/>
          <w:b w:val="false"/>
          <w:color w:val="000000"/>
          <w:sz w:val="24"/>
        </w:rPr>
        <w:t>2.</w:t>
      </w:r>
      <w:r>
        <w:rPr>
          <w:rFonts w:ascii="Times New Roman;serif" w:hAnsi="Times New Roman;serif"/>
          <w:b w:val="false"/>
          <w:color w:val="000000"/>
          <w:sz w:val="24"/>
          <w:u w:val="single"/>
        </w:rPr>
        <w:t>Options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Transactions in puts, calls, or other derivative securities involving covered equity securities, on an exchange, on an over-the-counter market, or in any other organized market, are prohibited by this Policy. A transaction in options is, in effect, a bet on the short-term movement of the Company’s stock and, therefore, creates the appearance that a Covered Person is trading based on material non-public information. Transactions in options, whether traded on an exchange, on an over-the-counter market, or any other organized market, also may focus a Covered Person’s attention on short-term performance at the expense of the Company’s long-term objectives.</w:t>
      </w:r>
    </w:p>
    <w:p>
      <w:pPr>
        <w:pStyle w:val="TextBody"/>
        <w:bidi w:val="0"/>
        <w:spacing w:lineRule="auto" w:line="288" w:before="0" w:after="240"/>
        <w:jc w:val="left"/>
      </w:pPr>
      <w:r>
        <w:rPr>
          <w:rFonts w:ascii="Times New Roman;serif" w:hAnsi="Times New Roman;serif"/>
          <w:b w:val="false"/>
          <w:color w:val="000000"/>
          <w:sz w:val="24"/>
        </w:rPr>
        <w:t>3.</w:t>
      </w:r>
      <w:r>
        <w:rPr>
          <w:rFonts w:ascii="Times New Roman;serif" w:hAnsi="Times New Roman;serif"/>
          <w:b w:val="false"/>
          <w:color w:val="000000"/>
          <w:sz w:val="24"/>
          <w:u w:val="single"/>
        </w:rPr>
        <w:t>Hedging Transactions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Hedging transactions involving covered securities, such as prepaid variable forward contracts, equity swaps, collars and exchange funds, or other transactions that hedge or offset, or are designed to hedge or offset, any decrease in the market value of the Company’s equity securities, are prohibited by this Policy. Such transactions allow the Covered Person to continue to own the covered securities, but without the full risks and rewards of ownership. When that </w:t>
      </w:r>
    </w:p>
    <w:p>
      <w:pPr>
        <w:pStyle w:val="TextBody"/>
        <w:bidi w:val="0"/>
        <w:spacing w:before="0" w:after="248"/>
        <w:ind w:left="0" w:right="0" w:firstLine="710"/>
        <w:jc w:val="right"/>
      </w:p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929292"/>
                                <w:sz w:val="24"/>
                              </w:rPr>
                            </w:pPr>
                            <w:r>
                              <w:rPr>
                                <w:rFonts w:ascii="Times New Roman;serif" w:hAnsi="Times New Roman;serif"/>
                                <w:b w:val="false"/>
                                <w:color w:val="929292"/>
                                <w:sz w:val="24"/>
                              </w:rPr>
                              <w:t>Page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929292"/>
                          <w:sz w:val="24"/>
                        </w:rPr>
                      </w:pPr>
                      <w:r>
                        <w:rPr>
                          <w:rFonts w:ascii="Times New Roman;serif" w:hAnsi="Times New Roman;serif"/>
                          <w:b w:val="false"/>
                          <w:color w:val="929292"/>
                          <w:sz w:val="24"/>
                        </w:rPr>
                        <w:t>Page 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occurs, the Covered Person may no longer have the same objectives as the Company’s other stockholders.</w:t>
      </w:r>
    </w:p>
    <w:p>
      <w:pPr>
        <w:pStyle w:val="TextBody"/>
        <w:bidi w:val="0"/>
        <w:spacing w:lineRule="auto" w:line="288" w:before="0" w:after="240"/>
        <w:jc w:val="left"/>
      </w:pPr>
      <w:r>
        <w:rPr>
          <w:rFonts w:ascii="Times New Roman;serif" w:hAnsi="Times New Roman;serif"/>
          <w:b w:val="false"/>
          <w:color w:val="000000"/>
          <w:sz w:val="24"/>
        </w:rPr>
        <w:t>4.</w:t>
      </w:r>
      <w:r>
        <w:rPr>
          <w:rFonts w:ascii="Times New Roman;serif" w:hAnsi="Times New Roman;serif"/>
          <w:b w:val="false"/>
          <w:color w:val="000000"/>
          <w:sz w:val="24"/>
          <w:u w:val="single"/>
        </w:rPr>
        <w:t>Margin Accounts and Pledging</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Individuals are prohibited from pledging covered securities as collateral for a loan, purchasing covered securities on margin (i.e., borrowing money to purchase the securities), or placing covered securities in a margin account. This prohibition does not apply to cashless exercises of stock options under the Company’s equity plans, nor to situations approved in advance by the Company's Chief Legal Officer.</w:t>
      </w:r>
    </w:p>
    <w:p>
      <w:pPr>
        <w:pStyle w:val="TextBody"/>
        <w:bidi w:val="0"/>
        <w:spacing w:lineRule="auto" w:line="288" w:before="0" w:after="240"/>
        <w:jc w:val="left"/>
      </w:pPr>
      <w:r>
        <w:rPr>
          <w:rFonts w:ascii="Times New Roman;serif" w:hAnsi="Times New Roman;serif"/>
          <w:b w:val="false"/>
          <w:color w:val="000000"/>
          <w:sz w:val="24"/>
        </w:rPr>
        <w:t>5.</w:t>
      </w:r>
      <w:r>
        <w:rPr>
          <w:rFonts w:ascii="Times New Roman;serif" w:hAnsi="Times New Roman;serif"/>
          <w:b w:val="false"/>
          <w:color w:val="000000"/>
          <w:sz w:val="24"/>
          <w:u w:val="single"/>
        </w:rPr>
        <w:t>Prediction Market Trading</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Individuals are prohibited from participating in prediction markets, betting platforms or similar platforms to bet, wager or establish positions in event contracts, or from directly or indirectly assisting, directing, encouraging or facilitating another person’s participation in any such activity, where (i) the Company or its securities is the subject; or (ii) any other company, including the Company’s suppliers, counterparties, or competitors, is the subject and the Covered Person is in possession of material non-public information about that company or related event obtained through the Covered Person’s work with the Company (this prohibition applies whether or not the activity technically constitutes securities trading under federal laws).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IX.    RULE 10b5-1 TRADING PLANS</w:t>
      </w:r>
    </w:p>
    <w:p>
      <w:pPr>
        <w:pStyle w:val="TextBody"/>
        <w:bidi w:val="0"/>
        <w:spacing w:lineRule="auto" w:line="288" w:before="0" w:after="240"/>
        <w:ind w:left="0" w:right="0" w:firstLine="720"/>
        <w:jc w:val="left"/>
      </w:pPr>
      <w:r>
        <w:rPr>
          <w:rFonts w:ascii="Times New Roman;serif" w:hAnsi="Times New Roman;serif"/>
          <w:b w:val="false"/>
          <w:color w:val="000000"/>
          <w:sz w:val="24"/>
        </w:rPr>
        <w:t>The trading restrictions set forth in this Policy, other than those transactions described under “Prohibited Transactions”, do not apply to transactions under a previously established contract, plan or instruction to trade in the Company’s securities entered into in accordance with the terms of Rule 10b5-1 and all applicable state laws (a “</w:t>
      </w:r>
      <w:r>
        <w:rPr>
          <w:rFonts w:ascii="Times New Roman;serif" w:hAnsi="Times New Roman;serif"/>
          <w:b w:val="false"/>
          <w:color w:val="000000"/>
          <w:sz w:val="24"/>
          <w:u w:val="single"/>
        </w:rPr>
        <w:t>Trading Plan</w:t>
      </w:r>
      <w:r>
        <w:rPr>
          <w:color w:val="000000"/>
        </w:rPr>
        <w:t>”</w:t>
      </w:r>
      <w:r>
        <w:rPr>
          <w:rFonts w:ascii="Times New Roman;serif" w:hAnsi="Times New Roman;serif"/>
          <w:b w:val="false"/>
          <w:color w:val="000000"/>
          <w:sz w:val="24"/>
        </w:rPr>
        <w:t>) that:</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4"/>
        </w:rPr>
        <w:t>has been submitted to and preapproved by the Company’s Chief Legal Officer or Chief Financial Officer, or such other person as the Company’s Board of Directors may designate from time to time at least 30 days before the commencement of any transactions under the Trading Plan;</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4"/>
        </w:rPr>
        <w:t>includes a “Cooling Off Period” for:</w:t>
      </w:r>
    </w:p>
    <w:p>
      <w:pPr>
        <w:pStyle w:val="TextBody"/>
        <w:bidi w:val="0"/>
        <w:spacing w:lineRule="auto" w:line="288" w:before="0" w:after="240"/>
        <w:ind w:left="0" w:right="0" w:firstLine="360"/>
        <w:jc w:val="left"/>
      </w:pPr>
      <w:r>
        <w:rPr>
          <w:color w:val="000000"/>
        </w:rPr>
        <w:t>◦</w:t>
      </w:r>
      <w:r>
        <w:rPr>
          <w:rFonts w:ascii="Times New Roman;serif" w:hAnsi="Times New Roman;serif"/>
          <w:b w:val="false"/>
          <w:color w:val="000000"/>
          <w:sz w:val="24"/>
        </w:rPr>
        <w:t>Section 16 reporting persons that extends to the later of 90 days after adoption or modification of a Trading Plan or two business days after filing the Form 10-K or Form 10-Q covering the fiscal quarter in which the Trading Plan was adopted, up to a maximum of 120 days; and</w:t>
      </w:r>
    </w:p>
    <w:p>
      <w:pPr>
        <w:pStyle w:val="TextBody"/>
        <w:bidi w:val="0"/>
        <w:spacing w:lineRule="auto" w:line="288" w:before="0" w:after="240"/>
        <w:ind w:left="0" w:right="0" w:firstLine="360"/>
        <w:jc w:val="left"/>
      </w:pPr>
      <w:r>
        <w:rPr>
          <w:color w:val="000000"/>
        </w:rPr>
        <w:t>◦</w:t>
      </w:r>
      <w:r>
        <w:rPr>
          <w:rFonts w:ascii="Times New Roman;serif" w:hAnsi="Times New Roman;serif"/>
          <w:b w:val="false"/>
          <w:color w:val="000000"/>
          <w:sz w:val="24"/>
        </w:rPr>
        <w:t>employees and any other persons, other than the Company, that extends 30 days after adoption or modification of a Trading Plan;</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4"/>
        </w:rPr>
        <w:t xml:space="preserve">for Section 16 reporting persons, includes a representation in the Trading Plan that the Section 16 reporting person is (i) not aware of any material non-public information about </w:t>
      </w:r>
    </w:p>
    <w:p>
      <w:pPr>
        <w:pStyle w:val="TextBody"/>
        <w:bidi w:val="0"/>
        <w:spacing w:before="0" w:after="248"/>
        <w:ind w:left="0" w:right="0" w:firstLine="710"/>
        <w:jc w:val="right"/>
      </w:p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929292"/>
                                <w:sz w:val="24"/>
                              </w:rPr>
                            </w:pPr>
                            <w:r>
                              <w:rPr>
                                <w:rFonts w:ascii="Times New Roman;serif" w:hAnsi="Times New Roman;serif"/>
                                <w:b w:val="false"/>
                                <w:color w:val="929292"/>
                                <w:sz w:val="24"/>
                              </w:rPr>
                              <w:t>Page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929292"/>
                          <w:sz w:val="24"/>
                        </w:rPr>
                      </w:pPr>
                      <w:r>
                        <w:rPr>
                          <w:rFonts w:ascii="Times New Roman;serif" w:hAnsi="Times New Roman;serif"/>
                          <w:b w:val="false"/>
                          <w:color w:val="929292"/>
                          <w:sz w:val="24"/>
                        </w:rPr>
                        <w:t>Page 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Company or its securities; and (ii) adopting the Trading Plan in good faith and not as part of a plan or scheme to evade Rule 10b-5;</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4"/>
        </w:rPr>
        <w:t>has been entered into in good faith at a time when the individual was not in possession of material non-public information about the Company and not otherwise in a blackout period, and the person who entered into the Trading Plan has acted in good faith with respect to the Trading Plan;</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4"/>
        </w:rPr>
        <w:t>either (i) specifies the amounts, prices, and dates of all transactions under the Trading Plan, (ii) provides a written formula, algorithm, or computer program for determining the amount, price, and date of the transactions, or (iii) prohibits the individual from exercising any subsequent influence over the transactions; and</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4"/>
        </w:rPr>
        <w:t>complies with all other applicable requirements of Rule 10b5-1.</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Chief Legal Officer may impose such other conditions on the implementation and operation of the Trading Plan as the Chief Legal Officer deems necessary or advisable. Individuals may not adopt more than one Trading Plan at a time except under the limited circumstances permitted by Rule 10b5-1 and subject to preapproval by the Chief Legal Officer.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An individual may only modify a Trading Plan outside of a blackout period and, in any event, when the individual does not possess material non-public information. Modifications to and terminations of a Trading Plan are subject to preapproval by the Chief Legal Officer and modifications of a Trading Plan that change the amount, price, or timing of the purchase or sale of the securities underlying a Trading Plan will trigger a new Cooling-Off Period.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 reserves the right to publicly disclose, announce, or respond to inquiries from the media regarding the adoption, modification, or termination of a Trading Plan and non-Rule 10b5-1 trading arrangements, or the execution of transactions made under a Trading Plan. The Company also reserves the right from time to time to suspend, discontinue, or otherwise prohibit transactions under a Trading Plan if the Chief Legal Officer or the Board of Directors, in its discretion, determines that such suspension, discontinuation, or other prohibition is in the best interests of the Company.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Compliance of a Trading Plan with the terms of Rule 10b5-1 and the execution of transactions pursuant to the Trading Plan are the sole responsibility of the person initiating the Trading Plan, and none of the Company, the Chief Legal Officer, or the Company’s other employees assumes any liability for any delay in reviewing and/or refusing to approve a Trading Plan submitted for approval, nor the legality or consequences relating to a person entering into, informing the Company of, or trading under, a Trading Plan.</w:t>
      </w:r>
    </w:p>
    <w:p>
      <w:pPr>
        <w:pStyle w:val="TextBody"/>
        <w:bidi w:val="0"/>
        <w:spacing w:before="0" w:after="248"/>
        <w:ind w:left="0" w:right="0" w:firstLine="710"/>
        <w:jc w:val="right"/>
      </w:p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929292"/>
                                <w:sz w:val="24"/>
                              </w:rPr>
                            </w:pPr>
                            <w:r>
                              <w:rPr>
                                <w:rFonts w:ascii="Times New Roman;serif" w:hAnsi="Times New Roman;serif"/>
                                <w:b w:val="false"/>
                                <w:color w:val="929292"/>
                                <w:sz w:val="24"/>
                              </w:rPr>
                              <w:t>Page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929292"/>
                          <w:sz w:val="24"/>
                        </w:rPr>
                      </w:pPr>
                      <w:r>
                        <w:rPr>
                          <w:rFonts w:ascii="Times New Roman;serif" w:hAnsi="Times New Roman;serif"/>
                          <w:b w:val="false"/>
                          <w:color w:val="929292"/>
                          <w:sz w:val="24"/>
                        </w:rPr>
                        <w:t>Page 9</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X.    INTERPRETATION, AMENDMENT, AND IMPLEMENTATION OF THIS POLICY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Chief Legal Officer shall have the authority to interpret and update this Policy and all related policies and procedures. In particular, such interpretations and updates of this Policy, as authorized by the Chief Legal Officer, may include amendments to or departures from the terms of this Policy to the extent consistent with the general purpose of this Policy and applicable securities laws.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Actions taken by the Company, the Chief Legal Officer, or any other Company personnel do not constitute legal advice, nor do they insulate you from the consequences of noncompliance with this Policy or with securities laws.</w:t>
      </w:r>
    </w:p>
    <w:p>
      <w:pPr>
        <w:pStyle w:val="TextBody"/>
        <w:bidi w:val="0"/>
        <w:spacing w:lineRule="auto" w:line="288" w:before="0" w:after="240"/>
        <w:jc w:val="left"/>
      </w:pPr>
      <w:r>
        <w:rPr>
          <w:rFonts w:ascii="Times New Roman;serif" w:hAnsi="Times New Roman;serif"/>
          <w:b/>
          <w:color w:val="000000"/>
          <w:sz w:val="24"/>
        </w:rPr>
        <w:t>XI</w:t>
      </w:r>
      <w:r>
        <w:rPr>
          <w:rFonts w:ascii="Times New Roman;serif" w:hAnsi="Times New Roman;serif"/>
          <w:b w:val="false"/>
          <w:color w:val="000000"/>
          <w:sz w:val="24"/>
        </w:rPr>
        <w:t>.    </w:t>
      </w:r>
      <w:r>
        <w:rPr>
          <w:rFonts w:ascii="Times New Roman;serif" w:hAnsi="Times New Roman;serif"/>
          <w:b/>
          <w:color w:val="000000"/>
          <w:sz w:val="24"/>
        </w:rPr>
        <w:t>REVIEW AND ACKNOWLEDGMENT OF THIS POLICY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Each Covered Person that is employed by the Company is required to review this Policy and acknowledge such review and understanding of this Policy through ComplianceWire upon commencement of their employment with the Company and annually thereafter.</w:t>
      </w:r>
    </w:p>
    <w:p>
      <w:pPr>
        <w:pStyle w:val="TextBody"/>
        <w:bidi w:val="0"/>
        <w:spacing w:before="0" w:after="240"/>
        <w:ind w:left="0" w:right="0" w:firstLine="720"/>
        <w:jc w:val="left"/>
      </w:pPr>
      <w:r/>
    </w:p>
    <w:p>
      <w:pPr>
        <w:pStyle w:val="TextBody"/>
        <w:bidi w:val="0"/>
        <w:spacing w:before="0" w:after="240"/>
        <w:ind w:left="0" w:right="0" w:firstLine="720"/>
        <w:jc w:val="left"/>
      </w:pPr>
      <w:r/>
    </w:p>
    <w:p>
      <w:pPr>
        <w:pStyle w:val="TextBody"/>
        <w:bidi w:val="0"/>
        <w:spacing w:before="0" w:after="240"/>
        <w:ind w:left="0" w:right="0" w:firstLine="720"/>
        <w:jc w:val="left"/>
      </w:pPr>
      <w:r/>
    </w:p>
    <w:p>
      <w:pPr>
        <w:pStyle w:val="TextBody"/>
        <w:bidi w:val="0"/>
        <w:spacing w:before="0" w:after="240"/>
        <w:ind w:left="0" w:right="0" w:firstLine="720"/>
        <w:jc w:val="left"/>
      </w:pPr>
      <w:r/>
    </w:p>
    <w:p>
      <w:pPr>
        <w:pStyle w:val="TextBody"/>
        <w:bidi w:val="0"/>
        <w:spacing w:before="0" w:after="240"/>
        <w:ind w:left="0" w:right="0" w:firstLine="720"/>
        <w:jc w:val="left"/>
      </w:pPr>
      <w:r/>
    </w:p>
    <w:p>
      <w:pPr>
        <w:pStyle w:val="TextBody"/>
        <w:bidi w:val="0"/>
        <w:spacing w:before="0" w:after="240"/>
        <w:ind w:left="0" w:right="0" w:firstLine="720"/>
        <w:jc w:val="left"/>
      </w:pPr>
      <w:r/>
    </w:p>
    <w:p>
      <w:pPr>
        <w:pStyle w:val="TextBody"/>
        <w:bidi w:val="0"/>
        <w:spacing w:before="0" w:after="240"/>
        <w:ind w:left="0" w:right="0" w:firstLine="720"/>
        <w:jc w:val="left"/>
      </w:pPr>
      <w:r/>
    </w:p>
    <w:p>
      <w:pPr>
        <w:pStyle w:val="TextBody"/>
        <w:bidi w:val="0"/>
        <w:spacing w:before="0" w:after="240"/>
        <w:ind w:left="0" w:right="0" w:firstLine="720"/>
        <w:jc w:val="left"/>
      </w:pPr>
      <w:r/>
    </w:p>
    <w:p>
      <w:pPr>
        <w:pStyle w:val="TextBody"/>
        <w:bidi w:val="0"/>
        <w:spacing w:before="0" w:after="240"/>
        <w:ind w:left="0" w:right="0" w:firstLine="720"/>
        <w:jc w:val="left"/>
      </w:pPr>
      <w:r/>
    </w:p>
    <w:p>
      <w:pPr>
        <w:pStyle w:val="TextBody"/>
        <w:bidi w:val="0"/>
        <w:spacing w:before="0" w:after="240"/>
        <w:ind w:left="0" w:right="0" w:firstLine="720"/>
        <w:jc w:val="left"/>
      </w:pPr>
      <w:r/>
    </w:p>
    <w:p>
      <w:pPr>
        <w:pStyle w:val="TextBody"/>
        <w:bidi w:val="0"/>
        <w:spacing w:before="0" w:after="240"/>
        <w:ind w:left="0" w:right="0" w:firstLine="720"/>
        <w:jc w:val="left"/>
      </w:pPr>
      <w:r/>
    </w:p>
    <w:p>
      <w:pPr>
        <w:pStyle w:val="TextBody"/>
        <w:bidi w:val="0"/>
        <w:spacing w:before="0" w:after="240"/>
        <w:ind w:left="0" w:right="0" w:firstLine="720"/>
        <w:jc w:val="left"/>
      </w:pPr>
      <w:r/>
    </w:p>
    <w:p>
      <w:pPr>
        <w:pStyle w:val="TextBody"/>
        <w:bidi w:val="0"/>
        <w:spacing w:before="0" w:after="240"/>
        <w:ind w:left="0" w:right="0" w:firstLine="720"/>
        <w:jc w:val="left"/>
      </w:pPr>
      <w:r/>
    </w:p>
    <w:p>
      <w:pPr>
        <w:pStyle w:val="TextBody"/>
        <w:bidi w:val="0"/>
        <w:spacing w:before="0" w:after="240"/>
        <w:ind w:left="0" w:right="0" w:firstLine="720"/>
        <w:jc w:val="left"/>
      </w:pPr>
      <w:r/>
    </w:p>
    <w:p>
      <w:pPr>
        <w:pStyle w:val="TextBody"/>
        <w:bidi w:val="0"/>
        <w:spacing w:before="0" w:after="24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8"/>
        <w:ind w:left="0" w:right="0" w:firstLine="710"/>
        <w:jc w:val="right"/>
      </w:p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929292"/>
                                <w:sz w:val="24"/>
                              </w:rPr>
                            </w:pPr>
                            <w:r>
                              <w:rPr>
                                <w:rFonts w:ascii="Times New Roman;serif" w:hAnsi="Times New Roman;serif"/>
                                <w:b w:val="false"/>
                                <w:color w:val="929292"/>
                                <w:sz w:val="24"/>
                              </w:rPr>
                              <w:t>Page 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right"/>
                        <w:rPr>
                          <w:rFonts w:ascii="Times New Roman;serif" w:hAnsi="Times New Roman;serif"/>
                          <w:b w:val="false"/>
                          <w:color w:val="929292"/>
                          <w:sz w:val="24"/>
                        </w:rPr>
                      </w:pPr>
                      <w:r>
                        <w:rPr>
                          <w:rFonts w:ascii="Times New Roman;serif" w:hAnsi="Times New Roman;serif"/>
                          <w:b w:val="false"/>
                          <w:color w:val="929292"/>
                          <w:sz w:val="24"/>
                        </w:rPr>
                        <w:t>Page 10</w:t>
                      </w:r>
                    </w:p>
                  </w:txbxContent>
                </v:textbox>
                <w10:wrap type="none"/>
              </v:rect>
            </w:pict>
          </mc:Fallback>
        </mc:AlternateContent>
      </w:r>
    </w:p>
    <w:p>
      <w:pPr>
        <w:pStyle w:val="TextBody"/>
        <w:bidi w:val="0"/>
        <w:spacing w:lineRule="auto" w:line="288" w:before="0" w:after="220"/>
        <w:jc w:val="center"/>
        <w:rPr>
          <w:rFonts w:ascii="Times New Roman;serif" w:hAnsi="Times New Roman;serif"/>
          <w:b/>
          <w:color w:val="000000"/>
          <w:sz w:val="24"/>
          <w:u w:val="single"/>
        </w:rPr>
      </w:pPr>
      <w:r>
        <w:rPr>
          <w:rFonts w:ascii="Times New Roman;serif" w:hAnsi="Times New Roman;serif"/>
          <w:b/>
          <w:color w:val="000000"/>
          <w:sz w:val="24"/>
          <w:u w:val="single"/>
        </w:rPr>
        <w:t>SCHEDULE A</w:t>
      </w:r>
    </w:p>
    <w:p>
      <w:pPr>
        <w:pStyle w:val="TextBody"/>
        <w:bidi w:val="0"/>
        <w:spacing w:lineRule="auto" w:line="288" w:before="0" w:after="220"/>
        <w:jc w:val="center"/>
        <w:rPr>
          <w:rFonts w:ascii="Times New Roman;serif" w:hAnsi="Times New Roman;serif"/>
          <w:b/>
          <w:color w:val="000000"/>
          <w:sz w:val="24"/>
          <w:u w:val="single"/>
        </w:rPr>
      </w:pPr>
      <w:r>
        <w:rPr>
          <w:rFonts w:ascii="Times New Roman;serif" w:hAnsi="Times New Roman;serif"/>
          <w:b/>
          <w:color w:val="000000"/>
          <w:sz w:val="24"/>
          <w:u w:val="single"/>
        </w:rPr>
        <w:t>APPLICABLE CONTRACTORS AND CONSULTANTS</w:t>
      </w:r>
    </w:p>
    <w:p>
      <w:pPr>
        <w:pStyle w:val="TextBody"/>
        <w:bidi w:val="0"/>
        <w:spacing w:lineRule="auto" w:line="288" w:before="0" w:after="180"/>
        <w:jc w:val="center"/>
        <w:rPr>
          <w:rFonts w:ascii="Times New Roman;serif" w:hAnsi="Times New Roman;serif"/>
          <w:b w:val="false"/>
          <w:color w:val="000000"/>
          <w:sz w:val="24"/>
        </w:rPr>
      </w:pPr>
      <w:r>
        <w:rPr>
          <w:rFonts w:ascii="Times New Roman;serif" w:hAnsi="Times New Roman;serif"/>
          <w:b w:val="false"/>
          <w:color w:val="000000"/>
          <w:sz w:val="24"/>
        </w:rPr>
        <w:t>[intentionally omitted]</w:t>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8"/>
        <w:ind w:left="0" w:right="0" w:firstLine="710"/>
        <w:jc w:val="right"/>
      </w:p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8"/>
                              <w:ind w:left="0" w:right="0" w:firstLine="710"/>
                              <w:jc w:val="both"/>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8"/>
                        <w:ind w:left="0" w:right="0" w:firstLine="710"/>
                        <w:jc w:val="both"/>
                      </w:pPr>
                      <w:r/>
                    </w:p>
                  </w:txbxContent>
                </v:textbox>
                <w10:wrap type="none"/>
              </v:rect>
            </w:pict>
          </mc:Fallback>
        </mc:AlternateContent>
      </w:r>
    </w:p>
    <w:p>
      <w:pPr>
        <w:pStyle w:val="TextBody"/>
        <w:bidi w:val="0"/>
        <w:spacing w:lineRule="auto" w:line="288" w:before="0" w:after="220"/>
        <w:jc w:val="center"/>
        <w:rPr>
          <w:rFonts w:ascii="Times New Roman;serif" w:hAnsi="Times New Roman;serif"/>
          <w:b/>
          <w:color w:val="000000"/>
          <w:sz w:val="24"/>
          <w:u w:val="single"/>
        </w:rPr>
      </w:pPr>
      <w:r>
        <w:rPr>
          <w:rFonts w:ascii="Times New Roman;serif" w:hAnsi="Times New Roman;serif"/>
          <w:b/>
          <w:color w:val="000000"/>
          <w:sz w:val="24"/>
          <w:u w:val="single"/>
        </w:rPr>
        <w:t>SCHEDULE B</w:t>
      </w:r>
    </w:p>
    <w:p>
      <w:pPr>
        <w:pStyle w:val="TextBody"/>
        <w:bidi w:val="0"/>
        <w:spacing w:lineRule="auto" w:line="288" w:before="0" w:after="220"/>
        <w:jc w:val="center"/>
        <w:rPr>
          <w:rFonts w:ascii="Times New Roman;serif" w:hAnsi="Times New Roman;serif"/>
          <w:b/>
          <w:color w:val="000000"/>
          <w:sz w:val="24"/>
          <w:u w:val="single"/>
        </w:rPr>
      </w:pPr>
      <w:r>
        <w:rPr>
          <w:rFonts w:ascii="Times New Roman;serif" w:hAnsi="Times New Roman;serif"/>
          <w:b/>
          <w:color w:val="000000"/>
          <w:sz w:val="24"/>
          <w:u w:val="single"/>
        </w:rPr>
        <w:t>INDIVIDUALS SUBJECT TO QUARTERLY BLACKOUT PERIODS</w:t>
      </w:r>
    </w:p>
    <w:p>
      <w:pPr>
        <w:pStyle w:val="TextBody"/>
        <w:bidi w:val="0"/>
        <w:spacing w:lineRule="auto" w:line="288" w:before="0" w:after="180"/>
        <w:jc w:val="center"/>
        <w:rPr>
          <w:rFonts w:ascii="Times New Roman;serif" w:hAnsi="Times New Roman;serif"/>
          <w:b w:val="false"/>
          <w:color w:val="000000"/>
          <w:sz w:val="24"/>
        </w:rPr>
      </w:pPr>
      <w:r>
        <w:rPr>
          <w:rFonts w:ascii="Times New Roman;serif" w:hAnsi="Times New Roman;serif"/>
          <w:b w:val="false"/>
          <w:color w:val="000000"/>
          <w:sz w:val="24"/>
        </w:rPr>
        <w:t>[intentionally omitted]</w:t>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8"/>
        <w:ind w:left="0" w:right="0" w:firstLine="710"/>
        <w:jc w:val="right"/>
      </w:p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8"/>
                              <w:ind w:left="0" w:right="0" w:firstLine="710"/>
                              <w:jc w:val="both"/>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8"/>
                        <w:ind w:left="0" w:right="0" w:firstLine="710"/>
                        <w:jc w:val="both"/>
                      </w:pPr>
                      <w:r/>
                    </w:p>
                  </w:txbxContent>
                </v:textbox>
                <w10:wrap type="none"/>
              </v:rect>
            </w:pict>
          </mc:Fallback>
        </mc:AlternateContent>
      </w:r>
    </w:p>
    <w:p>
      <w:pPr>
        <w:pStyle w:val="TextBody"/>
        <w:bidi w:val="0"/>
        <w:spacing w:lineRule="auto" w:line="288" w:before="0" w:after="220"/>
        <w:jc w:val="center"/>
        <w:rPr>
          <w:rFonts w:ascii="Times New Roman;serif" w:hAnsi="Times New Roman;serif"/>
          <w:b/>
          <w:color w:val="000000"/>
          <w:sz w:val="24"/>
          <w:u w:val="single"/>
        </w:rPr>
      </w:pPr>
      <w:r>
        <w:rPr>
          <w:rFonts w:ascii="Times New Roman;serif" w:hAnsi="Times New Roman;serif"/>
          <w:b/>
          <w:color w:val="000000"/>
          <w:sz w:val="24"/>
          <w:u w:val="single"/>
        </w:rPr>
        <w:t>SCHEDULE C</w:t>
      </w:r>
    </w:p>
    <w:p>
      <w:pPr>
        <w:pStyle w:val="TextBody"/>
        <w:bidi w:val="0"/>
        <w:spacing w:lineRule="auto" w:line="288" w:before="0" w:after="220"/>
        <w:jc w:val="center"/>
        <w:rPr>
          <w:rFonts w:ascii="Times New Roman;serif" w:hAnsi="Times New Roman;serif"/>
          <w:b/>
          <w:color w:val="000000"/>
          <w:sz w:val="24"/>
          <w:u w:val="single"/>
        </w:rPr>
      </w:pPr>
      <w:r>
        <w:rPr>
          <w:rFonts w:ascii="Times New Roman;serif" w:hAnsi="Times New Roman;serif"/>
          <w:b/>
          <w:color w:val="000000"/>
          <w:sz w:val="24"/>
          <w:u w:val="single"/>
        </w:rPr>
        <w:t>INDIVIDUALS SUBJECT TO PRECLEARANCE REQUIREMENT</w:t>
      </w:r>
    </w:p>
    <w:p>
      <w:pPr>
        <w:pStyle w:val="TextBody"/>
        <w:bidi w:val="0"/>
        <w:spacing w:lineRule="auto" w:line="288" w:before="0" w:after="180"/>
        <w:jc w:val="center"/>
        <w:rPr>
          <w:rFonts w:ascii="Times New Roman;serif" w:hAnsi="Times New Roman;serif"/>
          <w:b w:val="false"/>
          <w:color w:val="000000"/>
          <w:sz w:val="24"/>
        </w:rPr>
      </w:pPr>
      <w:r>
        <w:rPr>
          <w:rFonts w:ascii="Times New Roman;serif" w:hAnsi="Times New Roman;serif"/>
          <w:b w:val="false"/>
          <w:color w:val="000000"/>
          <w:sz w:val="24"/>
        </w:rPr>
        <w:t>[intentionally omitted]</w:t>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spacing w:before="0" w:after="180"/>
        <w:jc w:val="center"/>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8"/>
                              <w:ind w:left="0" w:right="0" w:firstLine="710"/>
                              <w:jc w:val="both"/>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48"/>
                        <w:ind w:left="0" w:right="0" w:firstLine="710"/>
                        <w:jc w:val="both"/>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Michael Raab,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Ardelyx,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969"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34"/>
        <w:gridCol w:w="134"/>
        <w:gridCol w:w="136"/>
        <w:gridCol w:w="1210"/>
        <w:gridCol w:w="1210"/>
        <w:gridCol w:w="1719"/>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Raab</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Michael Raab</w:t>
              <w:br/>
              <w:t>President, Chief Executive Officer and Director</w:t>
              <w:br/>
              <w:t>(Principal Executive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Susan Hohenleitner,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Ardelyx,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394" w:type="dxa"/>
        <w:jc w:val="center"/>
        <w:tblInd w:w="0" w:type="dxa"/>
        <w:tblLayout w:type="fixed"/>
        <w:tblCellMar>
          <w:top w:w="28" w:type="dxa"/>
          <w:left w:w="28" w:type="dxa"/>
          <w:bottom w:w="28" w:type="dxa"/>
          <w:right w:w="28" w:type="dxa"/>
        </w:tblCellMar>
      </w:tblPr>
      <w:tblGrid>
        <w:gridCol w:w="759"/>
        <w:gridCol w:w="668"/>
        <w:gridCol w:w="672"/>
        <w:gridCol w:w="109"/>
        <w:gridCol w:w="109"/>
        <w:gridCol w:w="109"/>
        <w:gridCol w:w="134"/>
        <w:gridCol w:w="134"/>
        <w:gridCol w:w="136"/>
        <w:gridCol w:w="750"/>
        <w:gridCol w:w="750"/>
        <w:gridCol w:w="1064"/>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Susan Hohenleitner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Susan Hohenleitner</w:t>
              <w:br/>
              <w:t>Chief Financial Officer</w:t>
              <w:br/>
              <w:t>(Principal Financial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 SECTION 906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Ardelyx, Inc. (the “Company”) on Form 10-Q for the period ended September 30, 2026, as filed with the Securities and Exchange Commission on the date hereof (the “Report”), Michael Raab, President and Chief Executive Officer of the Company, and Susan Hohenleitner, Chief Financial Officer of the Company, respectively, do each hereby certify, pursuant to 18 U.S.C. Section 1350, as adopted pursuant to Section 906 of the Sarbanes-Oxley Act of 2002,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tbl>
      <w:tblPr>
        <w:tblW w:w="6969"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34"/>
        <w:gridCol w:w="134"/>
        <w:gridCol w:w="136"/>
        <w:gridCol w:w="1210"/>
        <w:gridCol w:w="1210"/>
        <w:gridCol w:w="1719"/>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Raab</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Michael Raab</w:t>
              <w:br/>
              <w:t>President, Chief Executive Officer and Director</w:t>
              <w:br/>
              <w:t>(Principal Executive Officer)</w:t>
            </w:r>
          </w:p>
        </w:tc>
      </w:tr>
    </w:tbl>
    <w:tbl>
      <w:tblPr>
        <w:tblW w:w="5394"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34"/>
        <w:gridCol w:w="134"/>
        <w:gridCol w:w="136"/>
        <w:gridCol w:w="750"/>
        <w:gridCol w:w="750"/>
        <w:gridCol w:w="1064"/>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Susan Hohenleitner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Susan Hohenleitner</w:t>
              <w:br/>
              <w:t>Chief Financial Officer</w:t>
              <w:br/>
              <w:t>(Principal Financial Officer)</w:t>
            </w:r>
          </w:p>
        </w:tc>
      </w:tr>
    </w:tbl>
    <w:p>
      <w:pPr>
        <w:pStyle w:val="TextBody"/>
        <w:bidi w:val="0"/>
        <w:spacing w:before="200" w:after="283"/>
        <w:jc w:val="left"/>
      </w:pPr>
      <w:r/>
    </w:p>
    <w:p>
      <w:pPr>
        <w:pStyle w:val="TextBody"/>
        <w:bidi w:val="0"/>
        <w:spacing w:before="0" w:after="283"/>
        <w:jc w:val="left"/>
      </w:p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37402/000119312514247380/d748616dex31.htm" TargetMode="External"/><Relationship Id="rId4" Type="http://schemas.openxmlformats.org/officeDocument/2006/relationships/hyperlink" Target="https://www.sec.gov/Archives/edgar/data/1437402/000162828023022681/certificateofamendment6-16.htm" TargetMode="External"/><Relationship Id="rId5" Type="http://schemas.openxmlformats.org/officeDocument/2006/relationships/hyperlink" Target="https://www.sec.gov/Archives/edgar/data/1437402/000162828025037441/ardx-20250630xexhibit3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58875</Words>
  <Characters>327433</Characters>
  <CharactersWithSpaces>383901</CharactersWithSpaces>
  <Paragraphs>3718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