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Blanks Robert</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400"/>
        <w:spacing w:after="0" w:line="292" w:lineRule="auto"/>
        <w:rPr>
          <w:sz w:val="20"/>
          <w:szCs w:val="20"/>
          <w:color w:val="auto"/>
        </w:rPr>
      </w:pPr>
      <w:r>
        <w:rPr>
          <w:rFonts w:ascii="Arial" w:cs="Arial" w:eastAsia="Arial" w:hAnsi="Arial"/>
          <w:sz w:val="17"/>
          <w:szCs w:val="17"/>
          <w:color w:val="0000FF"/>
        </w:rPr>
        <w:t>C/O ARDELYX, INC. 34175 ARDENWOOD BLVD</w:t>
      </w:r>
    </w:p>
    <w:p>
      <w:pPr>
        <w:spacing w:after="0" w:line="292"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7"/>
                <w:szCs w:val="17"/>
                <w:color w:val="0000FF"/>
              </w:rPr>
              <w:t>FREMONT</w:t>
            </w:r>
          </w:p>
        </w:tc>
        <w:tc>
          <w:tcPr>
            <w:tcW w:w="1020" w:type="dxa"/>
            <w:vAlign w:val="bottom"/>
          </w:tcPr>
          <w:p>
            <w:pPr>
              <w:ind w:left="200"/>
              <w:spacing w:after="0"/>
              <w:rPr>
                <w:sz w:val="20"/>
                <w:szCs w:val="20"/>
                <w:color w:val="auto"/>
              </w:rPr>
            </w:pPr>
            <w:r>
              <w:rPr>
                <w:rFonts w:ascii="Arial" w:cs="Arial" w:eastAsia="Arial" w:hAnsi="Arial"/>
                <w:sz w:val="17"/>
                <w:szCs w:val="17"/>
                <w:color w:val="0000FF"/>
              </w:rPr>
              <w:t>CA</w:t>
            </w:r>
          </w:p>
        </w:tc>
        <w:tc>
          <w:tcPr>
            <w:tcW w:w="1600" w:type="dxa"/>
            <w:vAlign w:val="bottom"/>
          </w:tcPr>
          <w:p>
            <w:pPr>
              <w:ind w:left="400"/>
              <w:spacing w:after="0"/>
              <w:rPr>
                <w:sz w:val="20"/>
                <w:szCs w:val="20"/>
                <w:color w:val="auto"/>
              </w:rPr>
            </w:pPr>
            <w:r>
              <w:rPr>
                <w:rFonts w:ascii="Arial" w:cs="Arial" w:eastAsia="Arial" w:hAnsi="Arial"/>
                <w:sz w:val="17"/>
                <w:szCs w:val="17"/>
                <w:color w:val="0000FF"/>
              </w:rPr>
              <w:t>94555</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ARDELYX,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ARDX</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214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2220" w:type="dxa"/>
            <w:vAlign w:val="bottom"/>
          </w:tcPr>
          <w:p>
            <w:pPr>
              <w:spacing w:after="0"/>
              <w:rPr>
                <w:sz w:val="3"/>
                <w:szCs w:val="3"/>
                <w:color w:val="auto"/>
              </w:rPr>
            </w:pPr>
          </w:p>
        </w:tc>
        <w:tc>
          <w:tcPr>
            <w:tcW w:w="2140" w:type="dxa"/>
            <w:vAlign w:val="bottom"/>
            <w:gridSpan w:val="2"/>
            <w:vMerge w:val="continue"/>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400" w:type="dxa"/>
            <w:vAlign w:val="bottom"/>
            <w:tcBorders>
              <w:bottom w:val="single" w:sz="8" w:color="0000EE"/>
            </w:tcBorders>
          </w:tcPr>
          <w:p>
            <w:pPr>
              <w:spacing w:after="0"/>
              <w:rPr>
                <w:sz w:val="3"/>
                <w:szCs w:val="3"/>
                <w:color w:val="auto"/>
              </w:rPr>
            </w:pPr>
          </w:p>
        </w:tc>
        <w:tc>
          <w:tcPr>
            <w:tcW w:w="2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4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1400" w:type="dxa"/>
            <w:vAlign w:val="bottom"/>
            <w:tcBorders>
              <w:bottom w:val="single" w:sz="8" w:color="2C2C2C"/>
            </w:tcBorders>
          </w:tcPr>
          <w:p>
            <w:pPr>
              <w:spacing w:after="0"/>
              <w:rPr>
                <w:sz w:val="16"/>
                <w:szCs w:val="16"/>
                <w:color w:val="auto"/>
              </w:rPr>
            </w:pPr>
          </w:p>
        </w:tc>
        <w:tc>
          <w:tcPr>
            <w:tcW w:w="2220" w:type="dxa"/>
            <w:vAlign w:val="bottom"/>
            <w:tcBorders>
              <w:bottom w:val="single" w:sz="8" w:color="2C2C2C"/>
            </w:tcBorders>
          </w:tcPr>
          <w:p>
            <w:pPr>
              <w:spacing w:after="0"/>
              <w:rPr>
                <w:sz w:val="16"/>
                <w:szCs w:val="16"/>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6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6"/>
                <w:szCs w:val="6"/>
                <w:color w:val="auto"/>
              </w:rPr>
            </w:pPr>
          </w:p>
        </w:tc>
        <w:tc>
          <w:tcPr>
            <w:tcW w:w="1640" w:type="dxa"/>
            <w:vAlign w:val="bottom"/>
            <w:vMerge w:val="restart"/>
          </w:tcPr>
          <w:p>
            <w:pPr>
              <w:ind w:left="100"/>
              <w:spacing w:after="0" w:line="133" w:lineRule="exact"/>
              <w:rPr>
                <w:sz w:val="20"/>
                <w:szCs w:val="20"/>
                <w:color w:val="auto"/>
              </w:rPr>
            </w:pPr>
            <w:r>
              <w:rPr>
                <w:rFonts w:ascii="Arial" w:cs="Arial" w:eastAsia="Arial" w:hAnsi="Arial"/>
                <w:sz w:val="13"/>
                <w:szCs w:val="13"/>
                <w:color w:val="auto"/>
              </w:rPr>
              <w:t>below)</w:t>
            </w:r>
          </w:p>
        </w:tc>
        <w:tc>
          <w:tcPr>
            <w:tcW w:w="1160" w:type="dxa"/>
            <w:vAlign w:val="bottom"/>
            <w:vMerge w:val="restart"/>
          </w:tcPr>
          <w:p>
            <w:pPr>
              <w:ind w:left="2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1640" w:type="dxa"/>
            <w:vAlign w:val="bottom"/>
            <w:vMerge w:val="restart"/>
          </w:tcPr>
          <w:p>
            <w:pPr>
              <w:ind w:left="700"/>
              <w:spacing w:after="0"/>
              <w:rPr>
                <w:sz w:val="20"/>
                <w:szCs w:val="20"/>
                <w:color w:val="auto"/>
              </w:rPr>
            </w:pPr>
            <w:r>
              <w:rPr>
                <w:rFonts w:ascii="Arial" w:cs="Arial" w:eastAsia="Arial" w:hAnsi="Arial"/>
                <w:sz w:val="17"/>
                <w:szCs w:val="17"/>
                <w:color w:val="0000FF"/>
                <w:w w:val="89"/>
              </w:rPr>
              <w:t>See Remarks</w:t>
            </w:r>
          </w:p>
        </w:tc>
        <w:tc>
          <w:tcPr>
            <w:tcW w:w="1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1600" w:type="dxa"/>
            <w:vAlign w:val="bottom"/>
            <w:gridSpan w:val="3"/>
          </w:tcPr>
          <w:p>
            <w:pPr>
              <w:ind w:left="80"/>
              <w:spacing w:after="0"/>
              <w:rPr>
                <w:sz w:val="20"/>
                <w:szCs w:val="20"/>
                <w:color w:val="auto"/>
              </w:rPr>
            </w:pPr>
            <w:r>
              <w:rPr>
                <w:rFonts w:ascii="Arial" w:cs="Arial" w:eastAsia="Arial" w:hAnsi="Arial"/>
                <w:sz w:val="17"/>
                <w:szCs w:val="17"/>
                <w:color w:val="0000FF"/>
              </w:rPr>
              <w:t>02/22/2022</w:t>
            </w:r>
          </w:p>
        </w:tc>
        <w:tc>
          <w:tcPr>
            <w:tcW w:w="2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40" w:type="dxa"/>
            <w:vAlign w:val="bottom"/>
            <w:vMerge w:val="continue"/>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tcPr>
          <w:p>
            <w:pPr>
              <w:spacing w:after="0"/>
              <w:rPr>
                <w:sz w:val="24"/>
                <w:szCs w:val="24"/>
                <w:color w:val="auto"/>
              </w:rPr>
            </w:pPr>
          </w:p>
        </w:tc>
        <w:tc>
          <w:tcPr>
            <w:tcW w:w="222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405"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Arial" w:cs="Arial" w:eastAsia="Arial" w:hAnsi="Arial"/>
                <w:sz w:val="17"/>
                <w:szCs w:val="17"/>
                <w:color w:val="0000FF"/>
              </w:rPr>
              <w:t>02/22/2022</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0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1,752</w:t>
            </w:r>
          </w:p>
        </w:tc>
        <w:tc>
          <w:tcPr>
            <w:tcW w:w="4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0.67</w:t>
            </w:r>
          </w:p>
        </w:tc>
        <w:tc>
          <w:tcPr>
            <w:tcW w:w="120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399,116</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72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Pursuant to an automatic sell-to-cover imposed by the terms of the initial grant of the restricted stock units ("RSUs") awards, the shares were sold upon the vesting of the RSUs solely to cover applicable withholding taxes.</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Chief Regulatory and Quality Affairs Officer</w:t>
      </w:r>
    </w:p>
    <w:p>
      <w:pPr>
        <w:spacing w:after="0" w:line="77"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0185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18540"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Robert</w:t>
      </w:r>
      <w:r>
        <w:rPr>
          <w:sz w:val="20"/>
          <w:szCs w:val="20"/>
          <w:color w:val="auto"/>
        </w:rPr>
        <w:tab/>
      </w:r>
      <w:r>
        <w:rPr>
          <w:rFonts w:ascii="Arial" w:cs="Arial" w:eastAsia="Arial" w:hAnsi="Arial"/>
          <w:sz w:val="15"/>
          <w:szCs w:val="15"/>
          <w:color w:val="0000FF"/>
        </w:rPr>
        <w:t>02/25/2022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Blanks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054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05435"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15433"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2022-02-25T16:28:06Z</dcterms:created>
  <dcterms:modified xsi:type="dcterms:W3CDTF">2022-02-25T16:28:06Z</dcterms:modified>
</cp:coreProperties>
</file>