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Raab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Ardelyx,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34175 Ardenwood Blvd.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Fremont, CA 94555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Ardelyx,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9, 2020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333-239764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Raab: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we have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 applies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 filed July 9,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your forum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selection provision identifies the Court of Chancery of the State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Delaware as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 for certain litigation, including any "derivative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action." Please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whether this provision applies to actions arising under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Act. In that regard, we note that Section 27 of the Exchange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creates exclusive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jurisdiction over all suits brought to enforce any duty or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Exchange Act or the rules and regulations thereunder, and Section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 of the Securities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creates concurrent jurisdiction for federal and state courts over all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suits brought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 any duty or liability created by the Securities Act or the rules and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regulations thereunder.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provision applies to Securities Act claims, please also revise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to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3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 that there is uncertainty as to whether a court would enforce such provision and that</w:t>
      </w:r>
    </w:p>
    <w:p>
      <w:pPr>
        <w:ind w:left="120" w:right="27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cannot waive compliance with the federal securities laws and Michael Raab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Ardelyx,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rules and regulations thereunder. If this provision does not apply to actions arising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Act or Exchange Act, please also tell us how you will inform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future filings that the provision does not apply to any actions arising under the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time for us to review any amendment prior to the requested effective date of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Jeffrey Gabor at 202-551-2544 or Mary Beth Breslin at 202-551-3625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Raab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NameArdelyx,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14, 2020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 V. Roeder,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2021-08-15T19:53:35Z</dcterms:created>
  <dcterms:modified xsi:type="dcterms:W3CDTF">2021-08-15T19:53:35Z</dcterms:modified>
</cp:coreProperties>
</file>