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8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-246380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ind w:left="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UNITED STATES SECURITIES AND EXCHANGE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5184140</wp:posOffset>
            </wp:positionH>
            <wp:positionV relativeFrom="paragraph">
              <wp:posOffset>1905</wp:posOffset>
            </wp:positionV>
            <wp:extent cx="59690" cy="6692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9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3913505</wp:posOffset>
            </wp:positionH>
            <wp:positionV relativeFrom="paragraph">
              <wp:posOffset>1905</wp:posOffset>
            </wp:positionV>
            <wp:extent cx="59690" cy="6692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9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3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 w:line="2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COMMISSION</w:t>
            </w: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top w:val="single" w:sz="8" w:color="808080"/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300"/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1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5" w:lineRule="exact"/>
        <w:rPr>
          <w:sz w:val="24"/>
          <w:szCs w:val="24"/>
          <w:color w:val="auto"/>
        </w:rPr>
      </w:pPr>
    </w:p>
    <w:p>
      <w:pPr>
        <w:jc w:val="center"/>
        <w:ind w:right="2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jc w:val="center"/>
        <w:ind w:right="2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-1708785</wp:posOffset>
            </wp:positionH>
            <wp:positionV relativeFrom="paragraph">
              <wp:posOffset>13970</wp:posOffset>
            </wp:positionV>
            <wp:extent cx="6987540" cy="52705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7540" cy="5270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40" w:space="440"/>
            <w:col w:w="8400"/>
          </w:cols>
          <w:pgMar w:left="460" w:top="226" w:right="35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Williams Laura A</w:t>
        </w:r>
      </w:hyperlink>
    </w:p>
    <w:p>
      <w:pPr>
        <w:spacing w:after="0" w:line="30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3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</w:tr>
      <w:tr>
        <w:trPr>
          <w:trHeight w:val="2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C/O ARDELYX, INC.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400 FIFTH AVENUE, SUITE 210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70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WALTHAM</w:t>
            </w:r>
          </w:p>
        </w:tc>
        <w:tc>
          <w:tcPr>
            <w:tcW w:w="13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MA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02451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3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143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ARDELYX, INC.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ARDX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4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3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4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4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16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06/27/2023</w:t>
            </w: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Chief Medical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3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00"/>
        <w:spacing w:after="0" w:line="223" w:lineRule="auto"/>
        <w:tabs>
          <w:tab w:leader="none" w:pos="44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142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Rule 10b5-1(c) Transaction Indication</w:t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40" w:right="340"/>
        <w:spacing w:after="0" w:line="26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3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3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00" w:type="dxa"/>
            <w:vAlign w:val="bottom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00" w:type="dxa"/>
            <w:vAlign w:val="bottom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 V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06/27/2023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25,000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3.3453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1"/>
                <w:vertAlign w:val="superscript"/>
              </w:rPr>
              <w:t>(1)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294,430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80" w:type="dxa"/>
            <w:vAlign w:val="bottom"/>
            <w:gridSpan w:val="10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10.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2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00" w:type="dxa"/>
            <w:vAlign w:val="bottom"/>
          </w:tcPr>
          <w:p>
            <w:pPr>
              <w:ind w:left="2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00" w:type="dxa"/>
            <w:vAlign w:val="bottom"/>
          </w:tcPr>
          <w:p>
            <w:pPr>
              <w:ind w:left="2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00" w:type="dxa"/>
            <w:vAlign w:val="bottom"/>
          </w:tcPr>
          <w:p>
            <w:pPr>
              <w:ind w:left="2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00" w:type="dxa"/>
            <w:vAlign w:val="bottom"/>
          </w:tcPr>
          <w:p>
            <w:pPr>
              <w:ind w:left="2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(Instr. 3, 4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-1909445</wp:posOffset>
            </wp:positionV>
            <wp:extent cx="29845" cy="1913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91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 w:right="180" w:firstLine="9"/>
        <w:spacing w:after="0" w:line="233" w:lineRule="auto"/>
        <w:tabs>
          <w:tab w:leader="none" w:pos="17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This transaction was executed in multiple trades in prices ranging from $3.331 to $3.365, inclusive. The price reported in Column 4 above reflects the weighted average sales price. The Reporting Person hereby undertakes to provide to the Securities and Exchange Commission staff, the Issuer, or a security holder of the Issuer, upon request, full information regarding the number of shares sold at each respective price within the range set forth in this footnote.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Elizabeth Grammer,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-13970</wp:posOffset>
            </wp:positionV>
            <wp:extent cx="103378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378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 for Laura A. 06/29/2023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-17780</wp:posOffset>
            </wp:positionV>
            <wp:extent cx="190436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436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Williams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-17780</wp:posOffset>
            </wp:positionV>
            <wp:extent cx="404495" cy="889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449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  <w:tab/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22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869194" TargetMode="External"/><Relationship Id="rId13" Type="http://schemas.openxmlformats.org/officeDocument/2006/relationships/hyperlink" Target="http://www.sec.gov/cgi-bin/browse-edgar?action=getcompany&amp;CIK=000143740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2023-06-29T19:48:34Z</dcterms:created>
  <dcterms:modified xsi:type="dcterms:W3CDTF">2023-06-29T19:48:34Z</dcterms:modified>
</cp:coreProperties>
</file>