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903605</wp:posOffset>
            </wp:positionH>
            <wp:positionV relativeFrom="page">
              <wp:posOffset>157480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page">
              <wp:posOffset>903605</wp:posOffset>
            </wp:positionH>
            <wp:positionV relativeFrom="page">
              <wp:posOffset>200660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99060</wp:posOffset>
            </wp:positionV>
            <wp:extent cx="5754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5754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5754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ARDELYX,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5754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89" w:lineRule="exact"/>
        <w:rPr>
          <w:sz w:val="24"/>
          <w:szCs w:val="24"/>
          <w:color w:val="auto"/>
        </w:rPr>
      </w:pPr>
    </w:p>
    <w:tbl>
      <w:tblPr>
        <w:tblLayout w:type="fixed"/>
        <w:tblInd w:w="460" w:type="dxa"/>
        <w:tblCellMar>
          <w:top w:w="0" w:type="dxa"/>
          <w:left w:w="0" w:type="dxa"/>
          <w:bottom w:w="0" w:type="dxa"/>
          <w:right w:w="0" w:type="dxa"/>
        </w:tblCellMar>
      </w:tblP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19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26-1303944</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88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9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9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342"/>
        </w:trPr>
        <w:tc>
          <w:tcPr>
            <w:tcW w:w="2160" w:type="dxa"/>
            <w:vAlign w:val="bottom"/>
          </w:tcPr>
          <w:p>
            <w:pPr>
              <w:spacing w:after="0"/>
              <w:rPr>
                <w:sz w:val="24"/>
                <w:szCs w:val="24"/>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34175 Ardenwood Blvd.</w:t>
            </w:r>
          </w:p>
        </w:tc>
        <w:tc>
          <w:tcPr>
            <w:tcW w:w="1940" w:type="dxa"/>
            <w:vAlign w:val="bottom"/>
          </w:tcPr>
          <w:p>
            <w:pPr>
              <w:spacing w:after="0"/>
              <w:rPr>
                <w:sz w:val="24"/>
                <w:szCs w:val="24"/>
                <w:color w:val="auto"/>
              </w:rPr>
            </w:pPr>
          </w:p>
        </w:tc>
      </w:tr>
      <w:tr>
        <w:trPr>
          <w:trHeight w:val="214"/>
        </w:trPr>
        <w:tc>
          <w:tcPr>
            <w:tcW w:w="2160" w:type="dxa"/>
            <w:vAlign w:val="bottom"/>
          </w:tcPr>
          <w:p>
            <w:pPr>
              <w:spacing w:after="0"/>
              <w:rPr>
                <w:sz w:val="18"/>
                <w:szCs w:val="18"/>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Fremont, CA 94555</w:t>
            </w:r>
          </w:p>
        </w:tc>
        <w:tc>
          <w:tcPr>
            <w:tcW w:w="1940" w:type="dxa"/>
            <w:vAlign w:val="bottom"/>
          </w:tcPr>
          <w:p>
            <w:pPr>
              <w:spacing w:after="0"/>
              <w:rPr>
                <w:sz w:val="18"/>
                <w:szCs w:val="18"/>
                <w:color w:val="auto"/>
              </w:rPr>
            </w:pPr>
          </w:p>
        </w:tc>
      </w:tr>
      <w:tr>
        <w:trPr>
          <w:trHeight w:val="190"/>
        </w:trPr>
        <w:tc>
          <w:tcPr>
            <w:tcW w:w="2160" w:type="dxa"/>
            <w:vAlign w:val="bottom"/>
          </w:tcPr>
          <w:p>
            <w:pPr>
              <w:spacing w:after="0"/>
              <w:rPr>
                <w:sz w:val="16"/>
                <w:szCs w:val="16"/>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940" w:type="dxa"/>
            <w:vAlign w:val="bottom"/>
          </w:tcPr>
          <w:p>
            <w:pPr>
              <w:spacing w:after="0"/>
              <w:rPr>
                <w:sz w:val="16"/>
                <w:szCs w:val="16"/>
                <w:color w:val="auto"/>
              </w:rPr>
            </w:pPr>
          </w:p>
        </w:tc>
      </w:tr>
    </w:tbl>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5754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304"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260" w:hanging="257"/>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7"/>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7"/>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60" w:hanging="257"/>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58" w:lineRule="exact"/>
        <w:rPr>
          <w:sz w:val="24"/>
          <w:szCs w:val="24"/>
          <w:color w:val="auto"/>
        </w:rPr>
      </w:pPr>
    </w:p>
    <w:p>
      <w:pPr>
        <w:ind w:right="80"/>
        <w:spacing w:after="0" w:line="22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w:t>
            </w:r>
          </w:p>
        </w:tc>
        <w:tc>
          <w:tcPr>
            <w:tcW w:w="280" w:type="dxa"/>
            <w:vAlign w:val="bottom"/>
          </w:tcPr>
          <w:p>
            <w:pPr>
              <w:spacing w:after="0"/>
              <w:rPr>
                <w:sz w:val="15"/>
                <w:szCs w:val="15"/>
                <w:color w:val="auto"/>
              </w:rPr>
            </w:pP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ARDX</w:t>
            </w:r>
          </w:p>
        </w:tc>
        <w:tc>
          <w:tcPr>
            <w:tcW w:w="280" w:type="dxa"/>
            <w:vAlign w:val="bottom"/>
          </w:tcPr>
          <w:p>
            <w:pPr>
              <w:spacing w:after="0"/>
              <w:rPr>
                <w:sz w:val="15"/>
                <w:szCs w:val="15"/>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r>
        <w:trPr>
          <w:trHeight w:val="109"/>
        </w:trPr>
        <w:tc>
          <w:tcPr>
            <w:tcW w:w="27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420" w:type="dxa"/>
            <w:vAlign w:val="bottom"/>
            <w:tcBorders>
              <w:bottom w:val="single" w:sz="8" w:color="auto"/>
            </w:tcBorders>
          </w:tcPr>
          <w:p>
            <w:pPr>
              <w:spacing w:after="0"/>
              <w:rPr>
                <w:sz w:val="9"/>
                <w:szCs w:val="9"/>
                <w:color w:val="auto"/>
              </w:rPr>
            </w:pPr>
          </w:p>
        </w:tc>
      </w:tr>
      <w:tr>
        <w:trPr>
          <w:trHeight w:val="41"/>
        </w:trPr>
        <w:tc>
          <w:tcPr>
            <w:tcW w:w="27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tcPr>
          <w:p>
            <w:pPr>
              <w:spacing w:after="0"/>
              <w:rPr>
                <w:sz w:val="3"/>
                <w:szCs w:val="3"/>
                <w:color w:val="auto"/>
              </w:rPr>
            </w:pPr>
          </w:p>
        </w:tc>
      </w:tr>
      <w:tr>
        <w:trPr>
          <w:trHeight w:val="777"/>
        </w:trPr>
        <w:tc>
          <w:tcPr>
            <w:tcW w:w="2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362" w:right="1419" w:bottom="1440" w:gutter="0" w:footer="0" w:header="0"/>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179"/>
        <w:spacing w:after="0" w:line="229" w:lineRule="exact"/>
        <w:rPr>
          <w:sz w:val="20"/>
          <w:szCs w:val="20"/>
          <w:color w:val="auto"/>
        </w:rPr>
      </w:pPr>
      <w:r>
        <w:rPr>
          <w:rFonts w:ascii="Times New Roman" w:cs="Times New Roman" w:eastAsia="Times New Roman" w:hAnsi="Times New Roman"/>
          <w:sz w:val="18"/>
          <w:szCs w:val="18"/>
          <w:color w:val="auto"/>
        </w:rPr>
        <w:t>On November 6, 2019, Ardelyx, Inc. (the “Company”) announced its financial results for the quarter ended September 30, 2019. The full text of the press release issued in connection with the announcement is furnished as Exhibit 99.1 to this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9" w:lineRule="exact"/>
        <w:rPr>
          <w:sz w:val="20"/>
          <w:szCs w:val="20"/>
          <w:color w:val="auto"/>
        </w:rPr>
      </w:pPr>
    </w:p>
    <w:p>
      <w:pPr>
        <w:ind w:right="39"/>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17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780" w:type="dxa"/>
            <w:vAlign w:val="bottom"/>
            <w:vMerge w:val="restart"/>
          </w:tcPr>
          <w:p>
            <w:pPr>
              <w:ind w:left="20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2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5754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107" w:lineRule="exact"/>
        <w:rPr>
          <w:sz w:val="20"/>
          <w:szCs w:val="20"/>
          <w:color w:val="auto"/>
        </w:rPr>
      </w:pPr>
    </w:p>
    <w:p>
      <w:pPr>
        <w:ind w:left="140"/>
        <w:spacing w:after="0"/>
        <w:tabs>
          <w:tab w:leader="none" w:pos="8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EE"/>
          </w:rPr>
          <w:t>Press release of Ardelyx,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4620" w:val="left"/>
        </w:tabs>
        <w:rPr>
          <w:sz w:val="20"/>
          <w:szCs w:val="20"/>
          <w:color w:val="auto"/>
        </w:rPr>
      </w:pPr>
      <w:r>
        <w:rPr>
          <w:rFonts w:ascii="Times New Roman" w:cs="Times New Roman" w:eastAsia="Times New Roman" w:hAnsi="Times New Roman"/>
          <w:sz w:val="18"/>
          <w:szCs w:val="18"/>
          <w:color w:val="auto"/>
        </w:rPr>
        <w:t>Date: November 6, 2019</w:t>
      </w:r>
      <w:r>
        <w:rPr>
          <w:sz w:val="20"/>
          <w:szCs w:val="20"/>
          <w:color w:val="auto"/>
        </w:rPr>
        <w:tab/>
      </w:r>
      <w:r>
        <w:rPr>
          <w:rFonts w:ascii="Times New Roman" w:cs="Times New Roman" w:eastAsia="Times New Roman" w:hAnsi="Times New Roman"/>
          <w:sz w:val="17"/>
          <w:szCs w:val="17"/>
          <w:color w:val="auto"/>
        </w:rPr>
        <w:t>ARDELYX, INC.</w:t>
      </w:r>
    </w:p>
    <w:p>
      <w:pPr>
        <w:spacing w:after="0" w:line="22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By: /s/ Mark Kaufmann</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-130810</wp:posOffset>
            </wp:positionV>
            <wp:extent cx="2598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4710430</wp:posOffset>
            </wp:positionH>
            <wp:positionV relativeFrom="paragraph">
              <wp:posOffset>157480</wp:posOffset>
            </wp:positionV>
            <wp:extent cx="1680845"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084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Reports Third Quarter 2019 Financial Results and Recent Highlights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PHREEDOM clinical trial to read out this quarter</w:t>
      </w:r>
    </w:p>
    <w:p>
      <w:pPr>
        <w:spacing w:after="0" w:line="22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FREMONT, Calif., November 6, 2019 </w:t>
      </w:r>
      <w:r>
        <w:rPr>
          <w:rFonts w:ascii="Times New Roman" w:cs="Times New Roman" w:eastAsia="Times New Roman" w:hAnsi="Times New Roman"/>
          <w:sz w:val="18"/>
          <w:szCs w:val="18"/>
          <w:color w:val="auto"/>
        </w:rPr>
        <w:t>-- Ardelyx, Inc. (Nasdaq: ARDX), a specialized biopharmaceutical company focused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developing first-in-class medicines to improve treatment choices for people with cardiorenal diseases, today reported business highlights and financial results for the third quarter ended September 30, 2019.</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third quarter was particularly exciting with two transformational milestones occurring in rapid succession and serving as major catalysts for growth and momentum at Ardelyx,” said Mike Raab, president and chief executive officer of Ardelyx. “First, we were pleased to report successful results from our Phase 3 AMPLIFY study for tenapanor in hyperphosphatemia, positioning us one step closer to submitting our New Drug Application to the FDA and potentially providing our drug broadly to patients in need. On the heels of that milestone, we announced the approval of IBSRELA. This approval marked a momentous achievement for Ardelyx as our first ever product approved and represented the culmination of more than a decade of diligent execution and commitment by our talented team. Importantly, these milestones propel us toward fulfilling our mission to bring innovative first-in-class medicines to improve treatments for patients in need.”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Pipeline Updates</w:t>
      </w:r>
    </w:p>
    <w:p>
      <w:pPr>
        <w:spacing w:after="0" w:line="229" w:lineRule="exact"/>
        <w:rPr>
          <w:sz w:val="20"/>
          <w:szCs w:val="20"/>
          <w:color w:val="auto"/>
        </w:rPr>
      </w:pPr>
    </w:p>
    <w:p>
      <w:pPr>
        <w:ind w:left="640" w:right="20" w:hanging="317"/>
        <w:spacing w:after="0" w:line="254"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2019, Ardelyx hosted Analyst Day, the second of an anticipated annual event. The event featured Myles Wolf, M.D., chief of nephrology at Duke University, and the company’s new team of sales and marketing leaders. The event focused on the significant need to improve hyperphosphatemia management in patients on dialysis, challenges with today’s treatment options that are limited to phosphate binders, and the commercial strategy to bring tenapanor to market, if and when approved. A replay of the event is available on the Events and Presentations page under the investor relations section of Ardelyx's website at www.ardelyx.com.</w:t>
      </w:r>
    </w:p>
    <w:p>
      <w:pPr>
        <w:ind w:left="640" w:hanging="317"/>
        <w:spacing w:after="0" w:line="250"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Ardelyx announced positive results from the pivotal Phase 3 AMPLIFY study evaluating tenapanor in dialysis patients who have uncontrolled hyperphosphatemia despite phosphate binder treatment. The AMPLIFY study met the primary and all key secondary endpoints, including demonstrating a statistically significant (p=0.0004) reduction in serum phosphorus levels for patients treated with tenapanor and phosphate binders compared to phosphate binders alone. Approximately two times more patients achieved the established serum phosphorus treatment goal of less than 5.5mg/dL in the tenapanor arm compared to binders alone (p -values≤0.0097) for each week of treatment.</w:t>
      </w:r>
    </w:p>
    <w:p>
      <w:pPr>
        <w:spacing w:after="0" w:line="2" w:lineRule="exact"/>
        <w:rPr>
          <w:rFonts w:ascii="Times New Roman" w:cs="Times New Roman" w:eastAsia="Times New Roman" w:hAnsi="Times New Roman"/>
          <w:sz w:val="18"/>
          <w:szCs w:val="18"/>
          <w:color w:val="auto"/>
        </w:rPr>
      </w:pPr>
    </w:p>
    <w:p>
      <w:pPr>
        <w:ind w:left="640" w:right="340" w:hanging="317"/>
        <w:spacing w:after="0" w:line="254"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Ardelyx received FDA approval for IBSRELA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xml:space="preserve"> (tenapanor), an NHE3 sodium transport inhibitor, for the treatment of irritable bowel syndrome with constipation. The approval was supported by two Phase 3 trials demonstrating a statistically significant reduction in constipation and abdominal pain in adult patients with IBS-C. The company continues discussions with potential strategic partners to market IBSRELA in the United States.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Milestones</w:t>
      </w:r>
    </w:p>
    <w:p>
      <w:pPr>
        <w:spacing w:after="0" w:line="22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company currently expects to announce results in the fourth quarter of 2019 from the PHREEDOM clinical trial, the company’s second Phase 3 clinical trial evaluating tenapanor as a monotherapy treatment for hyperphosphatemia in patients with chronic kidney disease (CKD) who are on dialysis.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2019 Financial Results</w:t>
      </w:r>
    </w:p>
    <w:p>
      <w:pPr>
        <w:spacing w:after="0" w:line="229" w:lineRule="exact"/>
        <w:rPr>
          <w:sz w:val="20"/>
          <w:szCs w:val="20"/>
          <w:color w:val="auto"/>
        </w:rPr>
      </w:pPr>
    </w:p>
    <w:p>
      <w:pPr>
        <w:ind w:left="640" w:right="140" w:hanging="317"/>
        <w:spacing w:after="0" w:line="26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Position: As of September 30, 2019, Ardelyx had total capital resources including cash, cash equivalents and short-term investments of $103.5 million compared to total capital resources including cash, cash equivalents and short-term investments of $168.1 million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466725</wp:posOffset>
            </wp:positionV>
            <wp:extent cx="638873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17" w:right="919" w:bottom="1440" w:gutter="0" w:footer="0" w:header="0"/>
        </w:sectPr>
      </w:pPr>
    </w:p>
    <w:bookmarkStart w:id="4" w:name="page5"/>
    <w:bookmarkEnd w:id="4"/>
    <w:p>
      <w:pPr>
        <w:ind w:left="640" w:hanging="317"/>
        <w:spacing w:after="0" w:line="25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5294630</wp:posOffset>
            </wp:positionH>
            <wp:positionV relativeFrom="page">
              <wp:posOffset>88900</wp:posOffset>
            </wp:positionV>
            <wp:extent cx="168084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680845" cy="445770"/>
                    </a:xfrm>
                    <a:prstGeom prst="rect">
                      <a:avLst/>
                    </a:prstGeom>
                    <a:noFill/>
                  </pic:spPr>
                </pic:pic>
              </a:graphicData>
            </a:graphic>
          </wp:anchor>
        </w:drawing>
        <w:t>R&amp;D Expenses: Research and development expenses were $17.5 million for the three months ended September 30, 2019, a decrease of $0.4 million, or 2 percent, compared to $17.9 million for the three months ended September 30, 2018. The decrease in expense was primarily related to reduction in the company’s manufacturing expense of tenapanor, a reduction in costs associated with the continued clinical development of tenapanor for the treatment of hyperphosphatemia in CKD patients on dialysis and a decrease in professional services, partially offset by an increase in expenses in the company’s hyperkalemia program, RDX013, an increase in headcount and related personnel costs and an increase in stock-based compensation expenses.</w:t>
      </w:r>
    </w:p>
    <w:p>
      <w:pPr>
        <w:spacing w:after="0" w:line="187" w:lineRule="exact"/>
        <w:rPr>
          <w:rFonts w:ascii="Times New Roman" w:cs="Times New Roman" w:eastAsia="Times New Roman" w:hAnsi="Times New Roman"/>
          <w:sz w:val="18"/>
          <w:szCs w:val="18"/>
          <w:color w:val="auto"/>
        </w:rPr>
      </w:pPr>
    </w:p>
    <w:p>
      <w:pPr>
        <w:ind w:left="640" w:right="60" w:hanging="317"/>
        <w:spacing w:after="0" w:line="261"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G&amp;A Expenses: General and administrative expenses were $6.9 million for the three months ended September 30, 2019, an increase of $0.9 million, or 16 percent, compared to $6.0 million for the three months ended September 30, 2018. The increase was primarily related to an increase in stock-based compensation costs and an increase in professional services, partially offset by a decrease in personnel costs related to a one-time severance payment during the three months ended September 30, 2018.</w:t>
      </w:r>
    </w:p>
    <w:p>
      <w:pPr>
        <w:spacing w:after="0" w:line="180" w:lineRule="exact"/>
        <w:rPr>
          <w:rFonts w:ascii="Times New Roman" w:cs="Times New Roman" w:eastAsia="Times New Roman" w:hAnsi="Times New Roman"/>
          <w:sz w:val="18"/>
          <w:szCs w:val="18"/>
          <w:color w:val="auto"/>
        </w:rPr>
      </w:pPr>
    </w:p>
    <w:p>
      <w:pPr>
        <w:ind w:left="640" w:hanging="317"/>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Net loss for the three months ended September 30, 2019 was $23.5 million, or $0.37 per share, compared to a net loss of $24.1 million, or $0.39 per share, for the three months ended September 30,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Ardelyx maintains its expectation that its cash, cash equivalents and short-term investments are sufficient to fund the company’s operations until at least early 2021 based on its current operating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Ardelyx, Inc.</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Ardelyx is focused on enhancing the way people with cardiorenal diseases are treated by developing first-in-class medicines. Ardelyx’s cardiorenal pipeline includes the Phase 3 development of tenapanor for the treatment of hyperphosphatemia in people with end-stage renal disease (ESRD) who are on dialysis, and RDX013, a potassium secretagogue program for the potential treatment of high potassium, or hyperkalemia, a problem among certain patients with kidney and/or heart disease. In addition, Ardelyx has received approval of IBSRELA (tenapanor). To efficiently bring its treatments to market, Ardelyx is pursuing strategic collaborations for tenapanor for IBS-C and hyperphosphatemia in certain territories. Ardelyx has established agreements with Kyowa Kirin (formerly known as Kyowa Hakko Kirin) in Japan, Fosun Pharma in China and Knight Therapeutics in Canada. For more information, please visit http://www.ardelyx.com and connect with us on Twitter @Ardelyx.</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the potential for Ardelyx’s products and product candidates in treating the diseases and conditions for which they are approved and being developed, the potential for the use of tenapanor as monotherapy and in combination with phosphate binders for the treatment of hyperphosphatemia, Ardelyx’s expected timing for receipt and announcement of data from its ongoing PHREEDOM Phase 3 clinical trial of tenapanor for the treatment of hyperphosphatemia in CKD patients on dialysis, the potential to submit a New Drug Application to the FDA for tenapanor for the treatment of hyperphosphatemia in CKD patients on dialysis and the potential for the FDA approval of tenapanor in such indication, and Ardelyx’s expectation regarding the exhaustion of its current capital resources. Such forward-looking statements involve substantial risks and uncertainties that could cause the development and commercialization of Ardelyx’s products and product candidates or Ardelyx’s future results, performance or achievements to differ significantly from those expressed or implied by the forward-looking statements. Such risks and uncertainties include, among others, the uncertainties inherent in research and the clinical development process; the uncertainties associated with the regulatory approval process; and the uncertainties in the drug commercialization process.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Quarterly Report on Form 10-Q filed with the Securities and Exchange Commission on November 6, 2019, and its future current and periodic reports to be filed with the Securities and Exchange Commission.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Kimia Keshtbod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510-745-1751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638873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040" w:right="9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5294630</wp:posOffset>
            </wp:positionH>
            <wp:positionV relativeFrom="page">
              <wp:posOffset>88900</wp:posOffset>
            </wp:positionV>
            <wp:extent cx="1680845"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680845" cy="445770"/>
                    </a:xfrm>
                    <a:prstGeom prst="rect">
                      <a:avLst/>
                    </a:prstGeom>
                    <a:noFill/>
                  </pic:spPr>
                </pic:pic>
              </a:graphicData>
            </a:graphic>
          </wp:anchor>
        </w:drawing>
        <w:t>kkeshtbod@ardelyx.com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Sylvia Wheeler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Wheelhouse Life Science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swheeler@wheelhouselsa.com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Santos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Wheelhouse Life Science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asantos@wheelhouselsa.com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638873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539"/>
          </w:cols>
          <w:pgMar w:left="920" w:top="1040"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5294630</wp:posOffset>
            </wp:positionH>
            <wp:positionV relativeFrom="page">
              <wp:posOffset>88900</wp:posOffset>
            </wp:positionV>
            <wp:extent cx="1680845"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680845" cy="445770"/>
                    </a:xfrm>
                    <a:prstGeom prst="rect">
                      <a:avLst/>
                    </a:prstGeom>
                    <a:noFill/>
                  </pic:spPr>
                </pic:pic>
              </a:graphicData>
            </a:graphic>
          </wp:anchor>
        </w:drawing>
        <w:t>Ardelyx,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5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42"/>
        </w:trPr>
        <w:tc>
          <w:tcPr>
            <w:tcW w:w="25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(1)</w:t>
            </w: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92,673</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78,768</w:t>
            </w:r>
          </w:p>
        </w:tc>
      </w:tr>
      <w:tr>
        <w:trPr>
          <w:trHeight w:val="216"/>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89,321</w:t>
            </w:r>
          </w:p>
        </w:tc>
      </w:tr>
      <w:tr>
        <w:trPr>
          <w:trHeight w:val="216"/>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Unbilled license revenue</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w:t>
            </w:r>
          </w:p>
        </w:tc>
      </w:tr>
      <w:tr>
        <w:trPr>
          <w:trHeight w:val="216"/>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Prepaid and other assets</w:t>
            </w:r>
          </w:p>
        </w:tc>
        <w:tc>
          <w:tcPr>
            <w:tcW w:w="18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4,547</w:t>
            </w:r>
          </w:p>
        </w:tc>
      </w:tr>
      <w:tr>
        <w:trPr>
          <w:trHeight w:val="217"/>
        </w:trPr>
        <w:tc>
          <w:tcPr>
            <w:tcW w:w="52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18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119,410</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183,332</w:t>
            </w:r>
          </w:p>
        </w:tc>
      </w:tr>
      <w:tr>
        <w:trPr>
          <w:trHeight w:val="216"/>
        </w:trPr>
        <w:tc>
          <w:tcPr>
            <w:tcW w:w="25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9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16,728</w:t>
            </w:r>
          </w:p>
        </w:tc>
      </w:tr>
      <w:tr>
        <w:trPr>
          <w:trHeight w:val="216"/>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Uncharged license fees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Loan payable, long term</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49,209</w:t>
            </w:r>
          </w:p>
        </w:tc>
      </w:tr>
      <w:tr>
        <w:trPr>
          <w:trHeight w:val="216"/>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16"/>
        </w:trPr>
        <w:tc>
          <w:tcPr>
            <w:tcW w:w="5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18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49,158</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115,813</w:t>
            </w:r>
          </w:p>
        </w:tc>
      </w:tr>
      <w:tr>
        <w:trPr>
          <w:trHeight w:val="217"/>
        </w:trPr>
        <w:tc>
          <w:tcPr>
            <w:tcW w:w="526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119,410</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183,332</w:t>
            </w:r>
          </w:p>
        </w:tc>
      </w:tr>
      <w:tr>
        <w:trPr>
          <w:trHeight w:val="108"/>
        </w:trPr>
        <w:tc>
          <w:tcPr>
            <w:tcW w:w="2520" w:type="dxa"/>
            <w:vAlign w:val="bottom"/>
            <w:tcBorders>
              <w:bottom w:val="single" w:sz="8" w:color="auto"/>
            </w:tcBorders>
          </w:tcPr>
          <w:p>
            <w:pPr>
              <w:spacing w:after="0"/>
              <w:rPr>
                <w:sz w:val="9"/>
                <w:szCs w:val="9"/>
                <w:color w:val="auto"/>
              </w:rPr>
            </w:pPr>
          </w:p>
        </w:tc>
        <w:tc>
          <w:tcPr>
            <w:tcW w:w="27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Derived from the audited consolidated financial statements included on Form 10-K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360680</wp:posOffset>
            </wp:positionV>
            <wp:extent cx="638873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36" w:right="9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5294630</wp:posOffset>
            </wp:positionH>
            <wp:positionV relativeFrom="page">
              <wp:posOffset>88900</wp:posOffset>
            </wp:positionV>
            <wp:extent cx="1680845"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680845" cy="445770"/>
                    </a:xfrm>
                    <a:prstGeom prst="rect">
                      <a:avLst/>
                    </a:prstGeom>
                    <a:noFill/>
                  </pic:spPr>
                </pic:pic>
              </a:graphicData>
            </a:graphic>
          </wp:anchor>
        </w:drawing>
        <w:t>Ardelyx,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308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Licensing revenue</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8"/>
                <w:szCs w:val="18"/>
                <w:color w:val="auto"/>
              </w:rPr>
            </w:pP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revenue</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17,580</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17,941</w:t>
            </w:r>
          </w:p>
        </w:tc>
        <w:tc>
          <w:tcPr>
            <w:tcW w:w="24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57,436</w:t>
            </w:r>
          </w:p>
        </w:tc>
        <w:tc>
          <w:tcPr>
            <w:tcW w:w="120" w:type="dxa"/>
            <w:vAlign w:val="bottom"/>
          </w:tcPr>
          <w:p>
            <w:pPr>
              <w:spacing w:after="0"/>
              <w:rPr>
                <w:sz w:val="18"/>
                <w:szCs w:val="18"/>
                <w:color w:val="auto"/>
              </w:rPr>
            </w:pP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24,502</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23,902</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74,846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(1,443)</w:t>
            </w:r>
          </w:p>
        </w:tc>
        <w:tc>
          <w:tcPr>
            <w:tcW w:w="2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(1,404)</w:t>
            </w: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(301)</w:t>
            </w:r>
          </w:p>
        </w:tc>
        <w:tc>
          <w:tcPr>
            <w:tcW w:w="2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140" w:type="dxa"/>
            <w:vAlign w:val="bottom"/>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Net loss per common share, basic &amp;</w:t>
            </w:r>
          </w:p>
        </w:tc>
        <w:tc>
          <w:tcPr>
            <w:tcW w:w="260" w:type="dxa"/>
            <w:vAlign w:val="bottom"/>
            <w:vMerge w:val="restart"/>
          </w:tcPr>
          <w:p>
            <w:pPr>
              <w:spacing w:after="0"/>
              <w:rPr>
                <w:sz w:val="14"/>
                <w:szCs w:val="14"/>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vMerge w:val="restart"/>
          </w:tcPr>
          <w:p>
            <w:pPr>
              <w:spacing w:after="0"/>
              <w:rPr>
                <w:sz w:val="14"/>
                <w:szCs w:val="14"/>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40" w:type="dxa"/>
            <w:vAlign w:val="bottom"/>
            <w:vMerge w:val="restart"/>
          </w:tcPr>
          <w:p>
            <w:pPr>
              <w:spacing w:after="0"/>
              <w:rPr>
                <w:sz w:val="14"/>
                <w:szCs w:val="14"/>
                <w:color w:val="auto"/>
              </w:rPr>
            </w:pPr>
          </w:p>
        </w:tc>
        <w:tc>
          <w:tcPr>
            <w:tcW w:w="24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360" w:type="dxa"/>
            <w:vAlign w:val="bottom"/>
            <w:gridSpan w:val="2"/>
            <w:vMerge w:val="restart"/>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5"/>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Shares used in computing net loss per</w:t>
            </w: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62,828,513</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62,071,397</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62, 676,591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54,204,907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share, basic and diluted</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497840</wp:posOffset>
            </wp:positionV>
            <wp:extent cx="638873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sectPr>
      <w:pgSz w:w="11900" w:h="16838" w:orient="portrait"/>
      <w:cols w:equalWidth="0" w:num="1">
        <w:col w:w="10060"/>
      </w:cols>
      <w:pgMar w:left="920" w:top="1036"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2019-12-28T02:20:30Z</dcterms:created>
  <dcterms:modified xsi:type="dcterms:W3CDTF">2019-12-28T02:20:30Z</dcterms:modified>
</cp:coreProperties>
</file>