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8"/>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New Enterprise Associates 12, Limited</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8"/>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8"/>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Borders>
              <w:top w:val="single" w:sz="8" w:color="0000EE"/>
            </w:tcBorders>
            <w:gridSpan w:val="2"/>
            <w:vMerge w:val="restart"/>
          </w:tcPr>
          <w:p>
            <w:pPr>
              <w:spacing w:after="0" w:line="209" w:lineRule="exact"/>
              <w:rPr>
                <w:rFonts w:ascii="Arial" w:cs="Arial" w:eastAsia="Arial" w:hAnsi="Arial"/>
                <w:sz w:val="22"/>
                <w:szCs w:val="22"/>
                <w:color w:val="0000EE"/>
                <w:w w:val="87"/>
              </w:rPr>
            </w:pPr>
            <w:hyperlink r:id="rId12">
              <w:r>
                <w:rPr>
                  <w:rFonts w:ascii="Arial" w:cs="Arial" w:eastAsia="Arial" w:hAnsi="Arial"/>
                  <w:sz w:val="22"/>
                  <w:szCs w:val="22"/>
                  <w:color w:val="0000EE"/>
                  <w:w w:val="87"/>
                </w:rPr>
                <w:t>Partnership</w:t>
              </w:r>
            </w:hyperlink>
          </w:p>
        </w:tc>
        <w:tc>
          <w:tcPr>
            <w:tcW w:w="24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08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Borders>
              <w:bottom w:val="single" w:sz="8" w:color="0000EE"/>
            </w:tcBorders>
            <w:gridSpan w:val="2"/>
            <w:vMerge w:val="continue"/>
          </w:tcPr>
          <w:p>
            <w:pPr>
              <w:spacing w:after="0"/>
              <w:rPr>
                <w:sz w:val="10"/>
                <w:szCs w:val="10"/>
                <w:color w:val="auto"/>
              </w:rPr>
            </w:pPr>
          </w:p>
        </w:tc>
        <w:tc>
          <w:tcPr>
            <w:tcW w:w="24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c>
          <w:tcPr>
            <w:tcW w:w="2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tcPr>
          <w:p>
            <w:pPr>
              <w:ind w:left="140"/>
              <w:spacing w:after="0" w:line="88" w:lineRule="exact"/>
              <w:rPr>
                <w:sz w:val="20"/>
                <w:szCs w:val="20"/>
                <w:color w:val="auto"/>
              </w:rPr>
            </w:pPr>
            <w:r>
              <w:rPr>
                <w:rFonts w:ascii="Arial" w:cs="Arial" w:eastAsia="Arial" w:hAnsi="Arial"/>
                <w:sz w:val="10"/>
                <w:szCs w:val="10"/>
                <w:color w:val="auto"/>
              </w:rPr>
              <w:t>below)</w:t>
            </w:r>
          </w:p>
        </w:tc>
        <w:tc>
          <w:tcPr>
            <w:tcW w:w="960" w:type="dxa"/>
            <w:vAlign w:val="bottom"/>
          </w:tcPr>
          <w:p>
            <w:pPr>
              <w:ind w:left="540"/>
              <w:spacing w:after="0" w:line="88" w:lineRule="exact"/>
              <w:rPr>
                <w:sz w:val="20"/>
                <w:szCs w:val="20"/>
                <w:color w:val="auto"/>
              </w:rPr>
            </w:pPr>
            <w:r>
              <w:rPr>
                <w:rFonts w:ascii="Arial" w:cs="Arial" w:eastAsia="Arial" w:hAnsi="Arial"/>
                <w:sz w:val="10"/>
                <w:szCs w:val="10"/>
                <w:color w:val="auto"/>
              </w:rPr>
              <w:t>below)</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1640" w:type="dxa"/>
            <w:vAlign w:val="bottom"/>
            <w:gridSpan w:val="6"/>
          </w:tcPr>
          <w:p>
            <w:pPr>
              <w:ind w:left="160"/>
              <w:spacing w:after="0"/>
              <w:rPr>
                <w:sz w:val="20"/>
                <w:szCs w:val="20"/>
                <w:color w:val="auto"/>
              </w:rPr>
            </w:pPr>
            <w:r>
              <w:rPr>
                <w:rFonts w:ascii="Arial" w:cs="Arial" w:eastAsia="Arial" w:hAnsi="Arial"/>
                <w:sz w:val="18"/>
                <w:szCs w:val="18"/>
                <w:color w:val="0000FF"/>
              </w:rPr>
              <w:t>07/18/2016</w:t>
            </w: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1954 GREENSPRING DRIVE</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gridSpan w:val="3"/>
          </w:tcPr>
          <w:p>
            <w:pPr>
              <w:spacing w:after="0"/>
              <w:rPr>
                <w:sz w:val="5"/>
                <w:szCs w:val="5"/>
                <w:color w:val="auto"/>
              </w:rPr>
            </w:pPr>
          </w:p>
        </w:tc>
        <w:tc>
          <w:tcPr>
            <w:tcW w:w="2200" w:type="dxa"/>
            <w:vAlign w:val="bottom"/>
            <w:tcBorders>
              <w:bottom w:val="single" w:sz="8" w:color="2C2C2C"/>
            </w:tcBorders>
            <w:gridSpan w:val="4"/>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240" w:type="dxa"/>
            <w:vAlign w:val="bottom"/>
            <w:tcBorders>
              <w:bottom w:val="single" w:sz="8" w:color="2C2C2C"/>
            </w:tcBorders>
            <w:gridSpan w:val="5"/>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9"/>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17"/>
                <w:szCs w:val="17"/>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2"/>
          </w:tcPr>
          <w:p>
            <w:pPr>
              <w:ind w:left="80"/>
              <w:spacing w:after="0" w:line="136" w:lineRule="exact"/>
              <w:rPr>
                <w:sz w:val="20"/>
                <w:szCs w:val="20"/>
                <w:color w:val="auto"/>
              </w:rPr>
            </w:pPr>
            <w:r>
              <w:rPr>
                <w:rFonts w:ascii="Arial" w:cs="Arial" w:eastAsia="Arial" w:hAnsi="Arial"/>
                <w:sz w:val="14"/>
                <w:szCs w:val="14"/>
                <w:color w:val="auto"/>
              </w:rPr>
              <w:t>Line)</w:t>
            </w: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restart"/>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2"/>
            <w:vMerge w:val="restart"/>
          </w:tcPr>
          <w:p>
            <w:pPr>
              <w:ind w:left="40"/>
              <w:spacing w:after="0"/>
              <w:rPr>
                <w:sz w:val="20"/>
                <w:szCs w:val="20"/>
                <w:color w:val="auto"/>
              </w:rPr>
            </w:pPr>
            <w:r>
              <w:rPr>
                <w:rFonts w:ascii="Arial" w:cs="Arial" w:eastAsia="Arial" w:hAnsi="Arial"/>
                <w:sz w:val="18"/>
                <w:szCs w:val="18"/>
                <w:color w:val="0000FF"/>
              </w:rPr>
              <w:t>MD</w:t>
            </w:r>
          </w:p>
        </w:tc>
        <w:tc>
          <w:tcPr>
            <w:tcW w:w="860" w:type="dxa"/>
            <w:vAlign w:val="bottom"/>
            <w:vMerge w:val="restart"/>
          </w:tcPr>
          <w:p>
            <w:pPr>
              <w:spacing w:after="0"/>
              <w:rPr>
                <w:sz w:val="20"/>
                <w:szCs w:val="20"/>
                <w:color w:val="auto"/>
              </w:rPr>
            </w:pPr>
            <w:r>
              <w:rPr>
                <w:rFonts w:ascii="Arial" w:cs="Arial" w:eastAsia="Arial" w:hAnsi="Arial"/>
                <w:sz w:val="18"/>
                <w:szCs w:val="18"/>
                <w:color w:val="0000FF"/>
              </w:rPr>
              <w:t>21093</w:t>
            </w: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29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gridSpan w:val="2"/>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20"/>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00" w:type="dxa"/>
            <w:vAlign w:val="bottom"/>
            <w:gridSpan w:val="6"/>
          </w:tcPr>
          <w:p>
            <w:pPr>
              <w:ind w:left="7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00" w:type="dxa"/>
            <w:vAlign w:val="bottom"/>
            <w:gridSpan w:val="6"/>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jc w:val="right"/>
              <w:ind w:right="21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6"/>
          </w:tcPr>
          <w:p>
            <w:pPr>
              <w:ind w:left="860"/>
              <w:spacing w:after="0"/>
              <w:rPr>
                <w:sz w:val="20"/>
                <w:szCs w:val="20"/>
                <w:color w:val="auto"/>
              </w:rPr>
            </w:pPr>
            <w:r>
              <w:rPr>
                <w:rFonts w:ascii="Arial" w:cs="Arial" w:eastAsia="Arial" w:hAnsi="Arial"/>
                <w:sz w:val="18"/>
                <w:szCs w:val="18"/>
                <w:color w:val="0000FF"/>
              </w:rPr>
              <w:t>07/18/2016</w:t>
            </w: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763,650</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8.73</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8,752,543</w:t>
            </w:r>
          </w:p>
        </w:tc>
        <w:tc>
          <w:tcPr>
            <w:tcW w:w="96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9"/>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0" w:type="dxa"/>
            <w:vAlign w:val="bottom"/>
            <w:gridSpan w:val="17"/>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34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New Enterprise Associates 12, Limited</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Partnership</w:t>
        </w:r>
      </w:hyperlink>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360" w:type="dxa"/>
            <w:vAlign w:val="bottom"/>
          </w:tcPr>
          <w:p>
            <w:pPr>
              <w:ind w:left="260"/>
              <w:spacing w:after="0"/>
              <w:rPr>
                <w:sz w:val="20"/>
                <w:szCs w:val="20"/>
                <w:color w:val="auto"/>
              </w:rPr>
            </w:pPr>
            <w:r>
              <w:rPr>
                <w:rFonts w:ascii="Arial" w:cs="Arial" w:eastAsia="Arial" w:hAnsi="Arial"/>
                <w:sz w:val="14"/>
                <w:szCs w:val="14"/>
                <w:color w:val="auto"/>
              </w:rPr>
              <w:t>(First)</w:t>
            </w:r>
          </w:p>
        </w:tc>
        <w:tc>
          <w:tcPr>
            <w:tcW w:w="178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1954 GREENSPRING DRIVE</w:t>
            </w:r>
          </w:p>
        </w:tc>
        <w:tc>
          <w:tcPr>
            <w:tcW w:w="17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136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r>
      <w:tr>
        <w:trPr>
          <w:trHeight w:val="27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6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360" w:type="dxa"/>
            <w:vAlign w:val="bottom"/>
          </w:tcPr>
          <w:p>
            <w:pPr>
              <w:ind w:left="260"/>
              <w:spacing w:after="0"/>
              <w:rPr>
                <w:sz w:val="20"/>
                <w:szCs w:val="20"/>
                <w:color w:val="auto"/>
              </w:rPr>
            </w:pPr>
            <w:r>
              <w:rPr>
                <w:rFonts w:ascii="Arial" w:cs="Arial" w:eastAsia="Arial" w:hAnsi="Arial"/>
                <w:sz w:val="18"/>
                <w:szCs w:val="18"/>
                <w:color w:val="0000FF"/>
              </w:rPr>
              <w:t>MD</w:t>
            </w:r>
          </w:p>
        </w:tc>
        <w:tc>
          <w:tcPr>
            <w:tcW w:w="1780" w:type="dxa"/>
            <w:vAlign w:val="bottom"/>
          </w:tcPr>
          <w:p>
            <w:pPr>
              <w:ind w:left="360"/>
              <w:spacing w:after="0"/>
              <w:rPr>
                <w:sz w:val="20"/>
                <w:szCs w:val="20"/>
                <w:color w:val="auto"/>
              </w:rPr>
            </w:pPr>
            <w:r>
              <w:rPr>
                <w:rFonts w:ascii="Arial" w:cs="Arial" w:eastAsia="Arial" w:hAnsi="Arial"/>
                <w:sz w:val="18"/>
                <w:szCs w:val="18"/>
                <w:color w:val="0000FF"/>
              </w:rPr>
              <w:t>21093</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360" w:type="dxa"/>
            <w:vAlign w:val="bottom"/>
          </w:tcPr>
          <w:p>
            <w:pPr>
              <w:ind w:left="260"/>
              <w:spacing w:after="0"/>
              <w:rPr>
                <w:sz w:val="20"/>
                <w:szCs w:val="20"/>
                <w:color w:val="auto"/>
              </w:rPr>
            </w:pPr>
            <w:r>
              <w:rPr>
                <w:rFonts w:ascii="Arial" w:cs="Arial" w:eastAsia="Arial" w:hAnsi="Arial"/>
                <w:sz w:val="14"/>
                <w:szCs w:val="14"/>
                <w:color w:val="auto"/>
              </w:rPr>
              <w:t>(State)</w:t>
            </w:r>
          </w:p>
        </w:tc>
        <w:tc>
          <w:tcPr>
            <w:tcW w:w="1780" w:type="dxa"/>
            <w:vAlign w:val="bottom"/>
          </w:tcPr>
          <w:p>
            <w:pPr>
              <w:ind w:left="36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NEA Partners 12, Limited Partnership</w:t>
        </w:r>
      </w:hyperlink>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360" w:type="dxa"/>
            <w:vAlign w:val="bottom"/>
          </w:tcPr>
          <w:p>
            <w:pPr>
              <w:ind w:left="260"/>
              <w:spacing w:after="0"/>
              <w:rPr>
                <w:sz w:val="20"/>
                <w:szCs w:val="20"/>
                <w:color w:val="auto"/>
              </w:rPr>
            </w:pPr>
            <w:r>
              <w:rPr>
                <w:rFonts w:ascii="Arial" w:cs="Arial" w:eastAsia="Arial" w:hAnsi="Arial"/>
                <w:sz w:val="14"/>
                <w:szCs w:val="14"/>
                <w:color w:val="auto"/>
              </w:rPr>
              <w:t>(First)</w:t>
            </w:r>
          </w:p>
        </w:tc>
        <w:tc>
          <w:tcPr>
            <w:tcW w:w="178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1954 GREENSPRING DRIVE</w:t>
            </w:r>
          </w:p>
        </w:tc>
        <w:tc>
          <w:tcPr>
            <w:tcW w:w="17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136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r>
      <w:tr>
        <w:trPr>
          <w:trHeight w:val="27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6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360" w:type="dxa"/>
            <w:vAlign w:val="bottom"/>
          </w:tcPr>
          <w:p>
            <w:pPr>
              <w:ind w:left="260"/>
              <w:spacing w:after="0"/>
              <w:rPr>
                <w:sz w:val="20"/>
                <w:szCs w:val="20"/>
                <w:color w:val="auto"/>
              </w:rPr>
            </w:pPr>
            <w:r>
              <w:rPr>
                <w:rFonts w:ascii="Arial" w:cs="Arial" w:eastAsia="Arial" w:hAnsi="Arial"/>
                <w:sz w:val="18"/>
                <w:szCs w:val="18"/>
                <w:color w:val="0000FF"/>
              </w:rPr>
              <w:t>MD</w:t>
            </w:r>
          </w:p>
        </w:tc>
        <w:tc>
          <w:tcPr>
            <w:tcW w:w="1780" w:type="dxa"/>
            <w:vAlign w:val="bottom"/>
          </w:tcPr>
          <w:p>
            <w:pPr>
              <w:ind w:left="360"/>
              <w:spacing w:after="0"/>
              <w:rPr>
                <w:sz w:val="20"/>
                <w:szCs w:val="20"/>
                <w:color w:val="auto"/>
              </w:rPr>
            </w:pPr>
            <w:r>
              <w:rPr>
                <w:rFonts w:ascii="Arial" w:cs="Arial" w:eastAsia="Arial" w:hAnsi="Arial"/>
                <w:sz w:val="18"/>
                <w:szCs w:val="18"/>
                <w:color w:val="0000FF"/>
              </w:rPr>
              <w:t>21093</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360" w:type="dxa"/>
            <w:vAlign w:val="bottom"/>
          </w:tcPr>
          <w:p>
            <w:pPr>
              <w:ind w:left="260"/>
              <w:spacing w:after="0"/>
              <w:rPr>
                <w:sz w:val="20"/>
                <w:szCs w:val="20"/>
                <w:color w:val="auto"/>
              </w:rPr>
            </w:pPr>
            <w:r>
              <w:rPr>
                <w:rFonts w:ascii="Arial" w:cs="Arial" w:eastAsia="Arial" w:hAnsi="Arial"/>
                <w:sz w:val="14"/>
                <w:szCs w:val="14"/>
                <w:color w:val="auto"/>
              </w:rPr>
              <w:t>(State)</w:t>
            </w:r>
          </w:p>
        </w:tc>
        <w:tc>
          <w:tcPr>
            <w:tcW w:w="1780" w:type="dxa"/>
            <w:vAlign w:val="bottom"/>
          </w:tcPr>
          <w:p>
            <w:pPr>
              <w:ind w:left="36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10" w:gutter="0" w:footer="0" w:header="0"/>
          <w:type w:val="continuous"/>
        </w:sectPr>
      </w:pPr>
    </w:p>
    <w:p>
      <w:pPr>
        <w:ind w:left="120"/>
        <w:spacing w:after="0"/>
        <w:rPr>
          <w:rFonts w:ascii="Arial" w:cs="Arial" w:eastAsia="Arial" w:hAnsi="Arial"/>
          <w:sz w:val="19"/>
          <w:szCs w:val="19"/>
          <w:u w:val="single" w:color="auto"/>
          <w:color w:val="0000EE"/>
        </w:rPr>
      </w:pPr>
      <w:hyperlink r:id="rId15">
        <w:r>
          <w:rPr>
            <w:rFonts w:ascii="Arial" w:cs="Arial" w:eastAsia="Arial" w:hAnsi="Arial"/>
            <w:sz w:val="19"/>
            <w:szCs w:val="19"/>
            <w:u w:val="single" w:color="auto"/>
            <w:color w:val="0000EE"/>
          </w:rPr>
          <w:t>NEA 12 GP, LLC</w:t>
        </w:r>
      </w:hyperlink>
    </w:p>
    <w:p>
      <w:pPr>
        <w:sectPr>
          <w:pgSz w:w="11900" w:h="16838" w:orient="portrait"/>
          <w:cols w:equalWidth="0" w:num="1">
            <w:col w:w="11420"/>
          </w:cols>
          <w:pgMar w:left="240" w:top="226" w:right="239" w:bottom="1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360" w:type="dxa"/>
            <w:vAlign w:val="bottom"/>
          </w:tcPr>
          <w:p>
            <w:pPr>
              <w:ind w:left="260"/>
              <w:spacing w:after="0"/>
              <w:rPr>
                <w:sz w:val="20"/>
                <w:szCs w:val="20"/>
                <w:color w:val="auto"/>
              </w:rPr>
            </w:pPr>
            <w:r>
              <w:rPr>
                <w:rFonts w:ascii="Arial" w:cs="Arial" w:eastAsia="Arial" w:hAnsi="Arial"/>
                <w:sz w:val="14"/>
                <w:szCs w:val="14"/>
                <w:color w:val="auto"/>
              </w:rPr>
              <w:t>(First)</w:t>
            </w:r>
          </w:p>
        </w:tc>
        <w:tc>
          <w:tcPr>
            <w:tcW w:w="178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1954 GREENSPRING DRIVE</w:t>
            </w:r>
          </w:p>
        </w:tc>
        <w:tc>
          <w:tcPr>
            <w:tcW w:w="17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136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r>
      <w:tr>
        <w:trPr>
          <w:trHeight w:val="27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6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360" w:type="dxa"/>
            <w:vAlign w:val="bottom"/>
          </w:tcPr>
          <w:p>
            <w:pPr>
              <w:ind w:left="260"/>
              <w:spacing w:after="0"/>
              <w:rPr>
                <w:sz w:val="20"/>
                <w:szCs w:val="20"/>
                <w:color w:val="auto"/>
              </w:rPr>
            </w:pPr>
            <w:r>
              <w:rPr>
                <w:rFonts w:ascii="Arial" w:cs="Arial" w:eastAsia="Arial" w:hAnsi="Arial"/>
                <w:sz w:val="18"/>
                <w:szCs w:val="18"/>
                <w:color w:val="0000FF"/>
              </w:rPr>
              <w:t>MD</w:t>
            </w:r>
          </w:p>
        </w:tc>
        <w:tc>
          <w:tcPr>
            <w:tcW w:w="1780" w:type="dxa"/>
            <w:vAlign w:val="bottom"/>
          </w:tcPr>
          <w:p>
            <w:pPr>
              <w:ind w:left="360"/>
              <w:spacing w:after="0"/>
              <w:rPr>
                <w:sz w:val="20"/>
                <w:szCs w:val="20"/>
                <w:color w:val="auto"/>
              </w:rPr>
            </w:pPr>
            <w:r>
              <w:rPr>
                <w:rFonts w:ascii="Arial" w:cs="Arial" w:eastAsia="Arial" w:hAnsi="Arial"/>
                <w:sz w:val="18"/>
                <w:szCs w:val="18"/>
                <w:color w:val="0000FF"/>
              </w:rPr>
              <w:t>21093</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360" w:type="dxa"/>
            <w:vAlign w:val="bottom"/>
          </w:tcPr>
          <w:p>
            <w:pPr>
              <w:ind w:left="260"/>
              <w:spacing w:after="0"/>
              <w:rPr>
                <w:sz w:val="20"/>
                <w:szCs w:val="20"/>
                <w:color w:val="auto"/>
              </w:rPr>
            </w:pPr>
            <w:r>
              <w:rPr>
                <w:rFonts w:ascii="Arial" w:cs="Arial" w:eastAsia="Arial" w:hAnsi="Arial"/>
                <w:sz w:val="14"/>
                <w:szCs w:val="14"/>
                <w:color w:val="auto"/>
              </w:rPr>
              <w:t>(State)</w:t>
            </w:r>
          </w:p>
        </w:tc>
        <w:tc>
          <w:tcPr>
            <w:tcW w:w="1780" w:type="dxa"/>
            <w:vAlign w:val="bottom"/>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282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128206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Acquired from the issuer pursuant to a Securities Purchase Agreement dated July 14, 2016, with a closing date of July 18, 2016.</w:t>
      </w:r>
    </w:p>
    <w:p>
      <w:pPr>
        <w:spacing w:after="0" w:line="41" w:lineRule="exact"/>
        <w:rPr>
          <w:rFonts w:ascii="Arial" w:cs="Arial" w:eastAsia="Arial" w:hAnsi="Arial"/>
          <w:sz w:val="14"/>
          <w:szCs w:val="14"/>
          <w:color w:val="008000"/>
        </w:rPr>
      </w:pPr>
    </w:p>
    <w:p>
      <w:pPr>
        <w:ind w:firstLine="9"/>
        <w:spacing w:after="0" w:line="228"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securities are held by New Enterprise Associates 12, Limited Partnership ("NEA 12") and indirectly held by NEA Partners 12, Limited Partnership ("NEA Partners 12"), the sole general partner of NEA 12, NEA 12 GP, LLC ("NEA 12 GP"), the sole general partner of NEA Partners 12, and the individual managers of NEA 12 GP (NEA Partners 12, NEA 12 GP and the individual managers of NEA 12 GP together, the "Indirect Reporting Persons"). The individual managers of NEA 12 GP are M. James Barrett, Peter J. Barris, Forest Baskett, Patrick J. Kerins, Krishna "Kittu" Kolluri and Scott D. Sandell. The Indirect Reporting Persons disclaim beneficial ownership within the meaning of Section 16 of the Securities Exchange Act of 1934, as amended, or otherwise of such portion of the securities of the issuer held by NEA 12 in which the Indirect Reporting Persons have no pecuniary interest.</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2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07/20/2016</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8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2" Type="http://schemas.openxmlformats.org/officeDocument/2006/relationships/hyperlink" Target="http://www.sec.gov/cgi-bin/browse-edgar?action=getcompany&amp;CIK=0001383391" TargetMode="External"/><Relationship Id="rId13" Type="http://schemas.openxmlformats.org/officeDocument/2006/relationships/hyperlink" Target="http://www.sec.gov/cgi-bin/browse-edgar?action=getcompany&amp;CIK=0001437402" TargetMode="External"/><Relationship Id="rId14" Type="http://schemas.openxmlformats.org/officeDocument/2006/relationships/hyperlink" Target="http://www.sec.gov/cgi-bin/browse-edgar?action=getcompany&amp;CIK=0001383390" TargetMode="External"/><Relationship Id="rId15" Type="http://schemas.openxmlformats.org/officeDocument/2006/relationships/hyperlink" Target="http://www.sec.gov/cgi-bin/browse-edgar?action=getcompany&amp;CIK=00013833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2019-12-24T03:24:55Z</dcterms:created>
  <dcterms:modified xsi:type="dcterms:W3CDTF">2019-12-24T03:24:55Z</dcterms:modified>
</cp:coreProperties>
</file>