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748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74878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BARRIS PETER J</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color w:val="auto"/>
              </w:rPr>
              <w:t>Director</w:t>
            </w:r>
          </w:p>
        </w:tc>
        <w:tc>
          <w:tcPr>
            <w:tcW w:w="1700" w:type="dxa"/>
            <w:vAlign w:val="bottom"/>
            <w:gridSpan w:val="3"/>
            <w:vMerge w:val="restart"/>
          </w:tcPr>
          <w:p>
            <w:pPr>
              <w:ind w:left="1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vMerge w:val="restart"/>
          </w:tcPr>
          <w:p>
            <w:pPr>
              <w:spacing w:after="0"/>
              <w:rPr>
                <w:sz w:val="7"/>
                <w:szCs w:val="7"/>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7"/>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7"/>
            <w:vMerge w:val="continue"/>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color w:val="auto"/>
              </w:rPr>
              <w:t>below)</w:t>
            </w: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5"/>
          </w:tcPr>
          <w:p>
            <w:pPr>
              <w:ind w:left="160"/>
              <w:spacing w:after="0"/>
              <w:rPr>
                <w:sz w:val="20"/>
                <w:szCs w:val="20"/>
                <w:color w:val="auto"/>
              </w:rPr>
            </w:pPr>
            <w:r>
              <w:rPr>
                <w:rFonts w:ascii="Arial" w:cs="Arial" w:eastAsia="Arial" w:hAnsi="Arial"/>
                <w:sz w:val="18"/>
                <w:szCs w:val="18"/>
                <w:color w:val="0000FF"/>
              </w:rPr>
              <w:t>12/23/2014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8"/>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8"/>
            <w:vMerge w:val="continue"/>
          </w:tcPr>
          <w:p>
            <w:pPr>
              <w:spacing w:after="0"/>
              <w:rPr>
                <w:sz w:val="8"/>
                <w:szCs w:val="8"/>
                <w:color w:val="auto"/>
              </w:rPr>
            </w:pPr>
          </w:p>
        </w:tc>
        <w:tc>
          <w:tcPr>
            <w:tcW w:w="44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vMerge w:val="restart"/>
          </w:tcPr>
          <w:p>
            <w:pPr>
              <w:spacing w:after="0"/>
              <w:rPr>
                <w:sz w:val="5"/>
                <w:szCs w:val="5"/>
                <w:color w:val="auto"/>
              </w:rPr>
            </w:pPr>
          </w:p>
        </w:tc>
        <w:tc>
          <w:tcPr>
            <w:tcW w:w="90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8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900" w:type="dxa"/>
            <w:vAlign w:val="bottom"/>
            <w:gridSpan w:val="4"/>
            <w:vMerge w:val="continue"/>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5"/>
          </w:tcPr>
          <w:p>
            <w:pPr>
              <w:ind w:left="1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2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5"/>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620" w:type="dxa"/>
            <w:vAlign w:val="bottom"/>
          </w:tcPr>
          <w:p>
            <w:pPr>
              <w:spacing w:after="0"/>
              <w:rPr>
                <w:sz w:val="15"/>
                <w:szCs w:val="15"/>
                <w:color w:val="auto"/>
              </w:rPr>
            </w:pPr>
          </w:p>
        </w:tc>
        <w:tc>
          <w:tcPr>
            <w:tcW w:w="19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32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gridSpan w:val="5"/>
          </w:tcPr>
          <w:p>
            <w:pPr>
              <w:jc w:val="center"/>
              <w:ind w:left="327"/>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40" w:type="dxa"/>
            <w:vAlign w:val="bottom"/>
            <w:gridSpan w:val="3"/>
            <w:vMerge w:val="restart"/>
          </w:tcPr>
          <w:p>
            <w:pPr>
              <w:jc w:val="center"/>
              <w:ind w:left="210"/>
              <w:spacing w:after="0"/>
              <w:rPr>
                <w:sz w:val="20"/>
                <w:szCs w:val="20"/>
                <w:color w:val="auto"/>
              </w:rPr>
            </w:pPr>
            <w:r>
              <w:rPr>
                <w:rFonts w:ascii="Arial" w:cs="Arial" w:eastAsia="Arial" w:hAnsi="Arial"/>
                <w:sz w:val="18"/>
                <w:szCs w:val="18"/>
                <w:color w:val="0000FF"/>
                <w:w w:val="87"/>
              </w:rPr>
              <w:t>5,619,734</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1</w:t>
            </w:r>
            <w:r>
              <w:rPr>
                <w:rFonts w:ascii="Arial" w:cs="Arial" w:eastAsia="Arial" w:hAnsi="Arial"/>
                <w:sz w:val="11"/>
                <w:szCs w:val="11"/>
                <w:color w:val="008000"/>
              </w:rPr>
              <w:t>(1)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20" w:type="dxa"/>
            <w:vAlign w:val="bottom"/>
            <w:gridSpan w:val="4"/>
            <w:vMerge w:val="restart"/>
          </w:tcPr>
          <w:p>
            <w:pPr>
              <w:jc w:val="center"/>
              <w:ind w:left="507"/>
              <w:spacing w:after="0"/>
              <w:rPr>
                <w:sz w:val="20"/>
                <w:szCs w:val="20"/>
                <w:color w:val="auto"/>
              </w:rPr>
            </w:pPr>
            <w:r>
              <w:rPr>
                <w:rFonts w:ascii="Arial" w:cs="Arial" w:eastAsia="Arial" w:hAnsi="Arial"/>
                <w:sz w:val="18"/>
                <w:szCs w:val="18"/>
                <w:color w:val="0000FF"/>
                <w:w w:val="88"/>
              </w:rPr>
              <w:t>12/23/2014</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(2)</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10,000</w:t>
            </w:r>
          </w:p>
        </w:tc>
        <w:tc>
          <w:tcPr>
            <w:tcW w:w="52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jc w:val="center"/>
              <w:ind w:left="247"/>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vMerge w:val="restart"/>
          </w:tcPr>
          <w:p>
            <w:pPr>
              <w:jc w:val="center"/>
              <w:ind w:right="370"/>
              <w:spacing w:after="0"/>
              <w:rPr>
                <w:sz w:val="20"/>
                <w:szCs w:val="20"/>
                <w:color w:val="auto"/>
              </w:rPr>
            </w:pPr>
            <w:r>
              <w:rPr>
                <w:rFonts w:ascii="Arial" w:cs="Arial" w:eastAsia="Arial" w:hAnsi="Arial"/>
                <w:sz w:val="18"/>
                <w:szCs w:val="18"/>
                <w:color w:val="0000FF"/>
                <w:w w:val="79"/>
              </w:rPr>
              <w:t>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3</w:t>
            </w:r>
            <w:r>
              <w:rPr>
                <w:rFonts w:ascii="Arial" w:cs="Arial" w:eastAsia="Arial" w:hAnsi="Arial"/>
                <w:sz w:val="11"/>
                <w:szCs w:val="11"/>
                <w:color w:val="008000"/>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20" w:type="dxa"/>
            <w:vAlign w:val="bottom"/>
            <w:gridSpan w:val="4"/>
            <w:vMerge w:val="restart"/>
          </w:tcPr>
          <w:p>
            <w:pPr>
              <w:jc w:val="center"/>
              <w:ind w:left="507"/>
              <w:spacing w:after="0"/>
              <w:rPr>
                <w:sz w:val="20"/>
                <w:szCs w:val="20"/>
                <w:color w:val="auto"/>
              </w:rPr>
            </w:pPr>
            <w:r>
              <w:rPr>
                <w:rFonts w:ascii="Arial" w:cs="Arial" w:eastAsia="Arial" w:hAnsi="Arial"/>
                <w:sz w:val="18"/>
                <w:szCs w:val="18"/>
                <w:color w:val="0000FF"/>
                <w:w w:val="88"/>
              </w:rPr>
              <w:t>12/23/2014</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(4)</w:t>
            </w:r>
          </w:p>
        </w:tc>
        <w:tc>
          <w:tcPr>
            <w:tcW w:w="780" w:type="dxa"/>
            <w:vAlign w:val="bottom"/>
            <w:vMerge w:val="restart"/>
          </w:tcPr>
          <w:p>
            <w:pPr>
              <w:jc w:val="center"/>
              <w:ind w:right="6"/>
              <w:spacing w:after="0"/>
              <w:rPr>
                <w:sz w:val="20"/>
                <w:szCs w:val="20"/>
                <w:color w:val="auto"/>
              </w:rPr>
            </w:pPr>
            <w:r>
              <w:rPr>
                <w:rFonts w:ascii="Arial" w:cs="Arial" w:eastAsia="Arial" w:hAnsi="Arial"/>
                <w:sz w:val="18"/>
                <w:szCs w:val="18"/>
                <w:color w:val="0000FF"/>
                <w:w w:val="86"/>
              </w:rPr>
              <w:t>444</w:t>
            </w:r>
          </w:p>
        </w:tc>
        <w:tc>
          <w:tcPr>
            <w:tcW w:w="52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620" w:type="dxa"/>
            <w:vAlign w:val="bottom"/>
            <w:gridSpan w:val="2"/>
            <w:vMerge w:val="restart"/>
          </w:tcPr>
          <w:p>
            <w:pPr>
              <w:jc w:val="center"/>
              <w:ind w:left="247"/>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vMerge w:val="restart"/>
          </w:tcPr>
          <w:p>
            <w:pPr>
              <w:jc w:val="center"/>
              <w:ind w:right="350"/>
              <w:spacing w:after="0"/>
              <w:rPr>
                <w:sz w:val="20"/>
                <w:szCs w:val="20"/>
                <w:color w:val="auto"/>
              </w:rPr>
            </w:pPr>
            <w:r>
              <w:rPr>
                <w:rFonts w:ascii="Arial" w:cs="Arial" w:eastAsia="Arial" w:hAnsi="Arial"/>
                <w:sz w:val="18"/>
                <w:szCs w:val="18"/>
                <w:color w:val="0000FF"/>
                <w:w w:val="86"/>
              </w:rPr>
              <w:t>444</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5</w:t>
            </w:r>
            <w:r>
              <w:rPr>
                <w:rFonts w:ascii="Arial" w:cs="Arial" w:eastAsia="Arial" w:hAnsi="Arial"/>
                <w:sz w:val="11"/>
                <w:szCs w:val="11"/>
                <w:color w:val="008000"/>
              </w:rPr>
              <w:t>(5)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20" w:type="dxa"/>
            <w:vAlign w:val="bottom"/>
            <w:gridSpan w:val="4"/>
            <w:vMerge w:val="restart"/>
          </w:tcPr>
          <w:p>
            <w:pPr>
              <w:jc w:val="center"/>
              <w:ind w:left="507"/>
              <w:spacing w:after="0"/>
              <w:rPr>
                <w:sz w:val="20"/>
                <w:szCs w:val="20"/>
                <w:color w:val="auto"/>
              </w:rPr>
            </w:pPr>
            <w:r>
              <w:rPr>
                <w:rFonts w:ascii="Arial" w:cs="Arial" w:eastAsia="Arial" w:hAnsi="Arial"/>
                <w:sz w:val="18"/>
                <w:szCs w:val="18"/>
                <w:color w:val="0000FF"/>
                <w:w w:val="88"/>
              </w:rPr>
              <w:t>12/23/2014</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(6)</w:t>
            </w:r>
          </w:p>
        </w:tc>
        <w:tc>
          <w:tcPr>
            <w:tcW w:w="780" w:type="dxa"/>
            <w:vAlign w:val="bottom"/>
            <w:vMerge w:val="restart"/>
          </w:tcPr>
          <w:p>
            <w:pPr>
              <w:jc w:val="center"/>
              <w:ind w:right="6"/>
              <w:spacing w:after="0"/>
              <w:rPr>
                <w:sz w:val="20"/>
                <w:szCs w:val="20"/>
                <w:color w:val="auto"/>
              </w:rPr>
            </w:pPr>
            <w:r>
              <w:rPr>
                <w:rFonts w:ascii="Arial" w:cs="Arial" w:eastAsia="Arial" w:hAnsi="Arial"/>
                <w:sz w:val="18"/>
                <w:szCs w:val="18"/>
                <w:color w:val="0000FF"/>
                <w:w w:val="86"/>
              </w:rPr>
              <w:t>136</w:t>
            </w:r>
          </w:p>
        </w:tc>
        <w:tc>
          <w:tcPr>
            <w:tcW w:w="52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620" w:type="dxa"/>
            <w:vAlign w:val="bottom"/>
            <w:gridSpan w:val="2"/>
            <w:vMerge w:val="restart"/>
          </w:tcPr>
          <w:p>
            <w:pPr>
              <w:jc w:val="center"/>
              <w:ind w:left="247"/>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vMerge w:val="restart"/>
          </w:tcPr>
          <w:p>
            <w:pPr>
              <w:jc w:val="center"/>
              <w:ind w:right="350"/>
              <w:spacing w:after="0"/>
              <w:rPr>
                <w:sz w:val="20"/>
                <w:szCs w:val="20"/>
                <w:color w:val="auto"/>
              </w:rPr>
            </w:pPr>
            <w:r>
              <w:rPr>
                <w:rFonts w:ascii="Arial" w:cs="Arial" w:eastAsia="Arial" w:hAnsi="Arial"/>
                <w:sz w:val="18"/>
                <w:szCs w:val="18"/>
                <w:color w:val="0000FF"/>
                <w:w w:val="86"/>
              </w:rPr>
              <w:t>136</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7</w:t>
            </w:r>
            <w:r>
              <w:rPr>
                <w:rFonts w:ascii="Arial" w:cs="Arial" w:eastAsia="Arial" w:hAnsi="Arial"/>
                <w:sz w:val="11"/>
                <w:szCs w:val="11"/>
                <w:color w:val="008000"/>
              </w:rPr>
              <w:t>(7)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20" w:type="dxa"/>
            <w:vAlign w:val="bottom"/>
            <w:gridSpan w:val="4"/>
            <w:vMerge w:val="restart"/>
          </w:tcPr>
          <w:p>
            <w:pPr>
              <w:jc w:val="center"/>
              <w:ind w:left="507"/>
              <w:spacing w:after="0"/>
              <w:rPr>
                <w:sz w:val="20"/>
                <w:szCs w:val="20"/>
                <w:color w:val="auto"/>
              </w:rPr>
            </w:pPr>
            <w:r>
              <w:rPr>
                <w:rFonts w:ascii="Arial" w:cs="Arial" w:eastAsia="Arial" w:hAnsi="Arial"/>
                <w:sz w:val="18"/>
                <w:szCs w:val="18"/>
                <w:color w:val="0000FF"/>
                <w:w w:val="88"/>
              </w:rPr>
              <w:t>12/23/2014</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(8)</w:t>
            </w:r>
          </w:p>
        </w:tc>
        <w:tc>
          <w:tcPr>
            <w:tcW w:w="780" w:type="dxa"/>
            <w:vAlign w:val="bottom"/>
            <w:vMerge w:val="restart"/>
          </w:tcPr>
          <w:p>
            <w:pPr>
              <w:jc w:val="center"/>
              <w:ind w:right="6"/>
              <w:spacing w:after="0"/>
              <w:rPr>
                <w:sz w:val="20"/>
                <w:szCs w:val="20"/>
                <w:color w:val="auto"/>
              </w:rPr>
            </w:pPr>
            <w:r>
              <w:rPr>
                <w:rFonts w:ascii="Arial" w:cs="Arial" w:eastAsia="Arial" w:hAnsi="Arial"/>
                <w:sz w:val="18"/>
                <w:szCs w:val="18"/>
                <w:color w:val="0000FF"/>
                <w:w w:val="84"/>
              </w:rPr>
              <w:t>1,972</w:t>
            </w:r>
          </w:p>
        </w:tc>
        <w:tc>
          <w:tcPr>
            <w:tcW w:w="52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620" w:type="dxa"/>
            <w:vAlign w:val="bottom"/>
            <w:gridSpan w:val="2"/>
            <w:vMerge w:val="restart"/>
          </w:tcPr>
          <w:p>
            <w:pPr>
              <w:jc w:val="center"/>
              <w:ind w:left="247"/>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vMerge w:val="restart"/>
          </w:tcPr>
          <w:p>
            <w:pPr>
              <w:jc w:val="center"/>
              <w:ind w:right="370"/>
              <w:spacing w:after="0"/>
              <w:rPr>
                <w:sz w:val="20"/>
                <w:szCs w:val="20"/>
                <w:color w:val="auto"/>
              </w:rPr>
            </w:pPr>
            <w:r>
              <w:rPr>
                <w:rFonts w:ascii="Arial" w:cs="Arial" w:eastAsia="Arial" w:hAnsi="Arial"/>
                <w:sz w:val="18"/>
                <w:szCs w:val="18"/>
                <w:color w:val="0000FF"/>
                <w:w w:val="88"/>
              </w:rPr>
              <w:t>1,972</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9</w:t>
            </w:r>
            <w:r>
              <w:rPr>
                <w:rFonts w:ascii="Arial" w:cs="Arial" w:eastAsia="Arial" w:hAnsi="Arial"/>
                <w:sz w:val="11"/>
                <w:szCs w:val="11"/>
                <w:color w:val="008000"/>
              </w:rPr>
              <w:t>(9)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20" w:type="dxa"/>
            <w:vAlign w:val="bottom"/>
            <w:gridSpan w:val="4"/>
            <w:vMerge w:val="restart"/>
          </w:tcPr>
          <w:p>
            <w:pPr>
              <w:jc w:val="center"/>
              <w:ind w:left="507"/>
              <w:spacing w:after="0"/>
              <w:rPr>
                <w:sz w:val="20"/>
                <w:szCs w:val="20"/>
                <w:color w:val="auto"/>
              </w:rPr>
            </w:pPr>
            <w:r>
              <w:rPr>
                <w:rFonts w:ascii="Arial" w:cs="Arial" w:eastAsia="Arial" w:hAnsi="Arial"/>
                <w:sz w:val="18"/>
                <w:szCs w:val="18"/>
                <w:color w:val="0000FF"/>
                <w:w w:val="88"/>
              </w:rPr>
              <w:t>12/26/2014</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ind w:right="6"/>
              <w:spacing w:after="0"/>
              <w:rPr>
                <w:sz w:val="20"/>
                <w:szCs w:val="20"/>
                <w:color w:val="auto"/>
              </w:rPr>
            </w:pPr>
            <w:r>
              <w:rPr>
                <w:rFonts w:ascii="Arial" w:cs="Arial" w:eastAsia="Arial" w:hAnsi="Arial"/>
                <w:sz w:val="18"/>
                <w:szCs w:val="18"/>
                <w:color w:val="0000FF"/>
                <w:w w:val="84"/>
              </w:rPr>
              <w:t>1,972</w:t>
            </w:r>
          </w:p>
        </w:tc>
        <w:tc>
          <w:tcPr>
            <w:tcW w:w="52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960" w:type="dxa"/>
            <w:vAlign w:val="bottom"/>
            <w:gridSpan w:val="4"/>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21.2784</w:t>
            </w:r>
            <w:r>
              <w:rPr>
                <w:rFonts w:ascii="Arial" w:cs="Arial" w:eastAsia="Arial" w:hAnsi="Arial"/>
                <w:sz w:val="22"/>
                <w:szCs w:val="22"/>
                <w:color w:val="008000"/>
                <w:w w:val="84"/>
                <w:vertAlign w:val="superscript"/>
              </w:rPr>
              <w:t>(10)</w:t>
            </w:r>
          </w:p>
        </w:tc>
        <w:tc>
          <w:tcPr>
            <w:tcW w:w="380" w:type="dxa"/>
            <w:vAlign w:val="bottom"/>
          </w:tcPr>
          <w:p>
            <w:pPr>
              <w:spacing w:after="0"/>
              <w:rPr>
                <w:sz w:val="22"/>
                <w:szCs w:val="22"/>
                <w:color w:val="auto"/>
              </w:rPr>
            </w:pPr>
          </w:p>
        </w:tc>
        <w:tc>
          <w:tcPr>
            <w:tcW w:w="840" w:type="dxa"/>
            <w:vAlign w:val="bottom"/>
            <w:vMerge w:val="restart"/>
          </w:tcPr>
          <w:p>
            <w:pPr>
              <w:jc w:val="center"/>
              <w:ind w:right="370"/>
              <w:spacing w:after="0"/>
              <w:rPr>
                <w:sz w:val="20"/>
                <w:szCs w:val="20"/>
                <w:color w:val="auto"/>
              </w:rPr>
            </w:pPr>
            <w:r>
              <w:rPr>
                <w:rFonts w:ascii="Arial" w:cs="Arial" w:eastAsia="Arial" w:hAnsi="Arial"/>
                <w:sz w:val="18"/>
                <w:szCs w:val="18"/>
                <w:color w:val="0000FF"/>
                <w:w w:val="79"/>
              </w:rPr>
              <w:t>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9</w:t>
            </w:r>
            <w:r>
              <w:rPr>
                <w:rFonts w:ascii="Arial" w:cs="Arial" w:eastAsia="Arial" w:hAnsi="Arial"/>
                <w:sz w:val="11"/>
                <w:szCs w:val="11"/>
                <w:color w:val="008000"/>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vMerge w:val="continue"/>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18"/>
          </w:tcPr>
          <w:p>
            <w:pPr>
              <w:jc w:val="center"/>
              <w:ind w:left="7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520" w:type="dxa"/>
            <w:vAlign w:val="bottom"/>
            <w:gridSpan w:val="15"/>
          </w:tcPr>
          <w:p>
            <w:pPr>
              <w:jc w:val="center"/>
              <w:ind w:left="527"/>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12 GP, LLC, ("NEA 12 GP") which is the sole general partner of NEA Partners 12, Limited Partnership ("NEA Partners 12"). NEA Partners 12 is the sole general partner of New Enterprise Associates 12, Limited Partnership ("NEA 12"), the direct beneficial owner of the securities. The Reporting Person disclaims beneficial ownership within the meaning of Section 16 of the Securities Exchange Act of 1934, as amended, or otherwise of such portion of the securities held by NEA 12 in which the Reporting Person has no pecuniary interest.</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NEA Partners 12 made a pro rata distribution for no consideration of an aggregate of 10,000 shares of Common Stock of the Issuer to its limited partners on December 23, 2014.</w:t>
      </w:r>
    </w:p>
    <w:p>
      <w:pPr>
        <w:spacing w:after="0" w:line="41" w:lineRule="exact"/>
        <w:rPr>
          <w:rFonts w:ascii="Arial" w:cs="Arial" w:eastAsia="Arial" w:hAnsi="Arial"/>
          <w:sz w:val="14"/>
          <w:szCs w:val="14"/>
          <w:color w:val="008000"/>
        </w:rPr>
      </w:pPr>
    </w:p>
    <w:p>
      <w:pPr>
        <w:ind w:left="40" w:right="38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12 GP, the sole general partner of NEA Partners 12. The Reporting Person disclaims beneficial ownership within the meaning of Section 16 of the Securities Exchange Act of 1934, as amended, or otherwise of such portion of the securities of the Issuer held by NEA Partners 12 in which the Reporting Person has no pecuniary interest.</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PJ Barris, LLC received 444 shares of Common Stock of the Issuer in the distribution by NEA Partners 12 on December 23, 2014.</w:t>
      </w:r>
    </w:p>
    <w:p>
      <w:pPr>
        <w:spacing w:after="0" w:line="41" w:lineRule="exact"/>
        <w:rPr>
          <w:rFonts w:ascii="Arial" w:cs="Arial" w:eastAsia="Arial" w:hAnsi="Arial"/>
          <w:sz w:val="14"/>
          <w:szCs w:val="14"/>
          <w:color w:val="008000"/>
        </w:rPr>
      </w:pPr>
    </w:p>
    <w:p>
      <w:pPr>
        <w:ind w:left="40" w:right="3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member of PJ Barris, LLC, which is the direct beneficial owner of the securities. The Reporting Person disclaims beneficial ownership within the meaning of Section 16 of the Securities Exchange Act of 1934, as amended, or otherwise of such portion of the securities of the Issuer held by PJ Barris, LLC in which the Reporting Person has no pecuniary interest.</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PDB LLC received 136 shares of Common Stock of the Issuer in the distribution by NEA Partners 12 on December 23, 2014.</w:t>
      </w:r>
    </w:p>
    <w:p>
      <w:pPr>
        <w:spacing w:after="0" w:line="41" w:lineRule="exact"/>
        <w:rPr>
          <w:rFonts w:ascii="Arial" w:cs="Arial" w:eastAsia="Arial" w:hAnsi="Arial"/>
          <w:sz w:val="14"/>
          <w:szCs w:val="14"/>
          <w:color w:val="008000"/>
        </w:rPr>
      </w:pPr>
    </w:p>
    <w:p>
      <w:pPr>
        <w:ind w:left="40" w:right="12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the investment advisor of PDB LLC, which is the direct beneficial owner of the securities. The Reporting Person disclaims beneficial ownership within the meaning of Section 16 of the Securities Exchange Act of 1934, as amended, or otherwise of such portion of the securities held by PDB LLC in which the Reporting Person has no pecuniary interest.</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New Enterprise Associates, LLC ("NEA LLC") received 1,972 shares of Common Stock of the Issuer in the distribution by NEA Partners 12 on December 23, 2014.</w:t>
      </w:r>
    </w:p>
    <w:p>
      <w:pPr>
        <w:spacing w:after="0" w:line="41"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member of the Board of Directors of NEA LLC, which is the direct beneficial owner of the securities. The Reporting Person disclaims beneficial ownership within the meaning of Section 16 of the Securities Exchange Act of 1934, as amended, or otherwise of such portion of the securities of the Issuer held by NEA LLC in which the Reporting Person has no pecuniary interest.</w:t>
      </w:r>
    </w:p>
    <w:p>
      <w:pPr>
        <w:ind w:left="40" w:right="80" w:firstLine="9"/>
        <w:spacing w:after="0" w:line="288" w:lineRule="auto"/>
        <w:tabs>
          <w:tab w:leader="none" w:pos="2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$20.92 to $21.56,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(10) to this Form 4.</w:t>
      </w:r>
    </w:p>
    <w:p>
      <w:pPr>
        <w:sectPr>
          <w:pgSz w:w="11900" w:h="16838" w:orient="portrait"/>
          <w:cols w:equalWidth="0" w:num="1">
            <w:col w:w="11420"/>
          </w:cols>
          <w:pgMar w:left="240" w:top="226" w:right="239" w:bottom="0" w:gutter="0" w:footer="0" w:header="0"/>
          <w:type w:val="continuous"/>
        </w:sectPr>
      </w:pPr>
    </w:p>
    <w:tbl>
      <w:tblPr>
        <w:tblLayout w:type="fixed"/>
        <w:tblInd w:w="6860" w:type="dxa"/>
        <w:tblCellMar>
          <w:top w:w="0" w:type="dxa"/>
          <w:left w:w="0" w:type="dxa"/>
          <w:bottom w:w="0" w:type="dxa"/>
          <w:right w:w="0" w:type="dxa"/>
        </w:tblCellMar>
      </w:tblPr>
      <w:tr>
        <w:trPr>
          <w:trHeight w:val="216"/>
        </w:trPr>
        <w:tc>
          <w:tcPr>
            <w:tcW w:w="21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8"/>
                <w:szCs w:val="18"/>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0000FF"/>
                <w:w w:val="95"/>
              </w:rPr>
              <w:t>12/29/2014</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0556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2019-12-17T17:41:55Z</dcterms:created>
  <dcterms:modified xsi:type="dcterms:W3CDTF">2019-12-17T17:41:55Z</dcterms:modified>
</cp:coreProperties>
</file>