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SANDELL SCOTT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1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12/23/2014</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8"/>
          </w:tcPr>
          <w:p>
            <w:pPr>
              <w:jc w:val="center"/>
              <w:ind w:right="291"/>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4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20" w:type="dxa"/>
            <w:vAlign w:val="bottom"/>
            <w:gridSpan w:val="3"/>
            <w:vMerge w:val="restart"/>
          </w:tcPr>
          <w:p>
            <w:pPr>
              <w:jc w:val="center"/>
              <w:ind w:left="150"/>
              <w:spacing w:after="0"/>
              <w:rPr>
                <w:sz w:val="20"/>
                <w:szCs w:val="20"/>
                <w:color w:val="auto"/>
              </w:rPr>
            </w:pPr>
            <w:r>
              <w:rPr>
                <w:rFonts w:ascii="Arial" w:cs="Arial" w:eastAsia="Arial" w:hAnsi="Arial"/>
                <w:sz w:val="18"/>
                <w:szCs w:val="18"/>
                <w:color w:val="0000FF"/>
                <w:w w:val="87"/>
              </w:rPr>
              <w:t>5,619,734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gridSpan w:val="5"/>
            <w:vMerge w:val="restart"/>
          </w:tcPr>
          <w:p>
            <w:pPr>
              <w:ind w:left="640"/>
              <w:spacing w:after="0"/>
              <w:rPr>
                <w:sz w:val="20"/>
                <w:szCs w:val="20"/>
                <w:color w:val="auto"/>
              </w:rPr>
            </w:pPr>
            <w:r>
              <w:rPr>
                <w:rFonts w:ascii="Arial" w:cs="Arial" w:eastAsia="Arial" w:hAnsi="Arial"/>
                <w:sz w:val="18"/>
                <w:szCs w:val="18"/>
                <w:color w:val="0000FF"/>
              </w:rPr>
              <w:t>12/23/2014</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center"/>
              <w:ind w:left="24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vMerge w:val="restart"/>
          </w:tcPr>
          <w:p>
            <w:pPr>
              <w:jc w:val="center"/>
              <w:ind w:right="371"/>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gridSpan w:val="5"/>
            <w:vMerge w:val="restart"/>
          </w:tcPr>
          <w:p>
            <w:pPr>
              <w:ind w:left="640"/>
              <w:spacing w:after="0"/>
              <w:rPr>
                <w:sz w:val="20"/>
                <w:szCs w:val="20"/>
                <w:color w:val="auto"/>
              </w:rPr>
            </w:pPr>
            <w:r>
              <w:rPr>
                <w:rFonts w:ascii="Arial" w:cs="Arial" w:eastAsia="Arial" w:hAnsi="Arial"/>
                <w:sz w:val="18"/>
                <w:szCs w:val="18"/>
                <w:color w:val="0000FF"/>
              </w:rPr>
              <w:t>12/23/2014</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592</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center"/>
              <w:ind w:left="24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vMerge w:val="restart"/>
          </w:tcPr>
          <w:p>
            <w:pPr>
              <w:jc w:val="center"/>
              <w:ind w:right="391"/>
              <w:spacing w:after="0"/>
              <w:rPr>
                <w:sz w:val="20"/>
                <w:szCs w:val="20"/>
                <w:color w:val="auto"/>
              </w:rPr>
            </w:pPr>
            <w:r>
              <w:rPr>
                <w:rFonts w:ascii="Arial" w:cs="Arial" w:eastAsia="Arial" w:hAnsi="Arial"/>
                <w:sz w:val="18"/>
                <w:szCs w:val="18"/>
                <w:color w:val="0000FF"/>
                <w:w w:val="86"/>
              </w:rPr>
              <w:t>592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5</w:t>
            </w:r>
            <w:r>
              <w:rPr>
                <w:rFonts w:ascii="Arial" w:cs="Arial" w:eastAsia="Arial" w:hAnsi="Arial"/>
                <w:sz w:val="11"/>
                <w:szCs w:val="11"/>
                <w:color w:val="008000"/>
              </w:rPr>
              <w:t>(5)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gridSpan w:val="5"/>
            <w:vMerge w:val="restart"/>
          </w:tcPr>
          <w:p>
            <w:pPr>
              <w:ind w:left="640"/>
              <w:spacing w:after="0"/>
              <w:rPr>
                <w:sz w:val="20"/>
                <w:szCs w:val="20"/>
                <w:color w:val="auto"/>
              </w:rPr>
            </w:pPr>
            <w:r>
              <w:rPr>
                <w:rFonts w:ascii="Arial" w:cs="Arial" w:eastAsia="Arial" w:hAnsi="Arial"/>
                <w:sz w:val="18"/>
                <w:szCs w:val="18"/>
                <w:color w:val="0000FF"/>
              </w:rPr>
              <w:t>12/23/2014</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(6)</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1,972</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center"/>
              <w:ind w:left="24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vMerge w:val="restart"/>
          </w:tcPr>
          <w:p>
            <w:pPr>
              <w:jc w:val="center"/>
              <w:ind w:right="371"/>
              <w:spacing w:after="0"/>
              <w:rPr>
                <w:sz w:val="20"/>
                <w:szCs w:val="20"/>
                <w:color w:val="auto"/>
              </w:rPr>
            </w:pPr>
            <w:r>
              <w:rPr>
                <w:rFonts w:ascii="Arial" w:cs="Arial" w:eastAsia="Arial" w:hAnsi="Arial"/>
                <w:sz w:val="18"/>
                <w:szCs w:val="18"/>
                <w:color w:val="0000FF"/>
                <w:w w:val="88"/>
              </w:rPr>
              <w:t>1,972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7</w:t>
            </w:r>
            <w:r>
              <w:rPr>
                <w:rFonts w:ascii="Arial" w:cs="Arial" w:eastAsia="Arial" w:hAnsi="Arial"/>
                <w:sz w:val="11"/>
                <w:szCs w:val="11"/>
                <w:color w:val="008000"/>
              </w:rPr>
              <w:t>(7)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gridSpan w:val="5"/>
            <w:vMerge w:val="restart"/>
          </w:tcPr>
          <w:p>
            <w:pPr>
              <w:ind w:left="640"/>
              <w:spacing w:after="0"/>
              <w:rPr>
                <w:sz w:val="20"/>
                <w:szCs w:val="20"/>
                <w:color w:val="auto"/>
              </w:rPr>
            </w:pPr>
            <w:r>
              <w:rPr>
                <w:rFonts w:ascii="Arial" w:cs="Arial" w:eastAsia="Arial" w:hAnsi="Arial"/>
                <w:sz w:val="18"/>
                <w:szCs w:val="18"/>
                <w:color w:val="0000FF"/>
              </w:rPr>
              <w:t>12/26/2014</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1,972</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21.2784</w:t>
            </w:r>
            <w:r>
              <w:rPr>
                <w:rFonts w:ascii="Arial" w:cs="Arial" w:eastAsia="Arial" w:hAnsi="Arial"/>
                <w:sz w:val="22"/>
                <w:szCs w:val="22"/>
                <w:color w:val="008000"/>
                <w:w w:val="85"/>
                <w:vertAlign w:val="superscript"/>
              </w:rPr>
              <w:t>(8)</w:t>
            </w:r>
          </w:p>
        </w:tc>
        <w:tc>
          <w:tcPr>
            <w:tcW w:w="400" w:type="dxa"/>
            <w:vAlign w:val="bottom"/>
          </w:tcPr>
          <w:p>
            <w:pPr>
              <w:spacing w:after="0"/>
              <w:rPr>
                <w:sz w:val="22"/>
                <w:szCs w:val="22"/>
                <w:color w:val="auto"/>
              </w:rPr>
            </w:pPr>
          </w:p>
        </w:tc>
        <w:tc>
          <w:tcPr>
            <w:tcW w:w="840" w:type="dxa"/>
            <w:vAlign w:val="bottom"/>
            <w:vMerge w:val="restart"/>
          </w:tcPr>
          <w:p>
            <w:pPr>
              <w:jc w:val="center"/>
              <w:ind w:right="371"/>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7</w:t>
            </w:r>
            <w:r>
              <w:rPr>
                <w:rFonts w:ascii="Arial" w:cs="Arial" w:eastAsia="Arial" w:hAnsi="Arial"/>
                <w:sz w:val="11"/>
                <w:szCs w:val="11"/>
                <w:color w:val="008000"/>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vMerge w:val="continue"/>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jc w:val="center"/>
              <w:ind w:left="4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40" w:type="dxa"/>
            <w:vAlign w:val="bottom"/>
            <w:gridSpan w:val="14"/>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ind w:left="40" w:right="3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the sole general partner of NEA Partners 12. The Reporting Person disclaims beneficial ownership within the meaning of Section 16 of the Securities Exchange Act of 1934, as amended, or otherwise of such portion of the securities of the Issuer held by NEA Partners 12 in which the Reporting Person has no pecuniary interest.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NEA Partners 12 made a pro rata distribution for no consideration of an aggregate of 10,000 shares of Common Stock of the Issuer to its limited partners on December 23,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Rising River Partners, L.P. received 592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Rising River Partners, L.P. The Reporting Person disclaims beneficial ownership within the meaning of Section 16 of the Securities Exchange Act of 1934, as amended, or otherwise of such portion of the securities of the Issuer held by Rising River Partners, L.P. in which the Reporting Person has no pecuniary interest.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New Enterprise Associates, LLC ("NEA LLC") received 1,972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member of the Board of Directors of NEA LLC, which is the direct beneficial owner of the securities. The Reporting Person disclaims beneficial ownership within the meaning of Section 16 of the Securities Exchange Act of 1934, as amended, or otherwise of such portion of the securities of the Issuer held by NEA LLC in which the Reporting Person has no pecuniary interest.</w:t>
      </w: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$20.92 to $21.56,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(8) to this Form 4.</w:t>
      </w:r>
    </w:p>
    <w:p>
      <w:pPr>
        <w:spacing w:after="0" w:line="17"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12/29/2014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28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2019-12-17T17:17:37Z</dcterms:created>
  <dcterms:modified xsi:type="dcterms:W3CDTF">2019-12-17T17:17:37Z</dcterms:modified>
</cp:coreProperties>
</file>