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375285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jc w:val="center"/>
        <w:ind w:right="-8"/>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48" w:lineRule="exact"/>
        <w:rPr>
          <w:sz w:val="24"/>
          <w:szCs w:val="24"/>
          <w:color w:val="auto"/>
        </w:rPr>
      </w:pPr>
    </w:p>
    <w:p>
      <w:pPr>
        <w:jc w:val="center"/>
        <w:ind w:right="-8"/>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75565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72"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ind w:left="449" w:right="140" w:hanging="449"/>
        <w:spacing w:after="0" w:line="227" w:lineRule="auto"/>
        <w:tabs>
          <w:tab w:leader="none" w:pos="62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49" w:right="120" w:hanging="449"/>
        <w:spacing w:after="0" w:line="235" w:lineRule="auto"/>
        <w:tabs>
          <w:tab w:leader="none" w:pos="62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069"/>
        <w:spacing w:after="0"/>
        <w:tabs>
          <w:tab w:leader="none" w:pos="704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50"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68580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8" w:lineRule="exact"/>
        <w:rPr>
          <w:sz w:val="24"/>
          <w:szCs w:val="24"/>
          <w:color w:val="auto"/>
        </w:rPr>
      </w:pPr>
    </w:p>
    <w:p>
      <w:pPr>
        <w:jc w:val="center"/>
        <w:ind w:right="-8"/>
        <w:spacing w:after="0"/>
        <w:rPr>
          <w:sz w:val="20"/>
          <w:szCs w:val="20"/>
          <w:color w:val="auto"/>
        </w:rPr>
      </w:pPr>
      <w:r>
        <w:rPr>
          <w:rFonts w:ascii="Arial" w:cs="Arial" w:eastAsia="Arial" w:hAnsi="Arial"/>
          <w:sz w:val="29"/>
          <w:szCs w:val="29"/>
          <w:b w:val="1"/>
          <w:bCs w:val="1"/>
          <w:color w:val="auto"/>
        </w:rPr>
        <w:t>ARDELYX, INC.</w:t>
      </w:r>
    </w:p>
    <w:p>
      <w:pPr>
        <w:jc w:val="center"/>
        <w:ind w:right="-8"/>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6" w:lineRule="exact"/>
        <w:rPr>
          <w:sz w:val="24"/>
          <w:szCs w:val="24"/>
          <w:color w:val="auto"/>
        </w:rPr>
      </w:pPr>
    </w:p>
    <w:tbl>
      <w:tblPr>
        <w:tblLayout w:type="fixed"/>
        <w:tblInd w:w="929" w:type="dxa"/>
        <w:tblCellMar>
          <w:top w:w="0" w:type="dxa"/>
          <w:left w:w="0" w:type="dxa"/>
          <w:bottom w:w="0" w:type="dxa"/>
          <w:right w:w="0" w:type="dxa"/>
        </w:tblCellMar>
      </w:tblPr>
      <w:tr>
        <w:trPr>
          <w:trHeight w:val="207"/>
        </w:trPr>
        <w:tc>
          <w:tcPr>
            <w:tcW w:w="4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DELAWARE</w:t>
            </w:r>
          </w:p>
        </w:tc>
        <w:tc>
          <w:tcPr>
            <w:tcW w:w="3460" w:type="dxa"/>
            <w:vAlign w:val="bottom"/>
          </w:tcPr>
          <w:p>
            <w:pPr>
              <w:jc w:val="center"/>
              <w:ind w:left="1070"/>
              <w:spacing w:after="0" w:line="207" w:lineRule="exact"/>
              <w:rPr>
                <w:sz w:val="20"/>
                <w:szCs w:val="20"/>
                <w:color w:val="auto"/>
              </w:rPr>
            </w:pPr>
            <w:r>
              <w:rPr>
                <w:rFonts w:ascii="Arial" w:cs="Arial" w:eastAsia="Arial" w:hAnsi="Arial"/>
                <w:sz w:val="18"/>
                <w:szCs w:val="18"/>
                <w:b w:val="1"/>
                <w:bCs w:val="1"/>
                <w:color w:val="auto"/>
                <w:w w:val="89"/>
              </w:rPr>
              <w:t>26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1303944</w:t>
            </w:r>
          </w:p>
        </w:tc>
      </w:tr>
      <w:tr>
        <w:trPr>
          <w:trHeight w:val="176"/>
        </w:trPr>
        <w:tc>
          <w:tcPr>
            <w:tcW w:w="4620" w:type="dxa"/>
            <w:vAlign w:val="bottom"/>
          </w:tcPr>
          <w:p>
            <w:pPr>
              <w:jc w:val="center"/>
              <w:ind w:right="1070"/>
              <w:spacing w:after="0" w:line="176" w:lineRule="exact"/>
              <w:rPr>
                <w:sz w:val="20"/>
                <w:szCs w:val="20"/>
                <w:color w:val="auto"/>
              </w:rPr>
            </w:pPr>
            <w:r>
              <w:rPr>
                <w:rFonts w:ascii="Arial" w:cs="Arial" w:eastAsia="Arial" w:hAnsi="Arial"/>
                <w:sz w:val="18"/>
                <w:szCs w:val="18"/>
                <w:color w:val="auto"/>
                <w:w w:val="94"/>
              </w:rPr>
              <w:t>(STATE OR OTHER JURISDICTION</w:t>
            </w:r>
          </w:p>
        </w:tc>
        <w:tc>
          <w:tcPr>
            <w:tcW w:w="346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6"/>
              </w:rPr>
              <w:t>(I.R.S. EMPLOYER</w:t>
            </w:r>
          </w:p>
        </w:tc>
      </w:tr>
      <w:tr>
        <w:trPr>
          <w:trHeight w:val="230"/>
        </w:trPr>
        <w:tc>
          <w:tcPr>
            <w:tcW w:w="4620" w:type="dxa"/>
            <w:vAlign w:val="bottom"/>
          </w:tcPr>
          <w:p>
            <w:pPr>
              <w:jc w:val="center"/>
              <w:ind w:right="1070"/>
              <w:spacing w:after="0"/>
              <w:rPr>
                <w:sz w:val="20"/>
                <w:szCs w:val="20"/>
                <w:color w:val="auto"/>
              </w:rPr>
            </w:pPr>
            <w:r>
              <w:rPr>
                <w:rFonts w:ascii="Arial" w:cs="Arial" w:eastAsia="Arial" w:hAnsi="Arial"/>
                <w:sz w:val="18"/>
                <w:szCs w:val="18"/>
                <w:color w:val="auto"/>
                <w:w w:val="95"/>
              </w:rPr>
              <w:t>OF INCORPORATION OR ORGANIZATION)</w:t>
            </w:r>
          </w:p>
        </w:tc>
        <w:tc>
          <w:tcPr>
            <w:tcW w:w="3460" w:type="dxa"/>
            <w:vAlign w:val="bottom"/>
          </w:tcPr>
          <w:p>
            <w:pPr>
              <w:jc w:val="center"/>
              <w:ind w:left="1070"/>
              <w:spacing w:after="0"/>
              <w:rPr>
                <w:sz w:val="20"/>
                <w:szCs w:val="20"/>
                <w:color w:val="auto"/>
              </w:rPr>
            </w:pPr>
            <w:r>
              <w:rPr>
                <w:rFonts w:ascii="Arial" w:cs="Arial" w:eastAsia="Arial" w:hAnsi="Arial"/>
                <w:sz w:val="18"/>
                <w:szCs w:val="18"/>
                <w:color w:val="auto"/>
                <w:w w:val="99"/>
              </w:rPr>
              <w:t>IDENTIFICATION NUMBER)</w:t>
            </w:r>
          </w:p>
        </w:tc>
      </w:tr>
    </w:tbl>
    <w:p>
      <w:pPr>
        <w:spacing w:after="0" w:line="1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34175 Ardenwood Boulevard, Suite 200</w:t>
      </w:r>
    </w:p>
    <w:p>
      <w:pPr>
        <w:jc w:val="center"/>
        <w:ind w:right="-8"/>
        <w:spacing w:after="0" w:line="203" w:lineRule="auto"/>
        <w:rPr>
          <w:sz w:val="20"/>
          <w:szCs w:val="20"/>
          <w:color w:val="auto"/>
        </w:rPr>
      </w:pPr>
      <w:r>
        <w:rPr>
          <w:rFonts w:ascii="Arial" w:cs="Arial" w:eastAsia="Arial" w:hAnsi="Arial"/>
          <w:sz w:val="18"/>
          <w:szCs w:val="18"/>
          <w:b w:val="1"/>
          <w:bCs w:val="1"/>
          <w:color w:val="auto"/>
        </w:rPr>
        <w:t>Fremont, California 94555</w:t>
      </w:r>
    </w:p>
    <w:p>
      <w:pPr>
        <w:jc w:val="center"/>
        <w:ind w:right="-8"/>
        <w:spacing w:after="0"/>
        <w:rPr>
          <w:sz w:val="20"/>
          <w:szCs w:val="20"/>
          <w:color w:val="auto"/>
        </w:rPr>
      </w:pPr>
      <w:r>
        <w:rPr>
          <w:rFonts w:ascii="Arial" w:cs="Arial" w:eastAsia="Arial" w:hAnsi="Arial"/>
          <w:sz w:val="18"/>
          <w:szCs w:val="18"/>
          <w:color w:val="auto"/>
        </w:rPr>
        <w:t>(ADDRESS OF PRINCIPAL EXECUTIVE OFFICES, INCLUDING ZIPCODE)</w:t>
      </w:r>
    </w:p>
    <w:p>
      <w:pPr>
        <w:spacing w:after="0" w:line="18"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jc w:val="center"/>
        <w:ind w:right="-8"/>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43" w:lineRule="exact"/>
        <w:rPr>
          <w:sz w:val="24"/>
          <w:szCs w:val="24"/>
          <w:color w:val="auto"/>
        </w:rPr>
      </w:pPr>
    </w:p>
    <w:p>
      <w:pPr>
        <w:ind w:left="9" w:right="440" w:firstLine="441"/>
        <w:spacing w:after="0" w:line="23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ind w:left="9"/>
        <w:spacing w:after="0" w:line="207" w:lineRule="exact"/>
        <w:tabs>
          <w:tab w:leader="none" w:pos="5068" w:val="left"/>
          <w:tab w:leader="none" w:pos="5708"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40" w:lineRule="exact"/>
        <w:rPr>
          <w:sz w:val="24"/>
          <w:szCs w:val="24"/>
          <w:color w:val="auto"/>
        </w:rPr>
      </w:pPr>
    </w:p>
    <w:p>
      <w:pPr>
        <w:ind w:left="9" w:right="160" w:firstLine="441"/>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left="9" w:right="440" w:firstLine="441"/>
        <w:spacing w:after="0" w:line="194"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2" w:lineRule="exact"/>
        <w:rPr>
          <w:sz w:val="24"/>
          <w:szCs w:val="24"/>
          <w:color w:val="auto"/>
        </w:rPr>
      </w:pPr>
    </w:p>
    <w:tbl>
      <w:tblPr>
        <w:tblLayout w:type="fixed"/>
        <w:tblInd w:w="9" w:type="dxa"/>
        <w:tblCellMar>
          <w:top w:w="0" w:type="dxa"/>
          <w:left w:w="0" w:type="dxa"/>
          <w:bottom w:w="0" w:type="dxa"/>
          <w:right w:w="0" w:type="dxa"/>
        </w:tblCellMar>
      </w:tblPr>
      <w:tr>
        <w:trPr>
          <w:trHeight w:val="250"/>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ind w:left="9" w:right="700" w:firstLine="441"/>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449"/>
        <w:spacing w:after="0" w:line="207" w:lineRule="exact"/>
        <w:tabs>
          <w:tab w:leader="none" w:pos="8768" w:val="left"/>
          <w:tab w:leader="none" w:pos="9428"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6" w:lineRule="exact"/>
        <w:rPr>
          <w:sz w:val="24"/>
          <w:szCs w:val="24"/>
          <w:color w:val="auto"/>
        </w:rPr>
      </w:pPr>
    </w:p>
    <w:p>
      <w:pPr>
        <w:ind w:left="9" w:firstLine="324"/>
        <w:spacing w:after="0" w:line="231" w:lineRule="auto"/>
        <w:rPr>
          <w:sz w:val="20"/>
          <w:szCs w:val="20"/>
          <w:color w:val="auto"/>
        </w:rPr>
      </w:pPr>
      <w:r>
        <w:rPr>
          <w:rFonts w:ascii="Arial" w:cs="Arial" w:eastAsia="Arial" w:hAnsi="Arial"/>
          <w:sz w:val="18"/>
          <w:szCs w:val="18"/>
          <w:color w:val="auto"/>
        </w:rPr>
        <w:t>The number of issued and outstanding shares of the registrant’s Common Stock, $0.0001 par value per share, as of November 1, 2018, was 62,134,530.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377190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220"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vMerge w:val="restart"/>
          </w:tcPr>
          <w:p>
            <w:pPr>
              <w:spacing w:after="0"/>
              <w:rPr>
                <w:sz w:val="14"/>
                <w:szCs w:val="14"/>
                <w:color w:val="auto"/>
              </w:rPr>
            </w:pPr>
          </w:p>
        </w:tc>
        <w:tc>
          <w:tcPr>
            <w:tcW w:w="5860" w:type="dxa"/>
            <w:vAlign w:val="bottom"/>
            <w:gridSpan w:val="14"/>
            <w:vMerge w:val="restart"/>
          </w:tcPr>
          <w:p>
            <w:pPr>
              <w:jc w:val="center"/>
              <w:ind w:right="28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60" w:type="dxa"/>
            <w:vAlign w:val="bottom"/>
            <w:gridSpan w:val="14"/>
            <w:vMerge w:val="continue"/>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 Condensed Consolidated Financial Statements</w:t>
              </w:r>
            </w:hyperlink>
          </w:p>
        </w:tc>
        <w:tc>
          <w:tcPr>
            <w:tcW w:w="4580" w:type="dxa"/>
            <w:vAlign w:val="bottom"/>
            <w:gridSpan w:val="11"/>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74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2018 (unaudited) and December 31, 2017</w:t>
              </w:r>
            </w:hyperlink>
          </w:p>
        </w:tc>
        <w:tc>
          <w:tcPr>
            <w:tcW w:w="56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8020" w:type="dxa"/>
            <w:vAlign w:val="bottom"/>
            <w:gridSpan w:val="23"/>
          </w:tcPr>
          <w:p>
            <w:pPr>
              <w:spacing w:after="0" w:line="15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and nine months</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748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ended September 30, 2018 and 2017 (unaudited)</w:t>
              </w:r>
            </w:hyperlink>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EE"/>
            </w:tcBorders>
            <w:gridSpan w:val="11"/>
          </w:tcPr>
          <w:p>
            <w:pPr>
              <w:spacing w:after="0" w:line="156"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Condensed Consolidated Statements of Cash Flows</w:t>
              </w:r>
            </w:hyperlink>
          </w:p>
        </w:tc>
        <w:tc>
          <w:tcPr>
            <w:tcW w:w="4320" w:type="dxa"/>
            <w:vAlign w:val="bottom"/>
            <w:gridSpan w:val="10"/>
          </w:tcPr>
          <w:p>
            <w:pPr>
              <w:ind w:left="60"/>
              <w:spacing w:after="0" w:line="15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for the nine months ended September 30, 2018 and 2017</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4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6800" w:type="dxa"/>
            <w:vAlign w:val="bottom"/>
            <w:tcBorders>
              <w:top w:val="single" w:sz="8" w:color="0000EE"/>
            </w:tcBorders>
            <w:gridSpan w:val="17"/>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314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Item 2. Management’s Discussion and Analysis of Financial Condition and Results of Operations</w:t>
              </w:r>
            </w:hyperlink>
          </w:p>
        </w:tc>
        <w:tc>
          <w:tcPr>
            <w:tcW w:w="158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368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600" w:type="dxa"/>
            <w:vAlign w:val="bottom"/>
            <w:gridSpan w:val="2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 Controls and Procedures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31"/>
        </w:trPr>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29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1. Legal Proceedings</w:t>
              </w:r>
            </w:hyperlink>
          </w:p>
        </w:tc>
        <w:tc>
          <w:tcPr>
            <w:tcW w:w="6700" w:type="dxa"/>
            <w:vAlign w:val="bottom"/>
            <w:gridSpan w:val="1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7000" w:type="dxa"/>
            <w:vAlign w:val="bottom"/>
            <w:gridSpan w:val="1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600" w:type="dxa"/>
            <w:vAlign w:val="bottom"/>
            <w:gridSpan w:val="2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2. Unregistered Sales of Equity Securities and Use of Proceeds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3. Defaults Upon Senior Securities</w:t>
              </w:r>
            </w:hyperlink>
          </w:p>
        </w:tc>
        <w:tc>
          <w:tcPr>
            <w:tcW w:w="370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4. Mine Safety Disclosures</w:t>
              </w:r>
            </w:hyperlink>
          </w:p>
        </w:tc>
        <w:tc>
          <w:tcPr>
            <w:tcW w:w="572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17"/>
                <w:szCs w:val="17"/>
                <w:color w:val="auto"/>
              </w:rPr>
            </w:pPr>
          </w:p>
        </w:tc>
        <w:tc>
          <w:tcPr>
            <w:tcW w:w="628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Item 6. Exhibits</w:t>
              </w:r>
            </w:hyperlink>
          </w:p>
        </w:tc>
        <w:tc>
          <w:tcPr>
            <w:tcW w:w="744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8600" w:type="dxa"/>
            <w:vAlign w:val="bottom"/>
            <w:gridSpan w:val="2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42"/>
        </w:trPr>
        <w:tc>
          <w:tcPr>
            <w:tcW w:w="760" w:type="dxa"/>
            <w:vAlign w:val="bottom"/>
            <w:tcBorders>
              <w:top w:val="single" w:sz="8" w:color="0000EE"/>
            </w:tcBorders>
            <w:gridSpan w:val="2"/>
          </w:tcPr>
          <w:p>
            <w:pPr>
              <w:spacing w:after="0"/>
              <w:rPr>
                <w:sz w:val="24"/>
                <w:szCs w:val="24"/>
                <w:color w:val="auto"/>
              </w:rPr>
            </w:pPr>
          </w:p>
        </w:tc>
        <w:tc>
          <w:tcPr>
            <w:tcW w:w="4140" w:type="dxa"/>
            <w:vAlign w:val="bottom"/>
            <w:gridSpan w:val="13"/>
          </w:tcPr>
          <w:p>
            <w:pPr>
              <w:jc w:val="right"/>
              <w:ind w:right="2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CONDENSED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jc w:val="center"/>
              <w:ind w:right="152"/>
              <w:spacing w:after="0" w:line="129"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91"/>
              <w:spacing w:after="0" w:line="12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tcPr>
          <w:p>
            <w:pPr>
              <w:spacing w:after="0" w:line="176" w:lineRule="exact"/>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75,015</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75,383</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111,391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receivable</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10,796</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Unbilled license revenue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5,000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7,749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100" w:type="dxa"/>
            <w:vAlign w:val="bottom"/>
            <w:gridSpan w:val="2"/>
          </w:tcPr>
          <w:p>
            <w:pPr>
              <w:ind w:left="320"/>
              <w:spacing w:after="0" w:line="170" w:lineRule="exact"/>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line="170" w:lineRule="exact"/>
              <w:rPr>
                <w:sz w:val="20"/>
                <w:szCs w:val="20"/>
                <w:color w:val="auto"/>
              </w:rPr>
            </w:pPr>
            <w:r>
              <w:rPr>
                <w:rFonts w:ascii="Arial" w:cs="Arial" w:eastAsia="Arial" w:hAnsi="Arial"/>
                <w:sz w:val="18"/>
                <w:szCs w:val="18"/>
                <w:color w:val="auto"/>
              </w:rPr>
              <w:t>199,322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149,712</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5,996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8,032</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Other assets</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1,350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100" w:type="dxa"/>
            <w:vAlign w:val="bottom"/>
            <w:tcBorders>
              <w:bottom w:val="single" w:sz="8" w:color="CCEEFF"/>
            </w:tcBorders>
            <w:gridSpan w:val="2"/>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206,668</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157,903</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6100" w:type="dxa"/>
            <w:vAlign w:val="bottom"/>
            <w:gridSpan w:val="2"/>
          </w:tcPr>
          <w:p>
            <w:pPr>
              <w:spacing w:after="0" w:line="163" w:lineRule="exact"/>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2,269</w:t>
            </w:r>
          </w:p>
        </w:tc>
        <w:tc>
          <w:tcPr>
            <w:tcW w:w="140" w:type="dxa"/>
            <w:vAlign w:val="bottom"/>
          </w:tcPr>
          <w:p>
            <w:pPr>
              <w:spacing w:after="0"/>
              <w:rPr>
                <w:sz w:val="15"/>
                <w:szCs w:val="15"/>
                <w:color w:val="auto"/>
              </w:rPr>
            </w:pPr>
          </w:p>
        </w:tc>
        <w:tc>
          <w:tcPr>
            <w:tcW w:w="16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Accrued compensation and benefits</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2,306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Uncharged license fees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Accrued and other liabilities</w:t>
            </w:r>
          </w:p>
        </w:tc>
        <w:tc>
          <w:tcPr>
            <w:tcW w:w="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9,974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100" w:type="dxa"/>
            <w:vAlign w:val="bottom"/>
            <w:gridSpan w:val="2"/>
          </w:tcPr>
          <w:p>
            <w:pPr>
              <w:ind w:left="320"/>
              <w:spacing w:after="0" w:line="170" w:lineRule="exact"/>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line="170" w:lineRule="exact"/>
              <w:rPr>
                <w:sz w:val="20"/>
                <w:szCs w:val="20"/>
                <w:color w:val="auto"/>
              </w:rPr>
            </w:pPr>
            <w:r>
              <w:rPr>
                <w:rFonts w:ascii="Arial" w:cs="Arial" w:eastAsia="Arial" w:hAnsi="Arial"/>
                <w:sz w:val="18"/>
                <w:szCs w:val="18"/>
                <w:color w:val="auto"/>
              </w:rPr>
              <w:t>15,549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17,871</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Loan payable, long term</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49,020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Other long-term liabilities</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651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100" w:type="dxa"/>
            <w:vAlign w:val="bottom"/>
            <w:gridSpan w:val="2"/>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65,220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18,591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100" w:type="dxa"/>
            <w:vAlign w:val="bottom"/>
            <w:gridSpan w:val="2"/>
          </w:tcPr>
          <w:p>
            <w:pPr>
              <w:spacing w:after="0" w:line="170" w:lineRule="exact"/>
              <w:rPr>
                <w:sz w:val="20"/>
                <w:szCs w:val="20"/>
                <w:color w:val="auto"/>
              </w:rPr>
            </w:pPr>
            <w:r>
              <w:rPr>
                <w:rFonts w:ascii="Arial" w:cs="Arial" w:eastAsia="Arial" w:hAnsi="Arial"/>
                <w:sz w:val="18"/>
                <w:szCs w:val="18"/>
                <w:color w:val="auto"/>
              </w:rPr>
              <w:t>Commitments and contingencies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100" w:type="dxa"/>
            <w:vAlign w:val="bottom"/>
            <w:gridSpan w:val="2"/>
          </w:tcPr>
          <w:p>
            <w:pPr>
              <w:ind w:left="100"/>
              <w:spacing w:after="0" w:line="149" w:lineRule="exact"/>
              <w:rPr>
                <w:sz w:val="20"/>
                <w:szCs w:val="20"/>
                <w:color w:val="auto"/>
              </w:rPr>
            </w:pPr>
            <w:r>
              <w:rPr>
                <w:rFonts w:ascii="Arial" w:cs="Arial" w:eastAsia="Arial" w:hAnsi="Arial"/>
                <w:sz w:val="17"/>
                <w:szCs w:val="17"/>
                <w:color w:val="auto"/>
                <w:w w:val="95"/>
              </w:rPr>
              <w:t>Preferred stock, $0.0001 par value; 5,000,000 shares authorized; no shares issued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10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90"/>
              </w:rPr>
              <w:t>and outstanding as of September 30, 2018 and December 31, 2017, respectively.</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1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7"/>
                <w:szCs w:val="17"/>
                <w:color w:val="auto"/>
              </w:rPr>
              <w:t>Common stock, $0.0001 par value; 300,000,000 shares authorized; 62,106,121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and 47,534,979 shares issued and outstanding as of September 30, 2018 and</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1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December 31, 2017, respectively.</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479,109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417,568</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(337,650)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(278,214)</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tcBorders>
              <w:bottom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Accumulated other comprehensive loss</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1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stockholders’ equity</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141,448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139,312</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00" w:type="dxa"/>
            <w:vAlign w:val="bottom"/>
            <w:gridSpan w:val="2"/>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206,668</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157,903</w:t>
            </w: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7"/>
        <w:spacing w:after="0" w:line="203" w:lineRule="exact"/>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16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20"/>
              <w:spacing w:after="0" w:line="176" w:lineRule="exact"/>
              <w:rPr>
                <w:sz w:val="20"/>
                <w:szCs w:val="20"/>
                <w:color w:val="auto"/>
              </w:rPr>
            </w:pPr>
            <w:r>
              <w:rPr>
                <w:rFonts w:ascii="Arial" w:cs="Arial" w:eastAsia="Arial" w:hAnsi="Arial"/>
                <w:sz w:val="18"/>
                <w:szCs w:val="18"/>
                <w:color w:val="auto"/>
              </w:rPr>
              <w:t>Licensing revenue</w:t>
            </w:r>
          </w:p>
        </w:tc>
        <w:tc>
          <w:tcPr>
            <w:tcW w:w="360" w:type="dxa"/>
            <w:vAlign w:val="bottom"/>
            <w:gridSpan w:val="2"/>
          </w:tcPr>
          <w:p>
            <w:pPr>
              <w:jc w:val="right"/>
              <w:ind w:right="74"/>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14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4060" w:type="dxa"/>
            <w:vAlign w:val="bottom"/>
          </w:tcPr>
          <w:p>
            <w:pPr>
              <w:ind w:left="440"/>
              <w:spacing w:after="0" w:line="170" w:lineRule="exact"/>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2,522</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2,056</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17,941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15,365</w:t>
            </w:r>
          </w:p>
        </w:tc>
        <w:tc>
          <w:tcPr>
            <w:tcW w:w="14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47,337</w:t>
            </w:r>
          </w:p>
        </w:tc>
        <w:tc>
          <w:tcPr>
            <w:tcW w:w="14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58,325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5,961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5,860</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18,290</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17,752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6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23,902</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21,225</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65,627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76,077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6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(23,732)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(21,225)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(63,571)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(76,077)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20"/>
              <w:spacing w:after="0" w:line="176" w:lineRule="exact"/>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501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141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1,624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(24,126)</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(20,724)</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(63,430)</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(74,453)</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60" w:type="dxa"/>
            <w:vAlign w:val="bottom"/>
          </w:tcPr>
          <w:p>
            <w:pPr>
              <w:spacing w:after="0" w:line="176"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74"/>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(24,126)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(20,724)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(63,436)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(74,453)</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6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74"/>
              <w:spacing w:after="0" w:line="16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(0.39)</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(0.44)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(1.57)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Shares used in computing net loss per share - basic and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62,071,397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47,464,310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54,204,907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47,404,039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3" w:lineRule="exact"/>
              <w:rPr>
                <w:sz w:val="20"/>
                <w:szCs w:val="20"/>
                <w:color w:val="auto"/>
              </w:rPr>
            </w:pPr>
            <w:r>
              <w:rPr>
                <w:rFonts w:ascii="Arial" w:cs="Arial" w:eastAsia="Arial" w:hAnsi="Arial"/>
                <w:sz w:val="18"/>
                <w:szCs w:val="18"/>
                <w:b w:val="1"/>
                <w:bCs w:val="1"/>
                <w:color w:val="auto"/>
              </w:rPr>
              <w:t>Comprehensive loss: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(24,126)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(20,724)</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(63,436)</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(74,453)</w:t>
            </w:r>
          </w:p>
        </w:tc>
        <w:tc>
          <w:tcPr>
            <w:tcW w:w="0" w:type="dxa"/>
            <w:vAlign w:val="bottom"/>
          </w:tcPr>
          <w:p>
            <w:pPr>
              <w:spacing w:after="0"/>
              <w:rPr>
                <w:sz w:val="1"/>
                <w:szCs w:val="1"/>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7"/>
                <w:szCs w:val="17"/>
                <w:color w:val="auto"/>
              </w:rPr>
              <w:t>Unrealized (loss) gain on available-for-sale securities,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6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4"/>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(24,107)</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(20,694)</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(63,406)</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(74,392)</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6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r>
      <w:tr>
        <w:trPr>
          <w:trHeight w:val="129"/>
        </w:trPr>
        <w:tc>
          <w:tcPr>
            <w:tcW w:w="66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92"/>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6"/>
        </w:trPr>
        <w:tc>
          <w:tcPr>
            <w:tcW w:w="6640" w:type="dxa"/>
            <w:vAlign w:val="bottom"/>
          </w:tcPr>
          <w:p>
            <w:pPr>
              <w:ind w:left="220"/>
              <w:spacing w:after="0" w:line="176"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line="17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(63,436)</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w w:val="98"/>
              </w:rPr>
              <w:t>(74,453)</w:t>
            </w:r>
          </w:p>
        </w:tc>
      </w:tr>
      <w:tr>
        <w:trPr>
          <w:trHeight w:val="176"/>
        </w:trPr>
        <w:tc>
          <w:tcPr>
            <w:tcW w:w="6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6"/>
        </w:trPr>
        <w:tc>
          <w:tcPr>
            <w:tcW w:w="6640" w:type="dxa"/>
            <w:vAlign w:val="bottom"/>
          </w:tcPr>
          <w:p>
            <w:pPr>
              <w:ind w:left="320"/>
              <w:spacing w:after="0" w:line="176" w:lineRule="exact"/>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2,005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1,965</w:t>
            </w:r>
          </w:p>
        </w:tc>
      </w:tr>
      <w:tr>
        <w:trPr>
          <w:trHeight w:val="176"/>
        </w:trPr>
        <w:tc>
          <w:tcPr>
            <w:tcW w:w="66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deferred financing costs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360</w:t>
            </w:r>
          </w:p>
        </w:tc>
      </w:tr>
      <w:tr>
        <w:trPr>
          <w:trHeight w:val="176"/>
        </w:trPr>
        <w:tc>
          <w:tcPr>
            <w:tcW w:w="6640" w:type="dxa"/>
            <w:vAlign w:val="bottom"/>
          </w:tcPr>
          <w:p>
            <w:pPr>
              <w:ind w:left="320"/>
              <w:spacing w:after="0" w:line="176" w:lineRule="exact"/>
              <w:rPr>
                <w:sz w:val="20"/>
                <w:szCs w:val="20"/>
                <w:color w:val="auto"/>
              </w:rPr>
            </w:pPr>
            <w:r>
              <w:rPr>
                <w:rFonts w:ascii="Arial" w:cs="Arial" w:eastAsia="Arial" w:hAnsi="Arial"/>
                <w:sz w:val="18"/>
                <w:szCs w:val="18"/>
                <w:color w:val="auto"/>
              </w:rPr>
              <w:t>Amortization of deferred compensation for services</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142</w:t>
            </w:r>
          </w:p>
        </w:tc>
      </w:tr>
      <w:tr>
        <w:trPr>
          <w:trHeight w:val="176"/>
        </w:trPr>
        <w:tc>
          <w:tcPr>
            <w:tcW w:w="66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premium on investment securities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r>
      <w:tr>
        <w:trPr>
          <w:trHeight w:val="176"/>
        </w:trPr>
        <w:tc>
          <w:tcPr>
            <w:tcW w:w="6640" w:type="dxa"/>
            <w:vAlign w:val="bottom"/>
          </w:tcPr>
          <w:p>
            <w:pPr>
              <w:ind w:left="320"/>
              <w:spacing w:after="0" w:line="176"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6,976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7,001</w:t>
            </w:r>
          </w:p>
        </w:tc>
      </w:tr>
      <w:tr>
        <w:trPr>
          <w:trHeight w:val="176"/>
        </w:trPr>
        <w:tc>
          <w:tcPr>
            <w:tcW w:w="66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Change in derivative liabilities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640" w:type="dxa"/>
            <w:vAlign w:val="bottom"/>
          </w:tcPr>
          <w:p>
            <w:pPr>
              <w:ind w:left="320"/>
              <w:spacing w:after="0" w:line="176" w:lineRule="exact"/>
              <w:rPr>
                <w:sz w:val="20"/>
                <w:szCs w:val="20"/>
                <w:color w:val="auto"/>
              </w:rPr>
            </w:pPr>
            <w:r>
              <w:rPr>
                <w:rFonts w:ascii="Arial" w:cs="Arial" w:eastAsia="Arial" w:hAnsi="Arial"/>
                <w:sz w:val="18"/>
                <w:szCs w:val="18"/>
                <w:color w:val="auto"/>
              </w:rPr>
              <w:t>Non-cash interest expense relating to loan payable</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164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6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6"/>
        </w:trPr>
        <w:tc>
          <w:tcPr>
            <w:tcW w:w="6640" w:type="dxa"/>
            <w:vAlign w:val="bottom"/>
          </w:tcPr>
          <w:p>
            <w:pPr>
              <w:ind w:left="540"/>
              <w:spacing w:after="0" w:line="176" w:lineRule="exact"/>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10,629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64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(3,908)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(2,178)</w:t>
            </w:r>
          </w:p>
        </w:tc>
      </w:tr>
      <w:tr>
        <w:trPr>
          <w:trHeight w:val="176"/>
        </w:trPr>
        <w:tc>
          <w:tcPr>
            <w:tcW w:w="6640" w:type="dxa"/>
            <w:vAlign w:val="bottom"/>
          </w:tcPr>
          <w:p>
            <w:pPr>
              <w:ind w:left="540"/>
              <w:spacing w:after="0" w:line="176" w:lineRule="exact"/>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5"/>
                <w:szCs w:val="15"/>
                <w:color w:val="auto"/>
              </w:rPr>
            </w:pPr>
          </w:p>
        </w:tc>
        <w:tc>
          <w:tcPr>
            <w:tcW w:w="12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(1,609)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(3,182)</w:t>
            </w:r>
          </w:p>
        </w:tc>
      </w:tr>
      <w:tr>
        <w:trPr>
          <w:trHeight w:val="176"/>
        </w:trPr>
        <w:tc>
          <w:tcPr>
            <w:tcW w:w="664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(439)</w:t>
            </w:r>
          </w:p>
        </w:tc>
      </w:tr>
      <w:tr>
        <w:trPr>
          <w:trHeight w:val="176"/>
        </w:trPr>
        <w:tc>
          <w:tcPr>
            <w:tcW w:w="6640" w:type="dxa"/>
            <w:vAlign w:val="bottom"/>
          </w:tcPr>
          <w:p>
            <w:pPr>
              <w:ind w:left="540"/>
              <w:spacing w:after="0" w:line="176" w:lineRule="exact"/>
              <w:rPr>
                <w:sz w:val="20"/>
                <w:szCs w:val="20"/>
                <w:color w:val="auto"/>
              </w:rPr>
            </w:pPr>
            <w:r>
              <w:rPr>
                <w:rFonts w:ascii="Arial" w:cs="Arial" w:eastAsia="Arial" w:hAnsi="Arial"/>
                <w:sz w:val="18"/>
                <w:szCs w:val="18"/>
                <w:color w:val="auto"/>
              </w:rPr>
              <w:t>Accrued and other liabilities</w:t>
            </w:r>
          </w:p>
        </w:tc>
        <w:tc>
          <w:tcPr>
            <w:tcW w:w="340" w:type="dxa"/>
            <w:vAlign w:val="bottom"/>
          </w:tcPr>
          <w:p>
            <w:pPr>
              <w:spacing w:after="0"/>
              <w:rPr>
                <w:sz w:val="15"/>
                <w:szCs w:val="15"/>
                <w:color w:val="auto"/>
              </w:rPr>
            </w:pPr>
          </w:p>
        </w:tc>
        <w:tc>
          <w:tcPr>
            <w:tcW w:w="12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(1,405)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839</w:t>
            </w:r>
          </w:p>
        </w:tc>
      </w:tr>
      <w:tr>
        <w:trPr>
          <w:trHeight w:val="169"/>
        </w:trPr>
        <w:tc>
          <w:tcPr>
            <w:tcW w:w="66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(51,838)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(69,888)</w:t>
            </w:r>
          </w:p>
        </w:tc>
      </w:tr>
      <w:tr>
        <w:trPr>
          <w:trHeight w:val="169"/>
        </w:trPr>
        <w:tc>
          <w:tcPr>
            <w:tcW w:w="6640" w:type="dxa"/>
            <w:vAlign w:val="bottom"/>
          </w:tcPr>
          <w:p>
            <w:pPr>
              <w:spacing w:after="0" w:line="170" w:lineRule="exact"/>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6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maturities of investments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109,923</w:t>
            </w:r>
          </w:p>
        </w:tc>
      </w:tr>
      <w:tr>
        <w:trPr>
          <w:trHeight w:val="176"/>
        </w:trPr>
        <w:tc>
          <w:tcPr>
            <w:tcW w:w="6640" w:type="dxa"/>
            <w:vAlign w:val="bottom"/>
          </w:tcPr>
          <w:p>
            <w:pPr>
              <w:ind w:left="220"/>
              <w:spacing w:after="0" w:line="176" w:lineRule="exact"/>
              <w:rPr>
                <w:sz w:val="20"/>
                <w:szCs w:val="20"/>
                <w:color w:val="auto"/>
              </w:rPr>
            </w:pPr>
            <w:r>
              <w:rPr>
                <w:rFonts w:ascii="Arial" w:cs="Arial" w:eastAsia="Arial" w:hAnsi="Arial"/>
                <w:sz w:val="18"/>
                <w:szCs w:val="18"/>
                <w:color w:val="auto"/>
              </w:rPr>
              <w:t>Sales and redemptions of investments</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850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16,857</w:t>
            </w:r>
          </w:p>
        </w:tc>
      </w:tr>
      <w:tr>
        <w:trPr>
          <w:trHeight w:val="176"/>
        </w:trPr>
        <w:tc>
          <w:tcPr>
            <w:tcW w:w="6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(148,360)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(70,384)</w:t>
            </w:r>
          </w:p>
        </w:tc>
      </w:tr>
      <w:tr>
        <w:trPr>
          <w:trHeight w:val="176"/>
        </w:trPr>
        <w:tc>
          <w:tcPr>
            <w:tcW w:w="6640" w:type="dxa"/>
            <w:vAlign w:val="bottom"/>
          </w:tcPr>
          <w:p>
            <w:pPr>
              <w:ind w:left="220"/>
              <w:spacing w:after="0" w:line="176" w:lineRule="exact"/>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5"/>
                <w:szCs w:val="15"/>
                <w:color w:val="auto"/>
              </w:rPr>
            </w:pPr>
          </w:p>
        </w:tc>
        <w:tc>
          <w:tcPr>
            <w:tcW w:w="12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(2,327)</w:t>
            </w:r>
          </w:p>
        </w:tc>
      </w:tr>
      <w:tr>
        <w:trPr>
          <w:trHeight w:val="169"/>
        </w:trPr>
        <w:tc>
          <w:tcPr>
            <w:tcW w:w="66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(52,084)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54,069</w:t>
            </w:r>
          </w:p>
        </w:tc>
      </w:tr>
      <w:tr>
        <w:trPr>
          <w:trHeight w:val="169"/>
        </w:trPr>
        <w:tc>
          <w:tcPr>
            <w:tcW w:w="6640" w:type="dxa"/>
            <w:vAlign w:val="bottom"/>
          </w:tcPr>
          <w:p>
            <w:pPr>
              <w:spacing w:after="0" w:line="170" w:lineRule="exact"/>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6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loan payable, net of issuance costs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49,292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640" w:type="dxa"/>
            <w:vAlign w:val="bottom"/>
          </w:tcPr>
          <w:p>
            <w:pPr>
              <w:ind w:left="220"/>
              <w:spacing w:after="0" w:line="176" w:lineRule="exact"/>
              <w:rPr>
                <w:sz w:val="20"/>
                <w:szCs w:val="20"/>
                <w:color w:val="auto"/>
              </w:rPr>
            </w:pPr>
            <w:r>
              <w:rPr>
                <w:rFonts w:ascii="Arial" w:cs="Arial" w:eastAsia="Arial" w:hAnsi="Arial"/>
                <w:sz w:val="18"/>
                <w:szCs w:val="18"/>
                <w:color w:val="auto"/>
              </w:rPr>
              <w:t>Proceeds from underwritten public offering, net of issuance costs</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53,770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6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issuance of common stock under stock plans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675</w:t>
            </w:r>
          </w:p>
        </w:tc>
      </w:tr>
      <w:tr>
        <w:trPr>
          <w:trHeight w:val="169"/>
        </w:trPr>
        <w:tc>
          <w:tcPr>
            <w:tcW w:w="66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103,554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675</w:t>
            </w:r>
          </w:p>
        </w:tc>
      </w:tr>
      <w:tr>
        <w:trPr>
          <w:trHeight w:val="169"/>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(15,144)</w:t>
            </w:r>
          </w:p>
        </w:tc>
      </w:tr>
      <w:tr>
        <w:trPr>
          <w:trHeight w:val="176"/>
        </w:trPr>
        <w:tc>
          <w:tcPr>
            <w:tcW w:w="66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75,383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74,598</w:t>
            </w:r>
          </w:p>
        </w:tc>
      </w:tr>
      <w:tr>
        <w:trPr>
          <w:trHeight w:val="189"/>
        </w:trPr>
        <w:tc>
          <w:tcPr>
            <w:tcW w:w="66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75,015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59,454</w:t>
            </w:r>
          </w:p>
        </w:tc>
      </w:tr>
      <w:tr>
        <w:trPr>
          <w:trHeight w:val="163"/>
        </w:trPr>
        <w:tc>
          <w:tcPr>
            <w:tcW w:w="664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b w:val="1"/>
                <w:bCs w:val="1"/>
                <w:color w:val="auto"/>
              </w:rPr>
              <w:t>Supplementary disclosure of non-cash financing information:</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76"/>
        </w:trPr>
        <w:tc>
          <w:tcPr>
            <w:tcW w:w="664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Issuance of derivative in connection with issuance of loan payable</w:t>
            </w:r>
          </w:p>
        </w:tc>
        <w:tc>
          <w:tcPr>
            <w:tcW w:w="340" w:type="dxa"/>
            <w:vAlign w:val="bottom"/>
            <w:tcBorders>
              <w:bottom w:val="single" w:sz="8" w:color="auto"/>
            </w:tcBorders>
            <w:shd w:val="clear" w:color="auto" w:fill="CCEEFF"/>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546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89"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Ardelyx, Inc., or “the Company,” is a specialized biopharmaceutical company focused on developing disruptive medicines for the treatment of cardiorenal disease. Tenapanor, a first-in-class inhibitor of NHE3, is being evaluated in a second Phase 3 trial for the treatment of hyperphosphatemia in patients with end-stage renal disease, or ESRD, who are on dialysis. The Company is also advancing a small molecule potassium secretagogue program, RDX013, for the potential treatment of hyperkalemia. In September 2018, the Company submitted a New Drug Application, or NDA, to the United States Food and Drug Administration, or FDA, for tenapanor for the treatment of people with irritable bowel syndrome with constipation, or IBS-C.</w:t>
      </w:r>
    </w:p>
    <w:p>
      <w:pPr>
        <w:spacing w:after="0" w:line="165" w:lineRule="exact"/>
        <w:rPr>
          <w:sz w:val="20"/>
          <w:szCs w:val="20"/>
          <w:color w:val="auto"/>
        </w:rPr>
      </w:pPr>
    </w:p>
    <w:p>
      <w:pPr>
        <w:ind w:right="700" w:firstLine="324"/>
        <w:spacing w:after="0" w:line="454" w:lineRule="auto"/>
        <w:rPr>
          <w:sz w:val="20"/>
          <w:szCs w:val="20"/>
          <w:color w:val="auto"/>
        </w:rPr>
      </w:pPr>
      <w:r>
        <w:rPr>
          <w:rFonts w:ascii="Arial" w:cs="Arial" w:eastAsia="Arial" w:hAnsi="Arial"/>
          <w:sz w:val="18"/>
          <w:szCs w:val="18"/>
          <w:color w:val="auto"/>
        </w:rPr>
        <w:t xml:space="preserve">The Company operates in only one business segment, which is the development of biopharmaceutical products. </w:t>
      </w:r>
      <w:r>
        <w:rPr>
          <w:rFonts w:ascii="Arial" w:cs="Arial" w:eastAsia="Arial" w:hAnsi="Arial"/>
          <w:sz w:val="18"/>
          <w:szCs w:val="18"/>
          <w:b w:val="1"/>
          <w:bCs w:val="1"/>
          <w:i w:val="1"/>
          <w:iCs w:val="1"/>
          <w:color w:val="auto"/>
        </w:rPr>
        <w:t>Basis of Presentation</w:t>
      </w:r>
    </w:p>
    <w:p>
      <w:pPr>
        <w:jc w:val="both"/>
        <w:ind w:firstLine="324"/>
        <w:spacing w:after="0" w:line="223" w:lineRule="auto"/>
        <w:rPr>
          <w:sz w:val="20"/>
          <w:szCs w:val="20"/>
          <w:color w:val="auto"/>
        </w:rPr>
      </w:pPr>
      <w:r>
        <w:rPr>
          <w:rFonts w:ascii="Arial" w:cs="Arial" w:eastAsia="Arial" w:hAnsi="Arial"/>
          <w:sz w:val="17"/>
          <w:szCs w:val="17"/>
          <w:color w:val="auto"/>
        </w:rPr>
        <w:t>These unaudited condensed consolidated financial statements and the related footnote information of the Company have been prepared pursuant to the requirements of the Securities and Exchange Commission, or the SEC, for interim reporting. As permitted under those rules and regulations, certain footnotes or other financial information that are normally required by U.S. generally accepted accounting principles, or U.S. GAAP, have been condensed or omitted pursuant to such rules and regulations. In the opinion of the Company’s management, the accompanying interim unaudited condensed consolidated financial statements include all adjustments (consisting only of normal recurring adjustments) necessary for a fair presentation of the information for the periods presented. The results for the three and nine months ended September 30, 2018, are not necessarily indicative of results to be expected for the entire year ending December 31, 2018, or future operating periods.</w:t>
      </w:r>
    </w:p>
    <w:p>
      <w:pPr>
        <w:spacing w:after="0" w:line="162" w:lineRule="exact"/>
        <w:rPr>
          <w:sz w:val="20"/>
          <w:szCs w:val="20"/>
          <w:color w:val="auto"/>
        </w:rPr>
      </w:pPr>
    </w:p>
    <w:p>
      <w:pPr>
        <w:jc w:val="both"/>
        <w:ind w:firstLine="324"/>
        <w:spacing w:after="0" w:line="187" w:lineRule="exact"/>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2017,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(the “2017 Form 10</w:t>
      </w:r>
      <w:r>
        <w:rPr>
          <w:rFonts w:ascii="MS PGothic" w:cs="MS PGothic" w:eastAsia="MS PGothic" w:hAnsi="MS PGothic"/>
          <w:sz w:val="18"/>
          <w:szCs w:val="18"/>
          <w:color w:val="auto"/>
        </w:rPr>
        <w:t>‑</w:t>
      </w:r>
      <w:r>
        <w:rPr>
          <w:rFonts w:ascii="Arial" w:cs="Arial" w:eastAsia="Arial" w:hAnsi="Arial"/>
          <w:sz w:val="18"/>
          <w:szCs w:val="18"/>
          <w:color w:val="auto"/>
        </w:rPr>
        <w:t>K”). The balance sheet at December 31, 2017, has been derived from the audited consolidated financial statements at that date, as filed with the 2017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accompanying condensed consolidated financial statements include the accounts of Ardelyx, Inc. and its wholly-owned subsidiary, Ardelyx Cayman Islands, which was placed into voluntary liquidation in December 2017, and have been prepared in accordance with U.S. GAAP. Intercompany transactions and balances have been eliminated in consolidation.</w:t>
      </w:r>
    </w:p>
    <w:p>
      <w:pPr>
        <w:spacing w:after="0" w:line="103" w:lineRule="exact"/>
        <w:rPr>
          <w:sz w:val="20"/>
          <w:szCs w:val="20"/>
          <w:color w:val="auto"/>
        </w:rPr>
      </w:pPr>
    </w:p>
    <w:p>
      <w:pPr>
        <w:ind w:right="3620"/>
        <w:spacing w:after="0" w:line="456" w:lineRule="auto"/>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in the consolidated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62" w:lineRule="exact"/>
        <w:rPr>
          <w:sz w:val="20"/>
          <w:szCs w:val="20"/>
          <w:color w:val="auto"/>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contract research organizations, or CROs,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investigative sites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related to product manufacturing, development and distribution of clinical supplies;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in connection with preclinical development activities.</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 xml:space="preserve">On January 1, 2018 the Company adopted the new standard for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on a modified retrospective method as an adjustment to the opening balance of retained earnings of the annual reporting period. As a result of the adoption of the new standard, on January 1, 2018, the Company recorded the following: (i) an increase in current assets of $5.0 million representing a future receivable related to the first milestone under the Company’s license agreement with Kyowa Hakko Kirin Co., Ltd., or KHK, which the Company believes is not materially at risk, (ii) an increase in current liabilities of $1.0 million representing a future payable related to the corresponding payment to AstraZeneca AB, or AstraZeneca, in accordance with the Company’s termination agreement with AstraZeneca and (iii) a related decrease in its accumulated deficit of approximately $4.0 million as the new standard permits revenue from milestones that possess certain criteria to be recognized earlier as the new standard contains different recognition criteria related to milestones than under the previous standard, Revenue Recognition, </w:t>
      </w:r>
      <w:r>
        <w:rPr>
          <w:rFonts w:ascii="Arial" w:cs="Arial" w:eastAsia="Arial" w:hAnsi="Arial"/>
          <w:sz w:val="16"/>
          <w:szCs w:val="16"/>
          <w:i w:val="1"/>
          <w:iCs w:val="1"/>
          <w:color w:val="auto"/>
        </w:rPr>
        <w:t>Multiple-Element Arrangements - Licensing revenues</w:t>
      </w:r>
      <w:r>
        <w:rPr>
          <w:rFonts w:ascii="Arial" w:cs="Arial" w:eastAsia="Arial" w:hAnsi="Arial"/>
          <w:sz w:val="16"/>
          <w:szCs w:val="16"/>
          <w:color w:val="auto"/>
        </w:rPr>
        <w:t>, ASC 605.</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The Company enters into licensing agreements which are within the scope of ASC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and future royalties on net sales of licensed products. Each of these payments results in license, collaboration and other revenues, except for revenues from royalties on net sales of licensed products, which are classified as royalty revenues.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performs the following steps: (i) identification of the promised goods or services in the contract;</w:t>
      </w:r>
    </w:p>
    <w:p>
      <w:pPr>
        <w:spacing w:after="0" w:line="1" w:lineRule="exact"/>
        <w:rPr>
          <w:sz w:val="20"/>
          <w:szCs w:val="20"/>
          <w:color w:val="auto"/>
        </w:rPr>
      </w:pPr>
    </w:p>
    <w:p>
      <w:pPr>
        <w:jc w:val="both"/>
        <w:ind w:firstLine="3"/>
        <w:spacing w:after="0" w:line="229" w:lineRule="auto"/>
        <w:tabs>
          <w:tab w:leader="none" w:pos="271"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whether the promised goods or services are performance obligations including whether they are distinct in the context of the contract; (iii) measurement of the transaction price, including the constraint on variable consideration;</w:t>
      </w:r>
    </w:p>
    <w:p>
      <w:pPr>
        <w:jc w:val="both"/>
        <w:ind w:firstLine="3"/>
        <w:spacing w:after="0" w:line="211" w:lineRule="auto"/>
        <w:tabs>
          <w:tab w:leader="none" w:pos="3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and (v) recognition of revenue when (or as) the Company satisfies each performance obligation.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w:t>
      </w:r>
    </w:p>
    <w:p>
      <w:pPr>
        <w:spacing w:after="0" w:line="170"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for either clinical development 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other revenues when the customer obtains control of the goods, which is upon delivery.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accounts for its derivative instruments as either assets or liabilities on the condensed consolidated balance sheet and measures them at fair value. Derivatives are adjusted to fair value through other (expense) income, net in the condensed consolidated statements of operations and comprehensive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Approximately $0.2 million in the nine months ended September 30, 2017, which was previously recorded within “Proceeds from issuance of common stock under stock plans” in Operating activities in the Statement of Cash Flows, has been reclassified as a Changes in operating assets and liabilities item “Prepaid expenses and other assets” within Operating activities.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In August 2018, the SEC adopted amendments to certain disclosure requirements in Securities Act Release No. 33-10532, Disclosure Update and Simplification. These amendments eliminate, modify, or integrate into other SEC requirements certain disclosure rules. Among the amendments is the requirement to present an analysis of changes in stockholders’ equity in the interim financial statements included in quarterly reports on Form 10-Q. The analysis, which can be presented as a footnote or separate statement, is required for the current and comparative quarter and year-to-date interim periods. The amendments are effective for all filings made on or after November 5, 2018. In light of the anticipated timing of effectiveness of the amendments and expected proximity of effectiveness to the filing date for most filers’ quarterly reports, the SEC’s Division of Corporate Finance issued a Compliance and Disclosure Interpretation related to Exchange Act Forms, or CDI – Question 105.09, that provides transition guidance related to this disclosure requirement. CDI – Question 105.09 states that the SEC would not object if the filer’s first presentation of the changes in shareholders’ equity is included in its Form 10-Q for the quarter that begins after the effective date of the amendments. As such, the Company adopted these SEC amendments on November 5, 2018 and will present the analysis of changes in stockholders’ equity in its interim financial statements in its March 31, 2019 Form 10-Q. The Company does not anticipate that the adoption of these SEC amendments will have a material effect on the Company’s financial position, results of operations, cash flows or shareholders’ equity.</w:t>
      </w:r>
    </w:p>
    <w:p>
      <w:pPr>
        <w:spacing w:after="0" w:line="16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which amends the guidance for accounting for revenue from contracts with customers. This ASU supersedes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creates a new Topic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In 2015 and 2016, the FASB issued additional ASUs related to Topic 606 that delayed the effective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guidance and clarified various aspects of the new revenue guidance, including principal versus agent considerations, identifying performance obligations, and licensing, and they include other improvements and practical expedients. The Company adopted this new standard on January 1, 2018 using the modified retrospective transition method.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Company, on adopting Topic 606 on January 1, 2018, has used the modified retrospective transition method with the cumulative effect of initially applying the standard as an adjustment to the opening balance of retained earnings of the annual reporting period that includes the date of initial application. The following adjustments were recorded in the opening balance on January 1, 2018.</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jc w:val="right"/>
              <w:ind w:right="57"/>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January 1,</w:t>
            </w:r>
          </w:p>
        </w:tc>
      </w:tr>
      <w:tr>
        <w:trPr>
          <w:trHeight w:val="162"/>
        </w:trPr>
        <w:tc>
          <w:tcPr>
            <w:tcW w:w="39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Due to Topic 606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r>
      <w:tr>
        <w:trPr>
          <w:trHeight w:val="169"/>
        </w:trPr>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00"/>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5,000</w:t>
            </w:r>
          </w:p>
        </w:tc>
      </w:tr>
      <w:tr>
        <w:trPr>
          <w:trHeight w:val="176"/>
        </w:trPr>
        <w:tc>
          <w:tcPr>
            <w:tcW w:w="3940" w:type="dxa"/>
            <w:vAlign w:val="bottom"/>
          </w:tcPr>
          <w:p>
            <w:pPr>
              <w:spacing w:after="0" w:line="17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5"/>
                <w:szCs w:val="15"/>
                <w:color w:val="auto"/>
              </w:rPr>
            </w:pPr>
          </w:p>
        </w:tc>
        <w:tc>
          <w:tcPr>
            <w:tcW w:w="900" w:type="dxa"/>
            <w:vAlign w:val="bottom"/>
            <w:gridSpan w:val="2"/>
          </w:tcPr>
          <w:p>
            <w:pPr>
              <w:ind w:left="500"/>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r>
      <w:tr>
        <w:trPr>
          <w:trHeight w:val="176"/>
        </w:trPr>
        <w:tc>
          <w:tcPr>
            <w:tcW w:w="39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Accumulated deficit</w:t>
            </w:r>
          </w:p>
        </w:tc>
        <w:tc>
          <w:tcPr>
            <w:tcW w:w="220" w:type="dxa"/>
            <w:vAlign w:val="bottom"/>
            <w:tcBorders>
              <w:top w:val="single" w:sz="8" w:color="auto"/>
              <w:bottom w:val="single" w:sz="8" w:color="auto"/>
            </w:tcBorders>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50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4,000</w:t>
            </w: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a result of adopting Topic 606 on January 1, 2018, the following financial statement line items in the Company’s Condensed Consolidated Balance Sheet at September 30, 2018 and the Condensed Consolidated Statement of Income for the nine months ended September 30, 2018 were affected.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w w:val="93"/>
              </w:rPr>
              <w:t>September 30, 2018</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26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As Reported</w:t>
            </w:r>
          </w:p>
        </w:tc>
        <w:tc>
          <w:tcPr>
            <w:tcW w:w="16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Under Topic 605</w:t>
            </w:r>
          </w:p>
        </w:tc>
        <w:tc>
          <w:tcPr>
            <w:tcW w:w="1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3"/>
              </w:rPr>
              <w:t>Effect of Change</w:t>
            </w:r>
          </w:p>
        </w:tc>
        <w:tc>
          <w:tcPr>
            <w:tcW w:w="900" w:type="dxa"/>
            <w:vAlign w:val="bottom"/>
          </w:tcPr>
          <w:p>
            <w:pPr>
              <w:spacing w:after="0"/>
              <w:rPr>
                <w:sz w:val="11"/>
                <w:szCs w:val="11"/>
                <w:color w:val="auto"/>
              </w:rPr>
            </w:pPr>
          </w:p>
        </w:tc>
      </w:tr>
      <w:tr>
        <w:trPr>
          <w:trHeight w:val="169"/>
        </w:trPr>
        <w:tc>
          <w:tcPr>
            <w:tcW w:w="920" w:type="dxa"/>
            <w:vAlign w:val="bottom"/>
          </w:tcPr>
          <w:p>
            <w:pPr>
              <w:spacing w:after="0"/>
              <w:rPr>
                <w:sz w:val="14"/>
                <w:szCs w:val="14"/>
                <w:color w:val="auto"/>
              </w:rPr>
            </w:pPr>
          </w:p>
        </w:tc>
        <w:tc>
          <w:tcPr>
            <w:tcW w:w="2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199,322</w:t>
            </w: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194,322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5,000</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660" w:type="dxa"/>
            <w:vAlign w:val="bottom"/>
          </w:tcPr>
          <w:p>
            <w:pPr>
              <w:spacing w:after="0" w:line="17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Arial" w:cs="Arial" w:eastAsia="Arial" w:hAnsi="Arial"/>
                <w:sz w:val="18"/>
                <w:szCs w:val="18"/>
                <w:color w:val="auto"/>
              </w:rPr>
              <w:t>15,549</w:t>
            </w:r>
          </w:p>
        </w:tc>
        <w:tc>
          <w:tcPr>
            <w:tcW w:w="1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14,549</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1,000</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(337,650)</w:t>
            </w:r>
          </w:p>
        </w:tc>
        <w:tc>
          <w:tcPr>
            <w:tcW w:w="1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(341,650)</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4,000</w:t>
            </w:r>
          </w:p>
        </w:tc>
        <w:tc>
          <w:tcPr>
            <w:tcW w:w="900" w:type="dxa"/>
            <w:vAlign w:val="bottom"/>
          </w:tcPr>
          <w:p>
            <w:pPr>
              <w:spacing w:after="0"/>
              <w:rPr>
                <w:sz w:val="15"/>
                <w:szCs w:val="15"/>
                <w:color w:val="auto"/>
              </w:rPr>
            </w:pPr>
          </w:p>
        </w:tc>
      </w:tr>
      <w:tr>
        <w:trPr>
          <w:trHeight w:val="810"/>
        </w:trPr>
        <w:tc>
          <w:tcPr>
            <w:tcW w:w="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55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Nine Months Ended September 30, 2018</w:t>
            </w:r>
          </w:p>
        </w:tc>
        <w:tc>
          <w:tcPr>
            <w:tcW w:w="340" w:type="dxa"/>
            <w:vAlign w:val="bottom"/>
            <w:tcBorders>
              <w:bottom w:val="single" w:sz="8" w:color="auto"/>
            </w:tcBorders>
          </w:tcPr>
          <w:p>
            <w:pPr>
              <w:spacing w:after="0"/>
              <w:rPr>
                <w:sz w:val="14"/>
                <w:szCs w:val="14"/>
                <w:color w:val="auto"/>
              </w:rPr>
            </w:pPr>
          </w:p>
        </w:tc>
      </w:tr>
      <w:tr>
        <w:trPr>
          <w:trHeight w:val="129"/>
        </w:trPr>
        <w:tc>
          <w:tcPr>
            <w:tcW w:w="2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As Reported</w:t>
            </w:r>
          </w:p>
        </w:tc>
        <w:tc>
          <w:tcPr>
            <w:tcW w:w="10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Under Topic 605</w:t>
            </w:r>
          </w:p>
        </w:tc>
        <w:tc>
          <w:tcPr>
            <w:tcW w:w="14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1"/>
              </w:rPr>
              <w:t>Effect of Change</w:t>
            </w:r>
          </w:p>
        </w:tc>
      </w:tr>
      <w:tr>
        <w:trPr>
          <w:trHeight w:val="169"/>
        </w:trPr>
        <w:tc>
          <w:tcPr>
            <w:tcW w:w="26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r>
      <w:tr>
        <w:trPr>
          <w:trHeight w:val="176"/>
        </w:trPr>
        <w:tc>
          <w:tcPr>
            <w:tcW w:w="2660" w:type="dxa"/>
            <w:vAlign w:val="bottom"/>
          </w:tcPr>
          <w:p>
            <w:pPr>
              <w:ind w:left="100"/>
              <w:spacing w:after="0" w:line="176" w:lineRule="exact"/>
              <w:rPr>
                <w:sz w:val="20"/>
                <w:szCs w:val="20"/>
                <w:color w:val="auto"/>
              </w:rPr>
            </w:pPr>
            <w:r>
              <w:rPr>
                <w:rFonts w:ascii="Arial" w:cs="Arial" w:eastAsia="Arial" w:hAnsi="Arial"/>
                <w:sz w:val="18"/>
                <w:szCs w:val="18"/>
                <w:color w:val="auto"/>
              </w:rPr>
              <w:t>Licensing revenue</w:t>
            </w:r>
          </w:p>
        </w:tc>
        <w:tc>
          <w:tcPr>
            <w:tcW w:w="1480" w:type="dxa"/>
            <w:vAlign w:val="bottom"/>
            <w:gridSpan w:val="2"/>
          </w:tcPr>
          <w:p>
            <w:pPr>
              <w:jc w:val="right"/>
              <w:ind w:right="88"/>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1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8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r>
      <w:tr>
        <w:trPr>
          <w:trHeight w:val="176"/>
        </w:trPr>
        <w:tc>
          <w:tcPr>
            <w:tcW w:w="2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Other revenue</w:t>
            </w: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Cost of revenue</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May 2017, FASB issued ASU No. 2017-09, Compensation-Stock Compensation (Topic 718) - Scope of Modification Accounting (ASU 2017-09). The amendments included in this update provide guidance about which changes to the terms or conditions of a share-based payment award require an entity to apply modification accounting. The amendments in this update will be applied prospectively to an award modified on or after the adoption date. On January 1, 2018, we adopted ASU 2017-09 and the adoption of this standard did not have a material impact on the Company’s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replaces most current lease guidance when it becomes effective. This standard update intends to increase the transparency and improve comparability by requiring entities to recognize assets and liabilities on the balance sheet for all leases, with certain exceptions. The new standard states that a lessee will recognize a lease liability for the obligation to make lease payments and a right-of-use asset for the right to use the underlying asset for the lease term. Leases will be classified as either finance or operating, with classification affecting the pattern of expense recognition in the consolidated statements of operations. The new guidance will be effective for the Company starting in the first quarter of fiscal 2019, with early adoption permitted. In July 2018, the FASB issued ASU 2018-11, related to another transition method in lease accounting. If elected, the transition method allows entities to initially apply the new leases standard at the adoption date and recognize a cumulative-effect adjustment to the opening balance of retained earnings in the period of adoption. We are evaluating the impact of the adoption of this standard on the consolidated financial statements. The Company plans to adopt the new guidance effective January 1, 2019, using a modified retrospective approach and based on initial assessment of ASU No.2016-02 as of September 30, 2018, the Company believes the largest impact to its balance sheet will be from recognizing a right of use asset and corresponding lease liability related to its property leases in Fremont and Boston. The Company is continuing to evaluate the full impact the adoption of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will have on its consolidated financial statements and related disclosures.</w:t>
      </w:r>
    </w:p>
    <w:p>
      <w:pPr>
        <w:spacing w:after="0" w:line="170"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Stock Compensation (Topic 718): Improvements to Nonemployee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Share-Based Payment Accounting</w:t>
      </w:r>
      <w:r>
        <w:rPr>
          <w:rFonts w:ascii="Arial" w:cs="Arial" w:eastAsia="Arial" w:hAnsi="Arial"/>
          <w:sz w:val="17"/>
          <w:szCs w:val="17"/>
          <w:color w:val="auto"/>
        </w:rPr>
        <w:t>. ASU 2018-07 is intended to reduce the cost and complexity and to improve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for nonemployee share-based payments. ASU 2018-07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supersedes Subtopic 505-50, Equity-Based Payments to Non-Employees. ASU 2018-07 is effective for the Company for fiscal years beginning after December 15, 2018, including interim periods within that fiscal year and early adoption is permitted. The Company is currently assessing the impact of this standard on its consolidated financial statements.</w:t>
      </w:r>
    </w:p>
    <w:p>
      <w:pPr>
        <w:spacing w:after="0" w:line="162"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ASU 2018-13 considers cost and benefits,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removes, modifies and adds disclosure requirements in Topic 820. The amendments on changes in unrealized gains and losses, the range and weighted average of significant unobservable inputs used to develop Level 3 fair value measurements, and the narrative description of measurement uncertainty is to be applied prospectively for only the most recent interim or annual period presented in the initial fiscal year of adoption. All other amendments are to be applied retrospectively to all periods presented. ASU 2018-13 is effective for the Company for fiscal years beginning after December 15, 2019, including interim periods within that fiscal year and early adoption is permitted. The Company is currently assessing the impact of this standard on its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has reviewed all other significant newly-issued accounting pronouncements and concluded that they either are not applicable to the Company’s operations or no material effect is expected on its condensed consolidated financial statements as a result of future adoption.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INVESTMENTS</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Securities classified as cash, cash equivalents and short-term investments as of September 30, 2018 and December 31, 2017, are summarized below (in thousands). Estimated fair value is based on quoted market prices for these investments.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326"/>
              <w:spacing w:after="0"/>
              <w:rPr>
                <w:sz w:val="20"/>
                <w:szCs w:val="20"/>
                <w:color w:val="auto"/>
              </w:rPr>
            </w:pPr>
            <w:r>
              <w:rPr>
                <w:rFonts w:ascii="Arial" w:cs="Arial" w:eastAsia="Arial" w:hAnsi="Arial"/>
                <w:sz w:val="14"/>
                <w:szCs w:val="14"/>
                <w:b w:val="1"/>
                <w:bCs w:val="1"/>
                <w:color w:val="auto"/>
              </w:rPr>
              <w:t>September 30, 2018</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right"/>
              <w:ind w:right="346"/>
              <w:spacing w:after="0" w:line="129"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3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4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2,787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4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3"/>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66,235</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66,235</w:t>
            </w:r>
          </w:p>
        </w:tc>
        <w:tc>
          <w:tcPr>
            <w:tcW w:w="0" w:type="dxa"/>
            <w:vAlign w:val="bottom"/>
          </w:tcPr>
          <w:p>
            <w:pPr>
              <w:spacing w:after="0"/>
              <w:rPr>
                <w:sz w:val="1"/>
                <w:szCs w:val="1"/>
                <w:color w:val="auto"/>
              </w:rPr>
            </w:pPr>
          </w:p>
        </w:tc>
      </w:tr>
      <w:tr>
        <w:trPr>
          <w:trHeight w:val="176"/>
        </w:trPr>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1,999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4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3"/>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169"/>
        </w:trPr>
        <w:tc>
          <w:tcPr>
            <w:tcW w:w="3260" w:type="dxa"/>
            <w:vAlign w:val="bottom"/>
          </w:tcPr>
          <w:p>
            <w:pPr>
              <w:spacing w:after="0" w:line="170" w:lineRule="exact"/>
              <w:rPr>
                <w:sz w:val="20"/>
                <w:szCs w:val="20"/>
                <w:color w:val="auto"/>
              </w:rPr>
            </w:pPr>
            <w:r>
              <w:rPr>
                <w:rFonts w:ascii="Arial" w:cs="Arial" w:eastAsia="Arial" w:hAnsi="Arial"/>
                <w:sz w:val="18"/>
                <w:szCs w:val="18"/>
                <w:color w:val="auto"/>
              </w:rPr>
              <w:t>Total cash and cash equivalents</w:t>
            </w:r>
          </w:p>
        </w:tc>
        <w:tc>
          <w:tcPr>
            <w:tcW w:w="340" w:type="dxa"/>
            <w:vAlign w:val="bottom"/>
          </w:tcPr>
          <w:p>
            <w:pPr>
              <w:spacing w:after="0"/>
              <w:rPr>
                <w:sz w:val="14"/>
                <w:szCs w:val="14"/>
                <w:color w:val="auto"/>
              </w:rPr>
            </w:pPr>
          </w:p>
        </w:tc>
        <w:tc>
          <w:tcPr>
            <w:tcW w:w="14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75,015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gridSpan w:val="2"/>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ind w:left="640"/>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top w:val="single" w:sz="8" w:color="auto"/>
            </w:tcBorders>
            <w:gridSpan w:val="2"/>
          </w:tcPr>
          <w:p>
            <w:pPr>
              <w:jc w:val="right"/>
              <w:ind w:right="68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gridSpan w:val="2"/>
          </w:tcPr>
          <w:p>
            <w:pPr>
              <w:jc w:val="right"/>
              <w:ind w:right="25"/>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75,015</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320"/>
              <w:spacing w:after="0" w:line="176" w:lineRule="exact"/>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7,959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4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34,449</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34,440</w:t>
            </w:r>
          </w:p>
        </w:tc>
        <w:tc>
          <w:tcPr>
            <w:tcW w:w="0" w:type="dxa"/>
            <w:vAlign w:val="bottom"/>
          </w:tcPr>
          <w:p>
            <w:pPr>
              <w:spacing w:after="0"/>
              <w:rPr>
                <w:sz w:val="1"/>
                <w:szCs w:val="1"/>
                <w:color w:val="auto"/>
              </w:rPr>
            </w:pPr>
          </w:p>
        </w:tc>
      </w:tr>
      <w:tr>
        <w:trPr>
          <w:trHeight w:val="176"/>
        </w:trPr>
        <w:tc>
          <w:tcPr>
            <w:tcW w:w="3260" w:type="dxa"/>
            <w:vAlign w:val="bottom"/>
          </w:tcPr>
          <w:p>
            <w:pPr>
              <w:ind w:left="320"/>
              <w:spacing w:after="0" w:line="176" w:lineRule="exact"/>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61,116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4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61,111</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Asset-backed securities</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7,884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169"/>
        </w:trPr>
        <w:tc>
          <w:tcPr>
            <w:tcW w:w="3260" w:type="dxa"/>
            <w:vAlign w:val="bottom"/>
            <w:tcBorders>
              <w:bottom w:val="single" w:sz="8" w:color="CCEEFF"/>
            </w:tcBorders>
          </w:tcPr>
          <w:p>
            <w:pPr>
              <w:ind w:left="120"/>
              <w:spacing w:after="0" w:line="170" w:lineRule="exact"/>
              <w:rPr>
                <w:sz w:val="20"/>
                <w:szCs w:val="20"/>
                <w:color w:val="auto"/>
              </w:rPr>
            </w:pPr>
            <w:r>
              <w:rPr>
                <w:rFonts w:ascii="Arial" w:cs="Arial" w:eastAsia="Arial" w:hAnsi="Arial"/>
                <w:sz w:val="18"/>
                <w:szCs w:val="18"/>
                <w:color w:val="auto"/>
              </w:rPr>
              <w:t>Total short-term investments</w:t>
            </w:r>
          </w:p>
        </w:tc>
        <w:tc>
          <w:tcPr>
            <w:tcW w:w="3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111,408</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gridSpan w:val="2"/>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4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68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(17)</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25"/>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111,391</w:t>
            </w:r>
          </w:p>
        </w:tc>
        <w:tc>
          <w:tcPr>
            <w:tcW w:w="0" w:type="dxa"/>
            <w:vAlign w:val="bottom"/>
          </w:tcPr>
          <w:p>
            <w:pPr>
              <w:spacing w:after="0"/>
              <w:rPr>
                <w:sz w:val="1"/>
                <w:szCs w:val="1"/>
                <w:color w:val="auto"/>
              </w:rPr>
            </w:pPr>
          </w:p>
        </w:tc>
      </w:tr>
      <w:tr>
        <w:trPr>
          <w:trHeight w:val="176"/>
        </w:trPr>
        <w:tc>
          <w:tcPr>
            <w:tcW w:w="326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8"/>
              </w:rPr>
              <w:t>Total cash equivalents and investments</w:t>
            </w:r>
          </w:p>
        </w:tc>
        <w:tc>
          <w:tcPr>
            <w:tcW w:w="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186,423</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gridSpan w:val="2"/>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64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686"/>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(17)</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25"/>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186,406</w:t>
            </w:r>
          </w:p>
        </w:tc>
        <w:tc>
          <w:tcPr>
            <w:tcW w:w="0" w:type="dxa"/>
            <w:vAlign w:val="bottom"/>
          </w:tcPr>
          <w:p>
            <w:pPr>
              <w:spacing w:after="0"/>
              <w:rPr>
                <w:sz w:val="1"/>
                <w:szCs w:val="1"/>
                <w:color w:val="auto"/>
              </w:rPr>
            </w:pPr>
          </w:p>
        </w:tc>
      </w:tr>
      <w:tr>
        <w:trPr>
          <w:trHeight w:val="324"/>
        </w:trPr>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326"/>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right"/>
              <w:ind w:right="326"/>
              <w:spacing w:after="0" w:line="129"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3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4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5,882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gridSpan w:val="2"/>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ind w:left="680"/>
              <w:spacing w:after="0" w:line="176" w:lineRule="exact"/>
              <w:rPr>
                <w:sz w:val="20"/>
                <w:szCs w:val="20"/>
                <w:color w:val="auto"/>
              </w:rPr>
            </w:pPr>
            <w:r>
              <w:rPr>
                <w:rFonts w:ascii="Arial" w:cs="Arial" w:eastAsia="Arial" w:hAnsi="Arial"/>
                <w:sz w:val="18"/>
                <w:szCs w:val="18"/>
                <w:color w:val="auto"/>
                <w:w w:val="99"/>
              </w:rPr>
              <w:t>—</w:t>
            </w:r>
          </w:p>
        </w:tc>
        <w:tc>
          <w:tcPr>
            <w:tcW w:w="1080" w:type="dxa"/>
            <w:vAlign w:val="bottom"/>
            <w:gridSpan w:val="4"/>
          </w:tcPr>
          <w:p>
            <w:pPr>
              <w:jc w:val="right"/>
              <w:ind w:right="646"/>
              <w:spacing w:after="0" w:line="176" w:lineRule="exact"/>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68,651</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68,651</w:t>
            </w:r>
          </w:p>
        </w:tc>
        <w:tc>
          <w:tcPr>
            <w:tcW w:w="0" w:type="dxa"/>
            <w:vAlign w:val="bottom"/>
          </w:tcPr>
          <w:p>
            <w:pPr>
              <w:spacing w:after="0"/>
              <w:rPr>
                <w:sz w:val="1"/>
                <w:szCs w:val="1"/>
                <w:color w:val="auto"/>
              </w:rPr>
            </w:pPr>
          </w:p>
        </w:tc>
      </w:tr>
      <w:tr>
        <w:trPr>
          <w:trHeight w:val="176"/>
        </w:trPr>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850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80"/>
              <w:spacing w:after="0" w:line="176"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3"/>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169"/>
        </w:trPr>
        <w:tc>
          <w:tcPr>
            <w:tcW w:w="326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8"/>
              </w:rPr>
              <w:t>Total cash equivalents and investments</w:t>
            </w:r>
          </w:p>
        </w:tc>
        <w:tc>
          <w:tcPr>
            <w:tcW w:w="3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75,383</w:t>
            </w: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80"/>
              <w:spacing w:after="0" w:line="170" w:lineRule="exact"/>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75,383</w:t>
            </w:r>
          </w:p>
        </w:tc>
        <w:tc>
          <w:tcPr>
            <w:tcW w:w="0" w:type="dxa"/>
            <w:vAlign w:val="bottom"/>
          </w:tcPr>
          <w:p>
            <w:pPr>
              <w:spacing w:after="0"/>
              <w:rPr>
                <w:sz w:val="1"/>
                <w:szCs w:val="1"/>
                <w:color w:val="auto"/>
              </w:rPr>
            </w:pPr>
          </w:p>
        </w:tc>
      </w:tr>
      <w:tr>
        <w:trPr>
          <w:trHeight w:val="176"/>
        </w:trPr>
        <w:tc>
          <w:tcPr>
            <w:tcW w:w="3260" w:type="dxa"/>
            <w:vAlign w:val="bottom"/>
          </w:tcPr>
          <w:p>
            <w:pPr>
              <w:spacing w:after="0" w:line="176" w:lineRule="exact"/>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securities</w:t>
            </w:r>
          </w:p>
        </w:tc>
        <w:tc>
          <w:tcPr>
            <w:tcW w:w="4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176"/>
        </w:trPr>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26,853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80"/>
              <w:spacing w:after="0" w:line="176"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3"/>
          </w:tcPr>
          <w:p>
            <w:pPr>
              <w:jc w:val="right"/>
              <w:ind w:right="220"/>
              <w:spacing w:after="0" w:line="176" w:lineRule="exact"/>
              <w:rPr>
                <w:sz w:val="20"/>
                <w:szCs w:val="20"/>
                <w:color w:val="auto"/>
              </w:rPr>
            </w:pPr>
            <w:r>
              <w:rPr>
                <w:rFonts w:ascii="Arial" w:cs="Arial" w:eastAsia="Arial" w:hAnsi="Arial"/>
                <w:sz w:val="18"/>
                <w:szCs w:val="18"/>
                <w:color w:val="auto"/>
                <w:w w:val="99"/>
              </w:rPr>
              <w:t>(26)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26,827</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19,584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w w:val="99"/>
              </w:rPr>
              <w:t>(14)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19,570</w:t>
            </w:r>
          </w:p>
        </w:tc>
        <w:tc>
          <w:tcPr>
            <w:tcW w:w="0" w:type="dxa"/>
            <w:vAlign w:val="bottom"/>
          </w:tcPr>
          <w:p>
            <w:pPr>
              <w:spacing w:after="0"/>
              <w:rPr>
                <w:sz w:val="1"/>
                <w:szCs w:val="1"/>
                <w:color w:val="auto"/>
              </w:rPr>
            </w:pPr>
          </w:p>
        </w:tc>
      </w:tr>
      <w:tr>
        <w:trPr>
          <w:trHeight w:val="176"/>
        </w:trPr>
        <w:tc>
          <w:tcPr>
            <w:tcW w:w="3260" w:type="dxa"/>
            <w:vAlign w:val="bottom"/>
          </w:tcPr>
          <w:p>
            <w:pPr>
              <w:ind w:left="220"/>
              <w:spacing w:after="0" w:line="176" w:lineRule="exact"/>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8,209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80"/>
              <w:spacing w:after="0" w:line="176"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3"/>
          </w:tcPr>
          <w:p>
            <w:pPr>
              <w:jc w:val="right"/>
              <w:ind w:right="220"/>
              <w:spacing w:after="0" w:line="176"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169"/>
        </w:trPr>
        <w:tc>
          <w:tcPr>
            <w:tcW w:w="326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short-term investments</w:t>
            </w:r>
          </w:p>
        </w:tc>
        <w:tc>
          <w:tcPr>
            <w:tcW w:w="3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58,640</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80"/>
              <w:spacing w:after="0" w:line="170" w:lineRule="exact"/>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(47)</w:t>
            </w: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r>
        <w:trPr>
          <w:trHeight w:val="176"/>
        </w:trPr>
        <w:tc>
          <w:tcPr>
            <w:tcW w:w="3260" w:type="dxa"/>
            <w:vAlign w:val="bottom"/>
          </w:tcPr>
          <w:p>
            <w:pPr>
              <w:ind w:left="120"/>
              <w:spacing w:after="0" w:line="170" w:lineRule="exact"/>
              <w:rPr>
                <w:sz w:val="20"/>
                <w:szCs w:val="20"/>
                <w:color w:val="auto"/>
              </w:rPr>
            </w:pPr>
            <w:r>
              <w:rPr>
                <w:rFonts w:ascii="Arial" w:cs="Arial" w:eastAsia="Arial" w:hAnsi="Arial"/>
                <w:sz w:val="18"/>
                <w:szCs w:val="18"/>
                <w:color w:val="auto"/>
                <w:w w:val="98"/>
              </w:rPr>
              <w:t>Total cash equivalents and investments</w:t>
            </w:r>
          </w:p>
        </w:tc>
        <w:tc>
          <w:tcPr>
            <w:tcW w:w="380" w:type="dxa"/>
            <w:vAlign w:val="bottom"/>
            <w:gridSpan w:val="2"/>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134,023</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80"/>
              <w:spacing w:after="0" w:line="170"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5"/>
                <w:szCs w:val="15"/>
                <w:color w:val="auto"/>
              </w:rPr>
            </w:pPr>
          </w:p>
        </w:tc>
        <w:tc>
          <w:tcPr>
            <w:tcW w:w="240" w:type="dxa"/>
            <w:vAlign w:val="bottom"/>
            <w:gridSpan w:val="2"/>
          </w:tcPr>
          <w:p>
            <w:pPr>
              <w:spacing w:after="0"/>
              <w:rPr>
                <w:sz w:val="15"/>
                <w:szCs w:val="15"/>
                <w:color w:val="auto"/>
              </w:rPr>
            </w:pPr>
          </w:p>
        </w:tc>
        <w:tc>
          <w:tcPr>
            <w:tcW w:w="800" w:type="dxa"/>
            <w:vAlign w:val="bottom"/>
            <w:tcBorders>
              <w:bottom w:val="single" w:sz="8" w:color="auto"/>
            </w:tcBorders>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w w:val="99"/>
              </w:rPr>
              <w:t>(47)</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133,976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the Company’s condensed consolidated balance sheets. The Company uses the specific identification method to determine the amount of realized gains or losses on sales of marketable securities. Realized gains or losses have been insignificant and are included in “other income, net” in the consolidated condensed statement of operations.</w:t>
      </w:r>
    </w:p>
    <w:p>
      <w:pPr>
        <w:spacing w:after="0" w:line="16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All available-for-sale securities held as of September 30, 2018,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its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September 30, 2018, no investment was in a continuous unrealized loss position for more than one year and the Company believes that it is more likely than not that the investments will be held until maturity or a forecasted recovery of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ectPr>
          <w:pgSz w:w="11900" w:h="16838" w:orient="portrait"/>
          <w:cols w:equalWidth="0" w:num="1">
            <w:col w:w="9060"/>
          </w:cols>
          <w:pgMar w:left="1420" w:top="111" w:right="1419" w:bottom="1440" w:gutter="0" w:footer="0" w:header="0"/>
        </w:sectPr>
      </w:pP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hanging="179"/>
        <w:spacing w:after="0" w:line="21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Valuations are based on quoted prices in active markets for identical assets or liabilities and readily accessible by the Company at the reporting date. Examples of assets and liabilities utilizing Level 1 inputs are certain money market funds, U.S. Treasuries and trading securities with quoted prices on active markets.</w:t>
      </w:r>
    </w:p>
    <w:p>
      <w:pPr>
        <w:spacing w:after="0" w:line="163" w:lineRule="exact"/>
        <w:rPr>
          <w:sz w:val="20"/>
          <w:szCs w:val="20"/>
          <w:color w:val="auto"/>
        </w:rPr>
      </w:pPr>
    </w:p>
    <w:p>
      <w:pPr>
        <w:sectPr>
          <w:pgSz w:w="11900" w:h="16838" w:orient="portrait"/>
          <w:cols w:equalWidth="0" w:num="2">
            <w:col w:w="900" w:space="400"/>
            <w:col w:w="7760"/>
          </w:cols>
          <w:pgMar w:left="1420" w:top="111" w:right="141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jc w:val="both"/>
        <w:ind w:hanging="213"/>
        <w:spacing w:after="0" w:line="22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7"/>
          <w:szCs w:val="17"/>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pacing w:after="0" w:line="161" w:lineRule="exact"/>
        <w:rPr>
          <w:sz w:val="20"/>
          <w:szCs w:val="20"/>
          <w:color w:val="auto"/>
        </w:rPr>
      </w:pPr>
    </w:p>
    <w:p>
      <w:pPr>
        <w:sectPr>
          <w:pgSz w:w="11900" w:h="16838" w:orient="portrait"/>
          <w:cols w:equalWidth="0" w:num="2">
            <w:col w:w="900" w:space="400"/>
            <w:col w:w="7760"/>
          </w:cols>
          <w:pgMar w:left="1420" w:top="111" w:right="141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hanging="195"/>
        <w:spacing w:after="0" w:line="235"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Valuations based on unobservable inputs in which there is little or no market data, which require the Company to develop its own assumptions.</w:t>
      </w:r>
    </w:p>
    <w:p>
      <w:pPr>
        <w:spacing w:after="0" w:line="162" w:lineRule="exact"/>
        <w:rPr>
          <w:sz w:val="20"/>
          <w:szCs w:val="20"/>
          <w:color w:val="auto"/>
        </w:rPr>
      </w:pPr>
    </w:p>
    <w:p>
      <w:pPr>
        <w:sectPr>
          <w:pgSz w:w="11900" w:h="16838" w:orient="portrait"/>
          <w:cols w:equalWidth="0" w:num="2">
            <w:col w:w="900" w:space="400"/>
            <w:col w:w="7760"/>
          </w:cols>
          <w:pgMar w:left="1420" w:top="111" w:right="1419" w:bottom="1440" w:gutter="0" w:footer="0" w:header="0"/>
          <w:type w:val="continuous"/>
        </w:sectPr>
      </w:pPr>
    </w:p>
    <w:p>
      <w:pPr>
        <w:ind w:firstLine="324"/>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3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9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76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36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10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76"/>
        </w:trPr>
        <w:tc>
          <w:tcPr>
            <w:tcW w:w="3620" w:type="dxa"/>
            <w:vAlign w:val="bottom"/>
          </w:tcPr>
          <w:p>
            <w:pPr>
              <w:ind w:left="120"/>
              <w:spacing w:after="0" w:line="176" w:lineRule="exact"/>
              <w:rPr>
                <w:sz w:val="20"/>
                <w:szCs w:val="20"/>
                <w:color w:val="auto"/>
              </w:rPr>
            </w:pPr>
            <w:r>
              <w:rPr>
                <w:rFonts w:ascii="Arial" w:cs="Arial" w:eastAsia="Arial" w:hAnsi="Arial"/>
                <w:sz w:val="18"/>
                <w:szCs w:val="18"/>
                <w:color w:val="auto"/>
              </w:rPr>
              <w:t>Money market funds</w:t>
            </w:r>
          </w:p>
        </w:tc>
        <w:tc>
          <w:tcPr>
            <w:tcW w:w="12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66,235</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66,235</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treasury securities</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7,957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7,957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620" w:type="dxa"/>
            <w:vAlign w:val="bottom"/>
          </w:tcPr>
          <w:p>
            <w:pPr>
              <w:ind w:left="120"/>
              <w:spacing w:after="0" w:line="176" w:lineRule="exact"/>
              <w:rPr>
                <w:sz w:val="20"/>
                <w:szCs w:val="20"/>
                <w:color w:val="auto"/>
              </w:rPr>
            </w:pPr>
            <w:r>
              <w:rPr>
                <w:rFonts w:ascii="Arial" w:cs="Arial" w:eastAsia="Arial" w:hAnsi="Arial"/>
                <w:sz w:val="18"/>
                <w:szCs w:val="18"/>
                <w:color w:val="auto"/>
              </w:rPr>
              <w:t>Corporate bonds</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36,439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36,439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Commercial paper</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65,105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65,105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620" w:type="dxa"/>
            <w:vAlign w:val="bottom"/>
          </w:tcPr>
          <w:p>
            <w:pPr>
              <w:ind w:left="120"/>
              <w:spacing w:after="0" w:line="176" w:lineRule="exact"/>
              <w:rPr>
                <w:sz w:val="20"/>
                <w:szCs w:val="20"/>
                <w:color w:val="auto"/>
              </w:rPr>
            </w:pPr>
            <w:r>
              <w:rPr>
                <w:rFonts w:ascii="Arial" w:cs="Arial" w:eastAsia="Arial" w:hAnsi="Arial"/>
                <w:sz w:val="18"/>
                <w:szCs w:val="18"/>
                <w:color w:val="auto"/>
              </w:rPr>
              <w:t>Asset-backed securities</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7,883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7,883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620" w:type="dxa"/>
            <w:vAlign w:val="bottom"/>
            <w:tcBorders>
              <w:top w:val="single" w:sz="8" w:color="CCEEFF"/>
              <w:bottom w:val="single" w:sz="8" w:color="CCEEFF"/>
            </w:tcBorders>
            <w:shd w:val="clear" w:color="auto" w:fill="CCEEFF"/>
          </w:tcPr>
          <w:p>
            <w:pPr>
              <w:jc w:val="center"/>
              <w:ind w:right="2730"/>
              <w:spacing w:after="0" w:line="170" w:lineRule="exact"/>
              <w:rPr>
                <w:sz w:val="20"/>
                <w:szCs w:val="20"/>
                <w:color w:val="auto"/>
              </w:rPr>
            </w:pPr>
            <w:r>
              <w:rPr>
                <w:rFonts w:ascii="Arial" w:cs="Arial" w:eastAsia="Arial" w:hAnsi="Arial"/>
                <w:sz w:val="18"/>
                <w:szCs w:val="18"/>
                <w:color w:val="auto"/>
                <w:w w:val="89"/>
              </w:rPr>
              <w:t>Total</w:t>
            </w: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183,619</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74,192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109,427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76"/>
        </w:trPr>
        <w:tc>
          <w:tcPr>
            <w:tcW w:w="3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3620" w:type="dxa"/>
            <w:vAlign w:val="bottom"/>
            <w:shd w:val="clear" w:color="auto" w:fill="CCEEFF"/>
          </w:tcPr>
          <w:p>
            <w:pPr>
              <w:jc w:val="center"/>
              <w:ind w:right="2750"/>
              <w:spacing w:after="0" w:line="176" w:lineRule="exact"/>
              <w:rPr>
                <w:sz w:val="20"/>
                <w:szCs w:val="20"/>
                <w:color w:val="auto"/>
              </w:rPr>
            </w:pPr>
            <w:r>
              <w:rPr>
                <w:rFonts w:ascii="Arial" w:cs="Arial" w:eastAsia="Arial" w:hAnsi="Arial"/>
                <w:sz w:val="18"/>
                <w:szCs w:val="18"/>
                <w:color w:val="auto"/>
                <w:w w:val="98"/>
              </w:rPr>
              <w:t>Liabilities:</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6"/>
        </w:trPr>
        <w:tc>
          <w:tcPr>
            <w:tcW w:w="3620" w:type="dxa"/>
            <w:vAlign w:val="bottom"/>
          </w:tcPr>
          <w:p>
            <w:pPr>
              <w:ind w:left="120"/>
              <w:spacing w:after="0" w:line="176" w:lineRule="exact"/>
              <w:rPr>
                <w:sz w:val="20"/>
                <w:szCs w:val="20"/>
                <w:color w:val="auto"/>
              </w:rPr>
            </w:pPr>
            <w:r>
              <w:rPr>
                <w:rFonts w:ascii="Arial" w:cs="Arial" w:eastAsia="Arial" w:hAnsi="Arial"/>
                <w:sz w:val="18"/>
                <w:szCs w:val="18"/>
                <w:color w:val="auto"/>
              </w:rPr>
              <w:t>Derivative liability for exit fee</w:t>
            </w:r>
          </w:p>
        </w:tc>
        <w:tc>
          <w:tcPr>
            <w:tcW w:w="12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556</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556</w:t>
            </w:r>
          </w:p>
        </w:tc>
      </w:tr>
      <w:tr>
        <w:trPr>
          <w:trHeight w:val="176"/>
        </w:trPr>
        <w:tc>
          <w:tcPr>
            <w:tcW w:w="36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Foreign currency derivative contracts</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620" w:type="dxa"/>
            <w:vAlign w:val="bottom"/>
          </w:tcPr>
          <w:p>
            <w:pPr>
              <w:jc w:val="center"/>
              <w:ind w:right="2730"/>
              <w:spacing w:after="0" w:line="170" w:lineRule="exact"/>
              <w:rPr>
                <w:sz w:val="20"/>
                <w:szCs w:val="20"/>
                <w:color w:val="auto"/>
              </w:rPr>
            </w:pPr>
            <w:r>
              <w:rPr>
                <w:rFonts w:ascii="Arial" w:cs="Arial" w:eastAsia="Arial" w:hAnsi="Arial"/>
                <w:sz w:val="18"/>
                <w:szCs w:val="18"/>
                <w:color w:val="auto"/>
                <w:w w:val="89"/>
              </w:rPr>
              <w:t>Total</w:t>
            </w:r>
          </w:p>
        </w:tc>
        <w:tc>
          <w:tcPr>
            <w:tcW w:w="10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602</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556</w:t>
            </w:r>
          </w:p>
        </w:tc>
      </w:tr>
      <w:tr>
        <w:trPr>
          <w:trHeight w:val="810"/>
        </w:trPr>
        <w:tc>
          <w:tcPr>
            <w:tcW w:w="3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2"/>
        </w:trPr>
        <w:tc>
          <w:tcPr>
            <w:tcW w:w="3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type w:val="continuous"/>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3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9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32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14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76"/>
        </w:trPr>
        <w:tc>
          <w:tcPr>
            <w:tcW w:w="3220" w:type="dxa"/>
            <w:vAlign w:val="bottom"/>
          </w:tcPr>
          <w:p>
            <w:pPr>
              <w:ind w:left="120"/>
              <w:spacing w:after="0" w:line="176" w:lineRule="exact"/>
              <w:rPr>
                <w:sz w:val="20"/>
                <w:szCs w:val="20"/>
                <w:color w:val="auto"/>
              </w:rPr>
            </w:pPr>
            <w:r>
              <w:rPr>
                <w:rFonts w:ascii="Arial" w:cs="Arial" w:eastAsia="Arial" w:hAnsi="Arial"/>
                <w:sz w:val="18"/>
                <w:szCs w:val="18"/>
                <w:color w:val="auto"/>
              </w:rPr>
              <w:t>Money market funds</w:t>
            </w:r>
          </w:p>
        </w:tc>
        <w:tc>
          <w:tcPr>
            <w:tcW w:w="16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68,651</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68,651</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32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treasury securities</w:t>
            </w:r>
          </w:p>
        </w:tc>
        <w:tc>
          <w:tcPr>
            <w:tcW w:w="1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3220" w:type="dxa"/>
            <w:vAlign w:val="bottom"/>
          </w:tcPr>
          <w:p>
            <w:pPr>
              <w:ind w:left="120"/>
              <w:spacing w:after="0" w:line="176" w:lineRule="exact"/>
              <w:rPr>
                <w:sz w:val="20"/>
                <w:szCs w:val="20"/>
                <w:color w:val="auto"/>
              </w:rPr>
            </w:pPr>
            <w:r>
              <w:rPr>
                <w:rFonts w:ascii="Arial" w:cs="Arial" w:eastAsia="Arial" w:hAnsi="Arial"/>
                <w:sz w:val="18"/>
                <w:szCs w:val="18"/>
                <w:color w:val="auto"/>
              </w:rPr>
              <w:t>Corporate bonds</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26,827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26,827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32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Commercial paper</w:t>
            </w:r>
          </w:p>
        </w:tc>
        <w:tc>
          <w:tcPr>
            <w:tcW w:w="1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20,420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20,420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3220" w:type="dxa"/>
            <w:vAlign w:val="bottom"/>
          </w:tcPr>
          <w:p>
            <w:pPr>
              <w:ind w:left="120"/>
              <w:spacing w:after="0" w:line="176" w:lineRule="exact"/>
              <w:rPr>
                <w:sz w:val="20"/>
                <w:szCs w:val="20"/>
                <w:color w:val="auto"/>
              </w:rPr>
            </w:pPr>
            <w:r>
              <w:rPr>
                <w:rFonts w:ascii="Arial" w:cs="Arial" w:eastAsia="Arial" w:hAnsi="Arial"/>
                <w:sz w:val="18"/>
                <w:szCs w:val="18"/>
                <w:color w:val="auto"/>
              </w:rPr>
              <w:t>Asset-backed securities</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8,203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8,203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r>
      <w:tr>
        <w:trPr>
          <w:trHeight w:val="176"/>
        </w:trPr>
        <w:tc>
          <w:tcPr>
            <w:tcW w:w="3220" w:type="dxa"/>
            <w:vAlign w:val="bottom"/>
            <w:tcBorders>
              <w:top w:val="single" w:sz="8" w:color="CCEEFF"/>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128,094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72,644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55,450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20"/>
              <w:spacing w:after="0" w:line="170"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Where quoted prices are available in an active market, securities are classified as Level 1. The Company classifies money market funds, U.S. treasury securities and U.S. government-sponsored agency bonds as Level 1. When quoted market prices are not available for the specific security, the Company estimates fair value by using benchmark yields, reported trades, broker/dealer quotes and issuer spreads. The Company classifies corporate bonds, commercial paper and asset-backed securities as Level 2. In certain cases, where there is limited activity or less transparency around inputs to valuation, securities are classified as Level 3. There were no transfers between Level 1 and Level 2 during the periods presented.</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May 2018, pursuant to the loan and security agreement with Solar Capital Ltd. and Western Alliance Bank (see “Note</w:t>
      </w:r>
    </w:p>
    <w:p>
      <w:pPr>
        <w:spacing w:after="0" w:line="8" w:lineRule="exact"/>
        <w:rPr>
          <w:sz w:val="20"/>
          <w:szCs w:val="20"/>
          <w:color w:val="auto"/>
        </w:rPr>
      </w:pPr>
    </w:p>
    <w:p>
      <w:pPr>
        <w:jc w:val="both"/>
        <w:ind w:firstLine="3"/>
        <w:spacing w:after="0" w:line="219" w:lineRule="auto"/>
        <w:tabs>
          <w:tab w:leader="none" w:pos="188" w:val="left"/>
        </w:tabs>
        <w:numPr>
          <w:ilvl w:val="0"/>
          <w:numId w:val="7"/>
        </w:numPr>
        <w:rPr>
          <w:rFonts w:ascii="Arial" w:cs="Arial" w:eastAsia="Arial" w:hAnsi="Arial"/>
          <w:sz w:val="17"/>
          <w:szCs w:val="17"/>
          <w:color w:val="auto"/>
        </w:rPr>
      </w:pPr>
      <w:r>
        <w:rPr>
          <w:rFonts w:ascii="Arial" w:cs="Arial" w:eastAsia="Arial" w:hAnsi="Arial"/>
          <w:sz w:val="17"/>
          <w:szCs w:val="17"/>
          <w:color w:val="auto"/>
        </w:rPr>
        <w:t>Borrowings”), the Company entered into an Exit Fee Agreement under which the Company agreed to pay $1.5 million in cash, or the Exit Fee, upon any change of control transaction in respect of the Company or if the Company obtains both (i) FDA approval of tenapanor in the treatment of hyperphosphatemia in ESRD patients on dialysis and (ii) FDA approval of tenapanor for the treatment of patients with IBS-C. Notwithstanding the prepayment or termination of the Term Loan, the Company’s obligation to pay the Exit Fee will expire May 16, 2028. The Company evaluated that the Exit Fee is a freestanding derivative which should be accounted for at fair value on a recurring basis. The estimated fair value of the Exit Fee is recorded as a derivative liability and included in accrued and other liabilities on the accompanying consolidated balance sheet. As of September 30, 2018, the estimated fair value of the Exit Fee was determined to be $556,000 and the derivative liability for Exit Fee increased by $10,000 from $546,000 as of June 30, 2018, primarily as a result of a change to the inputs of the calculation and the time value of money, which is presented as a component of change in derivative liabilities in the Company’s condensed consolidated statements of operations.</w:t>
      </w:r>
    </w:p>
    <w:p>
      <w:pPr>
        <w:spacing w:after="0" w:line="16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the Company’s valuation utilized significant unobservable inputs. Specifically, the key assumptions included in the calculation of the estimated fair value of the derivative instrument include:</w:t>
      </w:r>
    </w:p>
    <w:p>
      <w:pPr>
        <w:spacing w:after="0" w:line="2" w:lineRule="exact"/>
        <w:rPr>
          <w:sz w:val="20"/>
          <w:szCs w:val="20"/>
          <w:color w:val="auto"/>
        </w:rPr>
      </w:pPr>
    </w:p>
    <w:p>
      <w:pPr>
        <w:jc w:val="both"/>
        <w:ind w:firstLine="3"/>
        <w:spacing w:after="0" w:line="225" w:lineRule="auto"/>
        <w:tabs>
          <w:tab w:leader="none" w:pos="16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estimates of both the probability and timing of a potential $1.5 million payment to Solar Capital Ltd. and Western Alliance Bank as a result of the FDA approvals, and ii) a discount rate which was derived from the Company's estimated cost of debt. Generally, increases or decreases in the probability of occurrence would result in a directionally similar impact in the fair value measurement of the derivative instrument and it is estimated that a 10% increase (decrease) in the probability of occurrence would result in a fair value fluctuation of approximately $0.1 million.</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Changes in the fair value of recurring measurements included in Level 3 of the fair value hierarchy are presented as changes in derivative liabilities for Exit Fee in the Company's condensed consolidated statements of operations and were as follows for the nine months ended September 30, 2018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jc w:val="right"/>
              <w:ind w:right="315"/>
              <w:spacing w:after="0"/>
              <w:rPr>
                <w:sz w:val="20"/>
                <w:szCs w:val="20"/>
                <w:color w:val="auto"/>
              </w:rPr>
            </w:pPr>
            <w:r>
              <w:rPr>
                <w:rFonts w:ascii="Arial" w:cs="Arial" w:eastAsia="Arial" w:hAnsi="Arial"/>
                <w:sz w:val="14"/>
                <w:szCs w:val="14"/>
                <w:b w:val="1"/>
                <w:bCs w:val="1"/>
                <w:color w:val="auto"/>
              </w:rPr>
              <w:t>Estimated Fair Value</w:t>
            </w:r>
          </w:p>
        </w:tc>
      </w:tr>
      <w:tr>
        <w:trPr>
          <w:trHeight w:val="171"/>
        </w:trPr>
        <w:tc>
          <w:tcPr>
            <w:tcW w:w="138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of Derivative Liability</w:t>
            </w:r>
          </w:p>
        </w:tc>
      </w:tr>
      <w:tr>
        <w:trPr>
          <w:trHeight w:val="169"/>
        </w:trPr>
        <w:tc>
          <w:tcPr>
            <w:tcW w:w="1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55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Liabilities at December 31, 2017</w:t>
            </w:r>
          </w:p>
        </w:tc>
        <w:tc>
          <w:tcPr>
            <w:tcW w:w="240" w:type="dxa"/>
            <w:vAlign w:val="bottom"/>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76"/>
        </w:trPr>
        <w:tc>
          <w:tcPr>
            <w:tcW w:w="694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Initial estimated fair value of derivative liability for exit fee</w:t>
            </w: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546</w:t>
            </w:r>
          </w:p>
        </w:tc>
      </w:tr>
      <w:tr>
        <w:trPr>
          <w:trHeight w:val="169"/>
        </w:trPr>
        <w:tc>
          <w:tcPr>
            <w:tcW w:w="1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55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Liabilities at June 30, 2018</w:t>
            </w:r>
          </w:p>
        </w:tc>
        <w:tc>
          <w:tcPr>
            <w:tcW w:w="24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546</w:t>
            </w:r>
          </w:p>
        </w:tc>
      </w:tr>
      <w:tr>
        <w:trPr>
          <w:trHeight w:val="176"/>
        </w:trPr>
        <w:tc>
          <w:tcPr>
            <w:tcW w:w="694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Change in estimated fair value of derivative liability for exit fee</w:t>
            </w: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w:t>
            </w:r>
          </w:p>
        </w:tc>
      </w:tr>
      <w:tr>
        <w:trPr>
          <w:trHeight w:val="189"/>
        </w:trPr>
        <w:tc>
          <w:tcPr>
            <w:tcW w:w="13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5560" w:type="dxa"/>
            <w:vAlign w:val="bottom"/>
            <w:tcBorders>
              <w:bottom w:val="single" w:sz="8" w:color="CCEEFF"/>
            </w:tcBorders>
            <w:shd w:val="clear" w:color="auto" w:fill="CCEEFF"/>
          </w:tcPr>
          <w:p>
            <w:pPr>
              <w:ind w:left="40"/>
              <w:spacing w:after="0" w:line="170" w:lineRule="exact"/>
              <w:rPr>
                <w:sz w:val="20"/>
                <w:szCs w:val="20"/>
                <w:color w:val="auto"/>
              </w:rPr>
            </w:pPr>
            <w:r>
              <w:rPr>
                <w:rFonts w:ascii="Arial" w:cs="Arial" w:eastAsia="Arial" w:hAnsi="Arial"/>
                <w:sz w:val="18"/>
                <w:szCs w:val="18"/>
                <w:color w:val="auto"/>
              </w:rPr>
              <w:t>Liabilities at September 30, 2018</w:t>
            </w: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556</w:t>
            </w:r>
          </w:p>
        </w:tc>
      </w:tr>
      <w:tr>
        <w:trPr>
          <w:trHeight w:val="797"/>
        </w:trPr>
        <w:tc>
          <w:tcPr>
            <w:tcW w:w="1380" w:type="dxa"/>
            <w:vAlign w:val="bottom"/>
          </w:tcPr>
          <w:p>
            <w:pPr>
              <w:spacing w:after="0"/>
              <w:rPr>
                <w:sz w:val="24"/>
                <w:szCs w:val="24"/>
                <w:color w:val="auto"/>
              </w:rPr>
            </w:pPr>
          </w:p>
        </w:tc>
        <w:tc>
          <w:tcPr>
            <w:tcW w:w="5560" w:type="dxa"/>
            <w:vAlign w:val="bottom"/>
          </w:tcPr>
          <w:p>
            <w:pPr>
              <w:jc w:val="right"/>
              <w:ind w:right="22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02"/>
        </w:trPr>
        <w:tc>
          <w:tcPr>
            <w:tcW w:w="1380" w:type="dxa"/>
            <w:vAlign w:val="bottom"/>
            <w:tcBorders>
              <w:bottom w:val="single" w:sz="8" w:color="auto"/>
            </w:tcBorders>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September 30, 2018 and December 31, 2017, due to their short-term nature.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Foreign Currency Exchange Rate Exposure</w:t>
      </w:r>
    </w:p>
    <w:p>
      <w:pPr>
        <w:spacing w:after="0" w:line="148"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The Company uses forward foreign currency exchange contracts to secure a foreign currency exchange rate when a contract is executed involving payment in a foreign currency in order to minimize cash flow exposure to fluctuating exchange rates. Such exposure results from portions of the Company’s forecasted cash outflows being denominated in currencies other than the U.S. dollar, primarily the Swiss franc. The derivative instruments the Company uses to hedge this exposure are not designated as cash flow hedges, and as a result, changes in their fair value are recorded in other (expense) income, net, on the Company's condensed consolidated statements of operations and comprehensive loss.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fair values of forward foreign currency exchange contracts are estimated using current exchange rates and interest rates and take into consideration the current creditworthiness of the counterparties. Information regarding the specific instruments used by the Company to hedge its exposure to foreign currency exchange rate fluctuations is provided below.</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forward foreign currency exchange contracts outstanding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(notional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Aggregate Notional</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Exchange Contracts</w:t>
            </w:r>
          </w:p>
        </w:tc>
        <w:tc>
          <w:tcPr>
            <w:tcW w:w="1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Number of Contracts</w:t>
            </w:r>
          </w:p>
        </w:tc>
        <w:tc>
          <w:tcPr>
            <w:tcW w:w="200" w:type="dxa"/>
            <w:vAlign w:val="bottom"/>
          </w:tcPr>
          <w:p>
            <w:pPr>
              <w:spacing w:after="0"/>
              <w:rPr>
                <w:sz w:val="11"/>
                <w:szCs w:val="11"/>
                <w:color w:val="auto"/>
              </w:rPr>
            </w:pPr>
          </w:p>
        </w:tc>
        <w:tc>
          <w:tcPr>
            <w:tcW w:w="17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Amount in Foreign</w:t>
            </w:r>
          </w:p>
        </w:tc>
        <w:tc>
          <w:tcPr>
            <w:tcW w:w="22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2"/>
        </w:trPr>
        <w:tc>
          <w:tcPr>
            <w:tcW w:w="324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Currency</w:t>
            </w: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Swiss francs</w:t>
            </w:r>
          </w:p>
        </w:tc>
        <w:tc>
          <w:tcPr>
            <w:tcW w:w="2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6,002</w:t>
            </w:r>
          </w:p>
        </w:tc>
        <w:tc>
          <w:tcPr>
            <w:tcW w:w="18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ind w:left="260"/>
              <w:spacing w:after="0" w:line="170" w:lineRule="exact"/>
              <w:rPr>
                <w:sz w:val="20"/>
                <w:szCs w:val="20"/>
                <w:color w:val="auto"/>
              </w:rPr>
            </w:pPr>
            <w:r>
              <w:rPr>
                <w:rFonts w:ascii="Arial" w:cs="Arial" w:eastAsia="Arial" w:hAnsi="Arial"/>
                <w:sz w:val="18"/>
                <w:szCs w:val="18"/>
                <w:color w:val="auto"/>
              </w:rPr>
              <w:t>Nov. 2018 - Mar. 2019</w:t>
            </w:r>
          </w:p>
        </w:tc>
        <w:tc>
          <w:tcPr>
            <w:tcW w:w="0" w:type="dxa"/>
            <w:vAlign w:val="bottom"/>
          </w:tcPr>
          <w:p>
            <w:pPr>
              <w:spacing w:after="0"/>
              <w:rPr>
                <w:sz w:val="1"/>
                <w:szCs w:val="1"/>
                <w:color w:val="auto"/>
              </w:rPr>
            </w:pPr>
          </w:p>
        </w:tc>
      </w:tr>
      <w:tr>
        <w:trPr>
          <w:trHeight w:val="176"/>
        </w:trPr>
        <w:tc>
          <w:tcPr>
            <w:tcW w:w="3240" w:type="dxa"/>
            <w:vAlign w:val="bottom"/>
            <w:gridSpan w:val="2"/>
          </w:tcPr>
          <w:p>
            <w:pPr>
              <w:spacing w:after="0" w:line="170" w:lineRule="exact"/>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80" w:firstLine="324"/>
        <w:spacing w:after="0" w:line="235" w:lineRule="auto"/>
        <w:rPr>
          <w:sz w:val="20"/>
          <w:szCs w:val="20"/>
          <w:color w:val="auto"/>
        </w:rPr>
      </w:pPr>
      <w:r>
        <w:rPr>
          <w:rFonts w:ascii="Arial" w:cs="Arial" w:eastAsia="Arial" w:hAnsi="Arial"/>
          <w:sz w:val="18"/>
          <w:szCs w:val="18"/>
          <w:color w:val="auto"/>
        </w:rPr>
        <w:t>The maximum length of time over which the Company is hedging its exposure to changes in exchange rates is March 2019.</w:t>
      </w:r>
    </w:p>
    <w:p>
      <w:pPr>
        <w:spacing w:after="0" w:line="12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derivative liability balance of $45,566 is recorded in accrued and other liabilities on the condensed consolidated balance sheet as of September 30, 2018, and the net loss associated with the Company's derivative instruments of $45,566 is recognized in other (expense) income, net on the condensed consolidated statement of operations and comprehensive loss for the three and nine months ended September 30, 2018.</w:t>
      </w:r>
    </w:p>
    <w:p>
      <w:pPr>
        <w:spacing w:after="0" w:line="12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As of September 30, 2018, we had open forward foreign currency exchange contracts with notional amounts of $6.2 million. A hypothetical 10% strengthening in the Swiss francs exchange rates compared with the U.S. dollar relative to exchange rates at September 30, 2018 would have resulted in a reduction in the value received over the remaining life of these contracts of approximately $0.6 million and, if realized, would negatively affect earnings during the remaining life of the contracts.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144"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On May 16, 2018, the Company entered into a loan and security agreement, or the Loan Agreement, with Solar Capital Ltd. and Western Alliance Bank, or collectively the Lenders. The Loan Agreement provides for a $50.0 million term loan facility with a maturity date of November 1, 2022, or the Term Loan. The full amount of the loan was funded on May 16, 2018. The Company received net proceeds from the loan of approximately $49.3 million, after deducting the closing fee, legal expenses and issuance cost.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6"/>
          <w:szCs w:val="16"/>
          <w:color w:val="auto"/>
        </w:rPr>
        <w:t>Borrowings under the Term Loan bear interest at a floating per annum rate equal to 7.45% plus the one-month LIBOR. The Company is permitted to make interest-only payments on the Term Loan through June 1, 2020, unless the Company achieves its primary endpoint in the Phase 3 study of tenapanor for the treatment of hyperphosphatemia in end-stage renal disease patients on dialysis, prior to June 1, 2020, in which case the Company is permitted to make interest-only payments on the Term Loan through December 1, 2020. Accordingly, beginning on either June 1, 2020 or December 1, 2020, as applicable, through the maturity date, the Company will be required to make monthly payments of interest plus repayment of the Term Loan in consecutive equal monthly installments of principal. The Company paid a closing fee of 1% of the Term Loan, or $0.5 million, upon the closing of the Term Loan.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our intellectual property and certain other customary exclusions. Additionally, in connection with the Term Loan, the Company entered into an Exit Fee Agreement, whereby the Company agreed to pay an exit fee in the amount of 3% of the Term Loan, or the Exit Fee, upon any change of control transaction in respect of the Company or if the Company obtains both (i) FDA approval of tenapanor in the treatment of hyperphosphatemia in ESRD patients on dialysis and (ii) FDA approval of tenapanor for the treatment of patients with IBS-</w:t>
      </w:r>
    </w:p>
    <w:p>
      <w:pPr>
        <w:spacing w:after="0" w:line="2" w:lineRule="exact"/>
        <w:rPr>
          <w:sz w:val="20"/>
          <w:szCs w:val="20"/>
          <w:color w:val="auto"/>
        </w:rPr>
      </w:pPr>
    </w:p>
    <w:p>
      <w:pPr>
        <w:ind w:firstLine="3"/>
        <w:spacing w:after="0" w:line="226"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Notwithstanding the prepayment or termination of the Term Loan, the obligation to pay the Exit Fee will expire 10 years from the Closing Date.</w:t>
      </w:r>
    </w:p>
    <w:p>
      <w:pPr>
        <w:spacing w:after="0" w:line="12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Additionally, if the Company elects to enter into an exclusive license agreement for the use of its intellectual property in the United States (other than for tenapanor for hyperphosphatemia or for our FXR and TGR5 agonist programs) and has not obtained the written consent of the Lenders to enter into such license agreement, the Company has agreed to maintain unrestricted cash and cash equivalents of at least $50.0 million, until the Company achieves its primary endpoint in the second Phase 3 study of tenapanor for the treatment of hyperphosphatemia in end-stage renal disease patients on dialysis. As of September 30, 2018, the Company was in compliance with all of the covenants set forth in the Loan Agreement.</w:t>
      </w:r>
    </w:p>
    <w:p>
      <w:pPr>
        <w:spacing w:after="0" w:line="12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addition, the Loan Agreement contains customary events of default that entitle the Lender to cause the Company’s indebtedness under the Loan Agreement to become immediately due and payable, and to exercise remedies against the Company and the collateral securing the Term Loan, including our cash. Upon the occurrence and for the duration of an event of default, an additional default interest rate equal to 4.0% per annum will apply to all obligations owed under the Loan Agreement. As of September 30, 2018, to the Company’s knowledge, there were no facts or circumstances in existence giving rise to an event of default.</w:t>
      </w:r>
    </w:p>
    <w:p>
      <w:pPr>
        <w:spacing w:after="0" w:line="12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of September 30, 2018, assuming the principal payments start on December 1, 2020, the Company’s future debt payment obligations towards the principal and final fee, excluding interest payments and exit fee, for the respective fiscal years are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176"/>
        </w:trPr>
        <w:tc>
          <w:tcPr>
            <w:tcW w:w="920" w:type="dxa"/>
            <w:vAlign w:val="bottom"/>
          </w:tcPr>
          <w:p>
            <w:pPr>
              <w:spacing w:after="0"/>
              <w:rPr>
                <w:sz w:val="15"/>
                <w:szCs w:val="15"/>
                <w:color w:val="auto"/>
              </w:rPr>
            </w:pPr>
          </w:p>
        </w:tc>
        <w:tc>
          <w:tcPr>
            <w:tcW w:w="5080" w:type="dxa"/>
            <w:vAlign w:val="bottom"/>
          </w:tcPr>
          <w:p>
            <w:pPr>
              <w:spacing w:after="0" w:line="176" w:lineRule="exact"/>
              <w:rPr>
                <w:sz w:val="20"/>
                <w:szCs w:val="20"/>
                <w:color w:val="auto"/>
              </w:rPr>
            </w:pPr>
            <w:r>
              <w:rPr>
                <w:rFonts w:ascii="Arial" w:cs="Arial" w:eastAsia="Arial" w:hAnsi="Arial"/>
                <w:sz w:val="18"/>
                <w:szCs w:val="18"/>
                <w:color w:val="auto"/>
              </w:rPr>
              <w:t>2019</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5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2,083</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508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25,000</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5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13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24,892</w:t>
            </w:r>
          </w:p>
        </w:tc>
        <w:tc>
          <w:tcPr>
            <w:tcW w:w="900" w:type="dxa"/>
            <w:vAlign w:val="bottom"/>
          </w:tcPr>
          <w:p>
            <w:pPr>
              <w:spacing w:after="0"/>
              <w:rPr>
                <w:sz w:val="15"/>
                <w:szCs w:val="15"/>
                <w:color w:val="auto"/>
              </w:rPr>
            </w:pPr>
          </w:p>
        </w:tc>
      </w:tr>
      <w:tr>
        <w:trPr>
          <w:trHeight w:val="169"/>
        </w:trPr>
        <w:tc>
          <w:tcPr>
            <w:tcW w:w="920" w:type="dxa"/>
            <w:vAlign w:val="bottom"/>
          </w:tcPr>
          <w:p>
            <w:pPr>
              <w:spacing w:after="0"/>
              <w:rPr>
                <w:sz w:val="14"/>
                <w:szCs w:val="14"/>
                <w:color w:val="auto"/>
              </w:rPr>
            </w:pPr>
          </w:p>
        </w:tc>
        <w:tc>
          <w:tcPr>
            <w:tcW w:w="5080" w:type="dxa"/>
            <w:vAlign w:val="bottom"/>
          </w:tcPr>
          <w:p>
            <w:pPr>
              <w:ind w:left="100"/>
              <w:spacing w:after="0" w:line="170" w:lineRule="exact"/>
              <w:rPr>
                <w:sz w:val="20"/>
                <w:szCs w:val="20"/>
                <w:color w:val="auto"/>
              </w:rPr>
            </w:pPr>
            <w:r>
              <w:rPr>
                <w:rFonts w:ascii="Arial" w:cs="Arial" w:eastAsia="Arial" w:hAnsi="Arial"/>
                <w:sz w:val="18"/>
                <w:szCs w:val="18"/>
                <w:color w:val="auto"/>
              </w:rPr>
              <w:t>Total principal and final fee payments</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8"/>
                <w:szCs w:val="18"/>
                <w:color w:val="auto"/>
              </w:rPr>
              <w:t>51,975</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5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Unamortized discount and debt issuance costs</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(1,144)</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50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Unaccreted value of final fee</w:t>
            </w:r>
          </w:p>
        </w:tc>
        <w:tc>
          <w:tcPr>
            <w:tcW w:w="1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(1,811)</w:t>
            </w: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5080" w:type="dxa"/>
            <w:vAlign w:val="bottom"/>
            <w:tcBorders>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Loan payable, long term</w:t>
            </w:r>
          </w:p>
        </w:tc>
        <w:tc>
          <w:tcPr>
            <w:tcW w:w="13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49,020</w:t>
            </w:r>
          </w:p>
        </w:tc>
        <w:tc>
          <w:tcPr>
            <w:tcW w:w="900" w:type="dxa"/>
            <w:vAlign w:val="bottom"/>
          </w:tcPr>
          <w:p>
            <w:pPr>
              <w:spacing w:after="0"/>
              <w:rPr>
                <w:sz w:val="16"/>
                <w:szCs w:val="16"/>
                <w:color w:val="auto"/>
              </w:rPr>
            </w:pPr>
          </w:p>
        </w:tc>
      </w:tr>
      <w:tr>
        <w:trPr>
          <w:trHeight w:val="811"/>
        </w:trPr>
        <w:tc>
          <w:tcPr>
            <w:tcW w:w="6000" w:type="dxa"/>
            <w:vAlign w:val="bottom"/>
            <w:gridSpan w:val="2"/>
          </w:tcPr>
          <w:p>
            <w:pPr>
              <w:jc w:val="right"/>
              <w:ind w:right="129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62"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On May 22, 2018, the Company entered into an underwriting agreement with Jefferies LLC and Leerink Partners LLC, as representatives of several underwriters, or collectively the Underwriters, pursuant to which the Company agreed to issue and sell 12,500,000 shares of its common stock, par value $0.0001 per share, or Common Stock, to the Underwriters, or the Offering. The shares were sold at a public offering price of $4.00 per share, and were purchased by the Underwriters from the Company at a price of $3.76 per Share. Under the terms of the underwriting agreement, the Company granted the Underwriters the option, for 30 days, to purchase up to 1,875,000 additional shares of Common Stock at the public offering price.</w:t>
      </w:r>
    </w:p>
    <w:p>
      <w:pPr>
        <w:spacing w:after="0" w:line="12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On May 25, 2018, the Offering closed and the Company completed the sale and issuance of 12,500,000 shares of Common Stock. The Company received net proceeds from the Offering of approximately $46.7 million, after deducting the Underwriters’ discounts and commissions and offering expenses payable by the Company. Subsequently, on June 25, 2018, the Underwriters exercised their option to purchase the full 1,875,000 shares of Common Stock at the public offering price of $4.00 per share that were purchased by the Underwriters from the Company at a price of $3.76 per Share and the Company received additional net proceeds of $7.1 million, after deducting the Underwriters’ commissions. In aggregate, the Company completed the sale and issuance of 14,375,000 shares of Common Stock and received net proceeds from the Offering of approximately $53.8 million, after deducting the Underwriters’ discounts, commissions and offering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following table presents stock-based compensation expense recognized for stock options, restricted stock units, or RSUs, performance-based restricted stock units, or PRSUs, and the Company’s employee stock purchase program, or ESPP, in the Company’s statements of operations (in thousands):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39"/>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86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880</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916</w:t>
            </w:r>
          </w:p>
        </w:tc>
        <w:tc>
          <w:tcPr>
            <w:tcW w:w="34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2,770</w:t>
            </w:r>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$ 3,361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Pr>
          <w:p>
            <w:pPr>
              <w:spacing w:after="0" w:line="176" w:lineRule="exact"/>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1,068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1,186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4,206</w:t>
            </w:r>
          </w:p>
        </w:tc>
        <w:tc>
          <w:tcPr>
            <w:tcW w:w="8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3,640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top w:val="single" w:sz="8" w:color="CCEEFF"/>
              <w:bottom w:val="single" w:sz="8" w:color="CCEEFF"/>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1,948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2,102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6,976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$ 7,001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In January 2017, the Company granted 161,865 PRSUs to certain employees that vest upon the achievement of specified performance conditions, subject to the employees’ continued service relationship with the Company through the date of achievement. At September 30, 2018, 125,895 of these PRSUs were outstanding. None of the PRSUs vested during each of the three and nine months ended September 30, 2018 and 2017. However, the related compensation cost is recognized as an expense over the estimated vesting period when achievement of the milestone is considered probable. The expense recognized for these awards is based on the grant date fair value of the Company’s common stock multiplied by the number of units granted. The Company recognized $0.1 million and $0.5 million of related expense during the three and nine months ended September 30, 2018, respectively.</w:t>
      </w:r>
    </w:p>
    <w:p>
      <w:pPr>
        <w:spacing w:after="0" w:line="16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 July 2018, the Company granted 903,374 PRSUs to its employees that vest upon the achievement of certain performance conditions, subject to the employees’ continued service relationship with the Company through the achievement date. At September 30, 2018, 903,374 of these PRSUs were outstanding. Based on the evaluation of the performance conditions at September 30, 2018, the Company has not recorded stock-based compensation expense for the three months ended September 30, 2018 related to these PRSUs. The Company will continue to evaluate the performance conditions for these PRSUs at each reporting period and will record compensation expense related to the PRSUs accordingly.</w:t>
      </w:r>
    </w:p>
    <w:p>
      <w:pPr>
        <w:spacing w:after="0" w:line="16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At September 30, 2018, the Company had $14.4 million, $1.2 million, $0.1 million and $0.1 million of total unrecognized compensation expense, net of estimated forfeitures, related to stock option grants, RSU grants, PRSU grants and the ESPP, respectively, that will be recognized over an average vesting period of 2.8 years, 1.7 years, 0.1 years and 0.4 years,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For each of the three and nine months ended September 30, 2018, zero options were exercised to purchase shares of the Company's common stock, with zero net proceeds to the Company. For the three and nine months ended September 30, 2017, 4,833 and 33,159 options, respectively, were exercised to purchase shares of the Company’s common stock, with insignificant net proceeds to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For each of the three and nine months ended September 30, 2018, the Company issued zero shares, of its common stock upon vesting of RSUs or PRSUs to its employees. For the three and nine months ended September 30, 2017, the Company issued zero and 15,188 shares, respectively, of its common stock due to vesting of RSUs.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February 2018, the Company sold 68,589 shares of its common stock under the ESPP. The shares were purchased by employees at a purchase price of $4.38 per share with proceeds to the Company of approximately $0.3 million. In August 2018, the Company sold 52,370 shares of its common stock under the ESPP. The shares were purchased by employees at a purchase price of $3.66 per share with proceeds to the Company of approximately $0.2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18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For the three and nine months ended September 30, 2018, the Company issued zero and 75,183 shares, respectively, of its common stock to members of the board of directors who elected to receive stock in lieu of their cash fees under the Company’s Non-Employee Director Compensation Program. The shares issued were valued at $0.3 million based on the fair value of the common stock on the date of grant. For the three and nine months ended September 30, 2017, the Company issued zero and 46,858 shares, respectively, of its common stock to members of the board of directors who elected to receive stock in lieu of their cash fees under the Company’s Non-Employee Director Compensation Program. The shares issued were valued at $0.2 million based on the fair value of the common stock on the date of grant.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LOSS PER SHARE</w:t>
      </w:r>
    </w:p>
    <w:p>
      <w:pPr>
        <w:spacing w:after="0" w:line="18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and nine months ended September 30, 2018 and 2017, all potential common shares were determined to be anti-dilutive. The following table sets forth the computation of net loss per common share (in thousands, except share and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right"/>
              <w:ind w:right="61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42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424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40" w:type="dxa"/>
            <w:vAlign w:val="bottom"/>
          </w:tcPr>
          <w:p>
            <w:pPr>
              <w:ind w:left="120"/>
              <w:spacing w:after="0" w:line="176" w:lineRule="exact"/>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(24,126)</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(20,724)</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(63,436)</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(74,453)</w:t>
            </w:r>
          </w:p>
        </w:tc>
        <w:tc>
          <w:tcPr>
            <w:tcW w:w="0" w:type="dxa"/>
            <w:vAlign w:val="bottom"/>
          </w:tcPr>
          <w:p>
            <w:pPr>
              <w:spacing w:after="0"/>
              <w:rPr>
                <w:sz w:val="1"/>
                <w:szCs w:val="1"/>
                <w:color w:val="auto"/>
              </w:rPr>
            </w:pPr>
          </w:p>
        </w:tc>
      </w:tr>
      <w:tr>
        <w:trPr>
          <w:trHeight w:val="176"/>
        </w:trPr>
        <w:tc>
          <w:tcPr>
            <w:tcW w:w="4240" w:type="dxa"/>
            <w:vAlign w:val="bottom"/>
            <w:tcBorders>
              <w:top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Denominator:</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40" w:type="dxa"/>
            <w:vAlign w:val="bottom"/>
          </w:tcPr>
          <w:p>
            <w:pPr>
              <w:ind w:left="220"/>
              <w:spacing w:after="0" w:line="149" w:lineRule="exact"/>
              <w:rPr>
                <w:sz w:val="20"/>
                <w:szCs w:val="20"/>
                <w:color w:val="auto"/>
              </w:rPr>
            </w:pPr>
            <w:r>
              <w:rPr>
                <w:rFonts w:ascii="Arial" w:cs="Arial" w:eastAsia="Arial" w:hAnsi="Arial"/>
                <w:sz w:val="17"/>
                <w:szCs w:val="17"/>
                <w:color w:val="auto"/>
                <w:w w:val="97"/>
              </w:rPr>
              <w:t>Weighted average common shares outstanding - basic</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62,071,397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47,464,310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54,204,907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3"/>
              </w:rPr>
              <w:t>47,404,039</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tcPr>
          <w:p>
            <w:pPr>
              <w:ind w:left="340"/>
              <w:spacing w:after="0" w:line="202" w:lineRule="exact"/>
              <w:rPr>
                <w:sz w:val="20"/>
                <w:szCs w:val="20"/>
                <w:color w:val="auto"/>
              </w:rPr>
            </w:pPr>
            <w:r>
              <w:rPr>
                <w:rFonts w:ascii="Arial" w:cs="Arial" w:eastAsia="Arial" w:hAnsi="Arial"/>
                <w:sz w:val="18"/>
                <w:szCs w:val="18"/>
                <w:color w:val="auto"/>
              </w:rPr>
              <w:t>and diluted</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Net loss per share - basic and diluted</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(0.39)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(0.44)</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(1.17)</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the three and nine months ended September 30, 2018 the total number of securities that could potentially dilute basic net loss per share in the future that were not included in the computation of diluted net loss per share because the effect would have been antidilutive was 8.3 million and 8.1 million,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the three and nine months ended September 30, 2017, the total number of securities that could potentially dilute basic net loss per share in the future that were not included in the computation of diluted net loss per share because the effect would have been antidilutive was 7.0 million and 6.6 million,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AND OTHER LIABILITIES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and other liabilities consist of the following (in thousands):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r>
      <w:tr>
        <w:trPr>
          <w:trHeight w:val="162"/>
        </w:trPr>
        <w:tc>
          <w:tcPr>
            <w:tcW w:w="40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169"/>
        </w:trPr>
        <w:tc>
          <w:tcPr>
            <w:tcW w:w="4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Accrued clinical and non-clinical expenses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6,792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5,447</w:t>
            </w:r>
          </w:p>
        </w:tc>
      </w:tr>
      <w:tr>
        <w:trPr>
          <w:trHeight w:val="176"/>
        </w:trPr>
        <w:tc>
          <w:tcPr>
            <w:tcW w:w="4020" w:type="dxa"/>
            <w:vAlign w:val="bottom"/>
          </w:tcPr>
          <w:p>
            <w:pPr>
              <w:spacing w:after="0" w:line="176" w:lineRule="exact"/>
              <w:rPr>
                <w:sz w:val="20"/>
                <w:szCs w:val="20"/>
                <w:color w:val="auto"/>
              </w:rPr>
            </w:pPr>
            <w:r>
              <w:rPr>
                <w:rFonts w:ascii="Arial" w:cs="Arial" w:eastAsia="Arial" w:hAnsi="Arial"/>
                <w:sz w:val="18"/>
                <w:szCs w:val="18"/>
                <w:color w:val="auto"/>
              </w:rPr>
              <w:t>Accrued contract manufacturing expenses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977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3,980</w:t>
            </w:r>
          </w:p>
        </w:tc>
      </w:tr>
      <w:tr>
        <w:trPr>
          <w:trHeight w:val="176"/>
        </w:trPr>
        <w:tc>
          <w:tcPr>
            <w:tcW w:w="4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professional and consulting services</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627</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530</w:t>
            </w:r>
          </w:p>
        </w:tc>
      </w:tr>
      <w:tr>
        <w:trPr>
          <w:trHeight w:val="176"/>
        </w:trPr>
        <w:tc>
          <w:tcPr>
            <w:tcW w:w="4020" w:type="dxa"/>
            <w:vAlign w:val="bottom"/>
          </w:tcPr>
          <w:p>
            <w:pPr>
              <w:spacing w:after="0" w:line="176" w:lineRule="exact"/>
              <w:rPr>
                <w:sz w:val="20"/>
                <w:szCs w:val="20"/>
                <w:color w:val="auto"/>
              </w:rPr>
            </w:pPr>
            <w:r>
              <w:rPr>
                <w:rFonts w:ascii="Arial" w:cs="Arial" w:eastAsia="Arial" w:hAnsi="Arial"/>
                <w:sz w:val="18"/>
                <w:szCs w:val="18"/>
                <w:color w:val="auto"/>
              </w:rPr>
              <w:t>Derivative liability for exit fee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556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4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derivative contract</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4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976</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752</w:t>
            </w:r>
          </w:p>
        </w:tc>
      </w:tr>
      <w:tr>
        <w:trPr>
          <w:trHeight w:val="176"/>
        </w:trPr>
        <w:tc>
          <w:tcPr>
            <w:tcW w:w="40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9,974</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10,709</w:t>
            </w:r>
          </w:p>
        </w:tc>
      </w:tr>
    </w:tbl>
    <w:p>
      <w:pPr>
        <w:spacing w:after="0" w:line="157" w:lineRule="exact"/>
        <w:rPr>
          <w:sz w:val="20"/>
          <w:szCs w:val="20"/>
          <w:color w:val="auto"/>
        </w:rPr>
      </w:pPr>
    </w:p>
    <w:p>
      <w:pPr>
        <w:ind w:right="3820"/>
        <w:spacing w:after="0" w:line="456" w:lineRule="auto"/>
        <w:rPr>
          <w:sz w:val="20"/>
          <w:szCs w:val="20"/>
          <w:color w:val="auto"/>
        </w:rPr>
      </w:pPr>
      <w:r>
        <w:rPr>
          <w:rFonts w:ascii="Arial" w:cs="Arial" w:eastAsia="Arial" w:hAnsi="Arial"/>
          <w:sz w:val="18"/>
          <w:szCs w:val="18"/>
          <w:b w:val="1"/>
          <w:bCs w:val="1"/>
          <w:color w:val="auto"/>
        </w:rPr>
        <w:t xml:space="preserve">NOTE 11. COLLABORATION AND LICENSING AGREEMENTS </w:t>
      </w:r>
      <w:r>
        <w:rPr>
          <w:rFonts w:ascii="Arial" w:cs="Arial" w:eastAsia="Arial" w:hAnsi="Arial"/>
          <w:sz w:val="18"/>
          <w:szCs w:val="18"/>
          <w:b w:val="1"/>
          <w:bCs w:val="1"/>
          <w:i w:val="1"/>
          <w:iCs w:val="1"/>
          <w:color w:val="auto"/>
        </w:rPr>
        <w:t>Kyowa Hakko Kirin Co., Ltd., or KHK</w:t>
      </w:r>
    </w:p>
    <w:p>
      <w:pPr>
        <w:spacing w:after="0" w:line="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November 2017, the Company entered into an exclusive license agreement with KHK, or the KHK Agreement, for the development, commercialization and distribution of tenapanor in Japan for cardiorenal indications. The Company assessed these arrangements in accordance with Topic 606 and concluded that the contract counterparty, KHK, is a customer. Under the terms of the KHK Agreement, the Company received $30.0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 Additionally, on January 1, 2018, the Company recorded an increase in current assets of $5.0 million and an increase in current liabilities of $1.0 million related to the first milestone under the KHK Agreement which the Company believes is not materially at risk, reflecting revenues and cost of revenue, respectively, that would have been recognized in the fourth quarter 2017 if the Company had adopted Topic 606 prior to January 1, 2018.</w:t>
      </w:r>
    </w:p>
    <w:p>
      <w:pPr>
        <w:spacing w:after="0" w:line="1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addition to the up-front license fee of $30.0 million, the Company may be entitled to receive up to $55.0 million in total development milestones and 8.5 billion yen in commercialization milestones, as well as reimbursement of cost, plus a reasonable overhead for the supply of product and high-teen royalties on net sales throughout the term of the agreement.</w:t>
      </w:r>
    </w:p>
    <w:p>
      <w:pPr>
        <w:spacing w:after="0" w:line="147"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For the three and nine months ended September 30, 2018, $0.2 million of other revenue was recorded for manufacturing supply of tenapanor and other materials to KHK for KHK’s product development and clinical trials in Japan, in accordance with the Company’s agreement with KHK, and a negligible cost of revenue was recorded pursuant to the AstraZeneca Termination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or Fosun Pharma</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Topic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In addition, the Company may be entitled to additional development and commercialization milestones of up to $113.0 million, as well as reimbursement of cost plus a reasonable overhead for the supply of product and tiered royalties on net sales ranging from the mid-teens to 20%.</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For the three and nine months ended September 30, 2018, there was no revenue recorded related to the Fosun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or Knight</w:t>
      </w:r>
    </w:p>
    <w:p>
      <w:pPr>
        <w:spacing w:after="0" w:line="18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Topic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16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Under the terms of the agreement, the Company is eligible to receive up to CAD 25 million in total payments including an up-front payment and development and sales milestones, reimbursement of supply costs on a schedule specifying cost per tablet, with a reasonable mark up for overhead, as well as double-digit tiered royalties on net sales.</w:t>
      </w:r>
    </w:p>
    <w:p>
      <w:pPr>
        <w:spacing w:after="0" w:line="161"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the three and nine months ended September 30, 2018, zero and $2.3 million of revenue, respectively, was recorded related to the Knight Agreement, and zero and $0.5 million of cost of revenue, respectively, was recorded pursuant to the AstraZeneca Termination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In June 2015, the Company entered into a termination agreement with AstraZeneca, or the AstraZeneca Termination Agreement, pursuant to which the Company remains liable to pay AstraZeneca license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To date in aggregate, the Company has recognized $9.9 million of the $75.0 million, recorded as cost of revenue comprising (i) $6.0 million and $2.4 million related to the KHK Agreement and Fosun Agreement, respectively, recorded in 2017 (ii) $0.5 million related to the Knight Agreement recorded in the nine month period ended September 30, 2018 and (iii) $1.0 million related to the KHK Agreement associated with a future milestone which the Company believes is not materially at risk for which the Company recorded an increase in current liabilities in the nine month period ended September 30, 2018 reflecting the amount that will be paid to AstraZeneca when KHK achieves the milestone.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8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left="980" w:hanging="971"/>
        <w:spacing w:after="0" w:line="23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jc w:val="both"/>
        <w:ind w:firstLine="324"/>
        <w:spacing w:after="0" w:line="181"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consolidated financial statements and notes thereto included elsewhere in this report and with the audited consolidated financial statements and related notes thereto included as part of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2017.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w:t>
      </w:r>
    </w:p>
    <w:p>
      <w:pPr>
        <w:spacing w:after="0" w:line="18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We are a specialized biopharmaceutical company focused on developing first-in-class, disruptive medicines for the treatment of cardiorenal disease. This includes patients with end-stage renal disease, or ESRD, who suffer from elevated serum phosphorus, or hyperphosphatemia; and patients with chronic kidney disease, or CKD, and/or heart failure who have elevated serum potassium, or hyperkalemia. We have also developed a number of programs directed toward treating gastrointestinal, or GI, disorders, including the treatment of irritable bowel syndrome with constipation, or IBS-C.</w:t>
      </w:r>
    </w:p>
    <w:p>
      <w:pPr>
        <w:spacing w:after="0" w:line="15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portfolio is led by the development of tenapanor, a first-in-class inhibitor of NHE3. In our renal pipeline, tenapanor is being evaluated in a second Phase 3 trial for the treatment of hyperphosphatemia in patients with ESRD who are on dialysis. We are also advancing a small molecule potassium secretagogue program, RDX013, for the potential treatment of hyperkalemia.</w:t>
      </w:r>
    </w:p>
    <w:p>
      <w:pPr>
        <w:spacing w:after="0" w:line="16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have also developed tenapanor for the treatment of people with irritable bowel syndrome with constipation, or IBS-C. In 2017, we completed the T3MPO program for this indication, including two Phase 3 studies, both of which achieved statistical significance for the primary endpoint, and a long-term safety extension study. Based on the results of the T3MPO clinical program in IBS-C, we submitted our first NDA to FDA in September 2018 for tenapanor for the treatment of IBS-C.</w:t>
      </w:r>
    </w:p>
    <w:p>
      <w:pPr>
        <w:spacing w:after="0" w:line="15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activities, including developing our clinical product candidate tenapanor and developing our proprietary drug discovery and design platform. We have not generated any revenues from product sales and have no products approved for commercialization.</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6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On May 25, 2018, we completed an underwritten public offering of 12,500,000 shares of our common stock at a price to the public of $4.00 per share, that were purchased by Jefferies LLC, or Jefferies, and Leerink Partners LLC, or Leerink, as representatives of several underwriters, or collectively the Underwriters from the Company at a price of $3.76 per share, and on June 25, 2018, we sold an additional 1,875,000 shares of our common stock at a price to the public of $4.00 per share, that were purchased by the Underwriters from the Company at a price of $3.76 per share, following the full exercise of the underwriters’ option to purchase additional shares of common stock. We received net proceeds from the offering of $53.8 million, after deducting the underwriting discounts, commissions and offering expenses.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We expect to incur operating losses for the foreseeable future as a result of our continued development of tenapanor and our preparations for the commercialization of tenapanor, including costs associated with completing the on-going Phase 3 development program for tenapanor for the treatment of hyperphosphatemia in patients with ESRD on dialysis, as well as the advancement of our research programs into the preclinical stage and the progression of our early stage research. To date, we have funded our operations from the sale and issuance of common stock, convertible preferred stock, funds from our former collaboration partnerships funds from license agreements, and funds from our Loan Agreement with Solar Capital Ltd. and Western Alliance Bank.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have not generated any revenue from product sales. Our past revenue performance is not necessarily indicative of results to be expected for the entire year ending December 31, 2018, or future operating periods. Our non-product revenue cannot always be predicted since it is dependent upon achievement of certain milestones. See “Note 2. Summary Of Significant Accounting Policies” for further detail.</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During the first quarter of 2018, we executed license agreements with Knight for the development, commercialization and distribution of tenapanor for hyperphosphatemia and IBS-C in Canada. Under the terms of the Knight license agreement, the Company received a nonrefundable payment of CAD 3 million, or U.S. $2.3 million, in up-front license fees, which was recorded as revenue when the contract was executed. The agreement also provides for development and commercialization milestone payments, which will be recorded as revenue when we achieve the underlying milestone.</w:t>
      </w:r>
    </w:p>
    <w:p>
      <w:pPr>
        <w:spacing w:after="0" w:line="159"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 xml:space="preserve">On January 1, 2018 we adopted the new standard for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on a modified retrospective method as an adjustment to the opening balance of retained earnings of the annual reporting period. On January 1, 2018, we recorded an increase in current assets of $5.0 million reflecting a future receivable related to the first milestone under our license with KHK, which we believe is not materially at risk, an increase in current liabilities of $1.0 million reflecting a future payable related to the corresponding payment to AstraZeneca, in accordance with our termination agreement with AstraZeneca and a related decrease in its accumulated deficit of approximately $4.0 million as the new standard permits revenue from certain milestones to be recognized earlier as the new standard contains different recognition criteria related to milestones than under the previous standard, ASC 605.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Cost of revenue currently represents payments due to AstraZeneca, who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 these expenses as cost of revenue when we recognize the revenue that generates our liability for these license payments. To date in aggregate, we have recognized $9.9 million of the $75.0 million, recorded as cost of revenue comprising (i) $6.0 million and $2.4 million related to the KHK Agreement and Fosun Agreement, respectively, recorded in 2017 (ii) $0.5 million related to the Knight Agreement recorded in the nine month period ended September 30, 2018 and (iii) $1.0 million related to the KHK Agreement associated with a future milestone which we believe is not materially at risk for which we recorded an increase in current liabilities in the nine month period ended September 30, 2018 reflecting the amount that will be paid to AstraZeneca when KHK achieves the milestone.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We recognize all research and development expenses as they are incurred to support the discovery, development and manufacturing of our product candidates. Research and development expenses consist of the following:</w:t>
      </w:r>
    </w:p>
    <w:p>
      <w:pPr>
        <w:spacing w:after="0" w:line="147" w:lineRule="exact"/>
        <w:rPr>
          <w:sz w:val="20"/>
          <w:szCs w:val="20"/>
          <w:color w:val="auto"/>
        </w:rPr>
      </w:pPr>
    </w:p>
    <w:p>
      <w:pPr>
        <w:jc w:val="both"/>
        <w:ind w:left="660" w:hanging="333"/>
        <w:spacing w:after="0" w:line="224"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external research and development expenses incurred under agreements with consultants, third-party CROs and investigative sites where a substantial portion of our clinical studies are conducted, and with contract manufacturing organizations where our clinical supplies are produced;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expenses associated with supplies and materials consumed in connection with our research operations;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other costs associated with regulatory, clinical and non-clinical development activities; and</w:t>
      </w:r>
    </w:p>
    <w:p>
      <w:pPr>
        <w:spacing w:after="0" w:line="184"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information technology expense and other supplies.</w:t>
      </w:r>
    </w:p>
    <w:p>
      <w:pPr>
        <w:spacing w:after="0" w:line="14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expect to continue to make substantial investments in research and development activities as we progress the development of tenapanor, as well as our other product candidates, advance our research programs into the preclinical stage and continue our early stage research. The process of conducting preclinical studies and clinical trials necessary to obtain regulatory approval is costly and time consuming. We may never succeed in achieving marketing approval for any of our product candidates, including tenapanor. Additionally, if marketing approval is received for tenapanor for the treatment of IBS-C, we may not be successful in securing one or more collaboration partners to commercialize tenapanor in the United States and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68"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General and administrative expenses consist primarily of salaries and related costs, including stock-based compensation. Other general and administrative expenses include facility related costs and professional fees for legal, accounting, investor relations and other consulting services.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We anticipate that our general and administrative expenses will increase in the future primarily because of (i) increased pre-commercial activities, personnel costs and professional fees for services to support the potential launch and commercialization of tenapanor for the treatment of hyperphosphatemia in ESRD patients on dialysis and (ii) expenses related to costs of operating as a public company primarily preparing for future integrated audits.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provision for income taxes was insignificant for the three and nine months ended September 30, 2018 and zero for the three and nine months ended September 30, 2017. We expect to generate a net loss for the year ending December 31, 2018. Our deferred tax assets continue to be fully offset by a valuation allowance.</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 Tax Cuts and Jobs Act ("TCJA") makes broad and complex changes to the U.S. tax code, including, but not limited to, reducing the U.S. federal corporate tax rate from 35% to 21%, effective January 1, 2018. The Company was able to determine a reasonable estimate of certain effects of the TCJA and has therefore recognized the provisional tax impacts related to the revaluation of deferred tax assets and liabilities. The Securities and Exchange Commission has provided accounting and reporting guidance that allows the Company to report provisional amounts within a measurement period of up to one year from the date of enactment due to the complexities inherent in adopting the TCJA. The ultimate impact may differ from provisional amounts, possibly materially, due to, among other things, additional analysis, changes in interpretations and assumptions the Company has made, additional regulatory guidance that may be issued, and actions the Company may take as a result of the TCJA. As of September 30, 2018, the Company still considers its accounting for the impacts of the new law to be provisional and will continue to assess the impact of the recently enacted tax law on its business and condensed consolidated financial statements over the next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Polices and Estimates</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upon our unaudited condensed consolidated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at the date of the financial statements, as well as the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consider certain accounting policies related to research and development expense, accruals and stock-based compensation to be critical policies. Other than the implementation of Topic 606, there have been no changes to our critical accounting policies since we filed our 2017 Form 10-K with the SEC on March 14, 2018. For a description of our critical accounting policies, please refer to our Form 10-K we filed with the SEC on March 14,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and nine months ended September 30, 2018 and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Revenue for the three and nine months ended September 30, 2018, as compared to the same period in the prior year, was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left="128"/>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ind w:right="34"/>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left="8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1220" w:type="dxa"/>
            <w:vAlign w:val="bottom"/>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77"/>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right"/>
              <w:ind w:right="294"/>
              <w:spacing w:after="0" w:line="129" w:lineRule="exact"/>
              <w:rPr>
                <w:sz w:val="20"/>
                <w:szCs w:val="20"/>
                <w:color w:val="auto"/>
              </w:rPr>
            </w:pPr>
            <w:r>
              <w:rPr>
                <w:rFonts w:ascii="Arial" w:cs="Arial" w:eastAsia="Arial" w:hAnsi="Arial"/>
                <w:sz w:val="14"/>
                <w:szCs w:val="14"/>
                <w:b w:val="1"/>
                <w:bCs w:val="1"/>
                <w:color w:val="auto"/>
                <w:w w:val="89"/>
              </w:rPr>
              <w:t>2017</w:t>
            </w:r>
          </w:p>
        </w:tc>
      </w:tr>
      <w:tr>
        <w:trPr>
          <w:trHeight w:val="169"/>
        </w:trPr>
        <w:tc>
          <w:tcPr>
            <w:tcW w:w="920" w:type="dxa"/>
            <w:vAlign w:val="bottom"/>
          </w:tcPr>
          <w:p>
            <w:pPr>
              <w:spacing w:after="0"/>
              <w:rPr>
                <w:sz w:val="14"/>
                <w:szCs w:val="14"/>
                <w:color w:val="auto"/>
              </w:rPr>
            </w:pPr>
          </w:p>
        </w:tc>
        <w:tc>
          <w:tcPr>
            <w:tcW w:w="246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Licensing revenue</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ind w:left="60"/>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2,320</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w:t>
            </w:r>
          </w:p>
        </w:tc>
      </w:tr>
      <w:tr>
        <w:trPr>
          <w:trHeight w:val="176"/>
        </w:trPr>
        <w:tc>
          <w:tcPr>
            <w:tcW w:w="920" w:type="dxa"/>
            <w:vAlign w:val="bottom"/>
          </w:tcPr>
          <w:p>
            <w:pPr>
              <w:spacing w:after="0"/>
              <w:rPr>
                <w:sz w:val="15"/>
                <w:szCs w:val="15"/>
                <w:color w:val="auto"/>
              </w:rPr>
            </w:pPr>
          </w:p>
        </w:tc>
        <w:tc>
          <w:tcPr>
            <w:tcW w:w="2460" w:type="dxa"/>
            <w:vAlign w:val="bottom"/>
            <w:gridSpan w:val="2"/>
          </w:tcPr>
          <w:p>
            <w:pPr>
              <w:spacing w:after="0" w:line="176" w:lineRule="exact"/>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w w:val="93"/>
              </w:rPr>
              <w:t>172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440"/>
              <w:spacing w:after="0" w:line="176" w:lineRule="exact"/>
              <w:rPr>
                <w:sz w:val="20"/>
                <w:szCs w:val="20"/>
                <w:color w:val="auto"/>
              </w:rPr>
            </w:pPr>
            <w:r>
              <w:rPr>
                <w:rFonts w:ascii="Arial" w:cs="Arial" w:eastAsia="Arial" w:hAnsi="Arial"/>
                <w:sz w:val="18"/>
                <w:szCs w:val="18"/>
                <w:color w:val="auto"/>
              </w:rPr>
              <w:t>—</w:t>
            </w:r>
          </w:p>
        </w:tc>
      </w:tr>
      <w:tr>
        <w:trPr>
          <w:trHeight w:val="169"/>
        </w:trPr>
        <w:tc>
          <w:tcPr>
            <w:tcW w:w="920" w:type="dxa"/>
            <w:vAlign w:val="bottom"/>
          </w:tcPr>
          <w:p>
            <w:pPr>
              <w:spacing w:after="0"/>
              <w:rPr>
                <w:sz w:val="14"/>
                <w:szCs w:val="14"/>
                <w:color w:val="auto"/>
              </w:rPr>
            </w:pPr>
          </w:p>
        </w:tc>
        <w:tc>
          <w:tcPr>
            <w:tcW w:w="2460" w:type="dxa"/>
            <w:vAlign w:val="bottom"/>
            <w:tcBorders>
              <w:top w:val="single" w:sz="8" w:color="CCEEFF"/>
            </w:tcBorders>
            <w:gridSpan w:val="2"/>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172</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60"/>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2,522</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w:t>
            </w:r>
          </w:p>
        </w:tc>
      </w:tr>
      <w:tr>
        <w:trPr>
          <w:trHeight w:val="176"/>
        </w:trPr>
        <w:tc>
          <w:tcPr>
            <w:tcW w:w="920" w:type="dxa"/>
            <w:vAlign w:val="bottom"/>
          </w:tcPr>
          <w:p>
            <w:pPr>
              <w:spacing w:after="0"/>
              <w:rPr>
                <w:sz w:val="15"/>
                <w:szCs w:val="15"/>
                <w:color w:val="auto"/>
              </w:rPr>
            </w:pPr>
          </w:p>
        </w:tc>
        <w:tc>
          <w:tcPr>
            <w:tcW w:w="2460" w:type="dxa"/>
            <w:vAlign w:val="bottom"/>
            <w:gridSpan w:val="2"/>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w w:val="93"/>
              </w:rPr>
              <w:t>172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2,522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Percent change from prior year</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Revenue was $0.2 million for the three months ended September 30, 2018, an increase of $0.2 million, compared to zero for the three months ended September 30, 2017. The increase in revenue of $0.2 million was related to the manufacturing supply of tenapanor and other materials to KHK for KHK’s product development and clinical trials in Japan in accordance with our agreement with KHK.</w:t>
      </w:r>
    </w:p>
    <w:p>
      <w:pPr>
        <w:spacing w:after="0" w:line="12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Revenue was $2.5 million for the nine months ended September 30, 2018, an increase of $2.5 million, compared to zero for the nine months ended September 30, 2017. The increase in revenue was primarily from the licensing revenue of $2.3 million related to the license fee payment we received from Knight and $0.2 million related to the manufacturing supply of tenapanor and other materials to KHK.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260" w:firstLine="324"/>
        <w:spacing w:after="0" w:line="235" w:lineRule="auto"/>
        <w:rPr>
          <w:sz w:val="20"/>
          <w:szCs w:val="20"/>
          <w:color w:val="auto"/>
        </w:rPr>
      </w:pPr>
      <w:r>
        <w:rPr>
          <w:rFonts w:ascii="Arial" w:cs="Arial" w:eastAsia="Arial" w:hAnsi="Arial"/>
          <w:sz w:val="18"/>
          <w:szCs w:val="18"/>
          <w:color w:val="auto"/>
        </w:rPr>
        <w:t>Cost of revenue for the three and nine months ended September 30, 2018, as compared to the same period in the prior year, was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center"/>
              <w:ind w:left="222"/>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99"/>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38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Cost of revenue</w:t>
            </w:r>
          </w:p>
        </w:tc>
        <w:tc>
          <w:tcPr>
            <w:tcW w:w="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482"/>
              <w:spacing w:after="0" w:line="170"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30"/>
              <w:spacing w:after="0" w:line="170"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466</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380" w:type="dxa"/>
            <w:vAlign w:val="bottom"/>
            <w:gridSpan w:val="2"/>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466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Percent change from prior year</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4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Cost of revenue was negligible for the three months ended September 30, 2018, a negligible increase, compared to zero for the three months ended September 30, 2017.</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Cost of revenue was $0.5 million for the nine months ended September 30, 2018, an increase of $0.5 million, compared to zero for the nine months ended September 30, 2017. The increase in cost of revenue of $0.5 million was due to the license fees paid to AstraZeneca pursuant to the AstraZeneca Termination Agreement, corresponding to the revenue realized.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Research and development expenses for the three and nine months ended September 30, 2018, as compared to the same period in the prior year, were as follows (in thousands):</w:t>
      </w:r>
    </w:p>
    <w:p>
      <w:pPr>
        <w:spacing w:after="0" w:line="15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2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7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9"/>
              <w:spacing w:after="0" w:line="129"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1"/>
                <w:szCs w:val="11"/>
                <w:color w:val="auto"/>
              </w:rPr>
            </w:pPr>
          </w:p>
        </w:tc>
      </w:tr>
      <w:tr>
        <w:trPr>
          <w:trHeight w:val="169"/>
        </w:trPr>
        <w:tc>
          <w:tcPr>
            <w:tcW w:w="2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17,941</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15,365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47,337</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58,325</w:t>
            </w:r>
          </w:p>
        </w:tc>
        <w:tc>
          <w:tcPr>
            <w:tcW w:w="60" w:type="dxa"/>
            <w:vAlign w:val="bottom"/>
            <w:shd w:val="clear" w:color="auto" w:fill="CCEEFF"/>
          </w:tcPr>
          <w:p>
            <w:pPr>
              <w:spacing w:after="0"/>
              <w:rPr>
                <w:sz w:val="14"/>
                <w:szCs w:val="14"/>
                <w:color w:val="auto"/>
              </w:rPr>
            </w:pPr>
          </w:p>
        </w:tc>
      </w:tr>
      <w:tr>
        <w:trPr>
          <w:trHeight w:val="176"/>
        </w:trPr>
        <w:tc>
          <w:tcPr>
            <w:tcW w:w="270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2,576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(10,988)</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17 %</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Research and development expenses were $17.9 million for the three months ended September 30, 2018, an increase of $2.5 million, or 17%, compared to $15.4 million for the three months ended September 30, 2017. The increase consisted of a $3.5 million increase in our external program costs partially offset by a $1.0 million decrease in our internal program costs.</w:t>
      </w:r>
    </w:p>
    <w:p>
      <w:pPr>
        <w:spacing w:after="0" w:line="147"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increase in our external program costs of $3.5 million included a $5.7 million increase in expense primarily related to our second tenapanor hyperphosphatemia Phase 3 study that was partially offset by a $2.0 million decrease related to discontinuation of the RDX7675 program and a $0.2 million decrease related to the reduction of activities associated with the RDX8940 program.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decrease in our internal costs of $1.0 million was primarily due to a decrease in personnel costs, including stock-based compensation costs as a result of a reduction in force during the third quarter of 2017.</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Research and development expenses were $47.3 million for the nine months ended September 30, 2018, a decrease of $11.0 million, or 19%, compared to $58.3 million for the nine months ended September 30, 2017. The decrease consisted of a $6.0 million decrease in our external program costs and a $5.0 million decrease in our internal program costs.</w:t>
      </w:r>
    </w:p>
    <w:p>
      <w:pPr>
        <w:spacing w:after="0" w:line="14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The decrease in our external program costs of $6.0 million included a $7.6 million decrease related to discontinuation of the RDX7675 program, a $1.8 million decrease related to the reduction of activities associated with the RDX8940 program partially offset by a net $3.4 million increase in expense primarily related to the start of our second tenapanor hyperphosphatemia Phase 3 study and diminishing expense for clinical development activities related to the completion of our tenapanor IBS-C Phase 3 clinical program as well as our first tenapanor hyperphosphatemia Phase 3 clinical trial.</w:t>
      </w:r>
    </w:p>
    <w:p>
      <w:pPr>
        <w:spacing w:after="0" w:line="15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decrease in our internal costs of $5.0 million was primarily due to a decrease in personnel costs, including stock-based compensation costs, as a result of a reduction in force during the third quarter of 2017, and a related decrease in research and development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General and administrative expenses for the three and nine months ended September 30, 2018, as compared to the same period in the prior year, were as follows (in thousands):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center"/>
              <w:ind w:right="13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r>
      <w:tr>
        <w:trPr>
          <w:trHeight w:val="129"/>
        </w:trPr>
        <w:tc>
          <w:tcPr>
            <w:tcW w:w="29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1"/>
                <w:szCs w:val="11"/>
                <w:color w:val="auto"/>
              </w:rPr>
            </w:pPr>
          </w:p>
        </w:tc>
      </w:tr>
      <w:tr>
        <w:trPr>
          <w:trHeight w:val="169"/>
        </w:trPr>
        <w:tc>
          <w:tcPr>
            <w:tcW w:w="2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5,961</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5,860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18,290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w w:val="98"/>
              </w:rPr>
              <w:t>17,752</w:t>
            </w:r>
          </w:p>
        </w:tc>
        <w:tc>
          <w:tcPr>
            <w:tcW w:w="60" w:type="dxa"/>
            <w:vAlign w:val="bottom"/>
            <w:shd w:val="clear" w:color="auto" w:fill="CCEEFF"/>
          </w:tcPr>
          <w:p>
            <w:pPr>
              <w:spacing w:after="0"/>
              <w:rPr>
                <w:sz w:val="14"/>
                <w:szCs w:val="14"/>
                <w:color w:val="auto"/>
              </w:rPr>
            </w:pPr>
          </w:p>
        </w:tc>
      </w:tr>
      <w:tr>
        <w:trPr>
          <w:trHeight w:val="176"/>
        </w:trPr>
        <w:tc>
          <w:tcPr>
            <w:tcW w:w="290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538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2 %</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3 %</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General and administrative expenses were $6.0 million for the three months ended September 30, 2018, an increase of $0.1 million, or 2%, compared to $5.9 million for the three months ended September 30, 2017. The increase was primarily due to an increase in professional services partially offset by a reduction in personnel costs due to reduction in force during the third quarter of 2017.</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General and administrative expenses were $18.3 million for the nine months ended September 30, 2018, an increase of $0.5 million, or 3%, compared to $17.8 million for the nine months ended September 30, 2017. The increase was primarily due to an increase in professional services and stock-based compensation expense, partially offset by a reduction in personnel costs due to reduction in force during the third quarter of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displays a summary of our cash, cash equivalents and short-term investments as of September 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2018 and December 31, 2017 (in thousands):</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69"/>
        </w:trPr>
        <w:tc>
          <w:tcPr>
            <w:tcW w:w="5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75,015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75,383</w:t>
            </w:r>
          </w:p>
        </w:tc>
        <w:tc>
          <w:tcPr>
            <w:tcW w:w="60" w:type="dxa"/>
            <w:vAlign w:val="bottom"/>
            <w:shd w:val="clear" w:color="auto" w:fill="CCEEFF"/>
          </w:tcPr>
          <w:p>
            <w:pPr>
              <w:spacing w:after="0"/>
              <w:rPr>
                <w:sz w:val="14"/>
                <w:szCs w:val="14"/>
                <w:color w:val="auto"/>
              </w:rPr>
            </w:pPr>
          </w:p>
        </w:tc>
      </w:tr>
      <w:tr>
        <w:trPr>
          <w:trHeight w:val="176"/>
        </w:trPr>
        <w:tc>
          <w:tcPr>
            <w:tcW w:w="5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111,391</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58,593</w:t>
            </w:r>
          </w:p>
        </w:tc>
        <w:tc>
          <w:tcPr>
            <w:tcW w:w="60" w:type="dxa"/>
            <w:vAlign w:val="bottom"/>
            <w:tcBorders>
              <w:bottom w:val="single" w:sz="8" w:color="CCEEFF"/>
            </w:tcBorders>
          </w:tcPr>
          <w:p>
            <w:pPr>
              <w:spacing w:after="0"/>
              <w:rPr>
                <w:sz w:val="15"/>
                <w:szCs w:val="15"/>
                <w:color w:val="auto"/>
              </w:rPr>
            </w:pPr>
          </w:p>
        </w:tc>
      </w:tr>
      <w:tr>
        <w:trPr>
          <w:trHeight w:val="176"/>
        </w:trPr>
        <w:tc>
          <w:tcPr>
            <w:tcW w:w="5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liquid funds</w:t>
            </w:r>
          </w:p>
        </w:tc>
        <w:tc>
          <w:tcPr>
            <w:tcW w:w="200" w:type="dxa"/>
            <w:vAlign w:val="bottom"/>
            <w:tcBorders>
              <w:bottom w:val="single" w:sz="8" w:color="auto"/>
            </w:tcBorders>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186,406</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133,976</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On May 25, 2018, we completed an underwritten public offering of 12,500,000 shares of our common stock at a price to the public of $4.00 per share, that were purchased by the Underwriters from the Company at a price of $3.76 per share, and on June 25, 2018, we sold an additional 1,875,000 shares of our common stock at a price to the public of $4.00 per share, that were purchased by the Underwriters from the Company at a price of $3.76 per share, following the full exercise of the underwriters’ option to purchase an additional shares of common stock. We received net proceeds from the offering of $53.8 million, after deducting the underwriting discounts, commissions and offering expenses.</w:t>
      </w:r>
    </w:p>
    <w:p>
      <w:pPr>
        <w:spacing w:after="0" w:line="16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On August 9, 2018, we filed a prospectus supplement with the SEC pursuant to our previously filed shelf registration statement on Form S-3 (File No. 333-217441). The prospectus covers the offering, issuance and sale of up to $50.0 million of shares of common stock from time to time in “at the market” offerings pursuant to a Sales Agreement entered into with Leerink on August 9, 2018. As of September 30, 2018, no shares have been offered or issued or sold against the Sales Agreement with Leerink Partners LLC.</w:t>
      </w:r>
    </w:p>
    <w:p>
      <w:pPr>
        <w:spacing w:after="0" w:line="16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Our primary sources of cash have been from the sale and issuance of common stock, convertible preferred stock, funds from our former collaboration partnerships, funds from license agreements, and funds from our Loan Agreement with Solar Capital Ltd. and Western Alliance Bank. 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61"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believe that our existing capital resources as of September 30, 2018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be able to secure additional collaboration partnerships with third-parties to participate in the development and commercialization of our potential products, our future funding requirements will depend on many factors, including the following:</w:t>
      </w:r>
    </w:p>
    <w:p>
      <w:pPr>
        <w:spacing w:after="0" w:line="163" w:lineRule="exact"/>
        <w:rPr>
          <w:sz w:val="20"/>
          <w:szCs w:val="20"/>
          <w:color w:val="auto"/>
        </w:rPr>
      </w:pPr>
    </w:p>
    <w:p>
      <w:pPr>
        <w:jc w:val="both"/>
        <w:ind w:left="660" w:hanging="333"/>
        <w:spacing w:after="0" w:line="232" w:lineRule="auto"/>
        <w:tabs>
          <w:tab w:leader="none" w:pos="660"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the progress, timing, scope, results and costs of our clinical trial program evaluating tenapanor for the treatment of hyperphosphatemia in ESRD patients on dialysis, and if our clinical program is successful, the submission of an NDA with the FDA to request marketing authorization for tenapanor for the treatment of hyperphosphatemia in ESRD patients on dialysis, as well as our decision whether or not to pursue other indications for tenapanor;</w:t>
      </w:r>
    </w:p>
    <w:p>
      <w:pPr>
        <w:spacing w:after="0" w:line="162" w:lineRule="exact"/>
        <w:rPr>
          <w:rFonts w:ascii="Arial" w:cs="Arial" w:eastAsia="Arial" w:hAnsi="Arial"/>
          <w:sz w:val="17"/>
          <w:szCs w:val="17"/>
          <w:color w:val="231F20"/>
        </w:rPr>
      </w:pPr>
    </w:p>
    <w:p>
      <w:pPr>
        <w:ind w:left="660" w:hanging="333"/>
        <w:spacing w:after="0" w:line="289" w:lineRule="auto"/>
        <w:tabs>
          <w:tab w:leader="none" w:pos="660" w:val="left"/>
        </w:tabs>
        <w:numPr>
          <w:ilvl w:val="0"/>
          <w:numId w:val="11"/>
        </w:numPr>
        <w:rPr>
          <w:rFonts w:ascii="Arial" w:cs="Arial" w:eastAsia="Arial" w:hAnsi="Arial"/>
          <w:sz w:val="16"/>
          <w:szCs w:val="16"/>
          <w:color w:val="231F20"/>
        </w:rPr>
      </w:pPr>
      <w:r>
        <w:rPr>
          <w:rFonts w:ascii="Arial" w:cs="Arial" w:eastAsia="Arial" w:hAnsi="Arial"/>
          <w:sz w:val="16"/>
          <w:szCs w:val="16"/>
          <w:color w:val="auto"/>
        </w:rPr>
        <w:t>whether or not our NDA for tenapanor for the treatment of IBS-C is accepted for filing by the FDA, and if accepted, whether or not we receive approval from the FDA to market tenapanor for the treatment of patients with IBS-C;</w:t>
      </w:r>
    </w:p>
    <w:p>
      <w:pPr>
        <w:spacing w:after="0" w:line="124"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alone or with one or more collaboration partners;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89" w:lineRule="auto"/>
        <w:tabs>
          <w:tab w:leader="none" w:pos="660" w:val="left"/>
        </w:tabs>
        <w:numPr>
          <w:ilvl w:val="0"/>
          <w:numId w:val="12"/>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Silicon Valley Bank and Western Alliance Bank during May 2018.</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30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29"/>
        </w:trPr>
        <w:tc>
          <w:tcPr>
            <w:tcW w:w="49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1"/>
                <w:szCs w:val="1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used in operating activities</w:t>
            </w:r>
          </w:p>
        </w:tc>
        <w:tc>
          <w:tcPr>
            <w:tcW w:w="220" w:type="dxa"/>
            <w:vAlign w:val="bottom"/>
            <w:shd w:val="clear" w:color="auto" w:fill="CCEEFF"/>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(51,838)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(69,888)</w:t>
            </w:r>
          </w:p>
        </w:tc>
        <w:tc>
          <w:tcPr>
            <w:tcW w:w="60" w:type="dxa"/>
            <w:vAlign w:val="bottom"/>
            <w:shd w:val="clear" w:color="auto" w:fill="CCEEFF"/>
          </w:tcPr>
          <w:p>
            <w:pPr>
              <w:spacing w:after="0"/>
              <w:rPr>
                <w:sz w:val="14"/>
                <w:szCs w:val="14"/>
                <w:color w:val="auto"/>
              </w:rPr>
            </w:pP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8"/>
                <w:szCs w:val="18"/>
                <w:color w:val="auto"/>
              </w:rPr>
              <w:t>Cash (used in) provided by investing activities</w:t>
            </w: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(52,084)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54,069</w:t>
            </w:r>
          </w:p>
        </w:tc>
        <w:tc>
          <w:tcPr>
            <w:tcW w:w="60" w:type="dxa"/>
            <w:vAlign w:val="bottom"/>
          </w:tcPr>
          <w:p>
            <w:pPr>
              <w:spacing w:after="0"/>
              <w:rPr>
                <w:sz w:val="15"/>
                <w:szCs w:val="15"/>
                <w:color w:val="auto"/>
              </w:rPr>
            </w:pP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provided by financing activities</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103,554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675</w:t>
            </w:r>
          </w:p>
        </w:tc>
        <w:tc>
          <w:tcPr>
            <w:tcW w:w="60" w:type="dxa"/>
            <w:vAlign w:val="bottom"/>
            <w:shd w:val="clear" w:color="auto" w:fill="CCEEFF"/>
          </w:tcPr>
          <w:p>
            <w:pPr>
              <w:spacing w:after="0"/>
              <w:rPr>
                <w:sz w:val="15"/>
                <w:szCs w:val="15"/>
                <w:color w:val="auto"/>
              </w:rPr>
            </w:pPr>
          </w:p>
        </w:tc>
      </w:tr>
      <w:tr>
        <w:trPr>
          <w:trHeight w:val="176"/>
        </w:trPr>
        <w:tc>
          <w:tcPr>
            <w:tcW w:w="4980" w:type="dxa"/>
            <w:vAlign w:val="bottom"/>
          </w:tcPr>
          <w:p>
            <w:pPr>
              <w:spacing w:after="0" w:line="170" w:lineRule="exact"/>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(368)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(15,144)</w:t>
            </w:r>
          </w:p>
        </w:tc>
        <w:tc>
          <w:tcPr>
            <w:tcW w:w="60" w:type="dxa"/>
            <w:vAlign w:val="bottom"/>
          </w:tcPr>
          <w:p>
            <w:pPr>
              <w:spacing w:after="0"/>
              <w:rPr>
                <w:sz w:val="15"/>
                <w:szCs w:val="15"/>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89"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Net cash used in operating activities during the nine months ended September 30, 2018, was approximately $51.8 million. The net loss of $63.4 million was adjusted for non-cash charges of $1.8 million related to depreciation amortization and non-cash interest expense and $7.0 million for stock-based compensation, and an increase to cash of $2.8 million related to other working capital items associated with changes in our net operating assets and liabilities primarily related to a decrease of receivables related to the Fosun Agreement offset by working capital related to clinical development and manufacturing of tenapanor.</w:t>
      </w:r>
    </w:p>
    <w:p>
      <w:pPr>
        <w:spacing w:after="0" w:line="162"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Net cash used in operating activities during the nine months ended September 30, 2017 was approximately $69.9 million. The net loss of $74.4 million was adjusted for non-cash charges of $2.5 million for depreciation and amortization and $7.0 million for stock-based compensation, and a decrease to cash of $5.0 million related to other working capital items associated with changes in our net operating assets and liabilities, primarily related to a decrease in prepaid expenses to vendors for clinical development and manufacturing activities, and decrease of accounts payable and accrued liabilities primarily due to expenses incurred for the activities for tenapanor and RDX7675.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8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Net cash used in investing activities was $52.1 million for the nine months ended September 30, 2018, primarily due to purchases of investments of $148.4 million offset by maturities of investments and redemptions of $96.3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Net cash provided by investing activities was $54.1 million for the nine months ended September 30, 2017 and was primarily due to maturities and sales of investments of $126.8 million. This was offset by purchases of investments of $70.4 million and acquisition of property and equipment of $2.3 million related to the expansion of our laboratory and related equipment.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8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Net cash provided by financing activities for the nine months ended September 30, 2018, was $103.6 million, primarily due to net proceeds of $53.8 million, after deducting the underwriting discounts and commissions and offering expenses from an underwritten public offering of our common stock in May 2018, net proceeds of $49.3 million, after deducting the closing fee, legal expenses and issuance cost from the term loan provided by Solar Capital Ltd. and Western Alliance Bank, and net proceeds of $0.5 million from issuance of common stock under the employee stock purchase plan, or ESPP.</w:t>
      </w:r>
    </w:p>
    <w:p>
      <w:pPr>
        <w:spacing w:after="0" w:line="15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Net cash provided by financing activities for the nine months ended September 30, 2017 was $0.7 million and was due to proceeds from issuance of common stock under ESPP.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324"/>
        <w:spacing w:after="0" w:line="194" w:lineRule="exact"/>
        <w:rPr>
          <w:sz w:val="20"/>
          <w:szCs w:val="20"/>
          <w:color w:val="auto"/>
        </w:rPr>
      </w:pPr>
      <w:r>
        <w:rPr>
          <w:rFonts w:ascii="Arial" w:cs="Arial" w:eastAsia="Arial" w:hAnsi="Arial"/>
          <w:sz w:val="18"/>
          <w:szCs w:val="18"/>
          <w:color w:val="auto"/>
        </w:rPr>
        <w:t>Refer to “Note 2. Summary Of Significant Accounting Policies” in the notes to our unaudited interim condensed consolidated financial statements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a discussion of recent accounting pronouncements.</w:t>
      </w:r>
    </w:p>
    <w:p>
      <w:pPr>
        <w:spacing w:after="0" w:line="1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The majority of our transactions occur in U.S. dollars. However, we do have certain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preclinical and clinical activities. During the three months ended September 30, 2018, we entered into forward currency exchange contract denominated in Swiss francs, that are not designated as cash flow hedges, to secure a foreign currency exchange rate when a contract is executed involving payment in a foreign currency in order to minimize cash flow exposure to fluctuating exchange rates.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counterparty to these forward foreign currency exchange contracts is a creditworthy commercial bank, which minimizes the risk of counterparty nonperformance.</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As of September 30, 2018, we had open forward foreign currency exchange contracts with notional amounts of $6.2 million. A hypothetical 10% strengthening in foreign currency exchange rates compared with the U.S. dollar relative to exchange rates at September 30, 2018 would have resulted in a reduction in the value of the Swiss francs in U.S. Dollars of approximately $0.6 million which would negatively affect earnings during the remaining life of the contracts.</w:t>
      </w:r>
    </w:p>
    <w:p>
      <w:pPr>
        <w:spacing w:after="0" w:line="16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are subject to interest rate fluctuation exposure through our borrowings under the Loan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our investment in money market accounts which bear a variable interest rate. Borrowings under the Loan Agreement bear interest at a rate equal to one-month LIBOR plus 7.45% per annum. A hypothetical increase in one-month LIBOR of 100 basis points above the current one-month LIBOR rates would have increased our interest expense by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approximately $0.2 million as of September 30, 2018. We had $49.0 million aggregate principal amount of loan outstanding as of September 30, 2018.</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We are subject to interest rate fluctuation exposure through our investments,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firstLine="324"/>
        <w:spacing w:after="0" w:line="182" w:lineRule="exact"/>
        <w:rPr>
          <w:sz w:val="20"/>
          <w:szCs w:val="20"/>
          <w:color w:val="auto"/>
        </w:rPr>
      </w:pPr>
      <w:r>
        <w:rPr>
          <w:rFonts w:ascii="Arial" w:cs="Arial" w:eastAsia="Arial" w:hAnsi="Arial"/>
          <w:sz w:val="18"/>
          <w:szCs w:val="18"/>
          <w:color w:val="auto"/>
        </w:rPr>
        <w:t>As required by Rule 13a</w:t>
      </w:r>
      <w:r>
        <w:rPr>
          <w:rFonts w:ascii="MS PGothic" w:cs="MS PGothic" w:eastAsia="MS PGothic" w:hAnsi="MS PGothic"/>
          <w:sz w:val="18"/>
          <w:szCs w:val="18"/>
          <w:color w:val="auto"/>
        </w:rPr>
        <w:t>‑</w:t>
      </w:r>
      <w:r>
        <w:rPr>
          <w:rFonts w:ascii="Arial" w:cs="Arial" w:eastAsia="Arial" w:hAnsi="Arial"/>
          <w:sz w:val="18"/>
          <w:szCs w:val="18"/>
          <w:color w:val="auto"/>
        </w:rPr>
        <w:t>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Exchange Act) as of September 30, 2018.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September 30, 2018, our disclosure controls and procedures were effective at a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There were no changes in our internal control over financial reporting during the quarter ended September 30, 2018,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September 30, 2018, there is no litigation pending that would reasonably be expected to have a material adverse effect on our results of operations and financial condition.</w:t>
      </w: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firstLine="324"/>
        <w:spacing w:after="0" w:line="185"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September 30, 2018, we had an accumulated deficit of $337.7 million.</w:t>
      </w:r>
    </w:p>
    <w:p>
      <w:pPr>
        <w:spacing w:after="0" w:line="163"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We expect that our operating losses will substantially increase for the foreseeable future as we prepare for the potential commercialization of, and incur manufacturing and development costs for, tenapanor, including costs associated with completing the ongoing Phase 3 development of tenapanor for the treatment of hyperphosphatemia in ESRD patients on dialysis, and if such Phase 3 development is successful, preparing the new drug application, or NDA, for submission to the U.S. Food and Drug Administration, or FDA, to request marketing authorization for tenapanor for the treatment of hyperphosphatemia in ESRD patients on dialysis, and continuing our discovery and research activities.</w:t>
      </w:r>
    </w:p>
    <w:p>
      <w:pPr>
        <w:spacing w:after="0" w:line="16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63"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85"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tenapanor for one or more indications, either on our own, or with one or more collaboration partners. We do not anticipate generating revenue from product sales for the foreseeable future. Our ability to generate future revenue from product sales or pursuant to milestone payments depends heavily on many factors, including but not limited to:</w:t>
      </w:r>
    </w:p>
    <w:p>
      <w:pPr>
        <w:spacing w:after="0" w:line="165"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successful completion of nonclinical and clinical development of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7"/>
          <w:szCs w:val="17"/>
          <w:color w:val="231F20"/>
        </w:rPr>
      </w:pPr>
      <w:r>
        <w:rPr>
          <w:rFonts w:ascii="Arial" w:cs="Arial" w:eastAsia="Arial" w:hAnsi="Arial"/>
          <w:sz w:val="17"/>
          <w:szCs w:val="17"/>
          <w:color w:val="auto"/>
        </w:rPr>
        <w:t>obtaining regulatory approvals for tenapanor, either on our own, or with one or more collaboration partners;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to identify a collaboration partnership and negotiate acceptable terms for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on our own, or with one or more collaboration partners;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if approved;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obtaining market acceptance of tenapanor, if approved, as a viable treatment option for the indications for which it is approved;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identifying, assessing, acquiring, in-licensing and/or developing new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negotiating favorable terms in any collaboration partnership, licensing or other arrangements into which we may enter;</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18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In cases where we are successful in obtaining regulatory approvals to market tenapanor for one or more indications,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11. COLLABORATION AND LICENSING AGREEMENTS for details on our obligations to AstraZeneca. If the number of patients suitable for tenapanor is not as significant as we estimate, the indications approved by regulatory authorities are narrower than we expect, coverage and reimbursement for tenapanor is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continue our operations. A decline in the value of our common stock could cause our stockholders to lose all or part of their investment.</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0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On May 16, 2018, we entered into a loan and security agreement with Silicon Valley Bank and Western Alliance Bank, or collectively the Lenders, pursuant to which the Lenders agreed to provide us a $50.0 million term loan facility with a maturity date of November 1, 2022.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27"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 xml:space="preserve">Additionally, we may be required to repay the outstanding indebtedness under the loan facility if an event of default occurs under the loan and security agreement.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determines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4"/>
          <w:szCs w:val="14"/>
          <w:color w:val="auto"/>
        </w:rPr>
        <w:t>the</w:t>
      </w:r>
      <w:r>
        <w:rPr>
          <w:rFonts w:ascii="Arial" w:cs="Arial" w:eastAsia="Arial" w:hAnsi="Arial"/>
          <w:sz w:val="16"/>
          <w:szCs w:val="16"/>
          <w:color w:val="auto"/>
        </w:rPr>
        <w:t xml:space="preserve"> Lenders to accelerate the maturity of such indebtedness or that could have a material adverse change on us. We</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7"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completing the clinical program for tenapanor for the treatment of hyperphosphatemia in ESRD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64" w:lineRule="exact"/>
        <w:rPr>
          <w:sz w:val="20"/>
          <w:szCs w:val="20"/>
          <w:color w:val="auto"/>
        </w:rPr>
      </w:pPr>
    </w:p>
    <w:p>
      <w:pPr>
        <w:jc w:val="both"/>
        <w:ind w:left="660" w:hanging="333"/>
        <w:spacing w:after="0" w:line="232" w:lineRule="auto"/>
        <w:tabs>
          <w:tab w:leader="none" w:pos="66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the progress, timing, scope, results and costs of our clinical trial program evaluating tenapanor for the treatment of hyperphosphatemia in ESRD patients on dialysis, and if our clinical program is successful, the submission of an NDA with the FDA to request marketing authorization for tenapanor for the treatment of hyperphosphatemia in ESRD patients on dialysis, as well as our decision whether or not to pursue other indications for tenapanor;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89" w:lineRule="auto"/>
        <w:tabs>
          <w:tab w:leader="none" w:pos="660" w:val="left"/>
        </w:tabs>
        <w:numPr>
          <w:ilvl w:val="0"/>
          <w:numId w:val="15"/>
        </w:numPr>
        <w:rPr>
          <w:rFonts w:ascii="Arial" w:cs="Arial" w:eastAsia="Arial" w:hAnsi="Arial"/>
          <w:sz w:val="16"/>
          <w:szCs w:val="16"/>
          <w:color w:val="231F20"/>
        </w:rPr>
      </w:pPr>
      <w:r>
        <w:rPr>
          <w:rFonts w:ascii="Arial" w:cs="Arial" w:eastAsia="Arial" w:hAnsi="Arial"/>
          <w:sz w:val="16"/>
          <w:szCs w:val="16"/>
          <w:color w:val="auto"/>
        </w:rPr>
        <w:t>whether or not our NDA for tenapanor for the treatment of IBS-C is accepted for filing by the FDA, and if accepted, whether or not we receive approval from the FDA to market tenapanor for the treatment of patients with IBS-C;</w:t>
      </w:r>
    </w:p>
    <w:p>
      <w:pPr>
        <w:spacing w:after="0" w:line="124"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alone or with one or more collaboration partners;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5"/>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Silicon Valley Bank and Western Alliance Bank during May 2018.</w:t>
      </w:r>
    </w:p>
    <w:p>
      <w:pPr>
        <w:spacing w:after="0" w:line="162"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tenapanor, which may not be successful in further clinical trials, receive regulatory approval or be successfully commercialized.</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63" w:lineRule="exact"/>
        <w:rPr>
          <w:sz w:val="20"/>
          <w:szCs w:val="20"/>
          <w:color w:val="auto"/>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61"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demonstrated, and to manufacture supplies of tenapanor and to develop, validate and maintain commercially viable manufacturing processes that are compliant with cGMP, requirements;</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whether the FDA or foreign regulatory authorities require additional nonclinical and/or clinical studies, which could delay the commercialization of tenapanor;</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whether the FDA or foreign regulatory authorities require us to conduct clinical trials in addition to those anticipated prior to approval to market tenapanor;</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manage the complex pricing and reimbursement negotiations associated with marketing the same product at different doses for separate indications, if tenapanor is approved for marketing and sale by the FDA or foreign regulatory authorities for both IBS-C and hyperphosphatemia in dialysis patients;</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7"/>
          <w:szCs w:val="17"/>
          <w:color w:val="231F20"/>
        </w:rPr>
      </w:pPr>
      <w:r>
        <w:rPr>
          <w:rFonts w:ascii="Arial" w:cs="Arial" w:eastAsia="Arial" w:hAnsi="Arial"/>
          <w:sz w:val="17"/>
          <w:szCs w:val="17"/>
          <w:color w:val="auto"/>
        </w:rPr>
        <w:t>obtaining and sustaining an adequate level of coverage and reimbursement for tenapanor by third-party payors;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18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As tenapanor is a first-in-class drug, there is a higher likelihood that approval may not be attained as compared to a class of drugs with approved products. While tenapanor met the primary endpoint in two Phase 3 clinical studies evaluating tenapanor for the treatment of patients with IBS-C, there can be no assurance that our NDA that we have submitted for this indication will be accepted for filing by FDA or that we will receive marketing authorization from FDA. Although tenapanor met the primary endpoint in the first Phase 3 clinical trial for the treatment of hyperphosphatemia in ESRD patients on dialysis, there can be no assurances that the second Phase 3 trial of tenapanor in this indication will achieve the primary endpoint, or that tenapanor will receive regulatory approval for this indication.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and we may encounter substantial delays in our Phase 3 clinical study of tenapanor for the treatment of hyperphosphatemia. Furthermore, results of earlier studies and trials may not be predictive of future trial results.</w:t>
      </w:r>
    </w:p>
    <w:p>
      <w:pPr>
        <w:spacing w:after="0" w:line="147"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Although tenapanor met the primary endpoint in the first Phase 3 clinical trial for the treatment of hyperphosphatemia in ESRD patients on dialysis, there can be no assurances that the second Phase 3 trial results of tenapanor in that indication will show the desired safety and efficacy.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Phase 3 program for tenapanor for the treatment of hyperphosphatemia is completed, and despite the completion of our Phase 3 program for tenapanor for IBS-C, the results for one or both indications may not be sufficient to obtain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67"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We do not know whether our second Phase 3 clinical trial for tenapanor for the treatment of hyperphosphatemia will enroll an adequate number of patients on time or be completed on schedule, if at all. Clinical trials can be delayed or terminated for a variety of reasons, including delay or failure to:</w:t>
      </w:r>
    </w:p>
    <w:p>
      <w:pPr>
        <w:spacing w:after="0" w:line="163" w:lineRule="exact"/>
        <w:rPr>
          <w:sz w:val="20"/>
          <w:szCs w:val="20"/>
          <w:color w:val="auto"/>
        </w:rPr>
      </w:pPr>
    </w:p>
    <w:p>
      <w:pPr>
        <w:jc w:val="both"/>
        <w:ind w:left="660" w:hanging="333"/>
        <w:spacing w:after="0" w:line="224"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obtain institutional review board, or IRB, approval at each site;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recruit suitable patients in a timely manner to participate in our trials;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have patients complete a trial or return for post-treatment follow-up;</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ensure that clinical sites observe trial protocol, comply with good clinical practices, or GCPs, or continue to participate in a trial;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address any patient safety concerns that arise during the course of a trial;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address any conflicts with new or existing laws or regulations; 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initiate or add a sufficient number of clinical trial sites.</w:t>
      </w:r>
    </w:p>
    <w:p>
      <w:pPr>
        <w:spacing w:after="0" w:line="18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62"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We could also encounter delays if our Phase 3 clinical trial is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6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Further, if there are delays in the completion of, or termination of, the Phase 3 clinical trial for tenapanor for the treatment of hyperphosphatemia, the commercial prospects of tenapanor for such indication may be harmed, and our ability to generate revenue from product sales of tenapanor for such indication will be delayed. In addition, any delays in completing the clinical trial will increase costs, slow down our regulatory approval process for tenapanor for hyperphosphatemia and jeopardize the ability to commence product sales and generate revenue from product sales for this indication. Any of these occurrences may significantly harm our business, financial condition and prospects. In addition, many of the factors that may cause, or lead to, a delay in the completion of the Phase 3 clinical trial may also ultimately lead to the denial of regulatory approval.</w:t>
      </w:r>
    </w:p>
    <w:p>
      <w:pPr>
        <w:spacing w:after="0" w:line="16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Even if we successfully obtain regulatory approval for tenapanor for one or more indications, it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Even if we obtain FDA or other regulatory approvals required to market tenapanor, and it is ultimately commercialized for one or more indications, it may not achieve market acceptance among physicians, patients, third-party payors, patient advocacy groups, and the medical community. Market acceptance of tenapanor, in the event that marketing approval is obtained, depends on a number of factors, including:</w:t>
      </w:r>
    </w:p>
    <w:p>
      <w:pPr>
        <w:spacing w:after="0" w:line="122" w:lineRule="exact"/>
        <w:rPr>
          <w:sz w:val="20"/>
          <w:szCs w:val="20"/>
          <w:color w:val="auto"/>
        </w:rPr>
      </w:pPr>
    </w:p>
    <w:p>
      <w:pPr>
        <w:jc w:val="both"/>
        <w:ind w:left="660" w:hanging="333"/>
        <w:spacing w:after="0" w:line="21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tenapanor for IBS-C in the United States, our ability to obtain a collaboration partner for commercialization and the strength of such collaboration partner’s financial resources and marketing and distribution organizations, as well as the commitment of such collaboration partner’s sales organization to tenapanor;</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demonstrated in clinical trials;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willingness to pay for tenapanor, if approved, on the part of physicians and patients;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4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Any failure by us to obtain a collaboration partner for the commercialization of tenapanor in the United States for IBS-C and any failure of tenapanor to achieve market acceptance, sufficient third-party coverage or reimbursement, or commercial success, should it receive regulatory approval, would adversely affect our results of operations.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4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currently do not have a sales organization. In order to commercialize or co-promote tenapanor or any of our other product candidates, we must enter collaborative relationships with one or more third parties, or build internal marketing, sales, distribution, managerial and other non-technical capabilities. There can be no assurances that we will be successful in establishing collaborative relationships in a timely manner or on terms that are acceptable to us. If tenapanor receives regulatory approval and we have not entered collaborative relationships for the commercialization of tenapanor in the United States, we would have to establish appropriate sales organizations with technical expertise supporting distribution capabilities to commercialize the product candidate, which will be expensive and time consuming, or delay the commercial launch of tenapanor for such indication.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6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If we are unable to enter collaborative relationships a timely manner, or on acceptable terms, and/or we fail or are delayed in the development of our internal sales, marketing and distribution capabilities, we may choose to delay the commercialization of our products and/or the commercialization of our products could be adversely impacted.</w:t>
      </w:r>
    </w:p>
    <w:p>
      <w:pPr>
        <w:spacing w:after="0" w:line="1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6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able to successfully commercialize our product candidates. Even if coverage is provided, the approved reimbursement amount may not be high enough to allow us to establish or maintain pricing sufficient to realize a return on our investment.</w:t>
      </w:r>
    </w:p>
    <w:p>
      <w:pPr>
        <w:spacing w:after="0" w:line="12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6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7"/>
          <w:szCs w:val="17"/>
          <w:color w:val="auto"/>
        </w:rPr>
        <w:t>There is increased uncertainty related to insurance coverage and reimbursement for drugs, like tenapanor, which, if approved, will marketed for treatment of hyperphosphatemia in ESRD patients. 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of the recent legislation, beginning in 2025, oral-only ESRD-related drugs may be included in the bundle and separate Medicare reimbursement will no longer be available for such drugs, as it is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increase faster than increases in reimbursement levels.</w:t>
      </w:r>
    </w:p>
    <w:p>
      <w:pPr>
        <w:spacing w:after="0" w:line="17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7"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33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 key element of our strategy has been focused on the expansion of our pipeline of product candidates utilizing our proprietary drug discovery and design platform and to advance such product candidates through clinical development.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62" w:lineRule="exact"/>
        <w:rPr>
          <w:sz w:val="20"/>
          <w:szCs w:val="20"/>
          <w:color w:val="auto"/>
        </w:rPr>
      </w:pPr>
    </w:p>
    <w:p>
      <w:pPr>
        <w:jc w:val="both"/>
        <w:ind w:left="660" w:hanging="333"/>
        <w:spacing w:after="0" w:line="224"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7"/>
          <w:szCs w:val="17"/>
          <w:color w:val="231F20"/>
        </w:rPr>
      </w:pPr>
      <w:r>
        <w:rPr>
          <w:rFonts w:ascii="Arial" w:cs="Arial" w:eastAsia="Arial" w:hAnsi="Arial"/>
          <w:sz w:val="17"/>
          <w:szCs w:val="17"/>
          <w:color w:val="auto"/>
        </w:rPr>
        <w:t>product candidates we develop may nevertheless be covered by third parties’ patents or other exclusive rights;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24"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200" w:lineRule="exact"/>
        <w:rPr>
          <w:sz w:val="20"/>
          <w:szCs w:val="20"/>
          <w:color w:val="auto"/>
        </w:rPr>
      </w:pPr>
    </w:p>
    <w:p>
      <w:pPr>
        <w:spacing w:after="0" w:line="35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do not have the ability to independently conduct clinical trials and, in some cases, nonclinical studies. We rely on medical institutions, clinical investigators, contract laboratories, and other third parties, such as CROs, to conduct clinical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tenapanor or any of our other product candidates receives marketing approval and we or others later identify undesirable side effects caused by the product candidate, the ability to market the product candidates could be compromised.</w:t>
      </w:r>
    </w:p>
    <w:p>
      <w:pPr>
        <w:spacing w:after="0" w:line="15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0"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163" w:lineRule="exact"/>
        <w:rPr>
          <w:sz w:val="20"/>
          <w:szCs w:val="20"/>
          <w:color w:val="auto"/>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144" w:lineRule="exact"/>
        <w:rPr>
          <w:rFonts w:ascii="Arial" w:cs="Arial" w:eastAsia="Arial" w:hAnsi="Arial"/>
          <w:sz w:val="18"/>
          <w:szCs w:val="18"/>
          <w:color w:val="231F20"/>
        </w:rPr>
      </w:pPr>
    </w:p>
    <w:p>
      <w:pPr>
        <w:jc w:val="both"/>
        <w:ind w:left="660" w:hanging="333"/>
        <w:spacing w:after="0" w:line="216" w:lineRule="auto"/>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21"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7"/>
          <w:szCs w:val="17"/>
          <w:color w:val="231F20"/>
        </w:rPr>
      </w:pPr>
      <w:r>
        <w:rPr>
          <w:rFonts w:ascii="Arial" w:cs="Arial" w:eastAsia="Arial" w:hAnsi="Arial"/>
          <w:sz w:val="17"/>
          <w:szCs w:val="17"/>
          <w:color w:val="auto"/>
        </w:rPr>
        <w:t>we, or a collaboration partner, may be subject to fines, injunctions or the imposition of civil or criminal penalties;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21"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6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5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example, tenapanor will, if approved for the treatment of hyperphosphatemia in ESRD patients on dialysis, compete directly with phosphate binders for the treatment of hyperphosphatemia in ESRD patients on dialysis. The various types of phosphate binders commercialized in the United States include the following:</w:t>
      </w:r>
    </w:p>
    <w:p>
      <w:pPr>
        <w:spacing w:after="0" w:line="163"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Lanthanum carbonate (Fosrenol marketed by Shire)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Sevelamer hydrochloride (Renagel, marketed by Sanofi)</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Sevelamer carbonate (Renvela, marketed by Sanofi)</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Sucroferric oxyhydroxide (Velphoro, marketed by Vifor Fresenius)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Ferric citrate (Auryxia, marketed by Keryx)</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hydrochloride form of sevelamer, Renagel, was launched in the United States by Genzyme Corporation in 1998 prior to its acquisition by Sanofi, and the carbonate form, Renvela, was launched in 2008. Sanofi booked €802 million ($0.98 billion) in worldwide sales of sevelamer during 2017.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61"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We are aware of three prescription products marketed for IBS-C, including Linzess (linaclotide), marketed by Ironwood Pharmaceuticals and Allergan, Amitiza (lubiprostone), marketed by Takeda and Sucampo, a wholly-owned subsidiary of Mallinckrodt, and Trulance (plecanatide), marketed by Synergy Pharmaceuticals. Finally, we are also aware of two potential products that are currently in review for marketing approval by the US FDA: tegaserod maleate, for which a supplemental new drug application was submitted by Sloan Pharma S.à.r.l, Bertrange, Cham Branch, for the treatment of women with IBS-C who are at low risk for cardiovascular disease; and prucalopride, for which a new drug application was submitted by Shire Development, LLC, for the treatment of chronic idiopathic constipation in adults.</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renal diseases, we may need to further develop our proprietary drug discovery and design platform to enhance its usefulness in the identification, screening, testing, design and development of new product candidates for the treatment of renal diseases. There can be no assurances that we will be successful in such additional development of our platform or that our platform will yield product candidates for the treatment of renal diseases.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63" w:lineRule="exact"/>
        <w:rPr>
          <w:sz w:val="20"/>
          <w:szCs w:val="20"/>
          <w:color w:val="auto"/>
        </w:rPr>
      </w:pPr>
    </w:p>
    <w:p>
      <w:pPr>
        <w:ind w:left="660" w:hanging="333"/>
        <w:spacing w:after="0" w:line="235" w:lineRule="auto"/>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manage our clinical trials effectively, including the Phase 3 trial of tenapanor which is being conducted at multiple trial sites;</w:t>
      </w:r>
    </w:p>
    <w:p>
      <w:pPr>
        <w:spacing w:after="0" w:line="161" w:lineRule="exact"/>
        <w:rPr>
          <w:rFonts w:ascii="Arial" w:cs="Arial" w:eastAsia="Arial" w:hAnsi="Arial"/>
          <w:sz w:val="18"/>
          <w:szCs w:val="18"/>
          <w:color w:val="231F20"/>
        </w:rPr>
      </w:pPr>
    </w:p>
    <w:p>
      <w:pPr>
        <w:ind w:left="640" w:hanging="286"/>
        <w:spacing w:after="0" w:line="235" w:lineRule="auto"/>
        <w:tabs>
          <w:tab w:leader="none" w:pos="640" w:val="left"/>
        </w:tabs>
        <w:numPr>
          <w:ilvl w:val="1"/>
          <w:numId w:val="26"/>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61" w:lineRule="exact"/>
        <w:rPr>
          <w:rFonts w:ascii="Arial" w:cs="Arial" w:eastAsia="Arial" w:hAnsi="Arial"/>
          <w:sz w:val="18"/>
          <w:szCs w:val="18"/>
          <w:color w:val="231F20"/>
        </w:rPr>
      </w:pPr>
    </w:p>
    <w:p>
      <w:pPr>
        <w:ind w:left="640" w:hanging="286"/>
        <w:spacing w:after="0"/>
        <w:tabs>
          <w:tab w:leader="none" w:pos="640" w:val="left"/>
        </w:tabs>
        <w:numPr>
          <w:ilvl w:val="1"/>
          <w:numId w:val="26"/>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40" w:hanging="286"/>
        <w:spacing w:after="0"/>
        <w:tabs>
          <w:tab w:leader="none" w:pos="640" w:val="left"/>
        </w:tabs>
        <w:numPr>
          <w:ilvl w:val="0"/>
          <w:numId w:val="27"/>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We rely completely on third parties to manufacture our nonclinical and clinical drug supplies, and we intend to rely on third parties to produce commercial supplies of tenapanor, if approved. Our business would be harmed if those third parties fail to obtain approval of the FDA or comparable regulatory authorities, fail to provide us with sufficient quantities of drug, or fail to do so at acceptable quality levels or prices.</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must be approved by the FDA pursuant to inspections that will be conducted after an NDA is submitted to the FDA including the NDA we recently submitted.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16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68"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require significant financial and management resources. Regardless of the merits or eventual outcome, liability claims may result in:</w:t>
      </w:r>
    </w:p>
    <w:p>
      <w:pPr>
        <w:spacing w:after="0" w:line="162"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are highly dependent on the services of our President and Chief Executive Officer, Michael Raab and our Chief Development Officer, David Rosenbaum, Ph.D. If we are not able to retain these members of our management team, or recruit additional management and clinical personnel, our business will suffer.</w:t>
      </w:r>
    </w:p>
    <w:p>
      <w:pPr>
        <w:spacing w:after="0" w:line="16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In particular, we are highly dependent upon Michael Raab, our President and Chief Executive Officer and David Rosenbaum, Ph.D., our Chief Development Officer. The loss of services of any of these individuals could delay or impair the successful development of our product pipeline, completion of our planned clinical trials or the commercialization of our product candidates. Although we have entered into employment agreements with our senior management team, including Mr. Raab and Dr.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data security breaches, which could adversely affect our business.</w:t>
      </w:r>
    </w:p>
    <w:p>
      <w:pPr>
        <w:spacing w:after="0" w:line="162"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systems to support business processes as well as internal and external communications. Despite the implementation of security measures, the size and complexity of our internal computer systems, and those of our CROs and other contractors, make them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significantly increase our costs to recover or reproduce the data. In addition, our systems are potentially vulnerable to data security breaches, whether by employees or others, which may expose sensitive data to unauthorized persons. Such data security breaches could lead to the loss of trade secrets or other intellectual property, or could lead to the public exposure of personal information of our employees, clinical trial patients, customers, and others. Such disruptions and breaches of security could expose us to liability and have a material adverse effect on the operating results and financial condition of our business.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30"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earlier of (1) the last day of the fiscal year following the fifth anniversary of the completion of our IPO (December 31, 2019), (2) the last day of the fiscal year in which we have total annual gross revenue of at least $1.07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62"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Hakko Kirin Co., Ltd. for commercialization of tenapanor for hyperphosphatemia in Japan, with Shanghai Fosun Pharmaceutical Industrial Development Co. Ltd. for commercialization of tenapanor for hyperphosphatemia and IBS-C in China and related territories, and in Canada with Knight Therapeutics Inc.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such additional collaboration partnerships for tenapanor for IBS-C commercialization in the United States or for any future product candidates and programs on terms that are acceptable to us, or at all. With respect to tenapanor, this may be because third parties may not view tenapanor for the treatment of IBS-C as having sufficient potential to be successfully commercialized. If we are unable to establish a collaboration partnership for the commercialization of IBS-C in the United States, the commercialization of tenapanor for IBS-C, if approved,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6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We may consider strategic transactions, such as acquisitions of companies, asset purchases, and 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integration challenges or disrupt our management or business, which could adversely affect our operations and financial results. For example, these transactions may entail numerous operational and financial risks, including:</w:t>
      </w:r>
    </w:p>
    <w:p>
      <w:pPr>
        <w:spacing w:after="0" w:line="162" w:lineRule="exact"/>
        <w:rPr>
          <w:sz w:val="20"/>
          <w:szCs w:val="20"/>
          <w:color w:val="auto"/>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 to pay for acquisitions;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4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addition to Japan, China and Canada, 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expect that we will be subject to additional risks related to entering these international business markets and relationships, including:</w:t>
      </w:r>
    </w:p>
    <w:p>
      <w:pPr>
        <w:spacing w:after="0" w:line="159"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economic weakness, including inflation, or political instability in particular foreign economies and markets;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6"/>
          <w:szCs w:val="16"/>
          <w:color w:val="231F20"/>
        </w:rPr>
      </w:pPr>
      <w:r>
        <w:rPr>
          <w:rFonts w:ascii="Arial" w:cs="Arial" w:eastAsia="Arial" w:hAnsi="Arial"/>
          <w:sz w:val="16"/>
          <w:szCs w:val="16"/>
          <w:color w:val="auto"/>
        </w:rPr>
        <w:t>production shortages resulting from any events affecting raw material supply or manufacturing capabilities abroad;</w:t>
      </w:r>
    </w:p>
    <w:p>
      <w:pPr>
        <w:spacing w:after="0" w:line="207" w:lineRule="exact"/>
        <w:rPr>
          <w:rFonts w:ascii="Arial" w:cs="Arial" w:eastAsia="Arial" w:hAnsi="Arial"/>
          <w:sz w:val="16"/>
          <w:szCs w:val="16"/>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7"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6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63"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63"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In September 2018, we submitted our first NDA to the FDA seeking marketing approval for tenapanor for IBS-C. Neither we, nor our collaboration partners have submitted additional applications or obtained marketing approval for any of our product candidates anywhere in the world.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62" w:lineRule="exact"/>
        <w:rPr>
          <w:sz w:val="20"/>
          <w:szCs w:val="20"/>
          <w:color w:val="auto"/>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4"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6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62" w:lineRule="exact"/>
        <w:rPr>
          <w:sz w:val="20"/>
          <w:szCs w:val="20"/>
          <w:color w:val="auto"/>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61"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34"/>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4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63" w:lineRule="exact"/>
        <w:rPr>
          <w:sz w:val="20"/>
          <w:szCs w:val="20"/>
          <w:color w:val="auto"/>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warning letters, fines or holds on clinical trials;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18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commercial sales or the temporary or permanent suspension of production or closure of a facility. Any such remedial measures imposed upon us or third parties with whom we contract could materially harm our business.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6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63"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6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 ensure compliance with applicable laws and regulations. Any such fines, awards or other sanctions would have an adverse effect on our revenue, business, financial prospects and reputation.</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approved, tenapanor and our other product candidates may cause or contribute to adverse medical events that we are required to report to regulatory agencies and if we fail to do so we could be subject to sanctions that would materially harm our business.</w:t>
      </w:r>
    </w:p>
    <w:p>
      <w:pPr>
        <w:spacing w:after="0" w:line="163" w:lineRule="exact"/>
        <w:rPr>
          <w:sz w:val="20"/>
          <w:szCs w:val="20"/>
          <w:color w:val="auto"/>
        </w:rPr>
      </w:pPr>
    </w:p>
    <w:p>
      <w:pPr>
        <w:jc w:val="both"/>
        <w:ind w:firstLine="324"/>
        <w:spacing w:after="0" w:line="209" w:lineRule="auto"/>
        <w:rPr>
          <w:sz w:val="20"/>
          <w:szCs w:val="20"/>
          <w:color w:val="auto"/>
        </w:rPr>
      </w:pPr>
      <w:r>
        <w:rPr>
          <w:rFonts w:ascii="Arial" w:cs="Arial" w:eastAsia="Arial" w:hAnsi="Arial"/>
          <w:sz w:val="18"/>
          <w:szCs w:val="18"/>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6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6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63" w:lineRule="exact"/>
        <w:rPr>
          <w:sz w:val="20"/>
          <w:szCs w:val="20"/>
          <w:color w:val="auto"/>
        </w:rPr>
      </w:pPr>
    </w:p>
    <w:p>
      <w:pPr>
        <w:jc w:val="both"/>
        <w:ind w:left="660" w:hanging="333"/>
        <w:spacing w:after="0" w:line="232" w:lineRule="auto"/>
        <w:tabs>
          <w:tab w:leader="none" w:pos="66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62" w:lineRule="exact"/>
        <w:rPr>
          <w:rFonts w:ascii="Arial" w:cs="Arial" w:eastAsia="Arial" w:hAnsi="Arial"/>
          <w:sz w:val="17"/>
          <w:szCs w:val="17"/>
          <w:color w:val="231F20"/>
        </w:rPr>
      </w:pPr>
    </w:p>
    <w:p>
      <w:pPr>
        <w:jc w:val="both"/>
        <w:ind w:left="660" w:hanging="333"/>
        <w:spacing w:after="0" w:line="224"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63" w:lineRule="exact"/>
        <w:rPr>
          <w:rFonts w:ascii="Arial" w:cs="Arial" w:eastAsia="Arial" w:hAnsi="Arial"/>
          <w:sz w:val="18"/>
          <w:szCs w:val="18"/>
          <w:color w:val="231F20"/>
        </w:rPr>
      </w:pPr>
    </w:p>
    <w:p>
      <w:pPr>
        <w:jc w:val="both"/>
        <w:ind w:left="660" w:hanging="333"/>
        <w:spacing w:after="0" w:line="232" w:lineRule="auto"/>
        <w:tabs>
          <w:tab w:leader="none" w:pos="66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the federal physician sunshine requirements under the Affordable Care Act, which requires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62"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6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62" w:lineRule="exact"/>
        <w:rPr>
          <w:sz w:val="20"/>
          <w:szCs w:val="20"/>
          <w:color w:val="auto"/>
        </w:rPr>
      </w:pPr>
    </w:p>
    <w:p>
      <w:pPr>
        <w:ind w:left="660" w:hanging="333"/>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We currently expect that federal and state legislatures within the United States and foreign governments will continue to consider changes to existing healthcare legislation, and we currently expect that the current Presidential Administration and U.S. Congress will continue to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66"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2025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6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APECCS, we could be forced to stop our use of APECCS or modify our processes to avoid infringement, which may not be possible at a reasonable cost, if at all, and which could result in substantial delay in our use of APECCS for the discovery of new product candidates or potential targets. As a result of patent infringement claims,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62"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5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7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62"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67"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8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6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2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3"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63" w:lineRule="exact"/>
        <w:rPr>
          <w:sz w:val="20"/>
          <w:szCs w:val="20"/>
          <w:color w:val="auto"/>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Phase 3 clinical trial for tenapanor for hyperphosphatemia;</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61" w:lineRule="exact"/>
        <w:rPr>
          <w:rFonts w:ascii="Arial" w:cs="Arial" w:eastAsia="Arial" w:hAnsi="Arial"/>
          <w:sz w:val="18"/>
          <w:szCs w:val="18"/>
          <w:color w:val="231F20"/>
        </w:rPr>
      </w:pPr>
    </w:p>
    <w:p>
      <w:pPr>
        <w:jc w:val="both"/>
        <w:ind w:left="660" w:hanging="333"/>
        <w:spacing w:after="0" w:line="232" w:lineRule="auto"/>
        <w:tabs>
          <w:tab w:leader="none" w:pos="660" w:val="left"/>
        </w:tabs>
        <w:numPr>
          <w:ilvl w:val="0"/>
          <w:numId w:val="40"/>
        </w:numPr>
        <w:rPr>
          <w:rFonts w:ascii="Arial" w:cs="Arial" w:eastAsia="Arial" w:hAnsi="Arial"/>
          <w:sz w:val="17"/>
          <w:szCs w:val="17"/>
          <w:color w:val="231F20"/>
        </w:rPr>
      </w:pPr>
      <w:r>
        <w:rPr>
          <w:rFonts w:ascii="Arial" w:cs="Arial" w:eastAsia="Arial" w:hAnsi="Arial"/>
          <w:sz w:val="17"/>
          <w:szCs w:val="17"/>
          <w:color w:val="auto"/>
        </w:rPr>
        <w:t>announcements of regulatory approval, a complete response letter or a refuse to file letter with respect to our NDA filed with the FDA in September 2018 seeking marketing approval for tenapanor for IBS-C, results of regulatory inspections of our facilities or those of our contract manufacturing organizations, or specific label restrictions or patient populations for tenapanor’s use, or changes or delays in the regulatory review process;</w:t>
      </w:r>
    </w:p>
    <w:p>
      <w:pPr>
        <w:spacing w:after="0" w:line="162" w:lineRule="exact"/>
        <w:rPr>
          <w:rFonts w:ascii="Arial" w:cs="Arial" w:eastAsia="Arial" w:hAnsi="Arial"/>
          <w:sz w:val="17"/>
          <w:szCs w:val="17"/>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announcements relating to our current or future collaboration partnerships;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success of our testing and clinical trials;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failure to meet any of our projected timelines or goals with regard to the clinical development of any of our product candidates, including the Phase 3 clinical trial for tenapanor for hyperphosphatemia;</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success of our efforts to acquire or license or discover additional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success of our efforts to obtain adequate intellectual property protection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pharmaceutical industry in general;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sales of debt securities and sales or licensing of assets;</w:t>
      </w:r>
    </w:p>
    <w:p>
      <w:pPr>
        <w:spacing w:after="0" w:line="185" w:lineRule="exact"/>
        <w:rPr>
          <w:sz w:val="20"/>
          <w:szCs w:val="20"/>
          <w:color w:val="auto"/>
        </w:rPr>
      </w:pPr>
    </w:p>
    <w:p>
      <w:pPr>
        <w:ind w:left="660" w:hanging="333"/>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United States equity markets;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One of our stockholders owns a significant percentage of our stock and, together with our management, will be able to exert significant control over matters subject to stockholder approval.</w:t>
      </w:r>
    </w:p>
    <w:p>
      <w:pPr>
        <w:spacing w:after="0" w:line="16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As of September 30, 2018, entities affiliated with New Enterprise Associates, or NEA, a venture capital fund associated with one of our directors, collectively beneficially owned approximately 24.7% of our common stock, and NEA together with our executive officers and directors beneficially owned approximately 29.1% of our capital stock, including outstanding restricted stock units that will vest within 60 days of September 30, 2018, and warrants and stock options exercisable for shares of our common stock within 60 days of September 30, 2018. Therefore, these stockholders may be able to determine all matters requiring stockholder approval, and the entities affiliated with NEA alone will have significant ability to influence decisions through their ownership position. For example, these stockholders may be able to influence or control elections of directors, amendments to our organizational documents, or approval of any merger, sale of assets, or other major corporate transaction. This may prevent or discourage unsolicited acquisition proposals or offers for our common stock that certain stockholders may feel are in their best interest as one of our stockholders.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the trading price of our common stock could decline. As of September 30, 2018, we had 62,106,121 shares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common stock outstanding. Of those shares, approximately 15.7 million were held by current directors, executive officers and other affiliates, or may otherwise be subject to Rule 144 under the Securities Act of 1933, or the Securities Act.</w:t>
      </w:r>
    </w:p>
    <w:p>
      <w:pPr>
        <w:spacing w:after="0" w:line="124"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As of September 30, 2018, approximately 1.5 million shares of common stock issuable upon vesting of outstanding restricted stock units and approximately 5.7 million shares of common stock issuable upon exercise of outstanding options were eligible for sale in the public market to the extent permitted by the provisions of the applicable vesting schedules, and Rule 144 and Rule 701 under the Securities Act. In addition, as of September 30, 2018,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6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As of September 30, 2018, the holders of approximately 5.6 million shares of our outstanding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47" w:lineRule="exact"/>
        <w:rPr>
          <w:sz w:val="20"/>
          <w:szCs w:val="20"/>
          <w:color w:val="auto"/>
        </w:rPr>
      </w:pPr>
    </w:p>
    <w:p>
      <w:pPr>
        <w:ind w:left="660" w:hanging="333"/>
        <w:spacing w:after="0" w:line="235"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43"/>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hanging="333"/>
        <w:spacing w:after="0" w:line="219" w:lineRule="auto"/>
        <w:tabs>
          <w:tab w:leader="none" w:pos="66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47" w:lineRule="exact"/>
        <w:rPr>
          <w:sz w:val="20"/>
          <w:szCs w:val="20"/>
          <w:color w:val="auto"/>
        </w:rPr>
      </w:pPr>
    </w:p>
    <w:p>
      <w:pPr>
        <w:jc w:val="both"/>
        <w:ind w:left="660" w:hanging="333"/>
        <w:spacing w:after="0" w:line="229" w:lineRule="auto"/>
        <w:tabs>
          <w:tab w:leader="none" w:pos="660" w:val="left"/>
        </w:tabs>
        <w:numPr>
          <w:ilvl w:val="0"/>
          <w:numId w:val="45"/>
        </w:numPr>
        <w:rPr>
          <w:rFonts w:ascii="Arial" w:cs="Arial" w:eastAsia="Arial" w:hAnsi="Arial"/>
          <w:sz w:val="17"/>
          <w:szCs w:val="17"/>
          <w:color w:val="231F20"/>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61"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return on their investment will depend on any future appreciation in the market value of our common stock. There is no guarantee that our common stock will appreciate or even maintain the price at which our holders have purchased it.</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9"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Effective May 16, 2018, we entered into a loan and security agreement pursuant to which the Lenders agreed to provide us a $50.0 million term loan facility. Covenants in the loan and security agreement limit our ability to pay dividends or make other distributions. For additional information refer to “Note 6. Borrowings” in the notes to our unaudited interim condensed consolidated financial statements in Part I, Item 1 of this Quarterly Report on Form 10 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4"/>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16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720" w:type="dxa"/>
            <w:vAlign w:val="bottom"/>
            <w:gridSpan w:val="11"/>
          </w:tcPr>
          <w:p>
            <w:pPr>
              <w:ind w:left="260"/>
              <w:spacing w:after="0"/>
              <w:rPr>
                <w:sz w:val="20"/>
                <w:szCs w:val="20"/>
                <w:color w:val="auto"/>
              </w:rPr>
            </w:pPr>
            <w:r>
              <w:rPr>
                <w:rFonts w:ascii="Arial" w:cs="Arial" w:eastAsia="Arial" w:hAnsi="Arial"/>
                <w:sz w:val="18"/>
                <w:szCs w:val="18"/>
                <w:b w:val="1"/>
                <w:bCs w:val="1"/>
                <w:color w:val="auto"/>
              </w:rPr>
              <w:t>Exhibits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980" w:type="dxa"/>
            <w:vAlign w:val="bottom"/>
            <w:gridSpan w:val="8"/>
            <w:vMerge w:val="restart"/>
          </w:tcPr>
          <w:p>
            <w:pPr>
              <w:ind w:left="110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8"/>
                <w:szCs w:val="8"/>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180" w:type="dxa"/>
            <w:vAlign w:val="bottom"/>
            <w:vMerge w:val="restart"/>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vMerge w:val="restart"/>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vMerge w:val="restart"/>
          </w:tcPr>
          <w:p>
            <w:pPr>
              <w:spacing w:after="0"/>
              <w:rPr>
                <w:sz w:val="8"/>
                <w:szCs w:val="8"/>
                <w:color w:val="auto"/>
              </w:rPr>
            </w:pPr>
          </w:p>
        </w:tc>
        <w:tc>
          <w:tcPr>
            <w:tcW w:w="7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Filed</w:t>
            </w: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8"/>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10.1 #</w:t>
            </w:r>
          </w:p>
        </w:tc>
        <w:tc>
          <w:tcPr>
            <w:tcW w:w="180" w:type="dxa"/>
            <w:vAlign w:val="bottom"/>
          </w:tcPr>
          <w:p>
            <w:pPr>
              <w:spacing w:after="0"/>
              <w:rPr>
                <w:sz w:val="24"/>
                <w:szCs w:val="24"/>
                <w:color w:val="auto"/>
              </w:rPr>
            </w:pPr>
          </w:p>
        </w:tc>
        <w:tc>
          <w:tcPr>
            <w:tcW w:w="4720" w:type="dxa"/>
            <w:vAlign w:val="bottom"/>
            <w:gridSpan w:val="11"/>
          </w:tcPr>
          <w:p>
            <w:pPr>
              <w:spacing w:after="0"/>
              <w:rPr>
                <w:rFonts w:ascii="Arial" w:cs="Arial" w:eastAsia="Arial" w:hAnsi="Arial"/>
                <w:sz w:val="18"/>
                <w:szCs w:val="18"/>
                <w:color w:val="0000EE"/>
                <w:w w:val="97"/>
              </w:rPr>
            </w:pPr>
            <w:hyperlink r:id="rId77">
              <w:r>
                <w:rPr>
                  <w:rFonts w:ascii="Arial" w:cs="Arial" w:eastAsia="Arial" w:hAnsi="Arial"/>
                  <w:sz w:val="18"/>
                  <w:szCs w:val="18"/>
                  <w:color w:val="0000EE"/>
                  <w:w w:val="97"/>
                </w:rPr>
                <w:t>Transition and Separation Agreement dated July 8, 2018, by</w:t>
              </w:r>
            </w:hyperlink>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10-Q</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08/07/2018</w:t>
            </w:r>
          </w:p>
        </w:tc>
        <w:tc>
          <w:tcPr>
            <w:tcW w:w="18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340" w:type="dxa"/>
            <w:vAlign w:val="bottom"/>
            <w:tcBorders>
              <w:top w:val="single" w:sz="8" w:color="0000EE"/>
            </w:tcBorders>
            <w:gridSpan w:val="7"/>
          </w:tcPr>
          <w:p>
            <w:pPr>
              <w:spacing w:after="0" w:line="156" w:lineRule="exact"/>
              <w:rPr>
                <w:rFonts w:ascii="Arial" w:cs="Arial" w:eastAsia="Arial" w:hAnsi="Arial"/>
                <w:sz w:val="18"/>
                <w:szCs w:val="18"/>
                <w:color w:val="0000EE"/>
                <w:w w:val="97"/>
              </w:rPr>
            </w:pPr>
            <w:hyperlink r:id="rId77">
              <w:r>
                <w:rPr>
                  <w:rFonts w:ascii="Arial" w:cs="Arial" w:eastAsia="Arial" w:hAnsi="Arial"/>
                  <w:sz w:val="18"/>
                  <w:szCs w:val="18"/>
                  <w:color w:val="0000EE"/>
                  <w:w w:val="97"/>
                </w:rPr>
                <w:t>and between the Company and Reginald Seeto, MBBS</w:t>
              </w:r>
              <w:r>
                <w:rPr>
                  <w:rFonts w:ascii="Arial" w:cs="Arial" w:eastAsia="Arial" w:hAnsi="Arial"/>
                  <w:sz w:val="18"/>
                  <w:szCs w:val="18"/>
                  <w:color w:val="000000"/>
                  <w:w w:val="97"/>
                </w:rPr>
                <w: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3940" w:type="dxa"/>
            <w:vAlign w:val="bottom"/>
            <w:tcBorders>
              <w:top w:val="single" w:sz="8" w:color="0000EE"/>
            </w:tcBorders>
            <w:gridSpan w:val="6"/>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Certification of Chief Executive Officer Pursuant to</w:t>
              </w:r>
            </w:hyperlink>
          </w:p>
        </w:tc>
        <w:tc>
          <w:tcPr>
            <w:tcW w:w="78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Section 302 of the Sarbanes-Oxley Act of 2002.</w:t>
              </w:r>
            </w:hyperlink>
          </w:p>
        </w:tc>
        <w:tc>
          <w:tcPr>
            <w:tcW w:w="280" w:type="dxa"/>
            <w:vAlign w:val="bottom"/>
            <w:tcBorders>
              <w:top w:val="single" w:sz="8" w:color="0000EE"/>
            </w:tcBorders>
            <w:gridSpan w:val="2"/>
          </w:tcPr>
          <w:p>
            <w:pPr>
              <w:spacing w:after="0"/>
              <w:rPr>
                <w:sz w:val="13"/>
                <w:szCs w:val="13"/>
                <w:color w:val="auto"/>
              </w:rPr>
            </w:pPr>
          </w:p>
        </w:tc>
        <w:tc>
          <w:tcPr>
            <w:tcW w:w="6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4720" w:type="dxa"/>
            <w:vAlign w:val="bottom"/>
            <w:gridSpan w:val="1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 of Chief Financial Officer Pursuant to</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Section 302 of the Sarbanes-Oxley Act of 2002.</w:t>
              </w:r>
            </w:hyperlink>
          </w:p>
        </w:tc>
        <w:tc>
          <w:tcPr>
            <w:tcW w:w="220" w:type="dxa"/>
            <w:vAlign w:val="bottom"/>
            <w:tcBorders>
              <w:top w:val="single" w:sz="8" w:color="0000EE"/>
            </w:tcBorders>
          </w:tcPr>
          <w:p>
            <w:pPr>
              <w:spacing w:after="0"/>
              <w:rPr>
                <w:sz w:val="13"/>
                <w:szCs w:val="13"/>
                <w:color w:val="auto"/>
              </w:rPr>
            </w:pPr>
          </w:p>
        </w:tc>
        <w:tc>
          <w:tcPr>
            <w:tcW w:w="6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Certification of Chief Executive Officer and Chief Financial</w:t>
              </w:r>
            </w:hyperlink>
          </w:p>
        </w:tc>
        <w:tc>
          <w:tcPr>
            <w:tcW w:w="36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20" w:type="dxa"/>
            <w:vAlign w:val="bottom"/>
            <w:gridSpan w:val="11"/>
          </w:tcPr>
          <w:p>
            <w:pPr>
              <w:spacing w:after="0" w:line="15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Officer Pursuant to Section 906 of the Sarbanes-Oxley Act of</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2002.</w:t>
              </w:r>
            </w:hyperlink>
          </w:p>
        </w:tc>
        <w:tc>
          <w:tcPr>
            <w:tcW w:w="160" w:type="dxa"/>
            <w:vAlign w:val="bottom"/>
            <w:tcBorders>
              <w:top w:val="single" w:sz="8" w:color="0000EE"/>
            </w:tcBorders>
          </w:tcPr>
          <w:p>
            <w:pPr>
              <w:spacing w:after="0"/>
              <w:rPr>
                <w:sz w:val="13"/>
                <w:szCs w:val="13"/>
                <w:color w:val="auto"/>
              </w:rPr>
            </w:pPr>
          </w:p>
        </w:tc>
        <w:tc>
          <w:tcPr>
            <w:tcW w:w="290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4720" w:type="dxa"/>
            <w:vAlign w:val="bottom"/>
            <w:gridSpan w:val="11"/>
          </w:tcPr>
          <w:p>
            <w:pPr>
              <w:spacing w:after="0"/>
              <w:rPr>
                <w:sz w:val="20"/>
                <w:szCs w:val="20"/>
                <w:color w:val="auto"/>
              </w:rPr>
            </w:pPr>
            <w:r>
              <w:rPr>
                <w:rFonts w:ascii="Arial" w:cs="Arial" w:eastAsia="Arial" w:hAnsi="Arial"/>
                <w:sz w:val="18"/>
                <w:szCs w:val="18"/>
                <w:color w:val="auto"/>
              </w:rPr>
              <w:t>The following financial statements, formatted in XBRL:</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ind w:left="720" w:right="3880" w:hanging="1"/>
        <w:spacing w:after="0" w:line="235" w:lineRule="auto"/>
        <w:tabs>
          <w:tab w:leader="none" w:pos="935" w:val="left"/>
        </w:tabs>
        <w:numPr>
          <w:ilvl w:val="1"/>
          <w:numId w:val="46"/>
        </w:numPr>
        <w:rPr>
          <w:rFonts w:ascii="Arial" w:cs="Arial" w:eastAsia="Arial" w:hAnsi="Arial"/>
          <w:sz w:val="16"/>
          <w:szCs w:val="16"/>
          <w:color w:val="auto"/>
        </w:rPr>
      </w:pPr>
      <w:r>
        <w:rPr>
          <w:rFonts w:ascii="Arial" w:cs="Arial" w:eastAsia="Arial" w:hAnsi="Arial"/>
          <w:sz w:val="16"/>
          <w:szCs w:val="16"/>
          <w:color w:val="auto"/>
        </w:rPr>
        <w:t>Condensed Consolidated Balance Sheets as of September 30, 2018 and December 31, 2017, (ii) Condensed Consolidated Statements of Operations and Comprehensive Loss for the three and nine months ended September 30, 2018 and 2017, (iii) Condensed Consolidated Statements of Cash Flows for the nine months ended September 30, 2018 and 2017; and (iv) Notes to Unaudited Condensed Consolidated Financial Statements.</w:t>
      </w:r>
    </w:p>
    <w:p>
      <w:pPr>
        <w:spacing w:after="0" w:line="176" w:lineRule="exact"/>
        <w:rPr>
          <w:rFonts w:ascii="Arial" w:cs="Arial" w:eastAsia="Arial" w:hAnsi="Arial"/>
          <w:sz w:val="16"/>
          <w:szCs w:val="16"/>
          <w:color w:val="auto"/>
        </w:rPr>
      </w:pPr>
    </w:p>
    <w:p>
      <w:pPr>
        <w:ind w:left="300" w:hanging="297"/>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14408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940" w:type="dxa"/>
            <w:vAlign w:val="bottom"/>
            <w:gridSpan w:val="2"/>
          </w:tcPr>
          <w:p>
            <w:pPr>
              <w:ind w:left="1360"/>
              <w:spacing w:after="0"/>
              <w:rPr>
                <w:sz w:val="20"/>
                <w:szCs w:val="20"/>
                <w:color w:val="auto"/>
              </w:rPr>
            </w:pPr>
            <w:r>
              <w:rPr>
                <w:rFonts w:ascii="Arial" w:cs="Arial" w:eastAsia="Arial" w:hAnsi="Arial"/>
                <w:sz w:val="18"/>
                <w:szCs w:val="18"/>
                <w:b w:val="1"/>
                <w:bCs w:val="1"/>
                <w:color w:val="auto"/>
              </w:rPr>
              <w:t>Ardelyx, Inc.</w:t>
            </w:r>
          </w:p>
        </w:tc>
      </w:tr>
      <w:tr>
        <w:trPr>
          <w:trHeight w:val="500"/>
        </w:trPr>
        <w:tc>
          <w:tcPr>
            <w:tcW w:w="3120" w:type="dxa"/>
            <w:vAlign w:val="bottom"/>
          </w:tcPr>
          <w:p>
            <w:pPr>
              <w:spacing w:after="0"/>
              <w:rPr>
                <w:sz w:val="20"/>
                <w:szCs w:val="20"/>
                <w:color w:val="auto"/>
              </w:rPr>
            </w:pPr>
            <w:r>
              <w:rPr>
                <w:rFonts w:ascii="Arial" w:cs="Arial" w:eastAsia="Arial" w:hAnsi="Arial"/>
                <w:sz w:val="18"/>
                <w:szCs w:val="18"/>
                <w:color w:val="auto"/>
              </w:rPr>
              <w:t>Date: November 7, 2018</w:t>
            </w:r>
          </w:p>
        </w:tc>
        <w:tc>
          <w:tcPr>
            <w:tcW w:w="5940" w:type="dxa"/>
            <w:vAlign w:val="bottom"/>
            <w:gridSpan w:val="2"/>
          </w:tcPr>
          <w:p>
            <w:pPr>
              <w:ind w:left="1360"/>
              <w:spacing w:after="0"/>
              <w:rPr>
                <w:sz w:val="20"/>
                <w:szCs w:val="20"/>
                <w:color w:val="auto"/>
              </w:rPr>
            </w:pPr>
            <w:r>
              <w:rPr>
                <w:rFonts w:ascii="Arial" w:cs="Arial" w:eastAsia="Arial" w:hAnsi="Arial"/>
                <w:sz w:val="18"/>
                <w:szCs w:val="18"/>
                <w:color w:val="auto"/>
              </w:rPr>
              <w:t>By: /s/ Mark Kaufmann</w:t>
            </w:r>
          </w:p>
        </w:tc>
      </w:tr>
      <w:tr>
        <w:trPr>
          <w:trHeight w:val="142"/>
        </w:trPr>
        <w:tc>
          <w:tcPr>
            <w:tcW w:w="3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2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b w:val="1"/>
                <w:bCs w:val="1"/>
                <w:color w:val="auto"/>
              </w:rPr>
              <w:t>Mark Kaufmann</w:t>
            </w:r>
          </w:p>
        </w:tc>
      </w:tr>
      <w:tr>
        <w:trPr>
          <w:trHeight w:val="176"/>
        </w:trPr>
        <w:tc>
          <w:tcPr>
            <w:tcW w:w="3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80" w:type="dxa"/>
            <w:vAlign w:val="bottom"/>
          </w:tcPr>
          <w:p>
            <w:pPr>
              <w:spacing w:after="0" w:line="176" w:lineRule="exact"/>
              <w:rPr>
                <w:sz w:val="20"/>
                <w:szCs w:val="20"/>
                <w:color w:val="auto"/>
              </w:rPr>
            </w:pPr>
            <w:r>
              <w:rPr>
                <w:rFonts w:ascii="Arial" w:cs="Arial" w:eastAsia="Arial" w:hAnsi="Arial"/>
                <w:sz w:val="18"/>
                <w:szCs w:val="18"/>
                <w:b w:val="1"/>
                <w:bCs w:val="1"/>
                <w:color w:val="auto"/>
              </w:rPr>
              <w:t>Chief Financial Officer</w:t>
            </w:r>
          </w:p>
        </w:tc>
      </w:tr>
      <w:tr>
        <w:trPr>
          <w:trHeight w:val="234"/>
        </w:trPr>
        <w:tc>
          <w:tcPr>
            <w:tcW w:w="3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805"/>
        </w:trPr>
        <w:tc>
          <w:tcPr>
            <w:tcW w:w="312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4280" w:type="dxa"/>
            <w:vAlign w:val="bottom"/>
          </w:tcPr>
          <w:p>
            <w:pPr>
              <w:spacing w:after="0"/>
              <w:rPr>
                <w:sz w:val="24"/>
                <w:szCs w:val="24"/>
                <w:color w:val="auto"/>
              </w:rPr>
            </w:pPr>
          </w:p>
        </w:tc>
      </w:tr>
      <w:tr>
        <w:trPr>
          <w:trHeight w:val="102"/>
        </w:trPr>
        <w:tc>
          <w:tcPr>
            <w:tcW w:w="3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Date: November 7, 2018</w:t>
      </w:r>
      <w:r>
        <w:rPr>
          <w:sz w:val="20"/>
          <w:szCs w:val="20"/>
          <w:color w:val="auto"/>
        </w:rPr>
        <w:tab/>
      </w:r>
      <w:r>
        <w:rPr>
          <w:rFonts w:ascii="Arial" w:cs="Arial" w:eastAsia="Arial" w:hAnsi="Arial"/>
          <w:sz w:val="17"/>
          <w:szCs w:val="17"/>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-635</wp:posOffset>
            </wp:positionV>
            <wp:extent cx="2735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476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76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Mark Kaufmann,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November 7, 2018</w:t>
      </w:r>
      <w:r>
        <w:rPr>
          <w:sz w:val="20"/>
          <w:szCs w:val="20"/>
          <w:color w:val="auto"/>
        </w:rPr>
        <w:tab/>
      </w:r>
      <w:r>
        <w:rPr>
          <w:rFonts w:ascii="Arial" w:cs="Arial" w:eastAsia="Arial" w:hAnsi="Arial"/>
          <w:sz w:val="16"/>
          <w:szCs w:val="16"/>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jc w:val="center"/>
        <w:ind w:left="490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0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2200" w:right="2180"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ind w:right="40" w:firstLine="324"/>
        <w:spacing w:after="0" w:line="187" w:lineRule="exact"/>
        <w:rPr>
          <w:sz w:val="20"/>
          <w:szCs w:val="20"/>
          <w:color w:val="auto"/>
        </w:rPr>
      </w:pPr>
      <w:r>
        <w:rPr>
          <w:rFonts w:ascii="Arial" w:cs="Arial" w:eastAsia="Arial" w:hAnsi="Arial"/>
          <w:sz w:val="18"/>
          <w:szCs w:val="18"/>
          <w:color w:val="auto"/>
        </w:rPr>
        <w:t>In connection with the Quarterly Report of Ardelyx,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ending September 30, 2018,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62" w:lineRule="exact"/>
        <w:rPr>
          <w:sz w:val="20"/>
          <w:szCs w:val="20"/>
          <w:color w:val="auto"/>
        </w:rPr>
      </w:pPr>
    </w:p>
    <w:p>
      <w:pPr>
        <w:ind w:left="760" w:right="60" w:hanging="433"/>
        <w:spacing w:after="0" w:line="235"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760" w:right="160" w:hanging="433"/>
        <w:spacing w:after="0" w:line="235"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90"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November 7, 2018</w:t>
      </w:r>
      <w:r>
        <w:rPr>
          <w:sz w:val="20"/>
          <w:szCs w:val="20"/>
          <w:color w:val="auto"/>
        </w:rPr>
        <w:tab/>
      </w:r>
      <w:r>
        <w:rPr>
          <w:rFonts w:ascii="Arial" w:cs="Arial" w:eastAsia="Arial" w:hAnsi="Arial"/>
          <w:sz w:val="16"/>
          <w:szCs w:val="16"/>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94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940"/>
        <w:spacing w:after="0"/>
        <w:rPr>
          <w:sz w:val="20"/>
          <w:szCs w:val="20"/>
          <w:color w:val="auto"/>
        </w:rPr>
      </w:pPr>
      <w:r>
        <w:rPr>
          <w:rFonts w:ascii="Arial" w:cs="Arial" w:eastAsia="Arial" w:hAnsi="Arial"/>
          <w:sz w:val="18"/>
          <w:szCs w:val="18"/>
          <w:b w:val="1"/>
          <w:bCs w:val="1"/>
          <w:color w:val="auto"/>
        </w:rPr>
        <w:t>(Principal Executive Officer)</w:t>
      </w:r>
    </w:p>
    <w:p>
      <w:pPr>
        <w:spacing w:after="0" w:line="302"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November 7, 2018</w:t>
      </w:r>
      <w:r>
        <w:rPr>
          <w:sz w:val="20"/>
          <w:szCs w:val="20"/>
          <w:color w:val="auto"/>
        </w:rPr>
        <w:tab/>
      </w:r>
      <w:r>
        <w:rPr>
          <w:rFonts w:ascii="Arial" w:cs="Arial" w:eastAsia="Arial" w:hAnsi="Arial"/>
          <w:sz w:val="17"/>
          <w:szCs w:val="17"/>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4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lowerRoman"/>
      <w:start w:val="2"/>
    </w:lvl>
  </w:abstractNum>
  <w:abstractNum w:abstractNumId="5">
    <w:nsid w:val="71F32454"/>
    <w:multiLevelType w:val="hybridMultilevel"/>
    <w:lvl w:ilvl="0">
      <w:lvlJc w:val="left"/>
      <w:lvlText w:val="(%1)"/>
      <w:numFmt w:val="lowerRoman"/>
      <w:start w:val="4"/>
    </w:lvl>
  </w:abstractNum>
  <w:abstractNum w:abstractNumId="6">
    <w:nsid w:val="2CA88611"/>
    <w:multiLevelType w:val="hybridMultilevel"/>
    <w:lvl w:ilvl="0">
      <w:lvlJc w:val="left"/>
      <w:lvlText w:val="%1."/>
      <w:numFmt w:val="decimal"/>
      <w:start w:val="6"/>
    </w:lvl>
  </w:abstractNum>
  <w:abstractNum w:abstractNumId="7">
    <w:nsid w:val="836C40E"/>
    <w:multiLevelType w:val="hybridMultilevel"/>
    <w:lvl w:ilvl="0">
      <w:lvlJc w:val="left"/>
      <w:lvlText w:val="%1)"/>
      <w:numFmt w:val="lowerRoman"/>
      <w:start w:val="1"/>
    </w:lvl>
  </w:abstractNum>
  <w:abstractNum w:abstractNumId="8">
    <w:nsid w:val="2901D82"/>
    <w:multiLevelType w:val="hybridMultilevel"/>
    <w:lvl w:ilvl="0">
      <w:lvlJc w:val="left"/>
      <w:lvlText w:val="%1."/>
      <w:numFmt w:val="upperLetter"/>
      <w:start w:val="3"/>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lvl w:ilvl="1">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lvl w:ilvl="1">
      <w:lvlJc w:val="left"/>
      <w:lvlText w:val="(%2)"/>
      <w:numFmt w:val="lowerRoman"/>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77" Type="http://schemas.openxmlformats.org/officeDocument/2006/relationships/hyperlink" Target="http://www.sec.gov/Archives/edgar/data/1437402/000155837018006606/ardx-20180630ex1031a45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2019-12-28T18:34:47Z</dcterms:created>
  <dcterms:modified xsi:type="dcterms:W3CDTF">2019-12-28T18:34:47Z</dcterms:modified>
</cp:coreProperties>
</file>