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274320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ARDELYX,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tbl>
      <w:tblPr>
        <w:tblLayout w:type="fixed"/>
        <w:tblInd w:w="1060" w:type="dxa"/>
        <w:tblCellMar>
          <w:top w:w="0" w:type="dxa"/>
          <w:left w:w="0" w:type="dxa"/>
          <w:bottom w:w="0" w:type="dxa"/>
          <w:right w:w="0" w:type="dxa"/>
        </w:tblCellMar>
      </w:tblPr>
      <w:tr>
        <w:trPr>
          <w:trHeight w:val="225"/>
        </w:trPr>
        <w:tc>
          <w:tcPr>
            <w:tcW w:w="2880" w:type="dxa"/>
            <w:vAlign w:val="bottom"/>
          </w:tcPr>
          <w:p>
            <w:pPr>
              <w:jc w:val="center"/>
              <w:ind w:right="1182"/>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ind w:left="1280"/>
              <w:spacing w:after="0"/>
              <w:rPr>
                <w:sz w:val="20"/>
                <w:szCs w:val="20"/>
                <w:color w:val="auto"/>
              </w:rPr>
            </w:pPr>
            <w:r>
              <w:rPr>
                <w:rFonts w:ascii="Arial" w:cs="Arial" w:eastAsia="Arial" w:hAnsi="Arial"/>
                <w:sz w:val="18"/>
                <w:szCs w:val="18"/>
                <w:b w:val="1"/>
                <w:bCs w:val="1"/>
                <w:color w:val="auto"/>
              </w:rPr>
              <w:t>001-36485</w:t>
            </w:r>
          </w:p>
        </w:tc>
        <w:tc>
          <w:tcPr>
            <w:tcW w:w="2740" w:type="dxa"/>
            <w:vAlign w:val="bottom"/>
          </w:tcPr>
          <w:p>
            <w:pPr>
              <w:jc w:val="center"/>
              <w:ind w:left="1222"/>
              <w:spacing w:after="0"/>
              <w:rPr>
                <w:sz w:val="20"/>
                <w:szCs w:val="20"/>
                <w:color w:val="auto"/>
              </w:rPr>
            </w:pPr>
            <w:r>
              <w:rPr>
                <w:rFonts w:ascii="Arial" w:cs="Arial" w:eastAsia="Arial" w:hAnsi="Arial"/>
                <w:sz w:val="18"/>
                <w:szCs w:val="18"/>
                <w:b w:val="1"/>
                <w:bCs w:val="1"/>
                <w:color w:val="auto"/>
                <w:w w:val="91"/>
              </w:rPr>
              <w:t>26-1303944</w:t>
            </w:r>
          </w:p>
        </w:tc>
      </w:tr>
      <w:tr>
        <w:trPr>
          <w:trHeight w:val="144"/>
        </w:trPr>
        <w:tc>
          <w:tcPr>
            <w:tcW w:w="2880" w:type="dxa"/>
            <w:vAlign w:val="bottom"/>
          </w:tcPr>
          <w:p>
            <w:pPr>
              <w:jc w:val="center"/>
              <w:ind w:right="1162"/>
              <w:spacing w:after="0" w:line="145" w:lineRule="exact"/>
              <w:rPr>
                <w:sz w:val="20"/>
                <w:szCs w:val="20"/>
                <w:color w:val="auto"/>
              </w:rPr>
            </w:pPr>
            <w:r>
              <w:rPr>
                <w:rFonts w:ascii="Arial" w:cs="Arial" w:eastAsia="Arial" w:hAnsi="Arial"/>
                <w:sz w:val="14"/>
                <w:szCs w:val="14"/>
                <w:b w:val="1"/>
                <w:bCs w:val="1"/>
                <w:color w:val="auto"/>
                <w:w w:val="93"/>
              </w:rPr>
              <w:t>(State or other jurisdiction</w:t>
            </w:r>
          </w:p>
        </w:tc>
        <w:tc>
          <w:tcPr>
            <w:tcW w:w="3400" w:type="dxa"/>
            <w:vAlign w:val="bottom"/>
          </w:tcPr>
          <w:p>
            <w:pPr>
              <w:ind w:left="1260"/>
              <w:spacing w:after="0" w:line="145" w:lineRule="exact"/>
              <w:rPr>
                <w:sz w:val="20"/>
                <w:szCs w:val="20"/>
                <w:color w:val="auto"/>
              </w:rPr>
            </w:pPr>
            <w:r>
              <w:rPr>
                <w:rFonts w:ascii="Arial" w:cs="Arial" w:eastAsia="Arial" w:hAnsi="Arial"/>
                <w:sz w:val="14"/>
                <w:szCs w:val="14"/>
                <w:b w:val="1"/>
                <w:bCs w:val="1"/>
                <w:color w:val="auto"/>
              </w:rPr>
              <w:t>(Commission</w:t>
            </w:r>
          </w:p>
        </w:tc>
        <w:tc>
          <w:tcPr>
            <w:tcW w:w="2740" w:type="dxa"/>
            <w:vAlign w:val="bottom"/>
          </w:tcPr>
          <w:p>
            <w:pPr>
              <w:jc w:val="center"/>
              <w:ind w:left="122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80" w:type="dxa"/>
            <w:vAlign w:val="bottom"/>
          </w:tcPr>
          <w:p>
            <w:pPr>
              <w:jc w:val="center"/>
              <w:ind w:right="1182"/>
              <w:spacing w:after="0"/>
              <w:rPr>
                <w:sz w:val="20"/>
                <w:szCs w:val="20"/>
                <w:color w:val="auto"/>
              </w:rPr>
            </w:pPr>
            <w:r>
              <w:rPr>
                <w:rFonts w:ascii="Arial" w:cs="Arial" w:eastAsia="Arial" w:hAnsi="Arial"/>
                <w:sz w:val="14"/>
                <w:szCs w:val="14"/>
                <w:b w:val="1"/>
                <w:bCs w:val="1"/>
                <w:color w:val="auto"/>
                <w:w w:val="94"/>
              </w:rPr>
              <w:t>of incorporation)</w:t>
            </w:r>
          </w:p>
        </w:tc>
        <w:tc>
          <w:tcPr>
            <w:tcW w:w="340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2740" w:type="dxa"/>
            <w:vAlign w:val="bottom"/>
          </w:tcPr>
          <w:p>
            <w:pPr>
              <w:jc w:val="center"/>
              <w:ind w:left="124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400 FIFTH AVE., SUITE 210, WALTHAM, MASSACHUSETTS 02451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Written communications pursuant to Rule 425 under the Securities Act (17 CFR 230.425)</w:t>
      </w:r>
    </w:p>
    <w:p>
      <w:pPr>
        <w:spacing w:after="0" w:line="4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040" w:type="dxa"/>
            <w:vAlign w:val="bottom"/>
            <w:gridSpan w:val="2"/>
          </w:tcPr>
          <w:p>
            <w:pPr>
              <w:spacing w:after="0"/>
              <w:rPr>
                <w:sz w:val="20"/>
                <w:szCs w:val="20"/>
                <w:color w:val="auto"/>
              </w:rPr>
            </w:pPr>
            <w:r>
              <w:rPr>
                <w:rFonts w:ascii="Arial" w:cs="Arial" w:eastAsia="Arial" w:hAnsi="Arial"/>
                <w:sz w:val="16"/>
                <w:szCs w:val="16"/>
                <w:color w:val="auto"/>
                <w:w w:val="98"/>
              </w:rPr>
              <w:t>Securities registered pursuant to Section 12(b) of the Act:</w:t>
            </w:r>
          </w:p>
        </w:tc>
        <w:tc>
          <w:tcPr>
            <w:tcW w:w="3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34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4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40" w:type="dxa"/>
            <w:vAlign w:val="bottom"/>
          </w:tcPr>
          <w:p>
            <w:pPr>
              <w:spacing w:after="0"/>
              <w:rPr>
                <w:sz w:val="24"/>
                <w:szCs w:val="24"/>
                <w:color w:val="auto"/>
              </w:rPr>
            </w:pPr>
          </w:p>
        </w:tc>
        <w:tc>
          <w:tcPr>
            <w:tcW w:w="3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7"/>
        </w:trPr>
        <w:tc>
          <w:tcPr>
            <w:tcW w:w="404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Common Stock, par value $0.0001</w:t>
            </w:r>
          </w:p>
        </w:tc>
        <w:tc>
          <w:tcPr>
            <w:tcW w:w="3280" w:type="dxa"/>
            <w:vAlign w:val="bottom"/>
            <w:gridSpan w:val="2"/>
          </w:tcPr>
          <w:p>
            <w:pPr>
              <w:jc w:val="center"/>
              <w:ind w:right="140"/>
              <w:spacing w:after="0"/>
              <w:rPr>
                <w:sz w:val="20"/>
                <w:szCs w:val="20"/>
                <w:color w:val="auto"/>
              </w:rPr>
            </w:pPr>
            <w:r>
              <w:rPr>
                <w:rFonts w:ascii="Arial" w:cs="Arial" w:eastAsia="Arial" w:hAnsi="Arial"/>
                <w:sz w:val="16"/>
                <w:szCs w:val="16"/>
                <w:color w:val="auto"/>
              </w:rPr>
              <w:t>ARDX</w:t>
            </w:r>
          </w:p>
        </w:tc>
        <w:tc>
          <w:tcPr>
            <w:tcW w:w="392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185"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70" w:lineRule="exact"/>
        <w:rPr>
          <w:sz w:val="24"/>
          <w:szCs w:val="24"/>
          <w:color w:val="auto"/>
        </w:rPr>
      </w:pPr>
    </w:p>
    <w:p>
      <w:pPr>
        <w:ind w:right="580"/>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2.05 Costs Associated with Exit or Disposal Activities.</w:t>
      </w:r>
    </w:p>
    <w:p>
      <w:pPr>
        <w:spacing w:after="0" w:line="24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On October 8, 2021, the Board of Directors of Ardelyx, Inc. (the “Company”) approved and on October 12, 2021 management began implementing, a restructuring plan to reduce operating costs and better align the Company’s workforce with the needs of its business following the receipt of a complete response letter (“CRL”) from the U.S. Food and Drug Administration (the “FDA”) on July 28, 2021 regarding the Company’s New Drug Application (“NDA”) for the control of serum phosphorus in chronic kidney disease patients on dialysis, and the subsequent conclusion of a Type A meeting with the FDA on October 4, 2021. The restructuring plan is expected to be completed in December 2021.</w:t>
      </w:r>
    </w:p>
    <w:p>
      <w:pPr>
        <w:spacing w:after="0" w:line="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Under the restructuring plan, the Company is reducing its workforce by approximately 102 employees (approximately 65%). Impacted employees have received notice that their positions will be eliminated on December 15, 2021. At the time of departure from the Company, either on December 15, 2021, or earlier, impacted employees are eligible to receive severance benefits and Company funded COBRA premiums, contingent upon an impacted employee’s execution (and non-revocation) of a separation agreement, which includes a general release of claims against the Company. The Company expects that the workforce reduction will decrease its annual cash compensation costs by approximately $18.1 million.</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In connection with the restructuring, the Company estimates that it will incur aggregate restructuring charges of approximately $2.3 million, which will be recorded primarily in the fourth quarter 2021, related to severance payments and other employee-related costs. The severance payments related to the reduction in workforce will be paid primarily during the fourth quarter of 2021. The Company may also incur additional costs not currently contemplated due to events that may occur as a result of, or that are associated with, the reduction in workforce.</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This item 2.05 contains forward-looking statements, including, but not limited to, statements related to the expected costs associated with the restructuring and the expected reduction in annual cash compensation costs resulting from the workforce reduction. These forward-looking statements are based on the Company’s current expectations and inherently involve significant risks and uncertainties. The Company’s actual results and the timing of events could differ materially from those anticipated in such forward-looking statements as a result of these risks and uncertainties, which include, without limitation, risks related to cost reduction efforts. In addition, the Company’s workforce reduction costs may be greater than anticipated. A further description of the risks and uncertainties relating to the business of the Company is contained in the Company’s Quarterly Report on Form 10-Q for the quarterly period ended June 30, 2021, filed with the Securities and Exchange Commission (the “SEC”), and the Company’s subsequent current reports filed with the SEC. The Company undertakes no duty or obligation to update any forward-looking statements contained in this Item 2.05 as a result of new information, future events or changes in its expectations.</w:t>
      </w:r>
    </w:p>
    <w:p>
      <w:pPr>
        <w:spacing w:after="0" w:line="311"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4"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On October 8, 2021, the Board determined that it is in the best interests of the Company and its stockholder to put in place arrangements designed to provide that the Company will have the continued dedication and commitment of those employees, including executives, determined to be key to the restructuring and planned future operations of the Company, and thus, not impacted by the reduction in force. The Board approved, and management is implementing a retention program consisting of cash payments and grants of restricted stock units to the Company’s employees not impacted by the reduction in force. As part of the retention plan the Company expects to enter into retention agreements with the retained employees, including the following named executive officers: Mike Raab, the Company’s Chief Executive Officer, Justin Renz, the Company’s Chief Financial Officer and Susan Rodriguez, the Company’s Chief Commercial Officer. Under those retention arrangements, each of Messrs. Raab and Renz and Ms. Rodriguez will receive a restricted stock unit (“RSU”) grant for 300,000, 250,000 and 150,000 shares, respectively. The RSUs will vest in full on June 1, 2022. Additionally, the retention agreement will provide Messrs. Raab and Renz and Ms. Rodriguez the opportunity to earn cash bonuses upon the achievement of certain milestones in the amounts of $300,000, $250,000 and $150,000,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Exhibit</w:t>
      </w:r>
    </w:p>
    <w:p>
      <w:pPr>
        <w:ind w:left="320"/>
        <w:spacing w:after="0"/>
        <w:tabs>
          <w:tab w:leader="none" w:pos="10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214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03" w:lineRule="exact"/>
        <w:rPr>
          <w:sz w:val="20"/>
          <w:szCs w:val="20"/>
          <w:color w:val="auto"/>
        </w:rPr>
      </w:pPr>
    </w:p>
    <w:p>
      <w:pPr>
        <w:ind w:left="20"/>
        <w:spacing w:after="0"/>
        <w:tabs>
          <w:tab w:leader="none" w:pos="4820" w:val="left"/>
        </w:tabs>
        <w:rPr>
          <w:sz w:val="20"/>
          <w:szCs w:val="20"/>
          <w:color w:val="auto"/>
        </w:rPr>
      </w:pPr>
      <w:r>
        <w:rPr>
          <w:rFonts w:ascii="Arial" w:cs="Arial" w:eastAsia="Arial" w:hAnsi="Arial"/>
          <w:sz w:val="18"/>
          <w:szCs w:val="18"/>
          <w:color w:val="auto"/>
        </w:rPr>
        <w:t>Date: October 13, 2021</w:t>
      </w:r>
      <w:r>
        <w:rPr>
          <w:sz w:val="20"/>
          <w:szCs w:val="20"/>
          <w:color w:val="auto"/>
        </w:rPr>
        <w:tab/>
      </w:r>
      <w:r>
        <w:rPr>
          <w:rFonts w:ascii="Arial" w:cs="Arial" w:eastAsia="Arial" w:hAnsi="Arial"/>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Arial" w:cs="Arial" w:eastAsia="Arial" w:hAnsi="Arial"/>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376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Justin Renz</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20"/>
      </w:cols>
      <w:pgMar w:left="320" w:top="114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2021-10-13T07:06:13Z</dcterms:created>
  <dcterms:modified xsi:type="dcterms:W3CDTF">2021-10-13T07:06:13Z</dcterms:modified>
</cp:coreProperties>
</file>