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1407795</wp:posOffset>
            </wp:positionH>
            <wp:positionV relativeFrom="page">
              <wp:posOffset>90170</wp:posOffset>
            </wp:positionV>
            <wp:extent cx="473583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35830" cy="5715"/>
                    </a:xfrm>
                    <a:prstGeom prst="rect">
                      <a:avLst/>
                    </a:prstGeom>
                    <a:noFill/>
                  </pic:spPr>
                </pic:pic>
              </a:graphicData>
            </a:graphic>
          </wp:anchor>
        </w:drawing>
        <w:drawing>
          <wp:anchor simplePos="0" relativeHeight="251657728" behindDoc="1" locked="0" layoutInCell="0" allowOverlap="1">
            <wp:simplePos x="0" y="0"/>
            <wp:positionH relativeFrom="page">
              <wp:posOffset>1407795</wp:posOffset>
            </wp:positionH>
            <wp:positionV relativeFrom="page">
              <wp:posOffset>119380</wp:posOffset>
            </wp:positionV>
            <wp:extent cx="473583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35830" cy="5715"/>
                    </a:xfrm>
                    <a:prstGeom prst="rect">
                      <a:avLst/>
                    </a:prstGeom>
                    <a:noFill/>
                  </pic:spPr>
                </pic:pic>
              </a:graphicData>
            </a:graphic>
          </wp:anchor>
        </w:drawing>
        <w:t>UNITED STATES</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153035</wp:posOffset>
            </wp:positionV>
            <wp:extent cx="99822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98220" cy="5715"/>
                    </a:xfrm>
                    <a:prstGeom prst="rect">
                      <a:avLst/>
                    </a:prstGeom>
                    <a:noFill/>
                  </pic:spPr>
                </pic:pic>
              </a:graphicData>
            </a:graphic>
          </wp:anchor>
        </w:drawing>
      </w:r>
    </w:p>
    <w:p>
      <w:pPr>
        <w:spacing w:after="0" w:line="34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164465</wp:posOffset>
            </wp:positionV>
            <wp:extent cx="99822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98220" cy="5715"/>
                    </a:xfrm>
                    <a:prstGeom prst="rect">
                      <a:avLst/>
                    </a:prstGeom>
                    <a:noFill/>
                  </pic:spPr>
                </pic:pic>
              </a:graphicData>
            </a:graphic>
          </wp:anchor>
        </w:drawing>
      </w:r>
    </w:p>
    <w:p>
      <w:pPr>
        <w:spacing w:after="0" w:line="376"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CURRENT REPORT</w:t>
      </w:r>
    </w:p>
    <w:p>
      <w:pPr>
        <w:jc w:val="center"/>
        <w:ind w:right="19"/>
        <w:spacing w:after="0"/>
        <w:rPr>
          <w:sz w:val="20"/>
          <w:szCs w:val="20"/>
          <w:color w:val="auto"/>
        </w:rPr>
      </w:pPr>
      <w:r>
        <w:rPr>
          <w:rFonts w:ascii="Arial" w:cs="Arial" w:eastAsia="Arial" w:hAnsi="Arial"/>
          <w:sz w:val="15"/>
          <w:szCs w:val="15"/>
          <w:b w:val="1"/>
          <w:bCs w:val="1"/>
          <w:color w:val="auto"/>
        </w:rPr>
        <w:t>Pursuant to Section 13 or 15(d)</w:t>
      </w:r>
    </w:p>
    <w:p>
      <w:pPr>
        <w:jc w:val="center"/>
        <w:ind w:right="19"/>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Date of Report (Date of earliest event reported): January 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157480</wp:posOffset>
            </wp:positionV>
            <wp:extent cx="99822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98220" cy="5715"/>
                    </a:xfrm>
                    <a:prstGeom prst="rect">
                      <a:avLst/>
                    </a:prstGeom>
                    <a:noFill/>
                  </pic:spPr>
                </pic:pic>
              </a:graphicData>
            </a:graphic>
          </wp:anchor>
        </w:drawing>
      </w:r>
    </w:p>
    <w:p>
      <w:pPr>
        <w:spacing w:after="0" w:line="35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ARDELYX,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161290</wp:posOffset>
            </wp:positionV>
            <wp:extent cx="99822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98220" cy="5715"/>
                    </a:xfrm>
                    <a:prstGeom prst="rect">
                      <a:avLst/>
                    </a:prstGeom>
                    <a:noFill/>
                  </pic:spPr>
                </pic:pic>
              </a:graphicData>
            </a:graphic>
          </wp:anchor>
        </w:drawing>
      </w:r>
    </w:p>
    <w:p>
      <w:pPr>
        <w:sectPr>
          <w:pgSz w:w="11900" w:h="16838" w:orient="portrait"/>
          <w:cols w:equalWidth="0" w:num="1">
            <w:col w:w="9019"/>
          </w:cols>
          <w:pgMar w:left="1440" w:top="215" w:right="1440" w:bottom="1440" w:gutter="0" w:footer="0" w:header="0"/>
        </w:sectPr>
      </w:pPr>
    </w:p>
    <w:p>
      <w:pPr>
        <w:spacing w:after="0" w:line="200" w:lineRule="exact"/>
        <w:rPr>
          <w:sz w:val="24"/>
          <w:szCs w:val="24"/>
          <w:color w:val="auto"/>
        </w:rPr>
      </w:pPr>
    </w:p>
    <w:p>
      <w:pPr>
        <w:spacing w:after="0" w:line="233" w:lineRule="exact"/>
        <w:rPr>
          <w:sz w:val="24"/>
          <w:szCs w:val="24"/>
          <w:color w:val="auto"/>
        </w:rPr>
      </w:pPr>
    </w:p>
    <w:p>
      <w:pPr>
        <w:ind w:left="180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3" w:lineRule="exact"/>
        <w:rPr>
          <w:sz w:val="24"/>
          <w:szCs w:val="24"/>
          <w:color w:val="auto"/>
        </w:rPr>
      </w:pPr>
    </w:p>
    <w:p>
      <w:pPr>
        <w:jc w:val="center"/>
        <w:ind w:right="1180"/>
        <w:spacing w:after="0"/>
        <w:rPr>
          <w:sz w:val="20"/>
          <w:szCs w:val="20"/>
          <w:color w:val="auto"/>
        </w:rPr>
      </w:pPr>
      <w:r>
        <w:rPr>
          <w:rFonts w:ascii="Arial" w:cs="Arial" w:eastAsia="Arial" w:hAnsi="Arial"/>
          <w:sz w:val="10"/>
          <w:szCs w:val="10"/>
          <w:b w:val="1"/>
          <w:bCs w:val="1"/>
          <w:color w:val="auto"/>
        </w:rPr>
        <w:t>001-36485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26-1303944</w:t>
      </w:r>
    </w:p>
    <w:p>
      <w:pPr>
        <w:spacing w:after="0" w:line="14" w:lineRule="exact"/>
        <w:rPr>
          <w:sz w:val="24"/>
          <w:szCs w:val="24"/>
          <w:color w:val="auto"/>
        </w:rPr>
      </w:pPr>
    </w:p>
    <w:p>
      <w:pPr>
        <w:sectPr>
          <w:pgSz w:w="11900" w:h="16838" w:orient="portrait"/>
          <w:cols w:equalWidth="0" w:num="3">
            <w:col w:w="3600" w:space="720"/>
            <w:col w:w="1700" w:space="720"/>
            <w:col w:w="2279"/>
          </w:cols>
          <w:pgMar w:left="1440" w:top="215" w:right="1440" w:bottom="1440" w:gutter="0" w:footer="0" w:header="0"/>
          <w:type w:val="continuous"/>
        </w:sectPr>
      </w:pPr>
    </w:p>
    <w:p>
      <w:pPr>
        <w:spacing w:after="0" w:line="18" w:lineRule="exact"/>
        <w:rPr>
          <w:sz w:val="24"/>
          <w:szCs w:val="24"/>
          <w:color w:val="auto"/>
        </w:rPr>
      </w:pPr>
    </w:p>
    <w:p>
      <w:pPr>
        <w:jc w:val="center"/>
        <w:ind w:left="500"/>
        <w:spacing w:after="0"/>
        <w:rPr>
          <w:sz w:val="20"/>
          <w:szCs w:val="20"/>
          <w:color w:val="auto"/>
        </w:rPr>
      </w:pPr>
      <w:r>
        <w:rPr>
          <w:rFonts w:ascii="Arial" w:cs="Arial" w:eastAsia="Arial" w:hAnsi="Arial"/>
          <w:sz w:val="7"/>
          <w:szCs w:val="7"/>
          <w:b w:val="1"/>
          <w:bCs w:val="1"/>
          <w:color w:val="auto"/>
        </w:rPr>
        <w:t>(State or other jurisdiction</w:t>
      </w:r>
    </w:p>
    <w:p>
      <w:pPr>
        <w:spacing w:after="0" w:line="16" w:lineRule="exact"/>
        <w:rPr>
          <w:sz w:val="24"/>
          <w:szCs w:val="24"/>
          <w:color w:val="auto"/>
        </w:rPr>
      </w:pPr>
    </w:p>
    <w:p>
      <w:pPr>
        <w:jc w:val="center"/>
        <w:ind w:left="50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7"/>
          <w:szCs w:val="7"/>
          <w:b w:val="1"/>
          <w:bCs w:val="1"/>
          <w:color w:val="auto"/>
        </w:rPr>
        <w:t>(Commission</w:t>
      </w:r>
    </w:p>
    <w:p>
      <w:pPr>
        <w:spacing w:after="0" w:line="16"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File Number)</w:t>
      </w:r>
    </w:p>
    <w:p>
      <w:pPr>
        <w:spacing w:after="0" w:line="20" w:lineRule="exact"/>
        <w:rPr>
          <w:sz w:val="24"/>
          <w:szCs w:val="24"/>
          <w:color w:val="auto"/>
        </w:rPr>
      </w:pPr>
      <w:r>
        <w:rPr>
          <w:sz w:val="24"/>
          <w:szCs w:val="24"/>
          <w:color w:val="auto"/>
        </w:rPr>
        <w:br w:type="column"/>
      </w:r>
    </w:p>
    <w:p>
      <w:pPr>
        <w:jc w:val="center"/>
        <w:ind w:right="1499"/>
        <w:spacing w:after="0"/>
        <w:rPr>
          <w:sz w:val="20"/>
          <w:szCs w:val="20"/>
          <w:color w:val="auto"/>
        </w:rPr>
      </w:pPr>
      <w:r>
        <w:rPr>
          <w:rFonts w:ascii="Arial" w:cs="Arial" w:eastAsia="Arial" w:hAnsi="Arial"/>
          <w:sz w:val="10"/>
          <w:szCs w:val="10"/>
          <w:b w:val="1"/>
          <w:bCs w:val="1"/>
          <w:color w:val="auto"/>
        </w:rPr>
        <w:t>(IRS Employer</w:t>
      </w:r>
    </w:p>
    <w:p>
      <w:pPr>
        <w:jc w:val="center"/>
        <w:ind w:right="1499"/>
        <w:spacing w:after="0"/>
        <w:rPr>
          <w:sz w:val="20"/>
          <w:szCs w:val="20"/>
          <w:color w:val="auto"/>
        </w:rPr>
      </w:pPr>
      <w:r>
        <w:rPr>
          <w:rFonts w:ascii="Arial" w:cs="Arial" w:eastAsia="Arial" w:hAnsi="Arial"/>
          <w:sz w:val="9"/>
          <w:szCs w:val="9"/>
          <w:b w:val="1"/>
          <w:bCs w:val="1"/>
          <w:color w:val="auto"/>
        </w:rPr>
        <w:t>Identification Number)</w:t>
      </w:r>
    </w:p>
    <w:p>
      <w:pPr>
        <w:spacing w:after="0" w:line="144" w:lineRule="exact"/>
        <w:rPr>
          <w:sz w:val="24"/>
          <w:szCs w:val="24"/>
          <w:color w:val="auto"/>
        </w:rPr>
      </w:pPr>
    </w:p>
    <w:p>
      <w:pPr>
        <w:sectPr>
          <w:pgSz w:w="11900" w:h="16838" w:orient="portrait"/>
          <w:cols w:equalWidth="0" w:num="3">
            <w:col w:w="3580" w:space="720"/>
            <w:col w:w="1540" w:space="720"/>
            <w:col w:w="2459"/>
          </w:cols>
          <w:pgMar w:left="1440" w:top="215" w:right="1440"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34175 Ardenwood Blvd., Suite 200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Fremont, CA 94555</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7"/>
          <w:szCs w:val="7"/>
          <w:b w:val="1"/>
          <w:bCs w:val="1"/>
          <w:color w:val="auto"/>
        </w:rPr>
        <w:t>(Address of principal executive offices, including Zip Code)</w:t>
      </w:r>
    </w:p>
    <w:p>
      <w:pPr>
        <w:sectPr>
          <w:pgSz w:w="11900" w:h="16838" w:orient="portrait"/>
          <w:cols w:equalWidth="0" w:num="1">
            <w:col w:w="9019"/>
          </w:cols>
          <w:pgMar w:left="1440" w:top="215" w:right="1440" w:bottom="1440" w:gutter="0" w:footer="0" w:header="0"/>
          <w:type w:val="continuous"/>
        </w:sectPr>
      </w:pP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170180</wp:posOffset>
            </wp:positionV>
            <wp:extent cx="99822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98220" cy="5715"/>
                    </a:xfrm>
                    <a:prstGeom prst="rect">
                      <a:avLst/>
                    </a:prstGeom>
                    <a:noFill/>
                  </pic:spPr>
                </pic:pic>
              </a:graphicData>
            </a:graphic>
          </wp:anchor>
        </w:drawing>
      </w:r>
    </w:p>
    <w:p>
      <w:pPr>
        <w:spacing w:after="0" w:line="394" w:lineRule="exact"/>
        <w:rPr>
          <w:sz w:val="24"/>
          <w:szCs w:val="24"/>
          <w:color w:val="auto"/>
        </w:rPr>
      </w:pPr>
    </w:p>
    <w:p>
      <w:pPr>
        <w:ind w:left="780" w:right="1099"/>
        <w:spacing w:after="0" w:line="283"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1060" w:hanging="283"/>
        <w:spacing w:after="0"/>
        <w:tabs>
          <w:tab w:leader="none" w:pos="10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90" w:lineRule="exact"/>
        <w:rPr>
          <w:rFonts w:ascii="MS PGothic" w:cs="MS PGothic" w:eastAsia="MS PGothic" w:hAnsi="MS PGothic"/>
          <w:sz w:val="12"/>
          <w:szCs w:val="12"/>
          <w:color w:val="auto"/>
        </w:rPr>
      </w:pPr>
    </w:p>
    <w:p>
      <w:pPr>
        <w:ind w:left="1060" w:hanging="283"/>
        <w:spacing w:after="0"/>
        <w:tabs>
          <w:tab w:leader="none" w:pos="10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90" w:lineRule="exact"/>
        <w:rPr>
          <w:rFonts w:ascii="MS PGothic" w:cs="MS PGothic" w:eastAsia="MS PGothic" w:hAnsi="MS PGothic"/>
          <w:sz w:val="12"/>
          <w:szCs w:val="12"/>
          <w:color w:val="auto"/>
        </w:rPr>
      </w:pPr>
    </w:p>
    <w:p>
      <w:pPr>
        <w:ind w:left="1060" w:hanging="283"/>
        <w:spacing w:after="0"/>
        <w:tabs>
          <w:tab w:leader="none" w:pos="10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90" w:lineRule="exact"/>
        <w:rPr>
          <w:rFonts w:ascii="MS PGothic" w:cs="MS PGothic" w:eastAsia="MS PGothic" w:hAnsi="MS PGothic"/>
          <w:sz w:val="12"/>
          <w:szCs w:val="12"/>
          <w:color w:val="auto"/>
        </w:rPr>
      </w:pPr>
    </w:p>
    <w:p>
      <w:pPr>
        <w:ind w:left="1060" w:hanging="283"/>
        <w:spacing w:after="0"/>
        <w:tabs>
          <w:tab w:leader="none" w:pos="10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4" w:lineRule="exact"/>
        <w:rPr>
          <w:sz w:val="24"/>
          <w:szCs w:val="24"/>
          <w:color w:val="auto"/>
        </w:rPr>
      </w:pPr>
    </w:p>
    <w:p>
      <w:pPr>
        <w:ind w:left="780" w:right="979"/>
        <w:spacing w:after="0" w:line="283"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1" w:lineRule="exact"/>
        <w:rPr>
          <w:sz w:val="24"/>
          <w:szCs w:val="24"/>
          <w:color w:val="auto"/>
        </w:rPr>
      </w:pPr>
    </w:p>
    <w:p>
      <w:pPr>
        <w:ind w:left="78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77" w:lineRule="exact"/>
        <w:rPr>
          <w:sz w:val="24"/>
          <w:szCs w:val="24"/>
          <w:color w:val="auto"/>
        </w:rPr>
      </w:pPr>
    </w:p>
    <w:p>
      <w:pPr>
        <w:ind w:left="780" w:right="979"/>
        <w:spacing w:after="0" w:line="157"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493395</wp:posOffset>
            </wp:positionH>
            <wp:positionV relativeFrom="paragraph">
              <wp:posOffset>90805</wp:posOffset>
            </wp:positionV>
            <wp:extent cx="473583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35830" cy="571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119380</wp:posOffset>
            </wp:positionV>
            <wp:extent cx="473583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35830" cy="5715"/>
                    </a:xfrm>
                    <a:prstGeom prst="rect">
                      <a:avLst/>
                    </a:prstGeom>
                    <a:noFill/>
                  </pic:spPr>
                </pic:pic>
              </a:graphicData>
            </a:graphic>
          </wp:anchor>
        </w:drawing>
      </w:r>
    </w:p>
    <w:p>
      <w:pPr>
        <w:sectPr>
          <w:pgSz w:w="11900" w:h="16838" w:orient="portrait"/>
          <w:cols w:equalWidth="0" w:num="1">
            <w:col w:w="9019"/>
          </w:cols>
          <w:pgMar w:left="1440" w:top="215" w:right="1440" w:bottom="1440" w:gutter="0" w:footer="0" w:header="0"/>
          <w:type w:val="continuous"/>
        </w:sectPr>
      </w:pPr>
    </w:p>
    <w:bookmarkStart w:id="1" w:name="page2"/>
    <w:bookmarkEnd w:id="1"/>
    <w:p>
      <w:pPr>
        <w:ind w:left="780"/>
        <w:spacing w:after="0"/>
        <w:tabs>
          <w:tab w:leader="none" w:pos="164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71755</wp:posOffset>
            </wp:positionH>
            <wp:positionV relativeFrom="page">
              <wp:posOffset>38100</wp:posOffset>
            </wp:positionV>
            <wp:extent cx="741934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419340" cy="29845"/>
                    </a:xfrm>
                    <a:prstGeom prst="rect">
                      <a:avLst/>
                    </a:prstGeom>
                    <a:noFill/>
                  </pic:spPr>
                </pic:pic>
              </a:graphicData>
            </a:graphic>
          </wp:anchor>
        </w:drawing>
        <w:t>Item 7.01</w:t>
      </w:r>
      <w:r>
        <w:rPr>
          <w:sz w:val="20"/>
          <w:szCs w:val="20"/>
          <w:color w:val="auto"/>
        </w:rPr>
        <w:tab/>
      </w:r>
      <w:r>
        <w:rPr>
          <w:rFonts w:ascii="Arial" w:cs="Arial" w:eastAsia="Arial" w:hAnsi="Arial"/>
          <w:sz w:val="10"/>
          <w:szCs w:val="10"/>
          <w:b w:val="1"/>
          <w:bCs w:val="1"/>
          <w:color w:val="auto"/>
        </w:rPr>
        <w:t>Regulation FD Disclosure.</w:t>
      </w:r>
    </w:p>
    <w:p>
      <w:pPr>
        <w:spacing w:after="0" w:line="85" w:lineRule="exact"/>
        <w:rPr>
          <w:sz w:val="20"/>
          <w:szCs w:val="20"/>
          <w:color w:val="auto"/>
        </w:rPr>
      </w:pPr>
    </w:p>
    <w:p>
      <w:pPr>
        <w:ind w:left="780" w:right="1059"/>
        <w:spacing w:after="0" w:line="268" w:lineRule="auto"/>
        <w:rPr>
          <w:sz w:val="20"/>
          <w:szCs w:val="20"/>
          <w:color w:val="auto"/>
        </w:rPr>
      </w:pPr>
      <w:r>
        <w:rPr>
          <w:rFonts w:ascii="Arial" w:cs="Arial" w:eastAsia="Arial" w:hAnsi="Arial"/>
          <w:sz w:val="12"/>
          <w:szCs w:val="12"/>
          <w:color w:val="auto"/>
        </w:rPr>
        <w:t>On January 7, 2019, Ardelyx, Inc. (the “Company”) updated its corporate presentation (the “Corporate Presentation”) in connection with upcoming investor conferences. A copy of the Corporate Presentation is furnished as Exhibit 99.1 to this Current Report on Form 8-K, and incorporated by reference.</w:t>
      </w:r>
    </w:p>
    <w:p>
      <w:pPr>
        <w:spacing w:after="0" w:line="123" w:lineRule="exact"/>
        <w:rPr>
          <w:sz w:val="20"/>
          <w:szCs w:val="20"/>
          <w:color w:val="auto"/>
        </w:rPr>
      </w:pPr>
    </w:p>
    <w:p>
      <w:pPr>
        <w:ind w:left="780" w:right="799"/>
        <w:spacing w:after="0" w:line="304" w:lineRule="auto"/>
        <w:rPr>
          <w:sz w:val="20"/>
          <w:szCs w:val="20"/>
          <w:color w:val="auto"/>
        </w:rPr>
      </w:pPr>
      <w:r>
        <w:rPr>
          <w:rFonts w:ascii="Arial" w:cs="Arial" w:eastAsia="Arial" w:hAnsi="Arial"/>
          <w:sz w:val="11"/>
          <w:szCs w:val="11"/>
          <w:color w:val="auto"/>
        </w:rPr>
        <w:t>The information furnished under this Item 7.01 shall not be considered “filed” under the Securities Exchange Act of 1934, as amended (the “Exchange Act”), nor shall it be incorporated by reference into any future filing under the Securities Act of 1933, as amended, or under the Exchange Act unless the Company expressly sets forth in such future filing that such information is to be considered “filed” or incorporated by reference therein.</w:t>
      </w:r>
    </w:p>
    <w:p>
      <w:pPr>
        <w:spacing w:after="0" w:line="119" w:lineRule="exact"/>
        <w:rPr>
          <w:sz w:val="20"/>
          <w:szCs w:val="20"/>
          <w:color w:val="auto"/>
        </w:rPr>
      </w:pPr>
    </w:p>
    <w:p>
      <w:pPr>
        <w:ind w:left="780"/>
        <w:spacing w:after="0"/>
        <w:tabs>
          <w:tab w:leader="none" w:pos="164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154" w:lineRule="exact"/>
        <w:rPr>
          <w:sz w:val="20"/>
          <w:szCs w:val="20"/>
          <w:color w:val="auto"/>
        </w:rPr>
      </w:pPr>
    </w:p>
    <w:p>
      <w:pPr>
        <w:ind w:left="780"/>
        <w:spacing w:after="0"/>
        <w:rPr>
          <w:sz w:val="20"/>
          <w:szCs w:val="20"/>
          <w:color w:val="auto"/>
        </w:rPr>
      </w:pPr>
      <w:r>
        <w:rPr>
          <w:rFonts w:ascii="Arial" w:cs="Arial" w:eastAsia="Arial" w:hAnsi="Arial"/>
          <w:sz w:val="12"/>
          <w:szCs w:val="12"/>
          <w:b w:val="1"/>
          <w:bCs w:val="1"/>
          <w:color w:val="auto"/>
        </w:rPr>
        <w:t>(d) Exhibits.</w:t>
      </w:r>
    </w:p>
    <w:p>
      <w:pPr>
        <w:spacing w:after="0" w:line="157" w:lineRule="exact"/>
        <w:rPr>
          <w:sz w:val="20"/>
          <w:szCs w:val="20"/>
          <w:color w:val="auto"/>
        </w:rPr>
      </w:pPr>
    </w:p>
    <w:p>
      <w:pPr>
        <w:ind w:left="780"/>
        <w:spacing w:after="0"/>
        <w:rPr>
          <w:sz w:val="20"/>
          <w:szCs w:val="20"/>
          <w:color w:val="auto"/>
        </w:rPr>
      </w:pPr>
      <w:r>
        <w:rPr>
          <w:rFonts w:ascii="Arial" w:cs="Arial" w:eastAsia="Arial" w:hAnsi="Arial"/>
          <w:sz w:val="10"/>
          <w:szCs w:val="10"/>
          <w:color w:val="auto"/>
        </w:rPr>
        <w:t>Exhibit</w:t>
      </w:r>
    </w:p>
    <w:p>
      <w:pPr>
        <w:ind w:left="860"/>
        <w:spacing w:after="0"/>
        <w:tabs>
          <w:tab w:leader="none" w:pos="1400" w:val="left"/>
        </w:tabs>
        <w:rPr>
          <w:sz w:val="20"/>
          <w:szCs w:val="20"/>
          <w:color w:val="auto"/>
        </w:rPr>
      </w:pPr>
      <w:r>
        <w:rPr>
          <w:rFonts w:ascii="Arial" w:cs="Arial" w:eastAsia="Arial" w:hAnsi="Arial"/>
          <w:sz w:val="10"/>
          <w:szCs w:val="10"/>
          <w:color w:val="auto"/>
        </w:rPr>
        <w:t>No.</w:t>
      </w:r>
      <w:r>
        <w:rPr>
          <w:sz w:val="20"/>
          <w:szCs w:val="20"/>
          <w:color w:val="auto"/>
        </w:rPr>
        <w:tab/>
      </w:r>
      <w:r>
        <w:rPr>
          <w:rFonts w:ascii="Arial" w:cs="Arial" w:eastAsia="Arial" w:hAnsi="Arial"/>
          <w:sz w:val="10"/>
          <w:szCs w:val="10"/>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0</wp:posOffset>
            </wp:positionV>
            <wp:extent cx="18542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5420" cy="5715"/>
                    </a:xfrm>
                    <a:prstGeom prst="rect">
                      <a:avLst/>
                    </a:prstGeom>
                    <a:noFill/>
                  </pic:spPr>
                </pic:pic>
              </a:graphicData>
            </a:graphic>
          </wp:anchor>
        </w:drawing>
      </w:r>
    </w:p>
    <w:p>
      <w:pPr>
        <w:spacing w:after="0" w:line="43" w:lineRule="exact"/>
        <w:rPr>
          <w:sz w:val="20"/>
          <w:szCs w:val="20"/>
          <w:color w:val="auto"/>
        </w:rPr>
      </w:pPr>
    </w:p>
    <w:p>
      <w:pPr>
        <w:ind w:left="780"/>
        <w:spacing w:after="0"/>
        <w:tabs>
          <w:tab w:leader="none" w:pos="1400" w:val="left"/>
        </w:tabs>
        <w:rPr>
          <w:sz w:val="20"/>
          <w:szCs w:val="20"/>
          <w:color w:val="auto"/>
        </w:rPr>
      </w:pPr>
      <w:r>
        <w:rPr>
          <w:rFonts w:ascii="Arial" w:cs="Arial" w:eastAsia="Arial" w:hAnsi="Arial"/>
          <w:sz w:val="12"/>
          <w:szCs w:val="12"/>
          <w:color w:val="auto"/>
        </w:rPr>
        <w:t>99.1</w:t>
      </w:r>
      <w:r>
        <w:rPr>
          <w:sz w:val="20"/>
          <w:szCs w:val="20"/>
          <w:color w:val="auto"/>
        </w:rPr>
        <w:tab/>
      </w:r>
      <w:r>
        <w:rPr>
          <w:rFonts w:ascii="Arial" w:cs="Arial" w:eastAsia="Arial" w:hAnsi="Arial"/>
          <w:sz w:val="11"/>
          <w:szCs w:val="11"/>
          <w:u w:val="single" w:color="auto"/>
          <w:color w:val="0000EE"/>
        </w:rPr>
        <w:t>Corporate presentation of Ardelyx, Inc.</w:t>
      </w:r>
    </w:p>
    <w:p>
      <w:pPr>
        <w:sectPr>
          <w:pgSz w:w="11900" w:h="16838" w:orient="portrait"/>
          <w:cols w:equalWidth="0" w:num="1">
            <w:col w:w="9019"/>
          </w:cols>
          <w:pgMar w:left="1440" w:top="147"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71755</wp:posOffset>
            </wp:positionH>
            <wp:positionV relativeFrom="page">
              <wp:posOffset>38100</wp:posOffset>
            </wp:positionV>
            <wp:extent cx="741934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419340" cy="29845"/>
                    </a:xfrm>
                    <a:prstGeom prst="rect">
                      <a:avLst/>
                    </a:prstGeom>
                    <a:noFill/>
                  </pic:spPr>
                </pic:pic>
              </a:graphicData>
            </a:graphic>
          </wp:anchor>
        </w:drawing>
        <w:t>SIGNATURES</w:t>
      </w:r>
    </w:p>
    <w:p>
      <w:pPr>
        <w:spacing w:after="0" w:line="158" w:lineRule="exact"/>
        <w:rPr>
          <w:sz w:val="20"/>
          <w:szCs w:val="20"/>
          <w:color w:val="auto"/>
        </w:rPr>
      </w:pPr>
    </w:p>
    <w:p>
      <w:pPr>
        <w:ind w:left="780" w:right="839"/>
        <w:spacing w:after="0" w:line="283" w:lineRule="auto"/>
        <w:rPr>
          <w:sz w:val="20"/>
          <w:szCs w:val="20"/>
          <w:color w:val="auto"/>
        </w:rPr>
      </w:pPr>
      <w:r>
        <w:rPr>
          <w:rFonts w:ascii="Arial" w:cs="Arial" w:eastAsia="Arial" w:hAnsi="Arial"/>
          <w:sz w:val="12"/>
          <w:szCs w:val="12"/>
          <w:color w:val="auto"/>
        </w:rPr>
        <w:t>Pursuant to the requirements of the Securities Exchange Act of 1934, as amended, the registrant has duly caused this report to be signed on its behalf by the undersigned hereunto duly authorized.</w:t>
      </w:r>
    </w:p>
    <w:p>
      <w:pPr>
        <w:spacing w:after="0" w:line="132" w:lineRule="exact"/>
        <w:rPr>
          <w:sz w:val="20"/>
          <w:szCs w:val="20"/>
          <w:color w:val="auto"/>
        </w:rPr>
      </w:pPr>
    </w:p>
    <w:p>
      <w:pPr>
        <w:ind w:left="780"/>
        <w:spacing w:after="0"/>
        <w:tabs>
          <w:tab w:leader="none" w:pos="4600" w:val="left"/>
        </w:tabs>
        <w:rPr>
          <w:sz w:val="20"/>
          <w:szCs w:val="20"/>
          <w:color w:val="auto"/>
        </w:rPr>
      </w:pPr>
      <w:r>
        <w:rPr>
          <w:rFonts w:ascii="Arial" w:cs="Arial" w:eastAsia="Arial" w:hAnsi="Arial"/>
          <w:sz w:val="12"/>
          <w:szCs w:val="12"/>
          <w:color w:val="auto"/>
        </w:rPr>
        <w:t>Date: January 7, 2019</w:t>
      </w:r>
      <w:r>
        <w:rPr>
          <w:sz w:val="20"/>
          <w:szCs w:val="20"/>
          <w:color w:val="auto"/>
        </w:rPr>
        <w:tab/>
      </w:r>
      <w:r>
        <w:rPr>
          <w:rFonts w:ascii="Arial" w:cs="Arial" w:eastAsia="Arial" w:hAnsi="Arial"/>
          <w:sz w:val="12"/>
          <w:szCs w:val="12"/>
          <w:color w:val="auto"/>
        </w:rPr>
        <w:t>ARDELYX, INC.</w:t>
      </w:r>
    </w:p>
    <w:p>
      <w:pPr>
        <w:spacing w:after="0" w:line="154" w:lineRule="exact"/>
        <w:rPr>
          <w:sz w:val="20"/>
          <w:szCs w:val="20"/>
          <w:color w:val="auto"/>
        </w:rPr>
      </w:pPr>
    </w:p>
    <w:p>
      <w:pPr>
        <w:ind w:left="4620"/>
        <w:spacing w:after="0"/>
        <w:rPr>
          <w:sz w:val="20"/>
          <w:szCs w:val="20"/>
          <w:color w:val="auto"/>
        </w:rPr>
      </w:pPr>
      <w:r>
        <w:rPr>
          <w:rFonts w:ascii="Arial" w:cs="Arial" w:eastAsia="Arial" w:hAnsi="Arial"/>
          <w:sz w:val="12"/>
          <w:szCs w:val="12"/>
          <w:color w:val="auto"/>
        </w:rPr>
        <w:t>By:  /s/ 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10795</wp:posOffset>
            </wp:positionV>
            <wp:extent cx="212979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29790" cy="5715"/>
                    </a:xfrm>
                    <a:prstGeom prst="rect">
                      <a:avLst/>
                    </a:prstGeom>
                    <a:noFill/>
                  </pic:spPr>
                </pic:pic>
              </a:graphicData>
            </a:graphic>
          </wp:anchor>
        </w:drawing>
      </w:r>
    </w:p>
    <w:p>
      <w:pPr>
        <w:spacing w:after="0" w:line="15"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Mark Kaufmann</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Chief Financial Officer</w:t>
      </w:r>
    </w:p>
    <w:p>
      <w:pPr>
        <w:sectPr>
          <w:pgSz w:w="11900" w:h="16838" w:orient="portrait"/>
          <w:cols w:equalWidth="0" w:num="1">
            <w:col w:w="9019"/>
          </w:cols>
          <w:pgMar w:left="1440" w:top="147"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84455</wp:posOffset>
            </wp:positionH>
            <wp:positionV relativeFrom="page">
              <wp:posOffset>38100</wp:posOffset>
            </wp:positionV>
            <wp:extent cx="7421245" cy="4178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421245" cy="4178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71755</wp:posOffset>
            </wp:positionH>
            <wp:positionV relativeFrom="page">
              <wp:posOffset>38100</wp:posOffset>
            </wp:positionV>
            <wp:extent cx="7433945" cy="42887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433945"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71755</wp:posOffset>
            </wp:positionH>
            <wp:positionV relativeFrom="page">
              <wp:posOffset>38100</wp:posOffset>
            </wp:positionV>
            <wp:extent cx="7433945" cy="42887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433945"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71755</wp:posOffset>
            </wp:positionH>
            <wp:positionV relativeFrom="page">
              <wp:posOffset>38100</wp:posOffset>
            </wp:positionV>
            <wp:extent cx="7433945" cy="42887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433945"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71755</wp:posOffset>
            </wp:positionH>
            <wp:positionV relativeFrom="page">
              <wp:posOffset>38100</wp:posOffset>
            </wp:positionV>
            <wp:extent cx="7433945" cy="42887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433945"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71755</wp:posOffset>
            </wp:positionH>
            <wp:positionV relativeFrom="page">
              <wp:posOffset>38100</wp:posOffset>
            </wp:positionV>
            <wp:extent cx="7433945" cy="42887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433945"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71755</wp:posOffset>
            </wp:positionH>
            <wp:positionV relativeFrom="page">
              <wp:posOffset>38100</wp:posOffset>
            </wp:positionV>
            <wp:extent cx="7433945" cy="42887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433945"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71755</wp:posOffset>
            </wp:positionH>
            <wp:positionV relativeFrom="page">
              <wp:posOffset>38100</wp:posOffset>
            </wp:positionV>
            <wp:extent cx="7433945" cy="42887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433945"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71755</wp:posOffset>
            </wp:positionH>
            <wp:positionV relativeFrom="page">
              <wp:posOffset>38100</wp:posOffset>
            </wp:positionV>
            <wp:extent cx="7433945" cy="42887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433945"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71755</wp:posOffset>
            </wp:positionH>
            <wp:positionV relativeFrom="page">
              <wp:posOffset>38100</wp:posOffset>
            </wp:positionV>
            <wp:extent cx="7433945" cy="42887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433945"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71755</wp:posOffset>
            </wp:positionH>
            <wp:positionV relativeFrom="page">
              <wp:posOffset>38100</wp:posOffset>
            </wp:positionV>
            <wp:extent cx="7433945" cy="42887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433945"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71755</wp:posOffset>
            </wp:positionH>
            <wp:positionV relativeFrom="page">
              <wp:posOffset>38100</wp:posOffset>
            </wp:positionV>
            <wp:extent cx="7433945" cy="42887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433945"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71755</wp:posOffset>
            </wp:positionH>
            <wp:positionV relativeFrom="page">
              <wp:posOffset>38100</wp:posOffset>
            </wp:positionV>
            <wp:extent cx="7433945" cy="42887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433945"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71755</wp:posOffset>
            </wp:positionH>
            <wp:positionV relativeFrom="page">
              <wp:posOffset>38100</wp:posOffset>
            </wp:positionV>
            <wp:extent cx="7433945" cy="42887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433945"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71755</wp:posOffset>
            </wp:positionH>
            <wp:positionV relativeFrom="page">
              <wp:posOffset>38100</wp:posOffset>
            </wp:positionV>
            <wp:extent cx="7433945" cy="42887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433945"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71755</wp:posOffset>
            </wp:positionH>
            <wp:positionV relativeFrom="page">
              <wp:posOffset>38100</wp:posOffset>
            </wp:positionV>
            <wp:extent cx="7433945" cy="42887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433945"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71755</wp:posOffset>
            </wp:positionH>
            <wp:positionV relativeFrom="page">
              <wp:posOffset>38100</wp:posOffset>
            </wp:positionV>
            <wp:extent cx="7433945" cy="42887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433945"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71755</wp:posOffset>
            </wp:positionH>
            <wp:positionV relativeFrom="page">
              <wp:posOffset>38100</wp:posOffset>
            </wp:positionV>
            <wp:extent cx="7433945" cy="42887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433945"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71755</wp:posOffset>
            </wp:positionH>
            <wp:positionV relativeFrom="page">
              <wp:posOffset>38100</wp:posOffset>
            </wp:positionV>
            <wp:extent cx="7433945" cy="42887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433945" cy="4288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71755</wp:posOffset>
            </wp:positionH>
            <wp:positionV relativeFrom="page">
              <wp:posOffset>38100</wp:posOffset>
            </wp:positionV>
            <wp:extent cx="7433945" cy="42887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433945" cy="42887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2019-12-28T17:19:16Z</dcterms:created>
  <dcterms:modified xsi:type="dcterms:W3CDTF">2019-12-28T17:19:16Z</dcterms:modified>
</cp:coreProperties>
</file>