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699362.xml.htm"/>
      <w:bookmarkStart w:id="1" w:name="kswkform4_178769936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Williams Laura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ARDELYX,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 FIFTH AVENUE, 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ARDELYX, INC.</w:t>
              </w:r>
            </w:hyperlink>
            <w:r>
              <w:rPr/>
              <w:t xml:space="preserve"> [ </w:t>
            </w:r>
            <w:r>
              <w:rPr>
                <w:rFonts w:ascii="Times;serif" w:hAnsi="Times;serif"/>
                <w:color w:val="0000FF"/>
                <w:sz w:val="24"/>
                <w:shd w:fill="FFFFFF" w:val="clear"/>
              </w:rPr>
              <w:t>ARDX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Patient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45"/>
        <w:gridCol w:w="453"/>
        <w:gridCol w:w="841"/>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3,486</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3.8569</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374,709</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3,089</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3.8569</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371,620</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2,430</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3.8569</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369,190</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1,734</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3.8569</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367,456</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Pursuant to an automatic sell-to-cover imposed by the terms of the initial grant of the restricted stock units ("RSUs") awards, the shares were sold upon the vesting of the RSUs solely to cover applicable withholding taxes. The transaction was executed in multiple trades in prices ranging from $3.648 to $3.984, inclusive. The price reported in Column 4 above reflects the weighted average sale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Felecia Ettenberg, Attorney-in-Fact for Laura A. Williams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69194" TargetMode="External"/><Relationship Id="rId5" Type="http://schemas.openxmlformats.org/officeDocument/2006/relationships/hyperlink" Target="http://www.sec.gov/cgi-bin/browse-edgar?action=getcompany&amp;CIK=000143740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708</Words>
  <Characters>3834</Characters>
  <CharactersWithSpaces>4449</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