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March 1,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drawing>
          <wp:inline distT="0" distB="0" distL="0" distR="0">
            <wp:extent cx="7143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14375" cy="7143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ARDELYX,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948" w:type="dxa"/>
        <w:jc w:val="left"/>
        <w:tblInd w:w="0" w:type="dxa"/>
        <w:tblLayout w:type="fixed"/>
        <w:tblCellMar>
          <w:top w:w="28" w:type="dxa"/>
          <w:left w:w="28" w:type="dxa"/>
          <w:bottom w:w="28" w:type="dxa"/>
          <w:right w:w="28" w:type="dxa"/>
        </w:tblCellMar>
      </w:tblPr>
      <w:tblGrid>
        <w:gridCol w:w="748"/>
        <w:gridCol w:w="656"/>
        <w:gridCol w:w="665"/>
        <w:gridCol w:w="353"/>
        <w:gridCol w:w="353"/>
        <w:gridCol w:w="358"/>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001-36485</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26-1303944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400 FIFTH AVE., SUITE 210, WALTHAM, MASSACHUSETTS 02451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including Zip Code)</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(510) 745-1700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938"/>
        <w:gridCol w:w="826"/>
        <w:gridCol w:w="831"/>
        <w:gridCol w:w="109"/>
        <w:gridCol w:w="109"/>
        <w:gridCol w:w="109"/>
        <w:gridCol w:w="519"/>
        <w:gridCol w:w="519"/>
        <w:gridCol w:w="521"/>
        <w:gridCol w:w="109"/>
        <w:gridCol w:w="109"/>
        <w:gridCol w:w="109"/>
        <w:gridCol w:w="1019"/>
        <w:gridCol w:w="1019"/>
        <w:gridCol w:w="1441"/>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Market</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ans-serif" w:hAnsi="Times New Roman;sans-serif"/>
          <w:b w:val="false"/>
          <w:color w:val="000000"/>
          <w:sz w:val="18"/>
        </w:rPr>
        <w:t>Emerging growth company  </w:t>
      </w:r>
      <w:r>
        <w:rPr>
          <w:color w:val="000000"/>
        </w:rPr>
        <w:t>☐</w:t>
      </w:r>
    </w:p>
    <w:p>
      <w:pPr>
        <w:pStyle w:val="TextBody"/>
        <w:bidi w:val="0"/>
        <w:spacing w:lineRule="auto" w:line="288" w:before="160" w:after="283"/>
        <w:jc w:val="left"/>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2024, Ardelyx, Inc. (the we, us, our) received $50.0 million of funding (Term C Loan) pursuant to the loan and security agreement entered into in February 2022 by and between us and SLR Investment Corp. as collateral agent (Agent) and the lenders listed in the agreement (collectively, the Lenders), and as amended in August 2022, February 2023 and October 2023 (collectively, the 2022 Loan Agreement).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2022 Loan Agreement, the Term C Loan maturity date is March 1, 2027 and bears an interest rate of 4.25% plus a SOFR value equal to 0.022% plus the 1-month CME Term SOFR reference rate as published by the CME Term SOFR Administrator on the CME Term SOFR Administrator’s Website, subject to a SOFR floor of 4.7%. We are permitted to make interest-only payments on the Term C Loan until December 31, 2026.</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2022 Loan Agreement contains customary events of default that entitle the Agent to cause our indebtedness under the 2022 Loan Agreement to become immediately due and payable, and to exercise remedies against us and the collateral securing Term C Loan,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4.0% per annum will apply to all obligations owed under the 2022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 Exhibits.</w:t>
      </w:r>
    </w:p>
    <w:tbl>
      <w:tblPr>
        <w:tblW w:w="7603"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945"/>
        <w:gridCol w:w="1945"/>
        <w:gridCol w:w="2755"/>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Description</w:t>
            </w:r>
          </w:p>
        </w:tc>
      </w:tr>
      <w:tr>
        <w:trPr/>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5782" w:type="dxa"/>
        <w:jc w:val="left"/>
        <w:tblInd w:w="0" w:type="dxa"/>
        <w:tblLayout w:type="fixed"/>
        <w:tblCellMar>
          <w:top w:w="28" w:type="dxa"/>
          <w:left w:w="28" w:type="dxa"/>
          <w:bottom w:w="28" w:type="dxa"/>
          <w:right w:w="28" w:type="dxa"/>
        </w:tblCellMar>
      </w:tblPr>
      <w:tblGrid>
        <w:gridCol w:w="645"/>
        <w:gridCol w:w="568"/>
        <w:gridCol w:w="571"/>
        <w:gridCol w:w="238"/>
        <w:gridCol w:w="238"/>
        <w:gridCol w:w="238"/>
        <w:gridCol w:w="960"/>
        <w:gridCol w:w="960"/>
        <w:gridCol w:w="136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5, 2024</w:t>
            </w:r>
          </w:p>
        </w:tc>
        <w:tc>
          <w:tcPr>
            <w:tcW w:w="39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ARDELYX,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Justin Renz</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and Operations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3785</Characters>
  <CharactersWithSpaces>4455</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