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7204x2_def14a_100-regcov_pg1"/>
        <w:bookmarkStart w:id="1" w:name="ny20007204x2_def14a.htm"/>
        <w:bookmarkStart w:id="2" w:name="ksny20007204x2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spacing w:before="230" w:after="283"/>
        <w:jc w:val="center"/>
        <w:rPr>
          <w:rFonts w:ascii="Times New Roman;Times;serif" w:hAnsi="Times New Roman;Times;serif"/>
          <w:b/>
          <w:color w:val="000000"/>
          <w:sz w:val="36"/>
        </w:rPr>
      </w:pPr>
      <w:r>
        <w:rPr>
          <w:rFonts w:ascii="Times New Roman;Times;serif" w:hAnsi="Times New Roman;Times;serif"/>
          <w:b/>
          <w:color w:val="000000"/>
          <w:sz w:val="36"/>
        </w:rPr>
        <w:t>SCHEDULE 14A</w:t>
      </w:r>
    </w:p>
    <w:p>
      <w:pPr>
        <w:pStyle w:val="TextBody"/>
        <w:spacing w:before="190" w:after="283"/>
        <w:jc w:val="center"/>
        <w:rPr>
          <w:rFonts w:ascii="Times New Roman;Times;serif" w:hAnsi="Times New Roman;Times;serif"/>
          <w:b/>
          <w:color w:val="000000"/>
          <w:sz w:val="24"/>
        </w:rPr>
      </w:pPr>
      <w:r>
        <w:rPr>
          <w:rFonts w:ascii="Times New Roman;Times;serif" w:hAnsi="Times New Roman;Times;serif"/>
          <w:b/>
          <w:color w:val="000000"/>
          <w:sz w:val="24"/>
        </w:rPr>
        <w:t>Proxy Statement Pursuant to Section 14(a) of the</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Securities Exchange Act of 1934</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      Filed by a party other than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7046" w:type="dxa"/>
        <w:jc w:val="left"/>
        <w:tblInd w:w="0" w:type="dxa"/>
        <w:tblCellMar>
          <w:top w:w="0" w:type="dxa"/>
          <w:left w:w="0" w:type="dxa"/>
          <w:bottom w:w="0" w:type="dxa"/>
          <w:right w:w="0" w:type="dxa"/>
        </w:tblCellMar>
      </w:tblPr>
      <w:tblGrid>
        <w:gridCol w:w="290"/>
        <w:gridCol w:w="23"/>
        <w:gridCol w:w="23"/>
        <w:gridCol w:w="6710"/>
      </w:tblGrid>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spacing w:before="190" w:after="283"/>
        <w:jc w:val="center"/>
        <w:rPr>
          <w:rFonts w:ascii="Times New Roman;Times;serif" w:hAnsi="Times New Roman;Times;serif"/>
          <w:b/>
          <w:color w:val="000000"/>
          <w:sz w:val="48"/>
        </w:rPr>
      </w:pPr>
      <w:r>
        <w:rPr>
          <w:rFonts w:ascii="Times New Roman;Times;serif" w:hAnsi="Times New Roman;Times;serif"/>
          <w:b/>
          <w:color w:val="000000"/>
          <w:sz w:val="48"/>
        </w:rPr>
        <w:t>Ardelyx,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8589" w:type="dxa"/>
        <w:jc w:val="left"/>
        <w:tblInd w:w="0" w:type="dxa"/>
        <w:tblCellMar>
          <w:top w:w="0" w:type="dxa"/>
          <w:left w:w="0" w:type="dxa"/>
          <w:bottom w:w="0" w:type="dxa"/>
          <w:right w:w="0" w:type="dxa"/>
        </w:tblCellMar>
      </w:tblPr>
      <w:tblGrid>
        <w:gridCol w:w="290"/>
        <w:gridCol w:w="23"/>
        <w:gridCol w:w="23"/>
        <w:gridCol w:w="2732"/>
        <w:gridCol w:w="1045"/>
        <w:gridCol w:w="1045"/>
        <w:gridCol w:w="3431"/>
      </w:tblGrid>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53"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2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32" w:type="dxa"/>
            <w:tcBorders/>
            <w:shd w:fill="auto" w:val="clear"/>
            <w:vAlign w:val="center"/>
          </w:tcPr>
          <w:p>
            <w:pPr>
              <w:pStyle w:val="TableContents"/>
              <w:spacing w:before="0" w:after="0"/>
              <w:jc w:val="left"/>
              <w:rPr>
                <w:color w:val="000000"/>
              </w:rPr>
            </w:pPr>
            <w:r>
              <w:rPr>
                <w:color w:val="000000"/>
              </w:rPr>
              <w:t> </w:t>
            </w:r>
          </w:p>
        </w:tc>
        <w:tc>
          <w:tcPr>
            <w:tcW w:w="1045" w:type="dxa"/>
            <w:tcBorders/>
            <w:shd w:fill="auto" w:val="clear"/>
            <w:vAlign w:val="center"/>
          </w:tcPr>
          <w:p>
            <w:pPr>
              <w:pStyle w:val="TableContents"/>
              <w:spacing w:before="0" w:after="283"/>
              <w:rPr/>
            </w:pPr>
            <w:r>
              <w:rPr/>
              <w:t>​</w:t>
            </w:r>
          </w:p>
        </w:tc>
        <w:tc>
          <w:tcPr>
            <w:tcW w:w="1045" w:type="dxa"/>
            <w:tcBorders/>
            <w:shd w:fill="auto" w:val="clear"/>
            <w:vAlign w:val="center"/>
          </w:tcPr>
          <w:p>
            <w:pPr>
              <w:pStyle w:val="TableContents"/>
              <w:spacing w:before="0" w:after="283"/>
              <w:rPr/>
            </w:pPr>
            <w:r>
              <w:rPr/>
              <w:t>​</w:t>
            </w:r>
          </w:p>
        </w:tc>
        <w:tc>
          <w:tcPr>
            <w:tcW w:w="3431" w:type="dxa"/>
            <w:tcBorders/>
            <w:shd w:fill="auto" w:val="clear"/>
            <w:vAlign w:val="center"/>
          </w:tcPr>
          <w:p>
            <w:pPr>
              <w:pStyle w:val="TableContents"/>
              <w:spacing w:before="0" w:after="0"/>
              <w:jc w:val="left"/>
              <w:rPr>
                <w:color w:val="000000"/>
              </w:rPr>
            </w:pPr>
            <w:r>
              <w:rPr>
                <w:color w:val="000000"/>
              </w:rPr>
              <w:t> </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53"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2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32" w:type="dxa"/>
            <w:tcBorders/>
            <w:shd w:fill="auto" w:val="clear"/>
            <w:vAlign w:val="center"/>
          </w:tcPr>
          <w:p>
            <w:pPr>
              <w:pStyle w:val="TableContents"/>
              <w:spacing w:before="0" w:after="0"/>
              <w:jc w:val="left"/>
              <w:rPr>
                <w:color w:val="000000"/>
              </w:rPr>
            </w:pPr>
            <w:r>
              <w:rPr>
                <w:color w:val="000000"/>
              </w:rPr>
              <w:t> </w:t>
            </w:r>
          </w:p>
        </w:tc>
        <w:tc>
          <w:tcPr>
            <w:tcW w:w="1045" w:type="dxa"/>
            <w:tcBorders/>
            <w:shd w:fill="auto" w:val="clear"/>
            <w:vAlign w:val="center"/>
          </w:tcPr>
          <w:p>
            <w:pPr>
              <w:pStyle w:val="TableContents"/>
              <w:spacing w:before="0" w:after="283"/>
              <w:rPr/>
            </w:pPr>
            <w:r>
              <w:rPr/>
              <w:t>​</w:t>
            </w:r>
          </w:p>
        </w:tc>
        <w:tc>
          <w:tcPr>
            <w:tcW w:w="1045" w:type="dxa"/>
            <w:tcBorders/>
            <w:shd w:fill="auto" w:val="clear"/>
            <w:vAlign w:val="center"/>
          </w:tcPr>
          <w:p>
            <w:pPr>
              <w:pStyle w:val="TableContents"/>
              <w:spacing w:before="0" w:after="283"/>
              <w:rPr/>
            </w:pPr>
            <w:r>
              <w:rPr/>
              <w:t>​</w:t>
            </w:r>
          </w:p>
        </w:tc>
        <w:tc>
          <w:tcPr>
            <w:tcW w:w="3431" w:type="dxa"/>
            <w:tcBorders/>
            <w:shd w:fill="auto" w:val="clear"/>
            <w:vAlign w:val="center"/>
          </w:tcPr>
          <w:p>
            <w:pPr>
              <w:pStyle w:val="TableContents"/>
              <w:spacing w:before="0" w:after="0"/>
              <w:jc w:val="left"/>
              <w:rPr>
                <w:color w:val="000000"/>
              </w:rPr>
            </w:pPr>
            <w:r>
              <w:rPr>
                <w:color w:val="000000"/>
              </w:rPr>
              <w:t> </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53"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7204x2_def14a_101-notice_pg1"/>
        <w:bookmarkEnd w:id="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620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7620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ARDELYX,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400 Fifth Avenue, Suite 210, Waltham, MA 02451</w:t>
      </w:r>
    </w:p>
    <w:p>
      <w:pPr>
        <w:pStyle w:val="TextBody"/>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JUNE 15, 2023</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Stockholders of Ardelyx, Inc.:</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2023 Annual Meeting of Stockholders, or the 2023 Annual Meeting, of Ardelyx, Inc., a Delaware corporation, or the Company, will be held on June 15, 2023 at 8:30 a.m. Eastern Time. The 2023 Annual Meeting will be held entirely online. You will be able to attend the meeting online where you will be able to listen to the meeting live and vote. The 2023 Annual Meeting will be held for the following purposes:</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elect three Class III directors to hold office until the 2026 Annual Meeting of Stockholders and until their successors are elected and qualified;</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an amendment to our Amended and Restated Certificate of Incorporation to increase the number of authorized shares of common stock from 300,000,000 shares to 500,000,000 shares;</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on a non-binding, advisory basis, the compensation of our named executive officers, as disclosed in the proxy statement accompanying this notice pursuant to the compensation disclosure rules of the Securities and Exchange Commission, or Say-on-Pay;</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ratify the selection, by the Audit and Compliance Committee of our board of directors, of Ernst &amp; Young LLP as the independent registered public accounting firm of the Company for the fiscal year ending December 31, 2023; and</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2023 Annual Meeting or any adjournment or postponement thereof.</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foregoing items of business are more fully described in the proxy statement accompanying this Notice of Annual Meeting of Stockholders. Only stockholders who owned the Company’s common stock at the close of business on April 18, 2023 may vote at the 2023 Annual Meeting or any adjournments that take place.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virtual 2023 Annual Meeting online via live audio-only webcast at </w:t>
      </w:r>
      <w:r>
        <w:rPr>
          <w:rFonts w:ascii="Times New Roman;Times;serif" w:hAnsi="Times New Roman;Times;serif"/>
          <w:i/>
          <w:color w:val="000000"/>
          <w:sz w:val="20"/>
        </w:rPr>
        <w:t>www.virtualshareholdermeeting.com/ARDX2023</w:t>
      </w:r>
      <w:r>
        <w:rPr>
          <w:rFonts w:ascii="Times New Roman;Times;serif" w:hAnsi="Times New Roman;Times;serif"/>
          <w:color w:val="000000"/>
          <w:sz w:val="20"/>
        </w:rPr>
        <w:t>. Whether or not you plan to attend the 2023 Annual Meeting online, please vote as soon as possible. You may vote over the internet, by a toll-free telephone number, or by mailing a complete, signed and dated proxy card or voting instruction card in the envelope provided. Please note that any stockholder attending the 2023 Annual Meeting may vote online at the 2023 Annual Meeting, even if the stockholder has already voted over the internet or by phone or returned a proxy card or voting instruction card by mail.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7204x2_def14a_101-notice_pg2"/>
        <w:bookmarkEnd w:id="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election of the director nominees named in Proposal No. 1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of an amendment to our Amended and Restated Certificate of Incorporation to increase the number of authorized shares of common stock from 300,000,000 to 500,000,000, as described in Proposal No. 2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as described in Proposal No. 3 of the proxy statement and “</w:t>
      </w:r>
      <w:r>
        <w:rPr>
          <w:rFonts w:ascii="Times New Roman;Times;serif" w:hAnsi="Times New Roman;Times;serif"/>
          <w:b/>
          <w:color w:val="000000"/>
          <w:sz w:val="20"/>
        </w:rPr>
        <w:t>FOR</w:t>
      </w:r>
      <w:r>
        <w:rPr>
          <w:rFonts w:ascii="Times New Roman;Times;serif" w:hAnsi="Times New Roman;Times;serif"/>
          <w:color w:val="000000"/>
          <w:sz w:val="20"/>
        </w:rPr>
        <w:t>” the ratification of the appointment of Ernst &amp; Young LLP as our independent registered public accounting firm for the year ending December 31, 2023 as described in Proposal No. 4 of the proxy statement.</w:t>
      </w:r>
    </w:p>
    <w:tbl>
      <w:tblPr>
        <w:tblW w:w="3321" w:type="dxa"/>
        <w:jc w:val="left"/>
        <w:tblInd w:w="0" w:type="dxa"/>
        <w:tblCellMar>
          <w:top w:w="0" w:type="dxa"/>
          <w:left w:w="0" w:type="dxa"/>
          <w:bottom w:w="0" w:type="dxa"/>
          <w:right w:w="0" w:type="dxa"/>
        </w:tblCellMar>
      </w:tblPr>
      <w:tblGrid>
        <w:gridCol w:w="75"/>
        <w:gridCol w:w="23"/>
        <w:gridCol w:w="23"/>
        <w:gridCol w:w="320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20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Elizabeth Grammer</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and Administrative Officer</w:t>
            </w:r>
          </w:p>
        </w:tc>
      </w:tr>
    </w:tbl>
    <w:p>
      <w:pPr>
        <w:pStyle w:val="TextBody"/>
        <w:spacing w:before="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Waltham, Massachusetts</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26,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y20007204x2_def14a_102-toc_pg1"/>
        <w:bookmarkEnd w:id="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14" w:name="TOC"/>
      <w:bookmarkStart w:id="15" w:name="TOC"/>
      <w:bookmarkEnd w:id="15"/>
    </w:p>
    <w:tbl>
      <w:tblPr>
        <w:tblW w:w="8891" w:type="dxa"/>
        <w:jc w:val="left"/>
        <w:tblInd w:w="0" w:type="dxa"/>
        <w:tblCellMar>
          <w:top w:w="0" w:type="dxa"/>
          <w:left w:w="0" w:type="dxa"/>
          <w:bottom w:w="0" w:type="dxa"/>
          <w:right w:w="0" w:type="dxa"/>
        </w:tblCellMar>
      </w:tblPr>
      <w:tblGrid>
        <w:gridCol w:w="8450"/>
        <w:gridCol w:w="23"/>
        <w:gridCol w:w="23"/>
        <w:gridCol w:w="395"/>
      </w:tblGrid>
      <w:tr>
        <w:trPr/>
        <w:tc>
          <w:tcPr>
            <w:tcW w:w="84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8450" w:type="dxa"/>
            <w:tcBorders/>
            <w:shd w:fill="CCEEFF" w:val="clear"/>
            <w:vAlign w:val="center"/>
          </w:tcPr>
          <w:p>
            <w:pPr>
              <w:pStyle w:val="TableContents"/>
              <w:spacing w:before="0" w:after="283"/>
              <w:ind w:left="200" w:right="0" w:hanging="200"/>
              <w:jc w:val="left"/>
              <w:rPr/>
            </w:pPr>
            <w:hyperlink w:anchor="tQAQ">
              <w:r>
                <w:rPr>
                  <w:rStyle w:val="InternetLink"/>
                  <w:rFonts w:ascii="Times New Roman;Times;serif" w:hAnsi="Times New Roman;Times;serif"/>
                  <w:color w:val="000000"/>
                  <w:sz w:val="20"/>
                </w:rPr>
                <w:t>QUESTIONS AND ANSWERS REGARDING THE PROXY MATERIALS AND THE VOTING PROCESS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QAQ">
              <w:r>
                <w:rPr>
                  <w:rStyle w:val="InternetLink"/>
                  <w:rFonts w:ascii="Times New Roman;Times;serif" w:hAnsi="Times New Roman;Times;serif"/>
                  <w:color w:val="000000"/>
                  <w:sz w:val="20"/>
                </w:rPr>
                <w:t>1</w:t>
              </w:r>
            </w:hyperlink>
          </w:p>
        </w:tc>
      </w:tr>
      <w:tr>
        <w:trPr/>
        <w:tc>
          <w:tcPr>
            <w:tcW w:w="8450" w:type="dxa"/>
            <w:tcBorders/>
            <w:shd w:fill="auto" w:val="clear"/>
            <w:vAlign w:val="center"/>
          </w:tcPr>
          <w:p>
            <w:pPr>
              <w:pStyle w:val="TableContents"/>
              <w:spacing w:before="0" w:after="283"/>
              <w:ind w:left="0" w:right="0" w:hanging="0"/>
              <w:jc w:val="left"/>
              <w:rPr/>
            </w:pPr>
            <w:hyperlink w:anchor="tP1">
              <w:r>
                <w:rPr>
                  <w:rStyle w:val="InternetLink"/>
                  <w:rFonts w:ascii="Times New Roman;Times;serif" w:hAnsi="Times New Roman;Times;serif"/>
                  <w:color w:val="000000"/>
                  <w:sz w:val="20"/>
                </w:rPr>
                <w:t>PROPOSAL NO. 1</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1">
              <w:r>
                <w:rPr>
                  <w:rStyle w:val="InternetLink"/>
                  <w:rFonts w:ascii="Times New Roman;Times;serif" w:hAnsi="Times New Roman;Times;serif"/>
                  <w:color w:val="000000"/>
                  <w:sz w:val="20"/>
                </w:rPr>
                <w:t>7</w:t>
              </w:r>
            </w:hyperlink>
          </w:p>
        </w:tc>
      </w:tr>
      <w:tr>
        <w:trPr/>
        <w:tc>
          <w:tcPr>
            <w:tcW w:w="8450" w:type="dxa"/>
            <w:tcBorders/>
            <w:shd w:fill="CCEEFF" w:val="clear"/>
            <w:vAlign w:val="center"/>
          </w:tcPr>
          <w:p>
            <w:pPr>
              <w:pStyle w:val="TableContents"/>
              <w:spacing w:before="0" w:after="283"/>
              <w:ind w:left="0" w:right="0" w:hanging="0"/>
              <w:jc w:val="left"/>
              <w:rPr/>
            </w:pPr>
            <w:hyperlink w:anchor="tP2">
              <w:r>
                <w:rPr>
                  <w:rStyle w:val="InternetLink"/>
                  <w:rFonts w:ascii="Times New Roman;Times;serif" w:hAnsi="Times New Roman;Times;serif"/>
                  <w:color w:val="000000"/>
                  <w:sz w:val="20"/>
                </w:rPr>
                <w:t>PROPOSAL NO. 2</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P2">
              <w:r>
                <w:rPr>
                  <w:rStyle w:val="InternetLink"/>
                  <w:rFonts w:ascii="Times New Roman;Times;serif" w:hAnsi="Times New Roman;Times;serif"/>
                  <w:color w:val="000000"/>
                  <w:sz w:val="20"/>
                </w:rPr>
                <w:t>10</w:t>
              </w:r>
            </w:hyperlink>
          </w:p>
        </w:tc>
      </w:tr>
      <w:tr>
        <w:trPr/>
        <w:tc>
          <w:tcPr>
            <w:tcW w:w="8450" w:type="dxa"/>
            <w:tcBorders/>
            <w:shd w:fill="auto" w:val="clear"/>
            <w:vAlign w:val="center"/>
          </w:tcPr>
          <w:p>
            <w:pPr>
              <w:pStyle w:val="TableContents"/>
              <w:spacing w:before="0" w:after="283"/>
              <w:ind w:left="0" w:right="0" w:hanging="0"/>
              <w:jc w:val="left"/>
              <w:rPr/>
            </w:pPr>
            <w:hyperlink w:anchor="tP3">
              <w:r>
                <w:rPr>
                  <w:rStyle w:val="InternetLink"/>
                  <w:rFonts w:ascii="Times New Roman;Times;serif" w:hAnsi="Times New Roman;Times;serif"/>
                  <w:color w:val="000000"/>
                  <w:sz w:val="20"/>
                </w:rPr>
                <w:t>PROPOSAL NO. 3</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3">
              <w:r>
                <w:rPr>
                  <w:rStyle w:val="InternetLink"/>
                  <w:rFonts w:ascii="Times New Roman;Times;serif" w:hAnsi="Times New Roman;Times;serif"/>
                  <w:color w:val="000000"/>
                  <w:sz w:val="20"/>
                </w:rPr>
                <w:t>12</w:t>
              </w:r>
            </w:hyperlink>
          </w:p>
        </w:tc>
      </w:tr>
      <w:tr>
        <w:trPr/>
        <w:tc>
          <w:tcPr>
            <w:tcW w:w="8450" w:type="dxa"/>
            <w:tcBorders/>
            <w:shd w:fill="CCEEFF" w:val="clear"/>
            <w:vAlign w:val="center"/>
          </w:tcPr>
          <w:p>
            <w:pPr>
              <w:pStyle w:val="TableContents"/>
              <w:spacing w:before="0" w:after="283"/>
              <w:ind w:left="0" w:right="0" w:hanging="0"/>
              <w:jc w:val="left"/>
              <w:rPr/>
            </w:pPr>
            <w:hyperlink w:anchor="tP4">
              <w:r>
                <w:rPr>
                  <w:rStyle w:val="InternetLink"/>
                  <w:rFonts w:ascii="Times New Roman;Times;serif" w:hAnsi="Times New Roman;Times;serif"/>
                  <w:color w:val="000000"/>
                  <w:sz w:val="20"/>
                </w:rPr>
                <w:t>PROPOSAL NO. 4</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P4">
              <w:r>
                <w:rPr>
                  <w:rStyle w:val="InternetLink"/>
                  <w:rFonts w:ascii="Times New Roman;Times;serif" w:hAnsi="Times New Roman;Times;serif"/>
                  <w:color w:val="000000"/>
                  <w:sz w:val="20"/>
                </w:rPr>
                <w:t>13</w:t>
              </w:r>
            </w:hyperlink>
          </w:p>
        </w:tc>
      </w:tr>
      <w:tr>
        <w:trPr/>
        <w:tc>
          <w:tcPr>
            <w:tcW w:w="8450" w:type="dxa"/>
            <w:tcBorders/>
            <w:shd w:fill="auto" w:val="clear"/>
            <w:vAlign w:val="center"/>
          </w:tcPr>
          <w:p>
            <w:pPr>
              <w:pStyle w:val="TableContents"/>
              <w:spacing w:before="0" w:after="283"/>
              <w:ind w:left="0" w:right="0" w:hanging="0"/>
              <w:jc w:val="left"/>
              <w:rPr/>
            </w:pPr>
            <w:hyperlink w:anchor="tROT">
              <w:r>
                <w:rPr>
                  <w:rStyle w:val="InternetLink"/>
                  <w:rFonts w:ascii="Times New Roman;Times;serif" w:hAnsi="Times New Roman;Times;serif"/>
                  <w:color w:val="000000"/>
                  <w:sz w:val="20"/>
                </w:rPr>
                <w:t>REPORT OF THE AUDIT AND COMPLIANCE COMMITTEE OF THE BOARD OF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ROT">
              <w:r>
                <w:rPr>
                  <w:rStyle w:val="InternetLink"/>
                  <w:rFonts w:ascii="Times New Roman;Times;serif" w:hAnsi="Times New Roman;Times;serif"/>
                  <w:color w:val="000000"/>
                  <w:sz w:val="20"/>
                </w:rPr>
                <w:t>15</w:t>
              </w:r>
            </w:hyperlink>
          </w:p>
        </w:tc>
      </w:tr>
      <w:tr>
        <w:trPr/>
        <w:tc>
          <w:tcPr>
            <w:tcW w:w="8450" w:type="dxa"/>
            <w:tcBorders/>
            <w:shd w:fill="CCEEFF" w:val="clear"/>
            <w:vAlign w:val="center"/>
          </w:tcPr>
          <w:p>
            <w:pPr>
              <w:pStyle w:val="TableContents"/>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CG">
              <w:r>
                <w:rPr>
                  <w:rStyle w:val="InternetLink"/>
                  <w:rFonts w:ascii="Times New Roman;Times;serif" w:hAnsi="Times New Roman;Times;serif"/>
                  <w:color w:val="000000"/>
                  <w:sz w:val="20"/>
                </w:rPr>
                <w:t>16</w:t>
              </w:r>
            </w:hyperlink>
          </w:p>
        </w:tc>
      </w:tr>
      <w:tr>
        <w:trPr/>
        <w:tc>
          <w:tcPr>
            <w:tcW w:w="8450" w:type="dxa"/>
            <w:tcBorders/>
            <w:shd w:fill="auto" w:val="clear"/>
            <w:vAlign w:val="center"/>
          </w:tcPr>
          <w:p>
            <w:pPr>
              <w:pStyle w:val="TableContents"/>
              <w:spacing w:before="0" w:after="283"/>
              <w:ind w:left="0" w:right="0" w:hanging="0"/>
              <w:jc w:val="left"/>
              <w:rPr/>
            </w:pPr>
            <w:hyperlink w:anchor="tCR">
              <w:r>
                <w:rPr>
                  <w:rStyle w:val="InternetLink"/>
                  <w:rFonts w:ascii="Times New Roman;Times;serif" w:hAnsi="Times New Roman;Times;serif"/>
                  <w:color w:val="000000"/>
                  <w:sz w:val="20"/>
                </w:rPr>
                <w:t>CERTAIN RELATIONSHIPS AND RELATED PARTY TRANSACTIONS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CR">
              <w:r>
                <w:rPr>
                  <w:rStyle w:val="InternetLink"/>
                  <w:rFonts w:ascii="Times New Roman;Times;serif" w:hAnsi="Times New Roman;Times;serif"/>
                  <w:color w:val="000000"/>
                  <w:sz w:val="20"/>
                </w:rPr>
                <w:t>21</w:t>
              </w:r>
            </w:hyperlink>
          </w:p>
        </w:tc>
      </w:tr>
      <w:tr>
        <w:trPr/>
        <w:tc>
          <w:tcPr>
            <w:tcW w:w="8450" w:type="dxa"/>
            <w:tcBorders/>
            <w:shd w:fill="CCEEFF" w:val="clear"/>
            <w:vAlign w:val="center"/>
          </w:tcPr>
          <w:p>
            <w:pPr>
              <w:pStyle w:val="TableContents"/>
              <w:spacing w:before="0" w:after="283"/>
              <w:ind w:left="0" w:right="0" w:hanging="0"/>
              <w:jc w:val="left"/>
              <w:rPr/>
            </w:pPr>
            <w:hyperlink w:anchor="tNE">
              <w:r>
                <w:rPr>
                  <w:rStyle w:val="InternetLink"/>
                  <w:rFonts w:ascii="Times New Roman;Times;serif" w:hAnsi="Times New Roman;Times;serif"/>
                  <w:color w:val="000000"/>
                  <w:sz w:val="20"/>
                </w:rPr>
                <w:t>NON-EMPLOYEE DIRECTOR COMPENSATION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NE">
              <w:r>
                <w:rPr>
                  <w:rStyle w:val="InternetLink"/>
                  <w:rFonts w:ascii="Times New Roman;Times;serif" w:hAnsi="Times New Roman;Times;serif"/>
                  <w:color w:val="000000"/>
                  <w:sz w:val="20"/>
                </w:rPr>
                <w:t>22</w:t>
              </w:r>
            </w:hyperlink>
          </w:p>
        </w:tc>
      </w:tr>
      <w:tr>
        <w:trPr/>
        <w:tc>
          <w:tcPr>
            <w:tcW w:w="8450" w:type="dxa"/>
            <w:tcBorders/>
            <w:shd w:fill="auto" w:val="clear"/>
            <w:vAlign w:val="center"/>
          </w:tcPr>
          <w:p>
            <w:pPr>
              <w:pStyle w:val="TableContents"/>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EO">
              <w:r>
                <w:rPr>
                  <w:rStyle w:val="InternetLink"/>
                  <w:rFonts w:ascii="Times New Roman;Times;serif" w:hAnsi="Times New Roman;Times;serif"/>
                  <w:color w:val="000000"/>
                  <w:sz w:val="20"/>
                </w:rPr>
                <w:t>24</w:t>
              </w:r>
            </w:hyperlink>
          </w:p>
        </w:tc>
      </w:tr>
      <w:tr>
        <w:trPr/>
        <w:tc>
          <w:tcPr>
            <w:tcW w:w="8450" w:type="dxa"/>
            <w:tcBorders/>
            <w:shd w:fill="CCEEFF" w:val="clear"/>
            <w:vAlign w:val="center"/>
          </w:tcPr>
          <w:p>
            <w:pPr>
              <w:pStyle w:val="TableContents"/>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EC">
              <w:r>
                <w:rPr>
                  <w:rStyle w:val="InternetLink"/>
                  <w:rFonts w:ascii="Times New Roman;Times;serif" w:hAnsi="Times New Roman;Times;serif"/>
                  <w:color w:val="000000"/>
                  <w:sz w:val="20"/>
                </w:rPr>
                <w:t>26</w:t>
              </w:r>
            </w:hyperlink>
          </w:p>
        </w:tc>
      </w:tr>
      <w:tr>
        <w:trPr/>
        <w:tc>
          <w:tcPr>
            <w:tcW w:w="8450" w:type="dxa"/>
            <w:tcBorders/>
            <w:shd w:fill="auto" w:val="clear"/>
            <w:vAlign w:val="center"/>
          </w:tcPr>
          <w:p>
            <w:pPr>
              <w:pStyle w:val="TableContents"/>
              <w:spacing w:before="0" w:after="283"/>
              <w:ind w:left="0" w:right="0" w:hanging="0"/>
              <w:jc w:val="left"/>
              <w:rPr/>
            </w:pPr>
            <w:hyperlink w:anchor="tSOOC">
              <w:r>
                <w:rPr>
                  <w:rStyle w:val="InternetLink"/>
                  <w:rFonts w:ascii="Times New Roman;Times;serif" w:hAnsi="Times New Roman;Times;serif"/>
                  <w:color w:val="000000"/>
                  <w:sz w:val="20"/>
                </w:rPr>
                <w:t>SECURITY OWNERSHIP OF CERTAIN BENEFICIAL OWNERS AND MANAGEMENT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SOOC">
              <w:r>
                <w:rPr>
                  <w:rStyle w:val="InternetLink"/>
                  <w:rFonts w:ascii="Times New Roman;Times;serif" w:hAnsi="Times New Roman;Times;serif"/>
                  <w:color w:val="000000"/>
                  <w:sz w:val="20"/>
                </w:rPr>
                <w:t>34</w:t>
              </w:r>
            </w:hyperlink>
          </w:p>
        </w:tc>
      </w:tr>
      <w:tr>
        <w:trPr/>
        <w:tc>
          <w:tcPr>
            <w:tcW w:w="8450" w:type="dxa"/>
            <w:tcBorders/>
            <w:shd w:fill="CCEEFF" w:val="clear"/>
            <w:vAlign w:val="center"/>
          </w:tcPr>
          <w:p>
            <w:pPr>
              <w:pStyle w:val="TableContents"/>
              <w:spacing w:before="0" w:after="283"/>
              <w:ind w:left="0" w:right="0" w:hanging="0"/>
              <w:jc w:val="left"/>
              <w:rPr/>
            </w:pPr>
            <w:hyperlink w:anchor="tDS">
              <w:r>
                <w:rPr>
                  <w:rStyle w:val="InternetLink"/>
                  <w:rFonts w:ascii="Times New Roman;Times;serif" w:hAnsi="Times New Roman;Times;serif"/>
                  <w:color w:val="000000"/>
                  <w:sz w:val="20"/>
                </w:rPr>
                <w:t>DELINQUENT SECTION 16(A) REPORTS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DS">
              <w:r>
                <w:rPr>
                  <w:rStyle w:val="InternetLink"/>
                  <w:rFonts w:ascii="Times New Roman;Times;serif" w:hAnsi="Times New Roman;Times;serif"/>
                  <w:color w:val="000000"/>
                  <w:sz w:val="20"/>
                </w:rPr>
                <w:t>35</w:t>
              </w:r>
            </w:hyperlink>
          </w:p>
        </w:tc>
      </w:tr>
      <w:tr>
        <w:trPr/>
        <w:tc>
          <w:tcPr>
            <w:tcW w:w="8450" w:type="dxa"/>
            <w:tcBorders/>
            <w:shd w:fill="auto" w:val="clear"/>
            <w:vAlign w:val="center"/>
          </w:tcPr>
          <w:p>
            <w:pPr>
              <w:pStyle w:val="TableContents"/>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AI">
              <w:r>
                <w:rPr>
                  <w:rStyle w:val="InternetLink"/>
                  <w:rFonts w:ascii="Times New Roman;Times;serif" w:hAnsi="Times New Roman;Times;serif"/>
                  <w:color w:val="000000"/>
                  <w:sz w:val="20"/>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 w:name="DSPFPageBreakArea2"/>
      <w:bookmarkStart w:id="17" w:name="DSPFPageBreakArea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 w:name="DSPFPageBreak2"/>
      <w:bookmarkStart w:id="19" w:name="DSPFPageBreak2"/>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 w:name="ny20007204x2_def14a_103-proxy_pg1"/>
        <w:bookmarkEnd w:id="2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ARDELYX, INC.</w:t>
      </w:r>
    </w:p>
    <w:p>
      <w:pPr>
        <w:pStyle w:val="TextBody"/>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400 Fifth Avenue, Suite 210</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Waltham, MA 02451</w:t>
      </w:r>
    </w:p>
    <w:p>
      <w:pPr>
        <w:pStyle w:val="TextBody"/>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JUNE 15, 2023</w:t>
      </w:r>
    </w:p>
    <w:p>
      <w:pPr>
        <w:pStyle w:val="TextBody"/>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ANNUAL MEETING OF STOCKHOLDERS TO BE HELD ON JUNE 15, 2023</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and our 2022 Annual Report to Stockholders, which includes our Annual Report on Form 10-K for the fiscal year ended December 31, 2022 are available on our website at www.ardelyx.com and at </w:t>
      </w:r>
      <w:r>
        <w:rPr>
          <w:rFonts w:ascii="Times New Roman;Times;serif" w:hAnsi="Times New Roman;Times;serif"/>
          <w:i/>
          <w:color w:val="000000"/>
          <w:sz w:val="20"/>
        </w:rPr>
        <w:t>www.proxyvote.com</w:t>
      </w:r>
      <w:r>
        <w:rPr>
          <w:rFonts w:ascii="Times New Roman;Times;serif" w:hAnsi="Times New Roman;Times;serif"/>
          <w:color w:val="000000"/>
          <w:sz w:val="20"/>
        </w:rPr>
        <w:t>. The references to our web address contained in this proxy statement do not constitute incorporation by reference of the information contained at or available through our website.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the context requires otherwise, in this proxy statement the terms “Ardelyx,” “we,” “us,” “our” and “the Company” refer to Ardelyx, Inc.</w:t>
      </w:r>
    </w:p>
    <w:p>
      <w:pPr>
        <w:pStyle w:val="TextBody"/>
        <w:spacing w:before="240" w:after="283"/>
        <w:ind w:left="0" w:right="0" w:hanging="0"/>
        <w:jc w:val="left"/>
        <w:rPr>
          <w:rFonts w:ascii="Times New Roman;Times;serif" w:hAnsi="Times New Roman;Times;serif"/>
          <w:b/>
          <w:color w:val="000000"/>
          <w:sz w:val="20"/>
        </w:rPr>
      </w:pPr>
      <w:bookmarkStart w:id="21" w:name="tQAQ"/>
      <w:bookmarkEnd w:id="21"/>
      <w:r>
        <w:rPr>
          <w:rFonts w:ascii="Times New Roman;Times;serif" w:hAnsi="Times New Roman;Times;serif"/>
          <w:b/>
          <w:color w:val="000000"/>
          <w:sz w:val="20"/>
        </w:rPr>
        <w:t>QUESTIONS AND ANSWERS REGARDING THE PROXY MATERIALS AND THE VOTING PROCESS</w:t>
      </w:r>
    </w:p>
    <w:p>
      <w:pPr>
        <w:pStyle w:val="TextBody"/>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Why am I receiving these proxy materials?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delivered paper proxy materials to you, because the board of directors of Ardelyx is soliciting your proxy to vote at the 2023 Annual Meeting of Stockholders, or the 2023 Annual Meeting, or any adjournments that take place. The 2023 Annual Meeting will be held online on June 15, 2023 at 8:30 a.m. Eastern Time via live audio-only webcast at </w:t>
      </w:r>
      <w:r>
        <w:rPr>
          <w:rFonts w:ascii="Times New Roman;Times;serif" w:hAnsi="Times New Roman;Times;serif"/>
          <w:i/>
          <w:color w:val="000000"/>
          <w:sz w:val="20"/>
        </w:rPr>
        <w:t>www.virtualshareholdermeeting.com/ARDX2023</w:t>
      </w:r>
      <w:r>
        <w:rPr>
          <w:rFonts w:ascii="Times New Roman;Times;serif" w:hAnsi="Times New Roman;Times;serif"/>
          <w:color w:val="000000"/>
          <w:sz w:val="20"/>
        </w:rPr>
        <w:t>. As a stockholder, you are invited to attend the 2023 Annual Meeting online and are requested to vote on the proposals described in this proxy statement. However, you do not need to attend the 2023 Annual Meeting to vote.</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is included in the proxy materials?</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proxy materials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This proxy statement, which includes information regarding the proposals to be voted on at the 2023 Annual Meeting, the voting process, corporate governance, the compensation of our directors and certain executive officers, and other required information;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2022 Annual Report to Stockholders, which includes our Annual Report on Form 10-K for the fiscal year ended December 31, 2022; and</w:t>
            </w:r>
          </w:p>
        </w:tc>
      </w:tr>
    </w:tbl>
    <w:tbl>
      <w:tblPr>
        <w:tblW w:w="6070" w:type="dxa"/>
        <w:jc w:val="left"/>
        <w:tblInd w:w="0" w:type="dxa"/>
        <w:tblCellMar>
          <w:top w:w="0" w:type="dxa"/>
          <w:left w:w="0" w:type="dxa"/>
          <w:bottom w:w="0" w:type="dxa"/>
          <w:right w:w="0" w:type="dxa"/>
        </w:tblCellMar>
      </w:tblPr>
      <w:tblGrid>
        <w:gridCol w:w="110"/>
        <w:gridCol w:w="59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proxy card or a voting instruction card for the 2023 Annual Meeting.</w:t>
            </w:r>
          </w:p>
        </w:tc>
      </w:tr>
    </w:tbl>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proxy materials are being mailed on or about May 4, 2023, and are available at www.ardelyx.com.</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can vote at the 2023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Only stockholders of record at the close of business on April 18, 2023, or the Record Date, will be entitled to vote at the 2023 Annual Meeting. On this Record Date, there were 214,462,429 shares of common stock outstanding and entitled to vote.</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Stockholder of Record: Shares Registered in Your Name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at the close of business on April 18, 2023, your shares were registered directly in your name with our transfer agent, American Stock Transfer &amp; Trust Company, LLC, then you are a stockholder of record. As a stockholder of record, you may vote online at the 2023 Annual Meeting or vote by proxy. Whether or not you plan to attend the 2023 Annual Meeting, please vote as soon as possible by internet, telephone or by mail as instructed below to ensure your vote is counted.</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 w:name="DSPFPageBreakArea3"/>
      <w:bookmarkStart w:id="23" w:name="DSPFPageBreakArea3"/>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 w:name="DSPFPageBreak3"/>
      <w:bookmarkStart w:id="25" w:name="DSPFPageBreak3"/>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 w:name="ny20007204x2_def14a_103-proxy_pg2"/>
        <w:bookmarkEnd w:id="2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Beneficial Owner: Shares Registered in the Name of a Broker or Bank</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at the close of business on April 18, 2023,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2023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2023 Annual Meeting, you must obtain a valid proxy from your broker or other agent. Follow the instructions from your broker or other agent included with these proxy materials, or contact your broker or bank to request a proxy form. In order to login to the online 2023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proposals are scheduled for a vote?</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 are four proposals scheduled for a vote at the 2023 Annual Meeting: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1 — To elect three Class III directors to hold office until the 2026 Annual Meeting of Stockholders and until their successors are elected and qualified;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2 — To approve the amendment to our Amended and Restated Certificate of Incorporation to increase the number of authorized shares of common stock from 300,000,000 shares to 500,000,000 shares;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3 — To approve, on a non-binding, advisory basis, the compensation of our named executive officers, as disclosed in this proxy statement pursuant to the compensation disclosure rules of the Securities and Exchange Commission, or Say-on-Pay;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4 — To ratify the selection, by the Audit and Compliance Committee of our board of directors, of Ernst &amp; Young LLP as the independent registered public accounting firm of the Company for the fiscal year ending December 31, 2023.</w:t>
            </w:r>
          </w:p>
        </w:tc>
      </w:tr>
    </w:tbl>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do I vote?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Proposal No. 1, you may either vote “</w:t>
      </w:r>
      <w:r>
        <w:rPr>
          <w:rFonts w:ascii="Times New Roman;Times;serif" w:hAnsi="Times New Roman;Times;serif"/>
          <w:b/>
          <w:color w:val="000000"/>
          <w:sz w:val="20"/>
        </w:rPr>
        <w:t>FOR</w:t>
      </w:r>
      <w:r>
        <w:rPr>
          <w:rFonts w:ascii="Times New Roman;Times;serif" w:hAnsi="Times New Roman;Times;serif"/>
          <w:color w:val="000000"/>
          <w:sz w:val="20"/>
        </w:rPr>
        <w:t>” all nominees to the board of directors or you may “</w:t>
      </w:r>
      <w:r>
        <w:rPr>
          <w:rFonts w:ascii="Times New Roman;Times;serif" w:hAnsi="Times New Roman;Times;serif"/>
          <w:b/>
          <w:color w:val="000000"/>
          <w:sz w:val="20"/>
        </w:rPr>
        <w:t>WITHHOLD</w:t>
      </w:r>
      <w:r>
        <w:rPr>
          <w:rFonts w:ascii="Times New Roman;Times;serif" w:hAnsi="Times New Roman;Times;serif"/>
          <w:color w:val="000000"/>
          <w:sz w:val="20"/>
        </w:rPr>
        <w:t>” your vote for any nominee you specify. For Proposals No. 2, No. 3 and No. 4, you may either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you may abstain from voting.</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procedures for voting are as follows:</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Stockholder of Record: Shares Registered in Your Name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stockholder of record, you may vote online at the virtual 2023 Annual Meeting or vote by internet, telephone or by mail. Whether or not you plan to attend the 2023 Annual Meeting online, please vote as soon as possible to ensure your vote is counted. You may still attend the 2023 Annual Meeting online and vote online even if you have already voted by proxy.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By Attending the 2023 Annual Meeting Online</w:t>
            </w:r>
            <w:r>
              <w:rPr>
                <w:rFonts w:ascii="Times New Roman;Times;serif" w:hAnsi="Times New Roman;Times;serif"/>
                <w:color w:val="000000"/>
                <w:sz w:val="20"/>
              </w:rPr>
              <w:t xml:space="preserve">. You may vote online at the 2023 Annual Meeting by attending the 2023 Annual Meeting online via live audio-only webcast at </w:t>
            </w:r>
            <w:r>
              <w:rPr>
                <w:rFonts w:ascii="Times New Roman;Times;serif" w:hAnsi="Times New Roman;Times;serif"/>
                <w:i/>
                <w:color w:val="000000"/>
                <w:sz w:val="20"/>
              </w:rPr>
              <w:t>www.virtualshareholdermeeting.com/ARDX2023</w:t>
            </w:r>
            <w:r>
              <w:rPr>
                <w:rFonts w:ascii="Times New Roman;Times;serif" w:hAnsi="Times New Roman;Times;serif"/>
                <w:color w:val="000000"/>
                <w:sz w:val="20"/>
              </w:rPr>
              <w: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by internet or telephone</w:t>
            </w:r>
            <w:r>
              <w:rPr>
                <w:rFonts w:ascii="Times New Roman;Times;serif" w:hAnsi="Times New Roman;Times;serif"/>
                <w:color w:val="000000"/>
                <w:sz w:val="20"/>
              </w:rPr>
              <w:t>. You may submit your proxy by following the instructions provided with your proxy materials and on your proxy card or voting instruction card.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by mail</w:t>
            </w:r>
            <w:r>
              <w:rPr>
                <w:rFonts w:ascii="Times New Roman;Times;serif" w:hAnsi="Times New Roman;Times;serif"/>
                <w:color w:val="000000"/>
                <w:sz w:val="20"/>
              </w:rPr>
              <w:t>. You may submit your proxy by mail by completing and signing your proxy card and mailing it in the enclosed envelope. Your shares will be voted as you have instructed.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 w:name="DSPFPageBreakArea4"/>
      <w:bookmarkStart w:id="28" w:name="DSPFPageBreakArea4"/>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 w:name="DSPFPageBreak4"/>
      <w:bookmarkStart w:id="30" w:name="DSPFPageBreak4"/>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 w:name="ny20007204x2_def14a_103-proxy_pg3"/>
        <w:bookmarkEnd w:id="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Beneficial Owner: Shares Registered in the Name of Broker or Bank</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Alternatively, you may vote by internet or telephone as instructed by your broker or other agent. To vote online at the 2023 Annual Meeting, you must obtain a valid proxy from your broker or other agent. Follow the instructions from your broker or other agent included with these proxy materials, or contact your broker or bank to request a proxy form.</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many votes do I have?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each matter to be voted upon, you have one vote for each share of the Company’s common stock you owned as of April 18, 2023.</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if I return a proxy card but do not make specific choices?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return a signed and dated proxy card without marking any voting selections, your shares will be voted “</w:t>
      </w:r>
      <w:r>
        <w:rPr>
          <w:rFonts w:ascii="Times New Roman;Times;serif" w:hAnsi="Times New Roman;Times;serif"/>
          <w:b/>
          <w:color w:val="000000"/>
          <w:sz w:val="20"/>
        </w:rPr>
        <w:t>FOR</w:t>
      </w:r>
      <w:r>
        <w:rPr>
          <w:rFonts w:ascii="Times New Roman;Times;serif" w:hAnsi="Times New Roman;Times;serif"/>
          <w:color w:val="000000"/>
          <w:sz w:val="20"/>
        </w:rPr>
        <w:t>” the election of each nominee for director (Proposal No. 1), “</w:t>
      </w:r>
      <w:r>
        <w:rPr>
          <w:rFonts w:ascii="Times New Roman;Times;serif" w:hAnsi="Times New Roman;Times;serif"/>
          <w:b/>
          <w:color w:val="000000"/>
          <w:sz w:val="20"/>
        </w:rPr>
        <w:t>FOR</w:t>
      </w:r>
      <w:r>
        <w:rPr>
          <w:rFonts w:ascii="Times New Roman;Times;serif" w:hAnsi="Times New Roman;Times;serif"/>
          <w:color w:val="000000"/>
          <w:sz w:val="20"/>
        </w:rPr>
        <w:t>” the amendment to our Amended and Restated Certificate of Incorporation to increase the number of authorized shares of common stock from 300,000,000 shares to 500,000,000 shares (Proposal No. 2),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(Proposal No. 3) and “</w:t>
      </w:r>
      <w:r>
        <w:rPr>
          <w:rFonts w:ascii="Times New Roman;Times;serif" w:hAnsi="Times New Roman;Times;serif"/>
          <w:b/>
          <w:color w:val="000000"/>
          <w:sz w:val="20"/>
        </w:rPr>
        <w:t>FOR</w:t>
      </w:r>
      <w:r>
        <w:rPr>
          <w:rFonts w:ascii="Times New Roman;Times;serif" w:hAnsi="Times New Roman;Times;serif"/>
          <w:color w:val="000000"/>
          <w:sz w:val="20"/>
        </w:rPr>
        <w:t>” the ratification of the selection of Ernst &amp; Young LLP as the independent registered public accounting firm of the Company for the fiscal year ending December 31, 2023 (Proposal No. 4). If any other matter is properly presented at the 2023 Annual Meeting, your proxyholder (one of the individuals named on your proxy card) will vote your shares using his or her best judgment.</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is paying for this proxy solicitation?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Morrow Sodali, LLC, or Morrow, as the proxy solicitor for the Annual Meeting for an approximate fee of $25,000 plus fees for additional services, if needed. We have also agreed to reimburse Morrow for its reasonable out-of-pocket expenses.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does it mean if I receive more than one proxy card?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receive more than one proxy card, your shares are registered in more than one name or are registered in different accounts. In order to vote all the shares you own, you must return each proxy card.</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Can I change my vote after submitting my proxy?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 You can revoke your proxy at any time before the final vote at the 2023 Annual Meeting. If you are the stockholder of record of your shares, you may revoke your proxy in any one of three ways:</w:t>
      </w:r>
    </w:p>
    <w:tbl>
      <w:tblPr>
        <w:tblW w:w="8785" w:type="dxa"/>
        <w:jc w:val="left"/>
        <w:tblInd w:w="0" w:type="dxa"/>
        <w:tblCellMar>
          <w:top w:w="0" w:type="dxa"/>
          <w:left w:w="0" w:type="dxa"/>
          <w:bottom w:w="0" w:type="dxa"/>
          <w:right w:w="0" w:type="dxa"/>
        </w:tblCellMar>
      </w:tblPr>
      <w:tblGrid>
        <w:gridCol w:w="110"/>
        <w:gridCol w:w="86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may submit another properly completed proxy, bearing a date later than the date of the original proxy.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may send a timely written notice, bearing a date later than the date of the original proxy, that you are revoking your proxy to the Company’s Chief Legal and Administrative Officer at the following email address: general-counsel@ardelyx.com.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may attend the virtual 2023 Annual Meeting and vote online. Simply attending the 2023 Annual Meeting online will not, by itself, revoke your proxy.</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your shares are held in “street name” by your broker or other agent, you should follow the instructions provided by your broker or agent to change your vote.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is the quorum requirement?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are present in attendance at the virtual 2023 Annual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 w:name="DSPFPageBreakArea5"/>
      <w:bookmarkStart w:id="33" w:name="DSPFPageBreakArea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 w:name="DSPFPageBreak5"/>
      <w:bookmarkStart w:id="35" w:name="DSPFPageBreak5"/>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 w:name="ny20007204x2_def14a_103-proxy_pg4"/>
        <w:bookmarkEnd w:id="3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On the Record Date, there were 214,462,429 shares outstanding and entitled to vote. Accordingly, the holders of 107,231,215 shares must be present at the 2023 Annual Meeting to have a quorum. Your shares will be counted toward the quorum at the 2023 Annual Meeting only if you vote online at the meeting, or you submit a valid proxy vote.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2023 Annual Meeting to another date.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are votes counted?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election of directors (Proposal 1),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WITHHOLD</w:t>
      </w:r>
      <w:r>
        <w:rPr>
          <w:rFonts w:ascii="Times New Roman;Times;serif" w:hAnsi="Times New Roman;Times;serif"/>
          <w:color w:val="000000"/>
          <w:sz w:val="20"/>
        </w:rPr>
        <w:t>” authority to vote for each of the nominees for the Board. If you “</w:t>
      </w:r>
      <w:r>
        <w:rPr>
          <w:rFonts w:ascii="Times New Roman;Times;serif" w:hAnsi="Times New Roman;Times;serif"/>
          <w:b/>
          <w:color w:val="000000"/>
          <w:sz w:val="20"/>
        </w:rPr>
        <w:t>WITHHOLD</w:t>
      </w:r>
      <w:r>
        <w:rPr>
          <w:rFonts w:ascii="Times New Roman;Times;serif" w:hAnsi="Times New Roman;Times;serif"/>
          <w:color w:val="000000"/>
          <w:sz w:val="20"/>
        </w:rPr>
        <w:t>” authority to vote with respect to one or more director nominees, your vote will have no effect on the election of such nominees. Broker non-votes will have no effect on the election of the nominees.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amendment to our Amended and Restated Certificate of Incorporation to increase the number of authorized shares of common stock from 300,000,000 shares to 500,000,000 shares (Proposal 2),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If you “</w:t>
      </w:r>
      <w:r>
        <w:rPr>
          <w:rFonts w:ascii="Times New Roman;Times;serif" w:hAnsi="Times New Roman;Times;serif"/>
          <w:b/>
          <w:color w:val="000000"/>
          <w:sz w:val="20"/>
        </w:rPr>
        <w:t>ABSTAIN</w:t>
      </w:r>
      <w:r>
        <w:rPr>
          <w:rFonts w:ascii="Times New Roman;Times;serif" w:hAnsi="Times New Roman;Times;serif"/>
          <w:color w:val="000000"/>
          <w:sz w:val="20"/>
        </w:rPr>
        <w:t>” from voting with respect to this proposal, your vote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proposal. Broker non-votes, if any,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this proposal.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Say-on-Pay proposal (Proposal 3),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Abstentions and broker non-votes will have no effect on the vote for this proposal.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ratification of Ernst &amp; Young LLP as of our independent registered public accounting firm for the year ending December 31, 2023 (Proposal 4),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Abstentions and broker non-votes will have no effect on the vote for this proposal.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Votes will be counted by the Inspector of Elections appointed for the 2023 Annual Meeting. The Inspector of Elections will separately count “</w:t>
      </w:r>
      <w:r>
        <w:rPr>
          <w:rFonts w:ascii="Times New Roman;Times;serif" w:hAnsi="Times New Roman;Times;serif"/>
          <w:b/>
          <w:color w:val="000000"/>
          <w:sz w:val="20"/>
        </w:rPr>
        <w:t>FOR</w:t>
      </w:r>
      <w:r>
        <w:rPr>
          <w:rFonts w:ascii="Times New Roman;Times;serif" w:hAnsi="Times New Roman;Times;serif"/>
          <w:color w:val="000000"/>
          <w:sz w:val="20"/>
        </w:rPr>
        <w:t>” votes for the election of directors (Proposal 1),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of the amendment to our Amended and Restated Certificate of Incorporation to increase the number of authorized shares of common stock from 300,000,000 shares to 500,000,000 shares (Proposal 2),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on a non-binding, advisory basis, of the Say-on-Pay (Proposal 3) and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ratification of the selection of Ernst &amp; Young LLP as the independent registered accounting firm of the Company for the fiscal year ending December 31, 2023 (Proposal 4).</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are “broker non-votes”?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and Proposal No. 3 to approve the Say-on-Pay are both “non-routine” matters, but Proposal No. 2 to approve the amendment to our Amended and Restated Certificate of Incorporation to increase the number of authorized shares of common stock from 300,000,000 shares to 500,000,000 shares and Proposal No. 4 to ratify the selection of Ernst &amp; Young LLP as the independent registered public accounting firm for the Company for the fiscal year ending December 31, 2023 are both “routine” matters.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 w:name="DSPFPageBreakArea6"/>
      <w:bookmarkStart w:id="38" w:name="DSPFPageBreakArea6"/>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 w:name="DSPFPageBreak6"/>
      <w:bookmarkStart w:id="40" w:name="DSPFPageBreak6"/>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1" w:name="ny20007204x2_def14a_103-proxy_pg5"/>
        <w:bookmarkEnd w:id="4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many votes are needed to approve each proposal?</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1 — To elect three Class III directors to hold office until the 2026 Annual Meeting of Stockholders and until their successors are elected and qualified. Directors shall be elected by a plurality of the votes cast, which means that the three nominees receiving the most “</w:t>
            </w:r>
            <w:r>
              <w:rPr>
                <w:rFonts w:ascii="Times New Roman;Times;serif" w:hAnsi="Times New Roman;Times;serif"/>
                <w:b/>
                <w:color w:val="000000"/>
                <w:sz w:val="20"/>
              </w:rPr>
              <w:t>FOR</w:t>
            </w:r>
            <w:r>
              <w:rPr>
                <w:rFonts w:ascii="Times New Roman;Times;serif" w:hAnsi="Times New Roman;Times;serif"/>
                <w:color w:val="000000"/>
                <w:sz w:val="20"/>
              </w:rPr>
              <w:t>” votes (from the votes of shares present in attendance or represented by proxy and entitled to vote on the election of directors) will be elected. “</w:t>
            </w:r>
            <w:r>
              <w:rPr>
                <w:rFonts w:ascii="Times New Roman;Times;serif" w:hAnsi="Times New Roman;Times;serif"/>
                <w:b/>
                <w:color w:val="000000"/>
                <w:sz w:val="20"/>
              </w:rPr>
              <w:t>WITHHOLD</w:t>
            </w:r>
            <w:r>
              <w:rPr>
                <w:rFonts w:ascii="Times New Roman;Times;serif" w:hAnsi="Times New Roman;Times;serif"/>
                <w:color w:val="000000"/>
                <w:sz w:val="20"/>
              </w:rPr>
              <w:t>” votes and broker non-votes will not be counted towards the vote total for this proposal.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2 — The approval of the amendment to our Amended and Restated Certificate of Incorporation to increase the number of authorized shares of common stock from 300,000,000 shares to 500,000,000 shares requires the affirmative vote of the holders of a majority of the outstanding shares of common stock entitled to vote at the meeting. Abstentions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such proposal. Because Proposal No. 2 is considered a “routine” matter, no broker non-votes are expected in connection with this proposal. Any broker non-votes on the proposal to approve the amendment of our Amended and Restated Certificate of Incorporation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such proposal.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3 — To approve, on a non-binding, advisory basis, the Say-on-Pay proposal. The Say-on-Pay proposal requires the affirmative vote of the majority of the votes cast,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such proposal. Abstentions and broker non-votes are not considered votes cast for the foregoing purpose, and will have no effect on the vote for this proposal.</w:t>
            </w:r>
          </w:p>
        </w:tc>
      </w:tr>
    </w:tbl>
    <w:p>
      <w:pPr>
        <w:pStyle w:val="TextBody"/>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Because the vote on Proposal No. 3 is advisory, it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4 — To ratify the selection of Ernst &amp; Young LLP as the independent registered public accounting firm of the Company for the fiscal year ending December 31, 2023. The ratification of Ernst &amp; Young LLP as our independent registered public accounting firm for the year ending December 31, 2023 requires the affirmative vote of the majority of the votes cast,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such proposal. Abstentions and broker non-votes are not considered votes cast for the foregoing purpose, and will have no effect on the vote for this proposal. Because Proposal No. 4 is considered a “routine” matter, no broker non-votes are expected in connection with this proposal.</w:t>
            </w:r>
          </w:p>
        </w:tc>
      </w:tr>
    </w:tbl>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do I attend the Virtual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year’s Annual Meeting will be held entirely online. Stockholders of record as of April 18, 2023 will be able to attend and participate in the 2023 Annual Meeting online via live audio-only webcast at </w:t>
      </w:r>
      <w:r>
        <w:rPr>
          <w:rFonts w:ascii="Times New Roman;Times;serif" w:hAnsi="Times New Roman;Times;serif"/>
          <w:i/>
          <w:color w:val="000000"/>
          <w:sz w:val="20"/>
        </w:rPr>
        <w:t>www.virtualshareholdermeeting.com/ARDX2023</w:t>
      </w:r>
      <w:r>
        <w:rPr>
          <w:rFonts w:ascii="Times New Roman;Times;serif" w:hAnsi="Times New Roman;Times;serif"/>
          <w:color w:val="000000"/>
          <w:sz w:val="20"/>
        </w:rPr>
        <w:t>. You will be able to vote your shares electronically by Internet and 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Even if you plan to attend the 2023 Annual Meeting online, we recommend that you also vote by proxy as described herein so that your vote will be counted if you decide not to attend the 2023 Annual Meeting.</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Access to the Audio Webcast of the 2023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The live audio webcast of the 2023 Annual Meeting will begin promptly at 8:30 a.m. Eastern Time. Online check-in will begin at 8:15 a.m. Eastern Time and should allow ample time for the check-in procedures. We encourage our stockholders to access the meeting prior to the start time.</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Log in Instructions.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To attend the online 2023 Annual Meeting, you will need to login at </w:t>
      </w:r>
      <w:r>
        <w:rPr>
          <w:rFonts w:ascii="Times New Roman;Times;serif" w:hAnsi="Times New Roman;Times;serif"/>
          <w:b w:val="false"/>
          <w:i/>
          <w:color w:val="000000"/>
          <w:sz w:val="20"/>
        </w:rPr>
        <w:t>www.virtualshareholdermeeting.com/ARDX2023</w:t>
      </w:r>
      <w:r>
        <w:rPr>
          <w:rFonts w:ascii="Times New Roman;Times;serif" w:hAnsi="Times New Roman;Times;serif"/>
          <w:b w:val="false"/>
          <w:i w:val="false"/>
          <w:caps w:val="false"/>
          <w:smallCaps w:val="false"/>
          <w:color w:val="000000"/>
          <w:sz w:val="20"/>
        </w:rPr>
        <w:t>. To attend the 2023 Annual Meeting, you will need the 16-digit control number included in on your proxy card or on the instructions that accompanied your proxy materials.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 w:name="DSPFPageBreakArea7"/>
      <w:bookmarkStart w:id="43" w:name="DSPFPageBreakArea7"/>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7"/>
      <w:bookmarkStart w:id="45" w:name="DSPFPageBreak7"/>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 w:name="ny20007204x2_def14a_103-proxy_pg6"/>
        <w:bookmarkEnd w:id="4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Voting. You may vote online during the 2023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To do so, go to </w:t>
      </w:r>
      <w:r>
        <w:rPr>
          <w:rFonts w:ascii="Times New Roman;Times;serif" w:hAnsi="Times New Roman;Times;serif"/>
          <w:b w:val="false"/>
          <w:i/>
          <w:color w:val="000000"/>
          <w:sz w:val="20"/>
        </w:rPr>
        <w:t>www.virtualshareholder.com/ARDX2023</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and have available the 16-digit control number included on your proxy card or on the instructions that accompanied your proxy materials.</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Submitting Questions During the virtual 2023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During the 2023 Annual Meeting, you will be able to submit questions in the question box provided at </w:t>
      </w:r>
      <w:r>
        <w:rPr>
          <w:rFonts w:ascii="Times New Roman;Times;serif" w:hAnsi="Times New Roman;Times;serif"/>
          <w:b w:val="false"/>
          <w:i/>
          <w:color w:val="000000"/>
          <w:sz w:val="20"/>
        </w:rPr>
        <w:t>www.virtualshareholdermeeting.com/ARDX2023</w:t>
      </w:r>
      <w:r>
        <w:rPr>
          <w:rFonts w:ascii="Times New Roman;Times;serif" w:hAnsi="Times New Roman;Times;serif"/>
          <w:b w:val="false"/>
          <w:i w:val="false"/>
          <w:caps w:val="false"/>
          <w:smallCaps w:val="false"/>
          <w:color w:val="000000"/>
          <w:sz w:val="20"/>
        </w:rPr>
        <w:t>. We will respond to as many inquiries at the 2023 Annual Meeting as time allows.</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Technical Assistance.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Beginning 15 minutes prior to the start of and during the virtual 2023 Annual Meeting, we will have a support team ready to assist stockholders with any technical difficulties they may have accessing or hearing the virtual meeting. If you encounter difficulties accessing the virtual 2023 Annual Meeting during check-in or meeting time, please call the technical support number that will be posted on the 2023 Annual Meeting website log-in page.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can I find out the results of the voting at the 2023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disclose final voting results in a Current Report on Form 8-K filed with the Securities and Exchange Commission within four business days after the 2023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When are stockholder proposals due for next year’s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considered for inclusion in the proxy materials for the 2024 Annual Meeting of Stockholders, your proposal must be submitted in writing by January 5, 2024, to the Company’s Corporate Secretary at Ardelyx, Inc., 400 Fifth Avenue, Suite 210, Waltham, Massachusetts 02451. However, if the meeting is more than 30 days before or after June 15, 2024, then the deadline will be a reasonable time before we begin to print and mail our proxy materials for that meeting.</w:t>
      </w:r>
    </w:p>
    <w:p>
      <w:pPr>
        <w:pStyle w:val="TextBody"/>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wish to submit a proposal before the stockholders or nominate a director at the 2024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16, 2024 and March 17, 2024. However, if the date of the 2024 annual meeting of stockholders is more than 30 days before or more than 60 days after June 15, 2024, notice must be received not later than the 90th day prior to the date of the 2024 annual meeting of stockholders or, if later, the 10th day following the day on which public disclosure of the date of the 2024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no later than 60 days prior to the anniversary of the previous year’s annual meeting (no later than April 16, 2024 for the 2024 annual meeting of stockholders). If the date of the 2024 annual meeting of stockholders is changed by more than 30 days from the anniversary of the 2023 Annual Meeting, then notice must be provided by the later of 60 days prior to the date of the 2024 annual meeting of stockholders or the 10th calendar day following the day on which public announcement of the date of the 2024 annual meeting of stockholders is first made.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 w:name="DSPFPageBreakArea8"/>
      <w:bookmarkStart w:id="48" w:name="DSPFPageBreakArea8"/>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 w:name="DSPFPageBreak8"/>
      <w:bookmarkStart w:id="50" w:name="DSPFPageBreak8"/>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 w:name="ny20007204x2_def14a_104-prop1_pg1"/>
        <w:bookmarkEnd w:id="5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2" w:name="tP1"/>
      <w:bookmarkEnd w:id="52"/>
      <w:r>
        <w:rPr>
          <w:rFonts w:ascii="Times New Roman;Times;serif" w:hAnsi="Times New Roman;Times;serif"/>
          <w:b/>
          <w:color w:val="000000"/>
          <w:sz w:val="20"/>
        </w:rPr>
        <w:t>PROPOSAL NO. 1</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ELECTION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currently consists of nine directors and no vacancies, divided into the following three classes: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Class I directors are William A. Bertrand, Jr., Esq., Onaiza Cadoret-Manier and Jan Lundberg, Ph.D., and their terms will expire at the 2024 Annual Meeting of Stockholders;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Class II directors are Geoffrey A. Block, M.D., David Mott and Michael Raab, and their terms will expire at the 2025 Annual Meeting of Stockholders;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Class III directors are Robert Bazemore, Muna Bhanji, R.Ph, and Richard Rodgers, and their terms will expire at the 2023 Annual Meeting of Stockholders.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current Class III directors, Robert Bazemore, Muna Bhanji, R.Ph, and Richard Rodgers, have been nominated to serve as Class III directors and have agreed to stand for election. If the nominees for Class III are elected at the 2023 Annual Meeting, then each nominee will serve for a three-year term expiring at the 2026 Annual Meeting of Stockholders, and until his or her successor is elected and qualified, or until his or her earlier death, resignation or removal.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Times;serif" w:hAnsi="Times New Roman;Times;serif"/>
          <w:b/>
          <w:color w:val="000000"/>
          <w:sz w:val="20"/>
        </w:rPr>
        <w:t>FOR</w:t>
      </w:r>
      <w:r>
        <w:rPr>
          <w:rFonts w:ascii="Times New Roman;Times;serif" w:hAnsi="Times New Roman;Times;serif"/>
          <w:color w:val="000000"/>
          <w:sz w:val="20"/>
        </w:rPr>
        <w:t>” the election of the three nominees for Class III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is a brief biography and discussion of the specific attributes, qualifications, experience and skills of each nominee for director and each director whose term will continue after the 2023 Annual Meeting, including information with respect to their ages as of March 31, 2023. Our board of directors and management encourage each nominee for director and each continuing director to attend the 2023 Annual Meeting.</w:t>
      </w:r>
    </w:p>
    <w:p>
      <w:pPr>
        <w:pStyle w:val="TextBody"/>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EACH OF THE THREE CLASS III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NOMINEES FOR DIRECTOR.</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NOMINEES FOR DIRECTOR — </w:t>
      </w:r>
      <w:r>
        <w:rPr>
          <w:rFonts w:ascii="Times New Roman;Times;serif" w:hAnsi="Times New Roman;Times;serif"/>
          <w:b w:val="false"/>
          <w:i/>
          <w:color w:val="000000"/>
          <w:sz w:val="20"/>
        </w:rPr>
        <w:t>To be elected for a three year term expiring at the 2026 Annual Meeting of Stockholders</w:t>
      </w:r>
      <w:r>
        <w:rPr>
          <w:rFonts w:ascii="Times New Roman;Times;serif" w:hAnsi="Times New Roman;Times;serif"/>
          <w:b/>
          <w:color w:val="000000"/>
          <w:sz w:val="20"/>
        </w:rPr>
        <w:t xml:space="preserve"> </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Bazemore</w:t>
      </w:r>
      <w:r>
        <w:rPr>
          <w:rFonts w:ascii="Times New Roman;Times;serif" w:hAnsi="Times New Roman;Times;serif"/>
          <w:b w:val="false"/>
          <w:color w:val="000000"/>
          <w:sz w:val="20"/>
        </w:rPr>
        <w:t>, age 55, has served on our board of directors since June 2016. Mr. Bazemore served as President and Chief Executive Officer and a director of Epizyme, Inc., a biopharmaceutical company, from September 2015 until the company was acquired by Ipsen S.A. (EPN: IPN) in August 2021.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Nuvation Bio, Inc. (NYSE: NUVB).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Muna Bhanji, R.Ph</w:t>
      </w:r>
      <w:r>
        <w:rPr>
          <w:rFonts w:ascii="Times New Roman;Times;serif" w:hAnsi="Times New Roman;Times;serif"/>
          <w:b w:val="false"/>
          <w:color w:val="000000"/>
          <w:sz w:val="20"/>
        </w:rPr>
        <w:t xml:space="preserve">, age 60, has served on our board of directors since March 2021. Ms. Bhanji has served as the founder and principal of Tiba Global Access, LLC, an independent senior advisory practice focused 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 w:name="DSPFPageBreakArea9"/>
      <w:bookmarkStart w:id="54" w:name="DSPFPageBreakArea9"/>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 w:name="DSPFPageBreak9"/>
      <w:bookmarkStart w:id="56" w:name="DSPFPageBreak9"/>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7" w:name="ny20007204x2_def14a_104-prop1_pg2"/>
        <w:bookmarkEnd w:id="5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commercialization and market access strategy development,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and Corus International, an international humanitarian organization committed to poverty alleviation.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Richard Rodgers</w:t>
      </w:r>
      <w:r>
        <w:rPr>
          <w:rFonts w:ascii="Times New Roman;Times;serif" w:hAnsi="Times New Roman;Times;serif"/>
          <w:b w:val="false"/>
          <w:color w:val="000000"/>
          <w:sz w:val="20"/>
        </w:rPr>
        <w:t>, age 56, has served on our board of directors since March 2014. From March 2010 until August 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(OTC: ESALF), a pharmaceutical company, in January 2008. Mr. Rodgers has held finance and accounting positions at several private and public companies, including Arthur Anderson &amp; Co. Mr. Rodgers currently serves as a director of Novavax, Inc. (Nasdaq: NVAX) and Ocuphire Pharma, Inc. (Nasdaq: OCUP).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 </w:t>
      </w:r>
      <w:r>
        <w:rPr>
          <w:rFonts w:ascii="Times New Roman;Times;serif" w:hAnsi="Times New Roman;Times;serif"/>
          <w:b w:val="false"/>
          <w:i/>
          <w:color w:val="000000"/>
          <w:sz w:val="20"/>
        </w:rPr>
        <w:t>To continue in office until the 2024 Annual Meeting of Stockholders</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William Bertrand, Jr., Esq.</w:t>
      </w:r>
      <w:r>
        <w:rPr>
          <w:rFonts w:ascii="Times New Roman;Times;serif" w:hAnsi="Times New Roman;Times;serif"/>
          <w:b w:val="false"/>
          <w:color w:val="000000"/>
          <w:sz w:val="20"/>
        </w:rPr>
        <w:t>, age 58, has served on our board of directors since October 2015. Mr. Bertrand has 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completed a 12 year career at Medimmune Limited, a biotechnology company and subsidiary of AstraZeneca Plc (NYSE: 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Onaiza Cadoret-Manier</w:t>
      </w:r>
      <w:r>
        <w:rPr>
          <w:rFonts w:ascii="Times New Roman;Times;serif" w:hAnsi="Times New Roman;Times;serif"/>
          <w:b w:val="false"/>
          <w:color w:val="000000"/>
          <w:sz w:val="20"/>
        </w:rPr>
        <w:t>, age 59, has served on our board of directors since March 2020. Ms. Cadoret-Manier has served as Chief Global Product Strategy and Operations Officer at Ionis Pharmaceuticals (Nasdaq: IONS) since March 2022, and previously served as Chief Corporate Development and Commercial Officer at Ionis Pharmaceuticals from January 2020 to March 2022. Ms. Cadoret-Manier was previously the Chief Commercial Officer for Grail Biosciences, an early detection genomics company, from June 2018 until June 2019. Prior to Grail, from April 2011 until June 2018, she was Vice President of the Respiratory Franchise at Genentech, a biopharmaceutical company. Ms. Cadoret-Manier also has held multiple senior management positions overseeing corporate strategy, alliances, and marketing and sales for numerous disease areas for Genentech, Pfizer and Amylin Pharmaceuticals. Ms. Cadoret-Manier serves on the board of directors of Ventyx Biosciences (Nasdaq: VTYX).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Jan Lundberg, Ph.D.</w:t>
      </w:r>
      <w:r>
        <w:rPr>
          <w:rFonts w:ascii="Times New Roman;Times;serif" w:hAnsi="Times New Roman;Times;serif"/>
          <w:b w:val="false"/>
          <w:color w:val="000000"/>
          <w:sz w:val="20"/>
        </w:rPr>
        <w:t xml:space="preserve">, age 69, has served on our board of directors since March 2018. Dr. Lundberg served as the President of Lilly Research Laboratories and Executive Vice President of Science and Technology for Eli Lilly and Company (NYSE: LLY) from January 2010 to March 2018. Prior to joining Lilly he served for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 w:name="DSPFPageBreakArea10"/>
      <w:bookmarkStart w:id="59" w:name="DSPFPageBreakArea10"/>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 w:name="DSPFPageBreak10"/>
      <w:bookmarkStart w:id="61" w:name="DSPFPageBreak10"/>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 w:name="ny20007204x2_def14a_104-prop1_pg3"/>
        <w:bookmarkEnd w:id="6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ten years as global head of discovery research at AstraZeneca Plc (NYSE: AZN), where he was a member of the senior executive team. Dr. Lundberg also served as a professor at the Karolinska Institute’s department of pharmacology in Sweden, and was a co-founder of Aerocrine, a biotechnology company. Dr. Lundberg currently serves on the board of directors of several privately held life sciences and pharmaceutical companies, including Ferring Pharmaceuticals, where he also serves as the Chairman of the Research and Development Committee. Dr. Lundberg was instrumental in the establishment of the Innovative Medicines Initiative in Europe and the Accelerating Medicines Partnership with National Institutes of Health. Dr. Lundberg received a B.S.M. in medicine from the University of Gothenburg and a Ph.D. in pharmacology from the Karolinska Institute in Sweden. We believe that Dr. Lundberg is qualified to serve on our board of directors due to his extensive scientific research background and significant life science industry experience.</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DIRECTORS — </w:t>
      </w:r>
      <w:r>
        <w:rPr>
          <w:rFonts w:ascii="Times New Roman;Times;serif" w:hAnsi="Times New Roman;Times;serif"/>
          <w:b w:val="false"/>
          <w:i/>
          <w:color w:val="000000"/>
          <w:sz w:val="20"/>
        </w:rPr>
        <w:t xml:space="preserve">To continue in office until the 2025 Annual Meeting of Stockholders </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Geoffrey A. Block, M.D.</w:t>
      </w:r>
      <w:r>
        <w:rPr>
          <w:rFonts w:ascii="Times New Roman;Times;serif" w:hAnsi="Times New Roman;Times;serif"/>
          <w:b w:val="false"/>
          <w:color w:val="000000"/>
          <w:sz w:val="20"/>
        </w:rPr>
        <w:t>, age 57, has served on our board of directors since March 2019. Dr. Block has served as the 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the University of Michigan at Ann Arbor. We believe that Dr. Block is qualified to serve on our board of directors due to his extensive experience in the field of nephrology, and his particular ability to understand the treatment options, needs and challenges for the patients we expect to serve.</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Mott</w:t>
      </w:r>
      <w:r>
        <w:rPr>
          <w:rFonts w:ascii="Times New Roman;Times;serif" w:hAnsi="Times New Roman;Times;serif"/>
          <w:b w:val="false"/>
          <w:color w:val="000000"/>
          <w:sz w:val="20"/>
        </w:rPr>
        <w:t>, age 57, has served on our board of directors since March 2009 and as the chairperson of the board of 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 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chairperson of the board of directors for Adaptimmune (Nasdaq: ADAP), and Mersana Therapeutics, Inc. (Nasdaq: MRSN), and serves on the board of directors of Novavax, Inc. (Nasdaq: NVAX). Additionally, he served as the chairperson of the board of directors of Imara Inc. from April 2016 to its acquisition by Enliven Therapeutics, Inc (Nasdaq: ELVN) in February 2023.We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Raab</w:t>
      </w:r>
      <w:r>
        <w:rPr>
          <w:rFonts w:ascii="Times New Roman;Times;serif" w:hAnsi="Times New Roman;Times;serif"/>
          <w:b w:val="false"/>
          <w:color w:val="000000"/>
          <w:sz w:val="20"/>
        </w:rPr>
        <w:t>, age 58, has served as our President and Chief Executive Officer since March 2009 and as a director since 2008. 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chairperson of the board of directors of Tempest Therapeutics (Nasdaq CM: TPST). Mr. Raab currently serves as a member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 w:name="DSPFPageBreakArea11"/>
      <w:bookmarkStart w:id="64" w:name="DSPFPageBreakArea11"/>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 w:name="DSPFPageBreak11"/>
      <w:bookmarkStart w:id="66" w:name="DSPFPageBreak11"/>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7" w:name="ny20007204x2_def14a_105-prop2_pg1"/>
        <w:bookmarkEnd w:id="6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8" w:name="tP2"/>
      <w:bookmarkEnd w:id="68"/>
      <w:r>
        <w:rPr>
          <w:rFonts w:ascii="Times New Roman;Times;serif" w:hAnsi="Times New Roman;Times;serif"/>
          <w:b/>
          <w:color w:val="000000"/>
          <w:sz w:val="20"/>
        </w:rPr>
        <w:t>PROPOSAL NO. 2</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APPROVAL TO AMEND OUR AMENDED AND RESTATED CERTIFICATION OF INCORPORATION TO INCREASE THE NUMBER OF SHARES OF AUTHORIZED COMMON STOCK FROM 300,000,000 TO 500,000,000</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Summary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Presently, our Amended and Restated Certificate of Incorporation authorizes the issuance of 300,000,000 shares of common stock, par value $0.0001 per share, and 5,000,000 shares of preferred stock, par value $0.0001 per share. As of March 31, 2023, the Company had 214,462,050 shares of common stock issued and outstanding, 31,548,573 shares of common stock reserved for issuance under our equity compensation plans, and a total of 53,989,377 shares of authorized common stock available for issuance.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March 2023, the board of directors determined that the increase in the number of shares of common stock was advisable and in the best interest of the Company and its stockholders and unanimously approved an amendment to Article Four of our Amended and Restated Certificate of Incorporation to increase the authorized number of shares of common stock from 300,000,000 to 500,000,000 shares, resulting in an increase in our total authorized number of shares of capital stock from 305,000,000 to 505,000,000, subject to stockholder approval of the amendment.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a majority of the outstanding shares of our common stock as of the Record Date will be required to approve the amendment of our Amended and Restated Certificate of Incorporation. Abstentions will have the effect of a vote “Against” this proposal. This is a routine proposal and therefore we do not expect any broker non-votes.</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Effects of Proposed Amendment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additional authorized shares of common stock will be identical to the shares of common stock now authorized and outstanding. The proposed increase in the number of shares of common stock will not change the number of shares of stock outstanding, have any immediate dilutive effect or change the rights of current holders of our common stock. However, to the extent that the additional authorized shares of common stock are issued in the future, they may decrease existing stockholders’ percentage equity ownership and, depending on the price at which they are issued, could be dilutive to the voting rights of existing stockholders and may dilute earnings and book value on a per share basis. Stockholders do not have preemptive rights to acquire the common stock authorized by this amendment, which means that current stockholders do not have a prior right to purchase any new issue of capital stock in order to maintain their proportionate ownership of our common stock.</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dilution, the availability of additional shares of common stock for issuance could, under certain circumstances, discourage or make more difficult any efforts to obtain control of us. The Board is not aware of any actual or contemplated attempt to acquire control of the Company and this proposal is not being presented with the intent that it be used to prevent or discourage any acquisition attempt. However, nothing would prevent the Board from taking any actions that it deems consistent with its fiduciary duties.</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Text of the Proposed Amendment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our Amended and Restated Certificate of Incorporation were approved, Article IV, Section A of the Company’s Amended and Restated Certificate of Incorporation would read in its entirety as follows:</w:t>
      </w:r>
    </w:p>
    <w:p>
      <w:pPr>
        <w:pStyle w:val="TextBody"/>
        <w:spacing w:before="120" w:after="283"/>
        <w:ind w:left="0" w:right="0" w:hanging="0"/>
        <w:jc w:val="left"/>
        <w:rPr>
          <w:color w:val="000000"/>
        </w:rPr>
      </w:pPr>
      <w:r>
        <w:rPr>
          <w:color w:val="000000"/>
        </w:rPr>
        <w:t>“</w:t>
      </w:r>
      <w:r>
        <w:rPr>
          <w:rFonts w:ascii="Times New Roman;Times;serif" w:hAnsi="Times New Roman;Times;serif"/>
          <w:color w:val="000000"/>
          <w:sz w:val="20"/>
        </w:rPr>
        <w:t>A. This Corporation is authorized to issue two classes of capital stock which shall be designated, respectively, “Common Stock” and “Preferred Stock.” The total number of shares that the Corporation is authorized to issue is Five Hundred Five Million (505,000,000), of which Five Hundred Million (500,000,000) shares shall be Common Stock and Five Million (5,000,000) shares shall be Preferred Stock. The Common Stock shall have a par value of $0.0001 per share and the Preferred Stock shall have a par value of $0.0001 per share.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stock of the Corporation with the power to vote thereon irrespective of the provisions of Section 242(b)(2) of the Delaware General Corporation Law, and no vote of the holders of any of the Common Stock or Preferred Stock voting separately as a class shall be required therefor.”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 w:name="DSPFPageBreakArea12"/>
      <w:bookmarkStart w:id="70" w:name="DSPFPageBreakArea1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 w:name="DSPFPageBreak12"/>
      <w:bookmarkStart w:id="72" w:name="DSPFPageBreak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 w:name="ny20007204x2_def14a_105-prop2_pg2"/>
        <w:bookmarkEnd w:id="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Timing of the Proposed Amendment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the proposed amendment to increase the number of authorized shares of common stock is approved by our stockholders, the amendment will become effective immediately upon the filing of a Certificate of Amendment to our Amended and Restated Certificate of Incorporation with the Secretary of State of the State of Delaware, which we expect to file promptly after the 2023 Annual Meeting, if approved. If the proposed amendment is not approved by our stockholders, the number of authorized shares of Common Stock will remain unchanged.</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additional authorized shares of common stock would give the Company the necessary flexibility to issue shares for various corporate purposes, including, in particular, capital-raising or financing transactions, and enable the Company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development of the Company’s pipeline of products, future grants and awards under equity compensation plans; stock dividends; and other general corporate working capital needs. The Board currently has no specific designated purpose for the increase in authorized shares of common stock. As a general matter, the Board would be able to issue the additional authorized shares of common stock at its discretion from time to time, subject to and as limited by, rules or listing requirements of the Nasdaq or any other then applicable securities exchange, and without further action or approval of the Company’s stockholders. The discretion of the Board, however, would be subject to any other applicable rules and regulations in the case of any particular issuance or reservation for issuance that might require our stockholders to approve such transaction.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Risks to stockholders of non-approval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our stockholders do not approve this proposal, the Board may be precluded from pursuing a wide range of potential corporate opportunities that might raise necessary cash or otherwise be in the best interests of the Company and the best interests of our stockholders. This could have a material adverse effect on our business and prospects. We could also face substantial challenges in hiring and retaining employees at all levels, including our executive leadership team.</w:t>
      </w:r>
    </w:p>
    <w:p>
      <w:pPr>
        <w:pStyle w:val="TextBody"/>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THE RESOLUTION TO AMEND OUR AMENDED AND RESTATED CERTIFICATION OF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INCORPORATION TO INCREASE THE NUMBER OF SHARES OF AUTHORIZED COMMON STOCK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FROM 300,000,000 TO 500,000,000.</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 w:name="DSPFPageBreakArea13"/>
      <w:bookmarkStart w:id="75" w:name="DSPFPageBreakArea13"/>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 w:name="DSPFPageBreak13"/>
      <w:bookmarkStart w:id="77" w:name="DSPFPageBreak1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8" w:name="ny20007204x2_def14a_106-prop3_pg1"/>
        <w:bookmarkEnd w:id="7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79" w:name="tP3"/>
      <w:bookmarkEnd w:id="79"/>
      <w:r>
        <w:rPr>
          <w:rFonts w:ascii="Times New Roman;Times;serif" w:hAnsi="Times New Roman;Times;serif"/>
          <w:b/>
          <w:color w:val="000000"/>
          <w:sz w:val="20"/>
        </w:rPr>
        <w:t>PROPOSAL NO. 3</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ADVISORY VOTE TO APPROVE NAMED EXECUTIVE OFFICER COMPENSATION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Section 14A of the Securities Exchange Act of 1934, as amended, we are providing stockholders an opportunity to cast a non-binding, advisory vote to approve the compensation of our Named Executive Officers, or NEOs (sometimes referred to as a “Say-on-Pay” vote). Accordingly, you have the opportunity to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to “</w:t>
      </w:r>
      <w:r>
        <w:rPr>
          <w:rFonts w:ascii="Times New Roman;Times;serif" w:hAnsi="Times New Roman;Times;serif"/>
          <w:b/>
          <w:color w:val="000000"/>
          <w:sz w:val="20"/>
        </w:rPr>
        <w:t>ABSTAIN</w:t>
      </w:r>
      <w:r>
        <w:rPr>
          <w:rFonts w:ascii="Times New Roman;Times;serif" w:hAnsi="Times New Roman;Times;serif"/>
          <w:color w:val="000000"/>
          <w:sz w:val="20"/>
        </w:rPr>
        <w:t>” from voting on the following non-binding resolution at the 2023 Annual Meeting:</w:t>
      </w:r>
    </w:p>
    <w:p>
      <w:pPr>
        <w:pStyle w:val="TextBody"/>
        <w:spacing w:before="120" w:after="283"/>
        <w:ind w:left="400" w:right="0" w:hanging="0"/>
        <w:jc w:val="left"/>
        <w:rPr>
          <w:color w:val="000000"/>
        </w:rPr>
      </w:pPr>
      <w:r>
        <w:rPr>
          <w:color w:val="000000"/>
        </w:rPr>
        <w:t>“</w:t>
      </w:r>
      <w:r>
        <w:rPr>
          <w:rFonts w:ascii="Times New Roman;Times;serif" w:hAnsi="Times New Roman;Times;serif"/>
          <w:color w:val="000000"/>
          <w:sz w:val="20"/>
        </w:rPr>
        <w:t>Resolved, that the stockholders approve, on an advisory basis, the compensation of the Company’s named executive officers as disclosed in the Company’s proxy statement for the 2023 Annual Meeting of Stockholders pursuant to the compensation disclosure rules of the Securities and Exchange Commission, including the accompanying compensation tables and the related narrative disclosure in the proxy statement.”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deciding how to vote on this proposal, you are encouraged to review the accompanying compensation tables and the related narrative disclosure. As described in detail in the sections entitled “Compensation Discussion and Analysis” and “Details of our Compensation Program,”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Vote Required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on a non-binding, advisory basis, of the compensation of our NEOs, as disclosed in this Proxy Statement pursuant to the compensation disclosure rules of the Securities and Exchange Commission, requires the affirmative vote of the majority of shares of common stock present online live or represented by proxy at the 2023 Annual Meeting and entitled to vote on such proposal. Abstentions and broker non-votes will be counted towards a quorum. Abstentions and broker non-votes are not considered votes cast for the foregoing purpose, and will have no effect on the vote for this proposal.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2024 annual meeting of stockholders.</w:t>
      </w:r>
    </w:p>
    <w:p>
      <w:pPr>
        <w:pStyle w:val="TextBody"/>
        <w:spacing w:before="17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BOARD OF DIRECTORS RECOMMENDS A VOTE </w:t>
      </w:r>
      <w:r>
        <w:rPr>
          <w:rFonts w:ascii="Times New Roman;Times;serif" w:hAnsi="Times New Roman;Times;serif"/>
          <w:b/>
          <w:i/>
          <w:color w:val="000000"/>
          <w:sz w:val="20"/>
          <w:u w:val="single"/>
        </w:rPr>
        <w:t>FOR</w:t>
      </w:r>
      <w:r>
        <w:rPr>
          <w:rFonts w:ascii="Times New Roman;Times;serif" w:hAnsi="Times New Roman;Times;serif"/>
          <w:b/>
          <w:i/>
          <w:color w:val="000000"/>
          <w:sz w:val="20"/>
        </w:rPr>
        <w:t xml:space="preserve"> THE APPROVAL OF THE COMPENSATION </w:t>
      </w:r>
    </w:p>
    <w:p>
      <w:pPr>
        <w:pStyle w:val="TextBody"/>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OF THE NAMED EXECUTIVE OFFICERS, AS DISCLOSED IN THIS PROXY STATEMENT.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 w:name="DSPFPageBreakArea14"/>
      <w:bookmarkStart w:id="81" w:name="DSPFPageBreakArea14"/>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 w:name="DSPFPageBreak14"/>
      <w:bookmarkStart w:id="83" w:name="DSPFPageBreak14"/>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4" w:name="ny20007204x2_def14a_107-prop4_pg1"/>
        <w:bookmarkEnd w:id="8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85" w:name="tP4"/>
      <w:bookmarkEnd w:id="85"/>
      <w:r>
        <w:rPr>
          <w:rFonts w:ascii="Times New Roman;Times;serif" w:hAnsi="Times New Roman;Times;serif"/>
          <w:b/>
          <w:color w:val="000000"/>
          <w:sz w:val="20"/>
        </w:rPr>
        <w:t>PROPOSAL NO. 4</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RATIFICATION OF SELECTION OF INDEPENDENT REGISTERED PUBLIC ACCOUNTING FIRM</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and compliance committee of our board of directors has selected Ernst &amp; Young LLP, or EY, as our independent registered public accounting firm for the year ending December 31, 2023, and is seeking ratification of such selection by our stockholders at the 2023 Annual Meeting. EY has audited our financial statements since the fiscal year ended December 31, 2014. Representatives of EY are expected to be present in attendance online at the 2023 Annual Meeting. They will have an opportunity to make a statement if they so desire and will be available to respond to appropriate questions.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Neither our Amended and Restated Bylaws nor other governing documents or law require stockholder ratification of the selection of EY as our independent registered public accounting firm. However, the audit and compliance committee is submitting the selection of EY to our stockholders for ratification as a matter of good corporate practice. If our stockholders fail to ratify the selection, the audit and compliance committee will reconsider whether or not to retain EY. Even if the selection is ratified, the audit and compliance committee in its discretion may select a different independent registered public accounting firm at any time during the year if they determine that such a change would be in the best interests of the Company and our stockholders.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a majority of the shares cast at the 2023 Annual Meeting will be required to ratify the selection of EY.</w:t>
      </w:r>
    </w:p>
    <w:p>
      <w:pPr>
        <w:pStyle w:val="TextBody"/>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“FOR” PROPOSAL NO. 4.</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and Related Fees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fiscal years ended December 31, 2022 and 2021, EY billed the approximate fees set forth below. All fees included below were approved by the audit and compliance committee.</w:t>
      </w:r>
    </w:p>
    <w:tbl>
      <w:tblPr>
        <w:tblW w:w="3563" w:type="dxa"/>
        <w:jc w:val="left"/>
        <w:tblInd w:w="0" w:type="dxa"/>
        <w:tblCellMar>
          <w:top w:w="0" w:type="dxa"/>
          <w:left w:w="0" w:type="dxa"/>
          <w:bottom w:w="0" w:type="dxa"/>
          <w:right w:w="0" w:type="dxa"/>
        </w:tblCellMar>
      </w:tblPr>
      <w:tblGrid>
        <w:gridCol w:w="1595"/>
        <w:gridCol w:w="23"/>
        <w:gridCol w:w="23"/>
        <w:gridCol w:w="876"/>
        <w:gridCol w:w="23"/>
        <w:gridCol w:w="23"/>
        <w:gridCol w:w="1000"/>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22"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6"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5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1,570,125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$1,626,350</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6"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0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24,608</w:t>
            </w:r>
          </w:p>
        </w:tc>
      </w:tr>
      <w:tr>
        <w:trPr/>
        <w:tc>
          <w:tcPr>
            <w:tcW w:w="159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6"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1,455</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All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1,588,775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$1,652,413</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2021, Audit Fees also included fees and expenses covering the integrated audit of our annual financial statements and of our internal controls over financial reporting.</w:t>
            </w:r>
          </w:p>
        </w:tc>
      </w:tr>
    </w:tbl>
    <w:tbl>
      <w:tblPr>
        <w:tblW w:w="8560" w:type="dxa"/>
        <w:jc w:val="left"/>
        <w:tblInd w:w="0" w:type="dxa"/>
        <w:tblCellMar>
          <w:top w:w="0" w:type="dxa"/>
          <w:left w:w="0" w:type="dxa"/>
          <w:bottom w:w="0" w:type="dxa"/>
          <w:right w:w="0" w:type="dxa"/>
        </w:tblCellMar>
      </w:tblPr>
      <w:tblGrid>
        <w:gridCol w:w="230"/>
        <w:gridCol w:w="833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3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category consists of fees for professional services rendered by EY for tax compliance, tax advice and tax planning.</w:t>
            </w:r>
          </w:p>
        </w:tc>
      </w:tr>
    </w:tbl>
    <w:tbl>
      <w:tblPr>
        <w:tblW w:w="5815" w:type="dxa"/>
        <w:jc w:val="left"/>
        <w:tblInd w:w="0" w:type="dxa"/>
        <w:tblCellMar>
          <w:top w:w="0" w:type="dxa"/>
          <w:left w:w="0" w:type="dxa"/>
          <w:bottom w:w="0" w:type="dxa"/>
          <w:right w:w="0" w:type="dxa"/>
        </w:tblCellMar>
      </w:tblPr>
      <w:tblGrid>
        <w:gridCol w:w="230"/>
        <w:gridCol w:w="558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5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category consists of fees related to accessing EY’s online research database.</w:t>
            </w:r>
          </w:p>
        </w:tc>
      </w:tr>
    </w:tbl>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Pre-Approval Policies and Procedures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Securities Exchange Act of 1934, as amended, to management. The audit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 w:name="DSPFPageBreakArea15"/>
      <w:bookmarkStart w:id="87" w:name="DSPFPageBreakArea1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8" w:name="DSPFPageBreak15"/>
      <w:bookmarkStart w:id="89" w:name="DSPFPageBreak15"/>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0" w:name="ny20007204x2_def14a_107-prop4_pg2"/>
        <w:bookmarkEnd w:id="9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compliance committee may delegate to one or more members the authority to grant pre-approvals, provided such approvals are presented to the audit and compliance committee at a subsequent meeting. Audit and compliance committee pre-approval of non-audit services (other than review and attest services) also will not be required if such services fall within available exceptions established by the Securities and Exchange Commission. The audit and compliance committee has considered the role of EY in providing audit and audit-related services to the Company and has concluded that such services are compatible with EY’s role as the Company’s independent registered public accounting firm.</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 w:name="DSPFPageBreakArea16"/>
      <w:bookmarkStart w:id="92" w:name="DSPFPageBreakArea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 w:name="DSPFPageBreak16"/>
      <w:bookmarkStart w:id="94" w:name="DSPFPageBreak16"/>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5" w:name="ny20007204x2_def14a_107-prop4_pg3"/>
        <w:bookmarkEnd w:id="9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96" w:name="tROT"/>
      <w:bookmarkEnd w:id="96"/>
      <w:r>
        <w:rPr>
          <w:rFonts w:ascii="Times New Roman;Times;serif" w:hAnsi="Times New Roman;Times;serif"/>
          <w:b/>
          <w:color w:val="000000"/>
          <w:sz w:val="20"/>
        </w:rPr>
        <w:t>REPORT OF THE AUDIT AND COMPLIANCE COMMITTEE OF THE BOARD OF DIRECTORS</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http://ir.ardelyx.com/corporate-governance.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fulfilling its oversight responsibilities, the audit and compliance committee reviewed and discussed with management the Company’s audited financial statements for the fiscal year ended December 31, 2022. The audit and compliance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2022.</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these reviews and discussions, the audit and compliance committee has recommended to our board of directors that such audited financial statements be included in our Annual Report on Form 10-K for the year ended December 31, 2022 for filing with the SEC.</w:t>
      </w:r>
    </w:p>
    <w:tbl>
      <w:tblPr>
        <w:tblW w:w="3021" w:type="dxa"/>
        <w:jc w:val="left"/>
        <w:tblInd w:w="0" w:type="dxa"/>
        <w:tblCellMar>
          <w:top w:w="0" w:type="dxa"/>
          <w:left w:w="0" w:type="dxa"/>
          <w:bottom w:w="0" w:type="dxa"/>
          <w:right w:w="0" w:type="dxa"/>
        </w:tblCellMar>
      </w:tblPr>
      <w:tblGrid>
        <w:gridCol w:w="75"/>
        <w:gridCol w:w="23"/>
        <w:gridCol w:w="23"/>
        <w:gridCol w:w="290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and Compliance Committee</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 Chairperson</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7" w:name="DSPFPageBreakArea17"/>
      <w:bookmarkStart w:id="98" w:name="DSPFPageBreakArea1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9" w:name="DSPFPageBreak17"/>
      <w:bookmarkStart w:id="100" w:name="DSPFPageBreak17"/>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1" w:name="ny20007204x2_def14a_108-corporate_pg1"/>
        <w:bookmarkEnd w:id="10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02" w:name="tCG"/>
      <w:bookmarkEnd w:id="102"/>
      <w:r>
        <w:rPr>
          <w:rFonts w:ascii="Times New Roman;Times;serif" w:hAnsi="Times New Roman;Times;serif"/>
          <w:b/>
          <w:color w:val="000000"/>
          <w:sz w:val="20"/>
        </w:rPr>
        <w:t>CORPORATE GOVERNANCE</w:t>
      </w:r>
    </w:p>
    <w:p>
      <w:pPr>
        <w:pStyle w:val="TextBody"/>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Composition</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Independence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currently consists of nine members. Our board of directors has determined that all of our directors, as well as each individual nominated by our board of directors for election to our board of directors at the 2023 Annual Meeting, other than Mr. Raab, qualify as “independent” directors in accordance with the Nasdaq listing requirements. Mr. Raab is not considered independent because he is an employee of our company.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Nasdaq independence definition includes a series of objective tests, such as that the director is not, and has not been for at least three years, one of our employees, and that neither the director nor any of their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described more fully below, the board of directors has also determined that each current member of the compensation committee, the audit and compliance committee and the nominating and corporate governance committee meets the independence standards applicable to those committees prescribed by Nasdaq, the SEC and the Internal Revenue Service.</w:t>
      </w:r>
    </w:p>
    <w:p>
      <w:pPr>
        <w:pStyle w:val="TextBody"/>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Classified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Leadership Structure of the Board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Amended and Restated Bylaws and corporate governance guidelines provide our board of directors with flexibility to combine or separate the positions of Chairperson of the Board and Chief Executive Officer and/or the implementation of a lead director in accordance with its determination that utilizing one or the other structure would be in the best interests of our company. Mr. Mott currently serves as the Chairperson of the Board. In that role, Mr. Mott presides over the executive sessions of the board of directors in which Mr. Raab does not participate and serves as a liaison to Mr. Raab and management on behalf of the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Role of Board in Risk Oversight Process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have a standing risk management committee, but rather administers this oversight function directly through our board of directors as a whole, as well as through various standing committees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3" w:name="DSPFPageBreakArea18"/>
      <w:bookmarkStart w:id="104" w:name="DSPFPageBreakArea18"/>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 w:name="DSPFPageBreak18"/>
      <w:bookmarkStart w:id="106" w:name="DSPFPageBreak18"/>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7" w:name="ny20007204x2_def14a_108-corporate_pg2"/>
        <w:bookmarkEnd w:id="10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Meetings of the Board of Directors and Committees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During 2022, the board of directors met six times, the audit and compliance committee met four times, the compensation committee met four times and the nominating and corporate governance committee met one time. In that year, each director attended at least 75% of the aggregate number of meetings of the board of directors and the committees on which they served. As required under Nasdaq rules and regulations, our independent directors meet in regularly scheduled executive sessions at which only independent directors are present.</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Committees</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and Compliance Committee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audit and compliance committee oversees our corporate accounting and financial reporting process, the audits of our financial statements, and our compliance with legal and regulatory requirements. Among other matters, the audit and compliance committee:</w:t>
      </w:r>
    </w:p>
    <w:tbl>
      <w:tblPr>
        <w:tblW w:w="5020" w:type="dxa"/>
        <w:jc w:val="left"/>
        <w:tblInd w:w="0" w:type="dxa"/>
        <w:tblCellMar>
          <w:top w:w="0" w:type="dxa"/>
          <w:left w:w="0" w:type="dxa"/>
          <w:bottom w:w="0" w:type="dxa"/>
          <w:right w:w="0" w:type="dxa"/>
        </w:tblCellMar>
      </w:tblPr>
      <w:tblGrid>
        <w:gridCol w:w="110"/>
        <w:gridCol w:w="49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appoints our independent registered public accounting firm;</w:t>
            </w:r>
          </w:p>
        </w:tc>
      </w:tr>
    </w:tbl>
    <w:tbl>
      <w:tblPr>
        <w:tblW w:w="8995" w:type="dxa"/>
        <w:jc w:val="left"/>
        <w:tblInd w:w="0" w:type="dxa"/>
        <w:tblCellMar>
          <w:top w:w="0" w:type="dxa"/>
          <w:left w:w="0" w:type="dxa"/>
          <w:bottom w:w="0" w:type="dxa"/>
          <w:right w:w="0" w:type="dxa"/>
        </w:tblCellMar>
      </w:tblPr>
      <w:tblGrid>
        <w:gridCol w:w="110"/>
        <w:gridCol w:w="88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8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evaluates the independent registered public accounting firm’s qualifications, independence and performance;</w:t>
            </w:r>
          </w:p>
        </w:tc>
      </w:tr>
    </w:tbl>
    <w:tbl>
      <w:tblPr>
        <w:tblW w:w="6730" w:type="dxa"/>
        <w:jc w:val="left"/>
        <w:tblInd w:w="0" w:type="dxa"/>
        <w:tblCellMar>
          <w:top w:w="0" w:type="dxa"/>
          <w:left w:w="0" w:type="dxa"/>
          <w:bottom w:w="0" w:type="dxa"/>
          <w:right w:w="0" w:type="dxa"/>
        </w:tblCellMar>
      </w:tblPr>
      <w:tblGrid>
        <w:gridCol w:w="110"/>
        <w:gridCol w:w="66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6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determines the engagement of the independent registered public accounting firm;</w:t>
            </w:r>
          </w:p>
        </w:tc>
      </w:tr>
    </w:tbl>
    <w:tbl>
      <w:tblPr>
        <w:tblW w:w="5710" w:type="dxa"/>
        <w:jc w:val="left"/>
        <w:tblInd w:w="0" w:type="dxa"/>
        <w:tblCellMar>
          <w:top w:w="0" w:type="dxa"/>
          <w:left w:w="0" w:type="dxa"/>
          <w:bottom w:w="0" w:type="dxa"/>
          <w:right w:w="0" w:type="dxa"/>
        </w:tblCellMar>
      </w:tblPr>
      <w:tblGrid>
        <w:gridCol w:w="110"/>
        <w:gridCol w:w="56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6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and approves the scope of the annual audit and the audit fee;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discusses with management and the independent registered public accounting firm the results of the annual audit and the review of our quarterly financial statements;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discusses with management and the independent registered public accounting firm regarding the effectiveness of internal controls over financial reporting;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approves the retention of the independent registered public accounting firm to perform any proposed permissible audit and non-audit services;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monitors the rotation of partners of the independent registered public accounting firm on our engagement team as required by law;</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is responsible for reviewing our financial statements and our management’s discussion and analysis of financial condition and results of operations to be included in our annual and quarterly reports to be filed with the SEC;</w:t>
            </w:r>
          </w:p>
        </w:tc>
      </w:tr>
    </w:tbl>
    <w:tbl>
      <w:tblPr>
        <w:tblW w:w="4525" w:type="dxa"/>
        <w:jc w:val="left"/>
        <w:tblInd w:w="0" w:type="dxa"/>
        <w:tblCellMar>
          <w:top w:w="0" w:type="dxa"/>
          <w:left w:w="0" w:type="dxa"/>
          <w:bottom w:w="0" w:type="dxa"/>
          <w:right w:w="0" w:type="dxa"/>
        </w:tblCellMar>
      </w:tblPr>
      <w:tblGrid>
        <w:gridCol w:w="110"/>
        <w:gridCol w:w="44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our critical accounting policies and estimates;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is responsible for being knowledgeable about the content and operation of our global compliance program and exercising oversight over its implementation and effectiveness; and</w:t>
            </w:r>
          </w:p>
        </w:tc>
      </w:tr>
    </w:tbl>
    <w:tbl>
      <w:tblPr>
        <w:tblW w:w="7120" w:type="dxa"/>
        <w:jc w:val="left"/>
        <w:tblInd w:w="0" w:type="dxa"/>
        <w:tblCellMar>
          <w:top w:w="0" w:type="dxa"/>
          <w:left w:w="0" w:type="dxa"/>
          <w:bottom w:w="0" w:type="dxa"/>
          <w:right w:w="0" w:type="dxa"/>
        </w:tblCellMar>
      </w:tblPr>
      <w:tblGrid>
        <w:gridCol w:w="110"/>
        <w:gridCol w:w="70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the audit and compliance committee charter and the committee’s performance.</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2022, Messrs. Rodgers, Bertrand and Mott served as members of the audit and compliance committee, and they comprise the current members of our audit and compliance committee. Mr. Rodgers serves as the chairperson of the committee. Each of the members of the committee during 2022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8" w:name="DSPFPageBreakArea19"/>
      <w:bookmarkStart w:id="109" w:name="DSPFPageBreakArea19"/>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0" w:name="DSPFPageBreak19"/>
      <w:bookmarkStart w:id="111" w:name="DSPFPageBreak19"/>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2" w:name="ny20007204x2_def14a_108-corporate_pg3"/>
        <w:bookmarkEnd w:id="11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members of the audit committee must also meet heightened independence standards. Our board of directors has determined that each of the members of our audit and compliance committee during 2022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Securities Exchange Act of 1934, as amended. The audit and compliance committee operates under a written charter that satisfies the applicable standards of the SEC and Nasdaq. A copy of the audit and compliance committee charter is available to security holders on the Company’s website at http://ir.ardelyx.com/corporate-governance.</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compensation committee reviews and recommends policies relating to compensation and benefits of our officers, employees and directors.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compensation committee also periodically reviews the compensation of directors and makes recommendations to the board of directors.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committee’s charter permits it to delegate its authority and responsibilities to a subcommittee of compensation committee members, to the extent consistent with our Amended and Restated Certificate of Incorporation and Amended and Restated Bylaws. 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2014 Equity Incentive Plan to existing and new non-senior management team employees, with such individual grants to be consistent with equity grant guidelines provided by our compensation consultant and approved by the compensation committee. The compensation committee reviews and evaluates, at least annually, the performance of the compensation committee and its members, including compliance of the compensation committee with its charter.</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2022, Messrs. Mott, Bazemore and Rodgers served as members of the compensation committee, and Dr. Lundberg and Ms. Bhanji each served as a member of the compensation committee for a portion of 2022. Messrs. Mott, Bazemore and Rodgers and Ms. Bhanji comprise the current members of our compensation committee. Mr. Mott serves as the chairperson of the committee. Each of the members of our compensation committee during 2022 was, and each of the current members of our compensation committee is an “independent director” under the applicable rules and regulations of The Nasdaq Global Market, a “non-employee director” as defined in Rule 16b-3 promulgated under the Securities Exchange Act of 1934, as amended, and an “outside director” as that term is defined in Section 162(m) of the U.S. Internal Revenue Code of 1986, as amended.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fiscal year 2022,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3" w:name="DSPFPageBreakArea20"/>
      <w:bookmarkStart w:id="114" w:name="DSPFPageBreakArea2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 w:name="DSPFPageBreak20"/>
      <w:bookmarkStart w:id="116" w:name="DSPFPageBreak20"/>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7" w:name="ny20007204x2_def14a_108-corporate_pg4"/>
        <w:bookmarkEnd w:id="11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Nominating and Corporate Governance Committee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2022, Dr. Block and Ms. Cadoret-Manier and Mr. Bertrand served as members of the nominating and corporate governance committee, and Dr. Lundberg and Ms. Bhanji each served as a member of the nominating and governance committee for a portion of 2022. Drs. Block and Lundberg and Ms. Cadoret-Manier and Mr. Bertrand comprise the current members of our nominating and corporate governance committee. Mr. Bertrand serves as the chairperson of the committee. Each of the members of our nominating and corporate governance committee during 2022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Code of Business Conduct and Ethics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Attendance at Annual Meetings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a policy of encouraging director attendance at our annual meetings of stockholders, but attendance is not mandatory. Our board of directors and management team encourage all of our directors to attend the 2023 Annual Meeting. All of our then-serving directors attended our 2022 annual meeting of stockholders.</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Communications with the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Committee Interlocks and Insider Participation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During 2022, Messrs. Mott, Bazemore and Rodgers, Ms. Bhanji and Dr. Lundberg served as members of our compensation committee. None of Messrs. Mott, Bazemore and Rodgers, Ms. Bhanji and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Diversity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tbl>
      <w:tblPr>
        <w:tblW w:w="3010" w:type="dxa"/>
        <w:jc w:val="left"/>
        <w:tblInd w:w="0" w:type="dxa"/>
        <w:tblCellMar>
          <w:top w:w="0" w:type="dxa"/>
          <w:left w:w="0" w:type="dxa"/>
          <w:bottom w:w="0" w:type="dxa"/>
          <w:right w:w="0" w:type="dxa"/>
        </w:tblCellMar>
      </w:tblPr>
      <w:tblGrid>
        <w:gridCol w:w="110"/>
        <w:gridCol w:w="29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9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personal and professional integrity;</w:t>
            </w:r>
          </w:p>
        </w:tc>
      </w:tr>
    </w:tbl>
    <w:tbl>
      <w:tblPr>
        <w:tblW w:w="1585" w:type="dxa"/>
        <w:jc w:val="left"/>
        <w:tblInd w:w="0" w:type="dxa"/>
        <w:tblCellMar>
          <w:top w:w="0" w:type="dxa"/>
          <w:left w:w="0" w:type="dxa"/>
          <w:bottom w:w="0" w:type="dxa"/>
          <w:right w:w="0" w:type="dxa"/>
        </w:tblCellMar>
      </w:tblPr>
      <w:tblGrid>
        <w:gridCol w:w="110"/>
        <w:gridCol w:w="14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4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ethics and values;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8" w:name="DSPFPageBreakArea21"/>
      <w:bookmarkStart w:id="119" w:name="DSPFPageBreakArea2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 w:name="DSPFPageBreak21"/>
      <w:bookmarkStart w:id="121" w:name="DSPFPageBreak21"/>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2" w:name="ny20007204x2_def14a_108-corporate_pg5"/>
        <w:bookmarkEnd w:id="122"/>
        <w:r>
          <w:rPr>
            <w:rStyle w:val="InternetLink"/>
            <w:rFonts w:ascii="Times New Roman;Times;Serif" w:hAnsi="Times New Roman;Times;Serif"/>
            <w:b/>
            <w:caps w:val="false"/>
            <w:smallCaps w:val="false"/>
            <w:sz w:val="16"/>
          </w:rPr>
          <w:t>TABLE OF CONTENTS</w:t>
        </w:r>
      </w:hyperlink>
    </w:p>
    <w:tbl>
      <w:tblPr>
        <w:tblW w:w="9145" w:type="dxa"/>
        <w:jc w:val="left"/>
        <w:tblInd w:w="0" w:type="dxa"/>
        <w:tblCellMar>
          <w:top w:w="0" w:type="dxa"/>
          <w:left w:w="0" w:type="dxa"/>
          <w:bottom w:w="0" w:type="dxa"/>
          <w:right w:w="0" w:type="dxa"/>
        </w:tblCellMar>
      </w:tblPr>
      <w:tblGrid>
        <w:gridCol w:w="110"/>
        <w:gridCol w:w="90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experience in corporate management, such as serving as an officer or former officer of a publicly held company;</w:t>
            </w:r>
          </w:p>
        </w:tc>
      </w:tr>
    </w:tbl>
    <w:tbl>
      <w:tblPr>
        <w:tblW w:w="4180" w:type="dxa"/>
        <w:jc w:val="left"/>
        <w:tblInd w:w="0" w:type="dxa"/>
        <w:tblCellMar>
          <w:top w:w="0" w:type="dxa"/>
          <w:left w:w="0" w:type="dxa"/>
          <w:bottom w:w="0" w:type="dxa"/>
          <w:right w:w="0" w:type="dxa"/>
        </w:tblCellMar>
      </w:tblPr>
      <w:tblGrid>
        <w:gridCol w:w="110"/>
        <w:gridCol w:w="40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0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experience in the industries in which we compete;</w:t>
            </w:r>
          </w:p>
        </w:tc>
      </w:tr>
    </w:tbl>
    <w:tbl>
      <w:tblPr>
        <w:tblW w:w="9745" w:type="dxa"/>
        <w:jc w:val="left"/>
        <w:tblInd w:w="0" w:type="dxa"/>
        <w:tblCellMar>
          <w:top w:w="0" w:type="dxa"/>
          <w:left w:w="0" w:type="dxa"/>
          <w:bottom w:w="0" w:type="dxa"/>
          <w:right w:w="0" w:type="dxa"/>
        </w:tblCellMar>
      </w:tblPr>
      <w:tblGrid>
        <w:gridCol w:w="110"/>
        <w:gridCol w:w="96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6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diversity of expertise and experience in substantive matters pertaining to our business relative to other board members;</w:t>
            </w:r>
          </w:p>
        </w:tc>
      </w:tr>
    </w:tbl>
    <w:tbl>
      <w:tblPr>
        <w:tblW w:w="2095" w:type="dxa"/>
        <w:jc w:val="left"/>
        <w:tblInd w:w="0" w:type="dxa"/>
        <w:tblCellMar>
          <w:top w:w="0" w:type="dxa"/>
          <w:left w:w="0" w:type="dxa"/>
          <w:bottom w:w="0" w:type="dxa"/>
          <w:right w:w="0" w:type="dxa"/>
        </w:tblCellMar>
      </w:tblPr>
      <w:tblGrid>
        <w:gridCol w:w="110"/>
        <w:gridCol w:w="19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conflicts of interest; and</w:t>
            </w:r>
          </w:p>
        </w:tc>
      </w:tr>
    </w:tbl>
    <w:tbl>
      <w:tblPr>
        <w:tblW w:w="3385" w:type="dxa"/>
        <w:jc w:val="left"/>
        <w:tblInd w:w="0" w:type="dxa"/>
        <w:tblCellMar>
          <w:top w:w="0" w:type="dxa"/>
          <w:left w:w="0" w:type="dxa"/>
          <w:bottom w:w="0" w:type="dxa"/>
          <w:right w:w="0" w:type="dxa"/>
        </w:tblCellMar>
      </w:tblPr>
      <w:tblGrid>
        <w:gridCol w:w="110"/>
        <w:gridCol w:w="32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2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practical and mature business judgment.</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Our nominating and corporate governance committee does not have a policy with regard to the consideration of director candidates recommended by our stockholders and will evaluate such candidates on a case-by-case basis. Our nominating and corporate governance committee believes that it is in the best position to identify, review, evaluate, and select qualified candidates for Board membership, based on the comprehensive criteria for Board membership approved by the Board.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Among our nine board members, two self-identify as women and two self-identify as Asian.</w:t>
      </w:r>
    </w:p>
    <w:tbl>
      <w:tblPr>
        <w:tblW w:w="7023" w:type="dxa"/>
        <w:jc w:val="left"/>
        <w:tblInd w:w="0" w:type="dxa"/>
        <w:tblCellMar>
          <w:top w:w="0" w:type="dxa"/>
          <w:left w:w="0" w:type="dxa"/>
          <w:bottom w:w="0" w:type="dxa"/>
          <w:right w:w="0" w:type="dxa"/>
        </w:tblCellMar>
      </w:tblPr>
      <w:tblGrid>
        <w:gridCol w:w="3605"/>
        <w:gridCol w:w="23"/>
        <w:gridCol w:w="23"/>
        <w:gridCol w:w="708"/>
        <w:gridCol w:w="26"/>
        <w:gridCol w:w="26"/>
        <w:gridCol w:w="514"/>
        <w:gridCol w:w="26"/>
        <w:gridCol w:w="26"/>
        <w:gridCol w:w="1146"/>
        <w:gridCol w:w="26"/>
        <w:gridCol w:w="26"/>
        <w:gridCol w:w="848"/>
      </w:tblGrid>
      <w:tr>
        <w:trPr/>
        <w:tc>
          <w:tcPr>
            <w:tcW w:w="360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bottom w:val="single" w:sz="2" w:space="0" w:color="CCEEFF"/>
            </w:tcBorders>
            <w:shd w:fill="CCEEFF" w:val="clear"/>
            <w:tcMar>
              <w:bottom w:w="85" w:type="dxa"/>
            </w:tcMar>
            <w:vAlign w:val="center"/>
          </w:tcPr>
          <w:p>
            <w:pPr>
              <w:pStyle w:val="TableContents"/>
              <w:spacing w:before="0" w:after="283"/>
              <w:rPr/>
            </w:pPr>
            <w:r>
              <w:rPr/>
              <w:t>​</w:t>
            </w:r>
          </w:p>
        </w:tc>
        <w:tc>
          <w:tcPr>
            <w:tcW w:w="3372" w:type="dxa"/>
            <w:gridSpan w:val="10"/>
            <w:tcBorders>
              <w:bottom w:val="single" w:sz="8" w:space="0" w:color="000000"/>
            </w:tcBorders>
            <w:shd w:fill="CCEEFF" w:val="clear"/>
            <w:tcMar>
              <w:bottom w:w="85"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 Diversity Matrix as of 4/14/2023</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72" w:type="dxa"/>
            <w:gridSpan w:val="10"/>
            <w:tcBorders/>
            <w:shd w:fill="auto" w:val="clear"/>
            <w:vAlign w:val="center"/>
          </w:tcPr>
          <w:p>
            <w:pPr>
              <w:pStyle w:val="TableContents"/>
              <w:spacing w:before="0" w:after="283"/>
              <w:ind w:left="1630"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r>
      <w:tr>
        <w:trPr/>
        <w:tc>
          <w:tcPr>
            <w:tcW w:w="3605" w:type="dxa"/>
            <w:tcBorders>
              <w:bottom w:val="single" w:sz="8" w:space="0" w:color="000000"/>
            </w:tcBorders>
            <w:shd w:fill="CCEEFF" w:val="clear"/>
            <w:tcMar>
              <w:bottom w:w="85" w:type="dxa"/>
            </w:tcMar>
            <w:vAlign w:val="center"/>
          </w:tcPr>
          <w:p>
            <w:pPr>
              <w:pStyle w:val="TableContents"/>
              <w:spacing w:before="0" w:after="0"/>
              <w:jc w:val="left"/>
              <w:rPr>
                <w:color w:val="000000"/>
              </w:rPr>
            </w:pPr>
            <w:r>
              <w:rPr>
                <w:color w:val="000000"/>
              </w:rPr>
              <w:t> </w:t>
            </w:r>
          </w:p>
        </w:tc>
        <w:tc>
          <w:tcPr>
            <w:tcW w:w="23" w:type="dxa"/>
            <w:tcBorders>
              <w:bottom w:val="single" w:sz="2" w:space="0" w:color="CCEEFF"/>
            </w:tcBorders>
            <w:shd w:fill="CCEEFF" w:val="clear"/>
            <w:tcMar>
              <w:bottom w:w="85" w:type="dxa"/>
            </w:tcMar>
            <w:vAlign w:val="center"/>
          </w:tcPr>
          <w:p>
            <w:pPr>
              <w:pStyle w:val="TableContents"/>
              <w:spacing w:before="0" w:after="283"/>
              <w:rPr/>
            </w:pPr>
            <w:r>
              <w:rPr/>
              <w:t>​</w:t>
            </w:r>
          </w:p>
        </w:tc>
        <w:tc>
          <w:tcPr>
            <w:tcW w:w="23" w:type="dxa"/>
            <w:tcBorders>
              <w:bottom w:val="single" w:sz="2" w:space="0" w:color="CCEEFF"/>
            </w:tcBorders>
            <w:shd w:fill="CCEEFF" w:val="clear"/>
            <w:tcMar>
              <w:bottom w:w="85" w:type="dxa"/>
            </w:tcMar>
            <w:vAlign w:val="center"/>
          </w:tcPr>
          <w:p>
            <w:pPr>
              <w:pStyle w:val="TableContents"/>
              <w:spacing w:before="0" w:after="283"/>
              <w:rPr/>
            </w:pPr>
            <w:r>
              <w:rPr/>
              <w:t>​</w:t>
            </w:r>
          </w:p>
        </w:tc>
        <w:tc>
          <w:tcPr>
            <w:tcW w:w="708" w:type="dxa"/>
            <w:tcBorders>
              <w:bottom w:val="single" w:sz="8" w:space="0" w:color="000000"/>
            </w:tcBorders>
            <w:shd w:fill="CCEE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Female</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514" w:type="dxa"/>
            <w:tcBorders>
              <w:bottom w:val="single" w:sz="8" w:space="0" w:color="000000"/>
            </w:tcBorders>
            <w:shd w:fill="CCEE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Male</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1146" w:type="dxa"/>
            <w:tcBorders>
              <w:bottom w:val="single" w:sz="8" w:space="0" w:color="000000"/>
            </w:tcBorders>
            <w:shd w:fill="CCEE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Non-Binary</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26" w:type="dxa"/>
            <w:tcBorders>
              <w:bottom w:val="single" w:sz="2" w:space="0" w:color="CCEEFF"/>
            </w:tcBorders>
            <w:shd w:fill="CCEEFF" w:val="clear"/>
            <w:tcMar>
              <w:bottom w:w="85" w:type="dxa"/>
            </w:tcMar>
            <w:vAlign w:val="center"/>
          </w:tcPr>
          <w:p>
            <w:pPr>
              <w:pStyle w:val="TableContents"/>
              <w:spacing w:before="0" w:after="283"/>
              <w:rPr/>
            </w:pPr>
            <w:r>
              <w:rPr/>
              <w:t>​</w:t>
            </w:r>
          </w:p>
        </w:tc>
        <w:tc>
          <w:tcPr>
            <w:tcW w:w="848" w:type="dxa"/>
            <w:tcBorders>
              <w:bottom w:val="single" w:sz="8" w:space="0" w:color="000000"/>
            </w:tcBorders>
            <w:shd w:fill="CCEE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Did Not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Disclose</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Gender</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08" w:type="dxa"/>
            <w:tcBorders/>
            <w:shd w:fill="auto" w:val="clear"/>
            <w:vAlign w:val="center"/>
          </w:tcPr>
          <w:p>
            <w:pPr>
              <w:pStyle w:val="TableContents"/>
              <w:spacing w:before="0" w:after="283"/>
              <w:ind w:left="244"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514" w:type="dxa"/>
            <w:tcBorders/>
            <w:shd w:fill="auto" w:val="clear"/>
            <w:vAlign w:val="center"/>
          </w:tcPr>
          <w:p>
            <w:pPr>
              <w:pStyle w:val="TableContents"/>
              <w:spacing w:before="0" w:after="283"/>
              <w:ind w:left="155"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1146" w:type="dxa"/>
            <w:tcBorders/>
            <w:shd w:fill="auto" w:val="clear"/>
            <w:vAlign w:val="center"/>
          </w:tcPr>
          <w:p>
            <w:pPr>
              <w:pStyle w:val="TableContents"/>
              <w:spacing w:before="0" w:after="283"/>
              <w:ind w:left="427" w:right="0" w:hanging="0"/>
              <w:jc w:val="left"/>
              <w:rPr>
                <w:color w:val="000000"/>
              </w:rPr>
            </w:pPr>
            <w:r>
              <w:rPr>
                <w:color w:val="000000"/>
              </w:rPr>
              <w:t>—</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848" w:type="dxa"/>
            <w:tcBorders/>
            <w:shd w:fill="auto" w:val="clear"/>
            <w:vAlign w:val="center"/>
          </w:tcPr>
          <w:p>
            <w:pPr>
              <w:pStyle w:val="TableContents"/>
              <w:spacing w:before="0" w:after="283"/>
              <w:ind w:left="294" w:right="0" w:hanging="0"/>
              <w:jc w:val="left"/>
              <w:rPr>
                <w:color w:val="000000"/>
              </w:rPr>
            </w:pPr>
            <w:r>
              <w:rPr>
                <w:color w:val="000000"/>
              </w:rPr>
              <w:t>—</w:t>
            </w:r>
          </w:p>
        </w:tc>
      </w:tr>
      <w:tr>
        <w:trPr/>
        <w:tc>
          <w:tcPr>
            <w:tcW w:w="3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08" w:type="dxa"/>
            <w:tcBorders/>
            <w:shd w:fill="CCEEFF" w:val="clear"/>
            <w:vAlign w:val="center"/>
          </w:tcPr>
          <w:p>
            <w:pPr>
              <w:pStyle w:val="TableContents"/>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514" w:type="dxa"/>
            <w:tcBorders/>
            <w:shd w:fill="CCEEFF" w:val="clear"/>
            <w:vAlign w:val="center"/>
          </w:tcPr>
          <w:p>
            <w:pPr>
              <w:pStyle w:val="TableContents"/>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1146" w:type="dxa"/>
            <w:tcBorders/>
            <w:shd w:fill="CCEEFF" w:val="clear"/>
            <w:vAlign w:val="center"/>
          </w:tcPr>
          <w:p>
            <w:pPr>
              <w:pStyle w:val="TableContents"/>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spacing w:before="0" w:after="283"/>
              <w:rPr/>
            </w:pPr>
            <w:r>
              <w:rPr/>
              <w:t>​</w:t>
            </w:r>
          </w:p>
        </w:tc>
        <w:tc>
          <w:tcPr>
            <w:tcW w:w="26" w:type="dxa"/>
            <w:tcBorders/>
            <w:shd w:fill="CCEEFF" w:val="clear"/>
            <w:vAlign w:val="center"/>
          </w:tcPr>
          <w:p>
            <w:pPr>
              <w:pStyle w:val="TableContents"/>
              <w:spacing w:before="0" w:after="283"/>
              <w:rPr/>
            </w:pPr>
            <w:r>
              <w:rPr/>
              <w:t>​</w:t>
            </w:r>
          </w:p>
        </w:tc>
        <w:tc>
          <w:tcPr>
            <w:tcW w:w="848" w:type="dxa"/>
            <w:tcBorders/>
            <w:shd w:fill="CCEEFF" w:val="clear"/>
            <w:vAlign w:val="center"/>
          </w:tcPr>
          <w:p>
            <w:pPr>
              <w:pStyle w:val="TableContents"/>
              <w:spacing w:before="0" w:after="283"/>
              <w:ind w:left="294" w:right="0" w:hanging="0"/>
              <w:jc w:val="left"/>
              <w:rPr>
                <w:color w:val="000000"/>
              </w:rPr>
            </w:pPr>
            <w:r>
              <w:rPr>
                <w:color w:val="000000"/>
              </w:rPr>
              <w:t>—</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3" w:name="DSPFPageBreakArea22"/>
      <w:bookmarkStart w:id="124" w:name="DSPFPageBreakArea2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5" w:name="DSPFPageBreak22"/>
      <w:bookmarkStart w:id="126" w:name="DSPFPageBreak22"/>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7" w:name="ny20007204x2_def14a_109-certain_pg1"/>
        <w:bookmarkEnd w:id="12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28" w:name="tCR"/>
      <w:bookmarkEnd w:id="128"/>
      <w:r>
        <w:rPr>
          <w:rFonts w:ascii="Times New Roman;Times;serif" w:hAnsi="Times New Roman;Times;serif"/>
          <w:b/>
          <w:color w:val="000000"/>
          <w:sz w:val="20"/>
        </w:rPr>
        <w:t>CERTAIN RELATIONSHIPS AND RELATED PARTY TRANSACTIONS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is a description of transactions either entered into since January 1, 2021 or entered into prior to January 1, 2021 which have continuing obligations and to which we have been a party, in which the amount involved exceeds or will exceed the lesser of $120,000 or one percent of the average of our total assets at year-end for the last two completed fiscal years, and in which any of our directors, executive officers or holders of more than 5% of our capital stock, or an affiliate or immediate family member thereof, had or will have a direct or indirect material interest.</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Agreements and Directors’ and Officers’ Liability Insurance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entered into 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Policies and Procedures for Related Party Transactions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9" w:name="DSPFPageBreakArea23"/>
      <w:bookmarkStart w:id="130" w:name="DSPFPageBreakArea2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1" w:name="DSPFPageBreak23"/>
      <w:bookmarkStart w:id="132" w:name="DSPFPageBreak23"/>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3" w:name="ny20007204x2_def14a_110-director_pg1"/>
        <w:bookmarkEnd w:id="13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4" w:name="tNE"/>
      <w:bookmarkEnd w:id="134"/>
      <w:r>
        <w:rPr>
          <w:rFonts w:ascii="Times New Roman;Times;serif" w:hAnsi="Times New Roman;Times;serif"/>
          <w:b/>
          <w:color w:val="000000"/>
          <w:sz w:val="20"/>
        </w:rPr>
        <w:t>NON-EMPLOYEE DIRECTOR COMPENSATION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2022, our board of directors adopted the Second Amended and Restated Non-Employee Director Compensation Program, or the Director Compensation Program. Our board of directors periodically reviews our non-employee director compensation program in consultation with Pearl Meyer and has amended and restated the program from time to time based on recommendations provided by Pearl Meyer.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in advance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our non-employee directors receive an annual retainer of $45,000. Any non-employee chairperson receives an additional annual cash retainer in the amount of $30,000. Non-employee directors receive additional annual retainers of $10,000 for serving on the audit and compliance committee (or $20,000 for serving as the chair of the audit and compliance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each newly appointed or elected non-employee director is automatically granted an option to purchase the lesser of 200,000 shares of our common stock or that number of shares that results in the option having an expected grant date fair value of $300,000 as of the date of appointment or election. In addition, each non-employee director who has been serving on our board of directors for at least six months as of the date of any annual meeting of our stockholders and who will continue to serve as a non-employee director immediately following such meeting automatically is granted an option to purchase the lesser of 100,000 shares of our common stock or that number of shares that results in the option having an expected grant date fair value of $150,000. Each option has an exercise price per share equal to the closing trading price of our common stock on the date of grant or, if the date of grant is not a trading day, the immediately preceding trading day. Each initial non-employee director stock option vests and becomes exercisable as to 1/36th of the shares underlying the option on each monthly anniversary of the grant date, subject to the non-employee director’s continued service on our board of directors through the applicable vesting date. Each annual non-employee director stock option vests and becomes exercisable as to 1/12th of the shares underlying the option on each monthly anniversary of the grant date, subject to accelerated vesting immediately prior to the next annual stockholders meeting, in each case, subject to the non-employee director’s continued service on our board of directors through the applicable vesting date.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Director Compensation Program also provides that all outstanding equity awards that are held by a non-employee director will become fully vested and/or exercisable as of immediately prior to the consummation of a change in control.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Program includes the opportunity for non-employee directors to elect to receive fully vested stock awards in lieu of cash retainers. The number of shares of our common stock underlying the stock award is calculated by dividing the amount of the cash retainer by the closing trading price of a share of our common stock on the date of our annual meeting of stockholders (or the immediately preceding trading day if the date of our annual meeting of stockholders is not a trading day), rounded to the nearest whole share. For 2022, each of Messrs. Bertrand, Mott and Rodgers, Dr. Lundberg and Messes. Bhanji and Cadoret-Manier elected to receive a stock award in lieu of their respective 2022 annual cash retainers as calculated pursuant to the preceding sentence.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our board of directors are also reimbursed for reasonable travel and other out-of-pocket expenses.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5" w:name="DSPFPageBreakArea24"/>
      <w:bookmarkStart w:id="136" w:name="DSPFPageBreakArea2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7" w:name="DSPFPageBreak24"/>
      <w:bookmarkStart w:id="138" w:name="DSPFPageBreak24"/>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9" w:name="ny20007204x2_def14a_110-director_pg2"/>
        <w:bookmarkEnd w:id="13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2022 Director Compensation Table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for the year ended December 31, 2022 regarding the compensation awarded to, earned by or paid to our non-employee directors. </w:t>
      </w:r>
    </w:p>
    <w:tbl>
      <w:tblPr>
        <w:tblW w:w="6344" w:type="dxa"/>
        <w:jc w:val="left"/>
        <w:tblInd w:w="0" w:type="dxa"/>
        <w:tblCellMar>
          <w:top w:w="0" w:type="dxa"/>
          <w:left w:w="0" w:type="dxa"/>
          <w:bottom w:w="85" w:type="dxa"/>
          <w:right w:w="0" w:type="dxa"/>
        </w:tblCellMar>
      </w:tblPr>
      <w:tblGrid>
        <w:gridCol w:w="2150"/>
        <w:gridCol w:w="23"/>
        <w:gridCol w:w="23"/>
        <w:gridCol w:w="950"/>
        <w:gridCol w:w="23"/>
        <w:gridCol w:w="23"/>
        <w:gridCol w:w="1040"/>
        <w:gridCol w:w="23"/>
        <w:gridCol w:w="23"/>
        <w:gridCol w:w="1310"/>
        <w:gridCol w:w="23"/>
        <w:gridCol w:w="23"/>
        <w:gridCol w:w="710"/>
      </w:tblGrid>
      <w:tr>
        <w:trPr/>
        <w:tc>
          <w:tcPr>
            <w:tcW w:w="21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w:t>
            </w:r>
          </w:p>
        </w:tc>
      </w:tr>
      <w:tr>
        <w:trPr/>
        <w:tc>
          <w:tcPr>
            <w:tcW w:w="21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52,500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94,150</w:t>
            </w:r>
          </w:p>
        </w:tc>
      </w:tr>
      <w:tr>
        <w:trPr/>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65,000</w:t>
            </w:r>
            <w:r>
              <w:rPr>
                <w:rFonts w:ascii="Times New Roman;Times;serif" w:hAnsi="Times New Roman;Times;serif"/>
                <w:color w:val="000000"/>
                <w:sz w:val="20"/>
              </w:rPr>
              <w:t>(2)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106,650</w:t>
            </w:r>
          </w:p>
        </w:tc>
      </w:tr>
      <w:tr>
        <w:trPr/>
        <w:tc>
          <w:tcPr>
            <w:tcW w:w="21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52,500</w:t>
            </w:r>
            <w:r>
              <w:rPr>
                <w:rFonts w:ascii="Times New Roman;Times;serif" w:hAnsi="Times New Roman;Times;serif"/>
                <w:color w:val="000000"/>
                <w:sz w:val="20"/>
              </w:rPr>
              <w: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94,150</w:t>
            </w:r>
          </w:p>
        </w:tc>
      </w:tr>
      <w:tr>
        <w:trPr/>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Geoffrey A. Block, 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91,650</w:t>
            </w:r>
          </w:p>
        </w:tc>
      </w:tr>
      <w:tr>
        <w:trPr/>
        <w:tc>
          <w:tcPr>
            <w:tcW w:w="21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50,000</w:t>
            </w:r>
            <w:r>
              <w:rPr>
                <w:rFonts w:ascii="Times New Roman;Times;serif" w:hAnsi="Times New Roman;Times;serif"/>
                <w:color w:val="000000"/>
                <w:sz w:val="20"/>
              </w:rPr>
              <w: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91,650</w:t>
            </w:r>
          </w:p>
        </w:tc>
      </w:tr>
      <w:tr>
        <w:trPr/>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Lundberg,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50,000</w:t>
            </w:r>
            <w:r>
              <w:rPr>
                <w:rFonts w:ascii="Times New Roman;Times;serif" w:hAnsi="Times New Roman;Times;serif"/>
                <w:color w:val="000000"/>
                <w:sz w:val="20"/>
              </w:rPr>
              <w:t>(2)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91,650</w:t>
            </w:r>
          </w:p>
        </w:tc>
      </w:tr>
      <w:tr>
        <w:trPr/>
        <w:tc>
          <w:tcPr>
            <w:tcW w:w="21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100,000(2)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141,650</w:t>
            </w:r>
          </w:p>
        </w:tc>
      </w:tr>
      <w:tr>
        <w:trPr/>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lineRule="auto" w:line="240"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72,500</w:t>
            </w:r>
            <w:r>
              <w:rPr>
                <w:rFonts w:ascii="Times New Roman;Times;serif" w:hAnsi="Times New Roman;Times;serif"/>
                <w:color w:val="000000"/>
                <w:sz w:val="20"/>
              </w:rPr>
              <w:t>(2)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41,650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51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114,150</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Option Awards column represent the grant date fair value of the stock options granted to the non-employee members of our board of directors during 2022 as computed in accordance with ASC 718. The assumptions used in calculating the grant date fair value of the stock option reported in the Option Awards column are set forth in Note 13 to the audited financial statements included in our Annual Report on Form 10-K filed on March 2, 2023.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 In June 2022, each of our non-employee directors was granted an annual option to purchase 100,000 shares of our common stock pursuant to the Director Compensation Program with an exercise price per share of 0.548 and a grant date fair value of $41,650. </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for the number of shares of our common stock subject to outstanding options held by each of our non-employee directors as of December 31, 2022. </w:t>
      </w:r>
    </w:p>
    <w:tbl>
      <w:tblPr>
        <w:tblW w:w="3251" w:type="dxa"/>
        <w:jc w:val="left"/>
        <w:tblInd w:w="0" w:type="dxa"/>
        <w:tblCellMar>
          <w:top w:w="0" w:type="dxa"/>
          <w:left w:w="0" w:type="dxa"/>
          <w:bottom w:w="85" w:type="dxa"/>
          <w:right w:w="0" w:type="dxa"/>
        </w:tblCellMar>
      </w:tblPr>
      <w:tblGrid>
        <w:gridCol w:w="1865"/>
        <w:gridCol w:w="23"/>
        <w:gridCol w:w="23"/>
        <w:gridCol w:w="1340"/>
      </w:tblGrid>
      <w:tr>
        <w:trPr/>
        <w:tc>
          <w:tcPr>
            <w:tcW w:w="18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Subject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tc>
      </w:tr>
      <w:tr>
        <w:trPr/>
        <w:tc>
          <w:tcPr>
            <w:tcW w:w="1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Robert Bazemore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261,295</w:t>
            </w:r>
          </w:p>
        </w:tc>
      </w:tr>
      <w:tr>
        <w:trPr/>
        <w:tc>
          <w:tcPr>
            <w:tcW w:w="1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Bertrand, Jr., Esq.</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276,295</w:t>
            </w:r>
          </w:p>
        </w:tc>
      </w:tr>
      <w:tr>
        <w:trPr/>
        <w:tc>
          <w:tcPr>
            <w:tcW w:w="1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Muna Bhanji, R.Ph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163,687</w:t>
            </w:r>
          </w:p>
        </w:tc>
      </w:tr>
      <w:tr>
        <w:trPr/>
        <w:tc>
          <w:tcPr>
            <w:tcW w:w="1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Geoffrey A. Block, 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238,795</w:t>
            </w:r>
          </w:p>
        </w:tc>
      </w:tr>
      <w:tr>
        <w:trPr/>
        <w:tc>
          <w:tcPr>
            <w:tcW w:w="1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Onaiza Cadoret-Manier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198,655</w:t>
            </w:r>
          </w:p>
        </w:tc>
      </w:tr>
      <w:tr>
        <w:trPr/>
        <w:tc>
          <w:tcPr>
            <w:tcW w:w="1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Jan Lundberg,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236,295</w:t>
            </w:r>
          </w:p>
        </w:tc>
      </w:tr>
      <w:tr>
        <w:trPr/>
        <w:tc>
          <w:tcPr>
            <w:tcW w:w="18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Mott(a)</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341,295</w:t>
            </w:r>
          </w:p>
        </w:tc>
      </w:tr>
      <w:tr>
        <w:trPr/>
        <w:tc>
          <w:tcPr>
            <w:tcW w:w="1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Rodgers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296,295</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stock options to purchase 110,000 shares of our common stock that Mr. Mott holds for the benefit of entities associated with New Enterprise Associates.</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Pursuant to the Director Compensation Program, each of Messrs. Bertrand, Mott and Rodgers, Ms. Cadoret-Manier and Drs. Bhanji and Lundberg elected to receive a stock award in lieu of their respective 2022 annual cash retainers. The fully vested stock awards consisted of 118,613, 182,481, 132,299, 91,240, 95,802 and 91,240 shares of our common stock for Messrs. Bertrand, Mott and Rodgers, Ms. Cadoret-Manier and Drs. Bhanji and Lundberg, respectively. The number of shares of our common stock issued was calculated by dividing the annual retainer otherwise payable in cash at the 2022 Annual Meeting of Stockholders as reported in this column by $0.548, which was the closing trading price of our common stock on the date of the 2022 Annual Meeting of Stockholders, rounded down to the nearest whole share.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0" w:name="DSPFPageBreakArea25"/>
      <w:bookmarkStart w:id="141" w:name="DSPFPageBreakArea25"/>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2" w:name="DSPFPageBreak25"/>
      <w:bookmarkStart w:id="143" w:name="DSPFPageBreak25"/>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4" w:name="ny20007204x2_def14a_111-executive_pg1"/>
        <w:bookmarkEnd w:id="14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45" w:name="tEO"/>
      <w:bookmarkEnd w:id="145"/>
      <w:r>
        <w:rPr>
          <w:rFonts w:ascii="Times New Roman;Times;serif" w:hAnsi="Times New Roman;Times;serif"/>
          <w:b/>
          <w:color w:val="000000"/>
          <w:sz w:val="20"/>
        </w:rPr>
        <w:t>EXECUTIVE OFFICERS</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our executive officers as of March 31, 2023.</w:t>
      </w:r>
    </w:p>
    <w:tbl>
      <w:tblPr>
        <w:tblW w:w="7322" w:type="dxa"/>
        <w:jc w:val="left"/>
        <w:tblInd w:w="0" w:type="dxa"/>
        <w:tblCellMar>
          <w:top w:w="0" w:type="dxa"/>
          <w:left w:w="0" w:type="dxa"/>
          <w:bottom w:w="85" w:type="dxa"/>
          <w:right w:w="0" w:type="dxa"/>
        </w:tblCellMar>
      </w:tblPr>
      <w:tblGrid>
        <w:gridCol w:w="2420"/>
        <w:gridCol w:w="23"/>
        <w:gridCol w:w="23"/>
        <w:gridCol w:w="305"/>
        <w:gridCol w:w="23"/>
        <w:gridCol w:w="23"/>
        <w:gridCol w:w="4505"/>
      </w:tblGrid>
      <w:tr>
        <w:trPr/>
        <w:tc>
          <w:tcPr>
            <w:tcW w:w="242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w:t>
            </w:r>
          </w:p>
        </w:tc>
      </w:tr>
      <w:tr>
        <w:trPr/>
        <w:tc>
          <w:tcPr>
            <w:tcW w:w="242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r>
        <w:trPr/>
        <w:tc>
          <w:tcPr>
            <w:tcW w:w="24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Blanks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Regulatory Affairs and Quality Assurance Officer</w:t>
            </w:r>
          </w:p>
        </w:tc>
      </w:tr>
      <w:tr>
        <w:trPr/>
        <w:tc>
          <w:tcPr>
            <w:tcW w:w="242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and Administrative Officer</w:t>
            </w:r>
          </w:p>
        </w:tc>
      </w:tr>
      <w:tr>
        <w:trPr/>
        <w:tc>
          <w:tcPr>
            <w:tcW w:w="24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and Operations Officer</w:t>
            </w:r>
          </w:p>
        </w:tc>
      </w:tr>
      <w:tr>
        <w:trPr/>
        <w:tc>
          <w:tcPr>
            <w:tcW w:w="242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Rodriguez</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Commercial Officer</w:t>
            </w:r>
          </w:p>
        </w:tc>
      </w:tr>
      <w:tr>
        <w:trPr/>
        <w:tc>
          <w:tcPr>
            <w:tcW w:w="24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Rosenbaum,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Development Officer</w:t>
            </w:r>
          </w:p>
        </w:tc>
      </w:tr>
      <w:tr>
        <w:trPr/>
        <w:tc>
          <w:tcPr>
            <w:tcW w:w="242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Medical Officer</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biographical information is furnished with regard to our executive officers (except for Mr. Raab, whose biographical information appears above under “Class II Directors”) as of March 31, 2023:</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Robert Blanks </w:t>
      </w:r>
      <w:r>
        <w:rPr>
          <w:rFonts w:ascii="Times New Roman;Times;serif" w:hAnsi="Times New Roman;Times;serif"/>
          <w:b w:val="false"/>
          <w:color w:val="000000"/>
          <w:sz w:val="20"/>
        </w:rPr>
        <w:t>has served as our Chief Regulatory Affairs and Quality Assurance Officer since January 2020 and formerly served as our head of regulatory affairs and quality assurance from July 2013 to January 2020. From 2009 to 2012, Mr. Blanks served as the Vice President, Chemistry, Manufacturing and Controls for Flexion Therapeutics, Inc. (Nasdaq: FLXN). In addition, Mr. Blanks served as the Vice President Quality Assurance for Idenix Pharmaceuticals, Inc., a biopharmaceutical company, from 2006 to 2009. Prior to that, Mr. Blanks served in positions of increasing responsibility for GelTex Pharmaceuticals, a biopharmaceutical company, including most recently as Senior Director, Quality Affairs. Mr. Blanks has a B.S. in Biology from Bowdoin College, and an M.S. in Chemistry from Boston College.</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Elizabeth Grammer, Esq.</w:t>
      </w:r>
      <w:r>
        <w:rPr>
          <w:rFonts w:ascii="Times New Roman;Times;serif" w:hAnsi="Times New Roman;Times;serif"/>
          <w:b w:val="false"/>
          <w:color w:val="000000"/>
          <w:sz w:val="20"/>
        </w:rPr>
        <w:t>, has served as our Chief Legal and Administrative Officer since January 2020, and formerly served as our General Counsel from May 2014 to January 2020, and as our vice president responsible for legal affairs from December 2012 until May 2014. Ms. Grammer has also served as a director of Sagimet Biosciences, a private clinical-stage biotechnology company, since May 2021.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from 1998 until its acquisition by Genzyme Corporation, a biotechnology company, in 2020 . Ms. Grammer received a B.A. from Boston University and a J.D. from Stanford Law School.</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Justin Renz </w:t>
      </w:r>
      <w:r>
        <w:rPr>
          <w:rFonts w:ascii="Times New Roman;Times;serif" w:hAnsi="Times New Roman;Times;serif"/>
          <w:b w:val="false"/>
          <w:color w:val="000000"/>
          <w:sz w:val="20"/>
        </w:rPr>
        <w:t>has served as our Chief Financial and Operations Officer since January 2023, and served as our Chief Financial Officer from June 2020 to January 2023. Beginning in 2017, Mr. Renz held various positions of increasing responsibility at Correvio Pharma Corp, most recently as its President and Chief Financial Officer at the time of its acquisition by Advanz Pharma in May 2020. From 2014 to 2017, Mr. Renz was the Executive Vice President and Chief Financial Officer of Karyopharm Therapeutics, Inc. (Nasdaq: KTPI). Prior to that, from 2006 to 2014, Mr. Renz held a variety of financial positions with Zalicus Pharmaceuticals Ltd., a biopharmaceutical company,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Susan Rodriguez </w:t>
      </w:r>
      <w:r>
        <w:rPr>
          <w:rFonts w:ascii="Times New Roman;Times;serif" w:hAnsi="Times New Roman;Times;serif"/>
          <w:b w:val="false"/>
          <w:color w:val="000000"/>
          <w:sz w:val="20"/>
        </w:rPr>
        <w:t>has served as our Chief Commercial Officer since May 2020. From 2014 to 2019, Ms. Rodriguez served as the founding Chief Executive Officer of Tolmar Pharmaceuticals, Inc., a U.S. specialty pharmaceutical company, and from 2019 to 2020, she served as President of the branded division following formation of the global entity, Tolmar, Inc. Prior to that, Ms. Rodriguez held various positions of increasing responsibility at Abbott Laboratories, Inc. (NYSE: ABT) from 1990 to 2014, most recently as Divisional Vice President of Global Marketing. Ms. Rodriguez serves on the board of directors of Heron Therapeutics, Inc. (Nasdaq: HRTX), Veradigm Inc. (Nasdaq: MDRX) and the Cuba Emprende Foundation, a non-profit charitable organization. Ms. Rodriguez received her B.A. and M.A. in Psychology from the University of Pennsylvania.</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Rosenbaum, Ph.D.</w:t>
      </w:r>
      <w:r>
        <w:rPr>
          <w:rFonts w:ascii="Times New Roman;Times;serif" w:hAnsi="Times New Roman;Times;serif"/>
          <w:b w:val="false"/>
          <w:color w:val="000000"/>
          <w:sz w:val="20"/>
        </w:rPr>
        <w:t xml:space="preserve">, has served as our Chief Development Officer since January 2017 and formerly served as our vice president responsible for drug development from January 2010 to January 2017. From 2003 to 2008, he was Vice President of Drug Development for Trine Pharmaceuticals, Inc., a biopharmaceutical company.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6" w:name="DSPFPageBreakArea26"/>
      <w:bookmarkStart w:id="147" w:name="DSPFPageBreakArea26"/>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8" w:name="DSPFPageBreak26"/>
      <w:bookmarkStart w:id="149" w:name="DSPFPageBreak26"/>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0" w:name="ny20007204x2_def14a_111-executive_pg2"/>
        <w:bookmarkEnd w:id="15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 Dr. Rosenbaum previously served as Vice President of Preclinical Research and Development at GelTex Pharmaceuticals, a biopharmaceutical company. He received a B.A. in Biology from the University of Pennsylvania, a M.S. in Toxicology from Albany Medical College and a Ph.D. in Pharmacology from Boston University School of Medicine.</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Laura Williams, M.D., M.P.H.</w:t>
      </w:r>
      <w:r>
        <w:rPr>
          <w:rFonts w:ascii="Times New Roman;Times;serif" w:hAnsi="Times New Roman;Times;serif"/>
          <w:b w:val="false"/>
          <w:color w:val="000000"/>
          <w:sz w:val="20"/>
        </w:rPr>
        <w:t xml:space="preserve">, has served as our Chief Medical Officer since October 2021. Before that, Dr. Williams served as our Senior Vice President, Global Therapeutic Strategies and Patient Advocacy since November 2020. Dr. Williams also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Previously, Dr. Williams served as Vice President, Clinical Development at Myovant Sciences (NYSE: MYOV) from September 2016 to August 2017. Dr. Williams held roles of increasing responsibility at AbbVie Pharmaceuticals (Nasdaq: ABBV) from January 2013 to July 2016, and at Abbott Laboratories, Inc. (NYSE: ABT) from July 1998 to December 2012. Dr. Williams received a B.S. degree in Pre-Medicine/Pre-Medical Studies and Biochemistry from Mississippi State University, a M.D. from University of Iowa, and a M.P.H. degree in Epidemiology from University of Washington, where she also completed a clinical fellowship in Infectious Diseases. Dr. Williams completed her residency training at University of Michigan.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 w:name="DSPFPageBreakArea27"/>
      <w:bookmarkStart w:id="152" w:name="DSPFPageBreakArea27"/>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 w:name="DSPFPageBreak27"/>
      <w:bookmarkStart w:id="154" w:name="DSPFPageBreak27"/>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5" w:name="ny20007204x2_def14a_111-executive_pg3"/>
        <w:bookmarkEnd w:id="15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56" w:name="tEC"/>
      <w:bookmarkEnd w:id="156"/>
      <w:r>
        <w:rPr>
          <w:rFonts w:ascii="Times New Roman;Times;serif" w:hAnsi="Times New Roman;Times;serif"/>
          <w:b/>
          <w:color w:val="000000"/>
          <w:sz w:val="20"/>
        </w:rPr>
        <w:t>EXECUTIVE COMPENSATION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is a discussion and analysis of compensation arrangements of our named executive officers, or NEOs. As a “smaller reporting company” as defined in Item 10(f), we are not required to include a Compensation Discussion and Analysis section and have elected to comply with the scaled disclosure requirements applicable to smaller reporting companies.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NEOs for fiscal year 2022 were as follows:</w:t>
      </w:r>
    </w:p>
    <w:tbl>
      <w:tblPr>
        <w:tblW w:w="6685" w:type="dxa"/>
        <w:jc w:val="left"/>
        <w:tblInd w:w="0" w:type="dxa"/>
        <w:tblCellMar>
          <w:top w:w="0" w:type="dxa"/>
          <w:left w:w="0" w:type="dxa"/>
          <w:bottom w:w="0" w:type="dxa"/>
          <w:right w:w="0" w:type="dxa"/>
        </w:tblCellMar>
      </w:tblPr>
      <w:tblGrid>
        <w:gridCol w:w="110"/>
        <w:gridCol w:w="65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Michael Raab, who serves as our President, Chief Executive Officer and Director;</w:t>
            </w:r>
          </w:p>
        </w:tc>
      </w:tr>
    </w:tbl>
    <w:tbl>
      <w:tblPr>
        <w:tblW w:w="6235" w:type="dxa"/>
        <w:jc w:val="left"/>
        <w:tblInd w:w="0" w:type="dxa"/>
        <w:tblCellMar>
          <w:top w:w="0" w:type="dxa"/>
          <w:left w:w="0" w:type="dxa"/>
          <w:bottom w:w="0" w:type="dxa"/>
          <w:right w:w="0" w:type="dxa"/>
        </w:tblCellMar>
      </w:tblPr>
      <w:tblGrid>
        <w:gridCol w:w="110"/>
        <w:gridCol w:w="61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1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Laura Williams, M.D., M.P.H., who serves as our Chief Medical Officer; and</w:t>
            </w:r>
          </w:p>
        </w:tc>
      </w:tr>
    </w:tbl>
    <w:tbl>
      <w:tblPr>
        <w:tblW w:w="5185" w:type="dxa"/>
        <w:jc w:val="left"/>
        <w:tblInd w:w="0" w:type="dxa"/>
        <w:tblCellMar>
          <w:top w:w="0" w:type="dxa"/>
          <w:left w:w="0" w:type="dxa"/>
          <w:bottom w:w="0" w:type="dxa"/>
          <w:right w:w="0" w:type="dxa"/>
        </w:tblCellMar>
      </w:tblPr>
      <w:tblGrid>
        <w:gridCol w:w="110"/>
        <w:gridCol w:w="5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Susan Rodriguez, who serves as our Chief Commercial Officer.</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2022 Summary Compensation Table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contains information about the compensation earned by each of our named executive officers during our most recently completed fiscal year ended December 31, 2022.</w:t>
      </w:r>
    </w:p>
    <w:tbl>
      <w:tblPr>
        <w:tblW w:w="8462" w:type="dxa"/>
        <w:jc w:val="left"/>
        <w:tblInd w:w="0" w:type="dxa"/>
        <w:tblCellMar>
          <w:top w:w="0" w:type="dxa"/>
          <w:left w:w="0" w:type="dxa"/>
          <w:bottom w:w="85" w:type="dxa"/>
          <w:right w:w="0" w:type="dxa"/>
        </w:tblCellMar>
      </w:tblPr>
      <w:tblGrid>
        <w:gridCol w:w="2465"/>
        <w:gridCol w:w="23"/>
        <w:gridCol w:w="23"/>
        <w:gridCol w:w="440"/>
        <w:gridCol w:w="23"/>
        <w:gridCol w:w="23"/>
        <w:gridCol w:w="695"/>
        <w:gridCol w:w="23"/>
        <w:gridCol w:w="23"/>
        <w:gridCol w:w="695"/>
        <w:gridCol w:w="23"/>
        <w:gridCol w:w="23"/>
        <w:gridCol w:w="1040"/>
        <w:gridCol w:w="23"/>
        <w:gridCol w:w="23"/>
        <w:gridCol w:w="845"/>
        <w:gridCol w:w="23"/>
        <w:gridCol w:w="23"/>
        <w:gridCol w:w="1100"/>
        <w:gridCol w:w="23"/>
        <w:gridCol w:w="23"/>
        <w:gridCol w:w="860"/>
      </w:tblGrid>
      <w:tr>
        <w:trPr/>
        <w:tc>
          <w:tcPr>
            <w:tcW w:w="24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246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Raab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President, Chief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 and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148,500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331,500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1,947,020</w:t>
            </w:r>
          </w:p>
        </w:tc>
      </w:tr>
      <w:tr>
        <w:trPr/>
        <w:tc>
          <w:tcPr>
            <w:tcW w:w="246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195,000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1,105,898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2,085,096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195,000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4,230,994</w:t>
            </w:r>
          </w:p>
        </w:tc>
      </w:tr>
      <w:tr>
        <w:trPr/>
        <w:tc>
          <w:tcPr>
            <w:tcW w:w="24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Laura Williams, M.D., M.P.H.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Medical Officer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39,600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141,811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158,800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1,055,211</w:t>
            </w:r>
          </w:p>
        </w:tc>
      </w:tr>
      <w:tr>
        <w:trPr/>
        <w:tc>
          <w:tcPr>
            <w:tcW w:w="24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Rodriguez </w:t>
            </w:r>
          </w:p>
          <w:p>
            <w:pPr>
              <w:pStyle w:val="TableContents"/>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Commercial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455,800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139,590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154,972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1,044,389</w:t>
            </w:r>
          </w:p>
        </w:tc>
      </w:tr>
    </w:tbl>
    <w:tbl>
      <w:tblPr>
        <w:tblW w:w="8785" w:type="dxa"/>
        <w:jc w:val="left"/>
        <w:tblInd w:w="0" w:type="dxa"/>
        <w:tblCellMar>
          <w:top w:w="0" w:type="dxa"/>
          <w:left w:w="0" w:type="dxa"/>
          <w:bottom w:w="0" w:type="dxa"/>
          <w:right w:w="0" w:type="dxa"/>
        </w:tblCellMar>
      </w:tblPr>
      <w:tblGrid>
        <w:gridCol w:w="230"/>
        <w:gridCol w:w="855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the Bonus column represent discretionary retention bonuses paid to our NEOs in December 2022.</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13 to the audited financial statements included in our Annual Report on Form 10-K filed on March 2, 2023.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Non-Equity Incentive Plan Compensation column represent annual cash performance-based bonuses earned by our NEOs pursuant to the achievement of certain company performance objectives.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Summary Compensation Table </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2022 Salaries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each receive a base salary to compensate them for services rendered to our company. The base salary payable to each NEO is intended to provide a fixed component of compensation reflecting the executive’s skill set, experience, role and responsibilities.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as of January 1, 2022, the annual base salaries for Mr. Raab, Dr. Williams and Ms. Rodriguez were $650,000, $465,000 and $455,800, respectively.</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2022 Bonuses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an annual performance-based cash bonus program in which each of our NEOs participated in 2022. Each NEO’s target bonus is expressed as a percentage of base salary which in 2022 could be achieved based upon the achievement of corporate goals. The 2022 annual bonuses for Mr. Raab, Dr. Williams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7" w:name="DSPFPageBreakArea28"/>
      <w:bookmarkStart w:id="158" w:name="DSPFPageBreakArea28"/>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9" w:name="DSPFPageBreak28"/>
      <w:bookmarkStart w:id="160" w:name="DSPFPageBreak28"/>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1" w:name="ny20007204x2_def14a_111-executive_pg4"/>
        <w:bookmarkEnd w:id="16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 Rodriguez were targeted at 60%, 40% and 40% of their respective base salaries. In 2022, each NEO’s target bonus was based 100% on the achievement of corporate performance objectives, approved by our compensation committee and board of directors. In January 2023, our compensation committee and board of directors determined that the corporate objectives were achieved at 85% of target. The actual annual cash bonuses awarded to each NEO for 2022 performance are set forth above in the Summary Compensation Table in the column titled “Non-Equity Incentive Plan Compensation.”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2021, we adopted a retention bonus program in which our NEOs participated. Pursuant to this retention bonus program, Mr. Raab, Dr. Williams and Ms. Rodriguez were eligible to earn $300,000, $250,000 and $150,000, respectively, in 2022, subject to continued employment through December 2022 or upon earlier achievement of a regulatory goal. Each NEO earned the full amount of the cash component of the retention bonus program in December 2022, as reflected in the Summary Compensation Table above in the column titled “Bonus.”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year, the Compensation Committee or the Board may supplement the target bonuses earned by our NEOs with discretionary bonuses based on the compensation committee’s or the board of director’s assessment of individual contributions.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use equity awards to motivate and reward our NEOs for long-term corporate performance based on the value of the Company’s common stock and, thereby, align the interests of our NEOs with those of our stockholders. We believe equity provides appropriate long-term incentive and retention of our executive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January 2022, the compensation committee granted to Mr. Raab, Dr. Williams and Ms. Rodriguez an option to purchase 700,000, 192,000 and 195,000 shares of our common stock, respectively, each with an exercise price of $0.99 per share. Also in January 2022, the Board granted to Mr. Raab, Dr. Williams and Ms. Rodriguez 150,000, 40,000 and 141,000 restricted stock units, respectively. Each option vests in substantially equal monthly installments over 4 years, and each award of restricted stock units vests in substantially equal quarterly installments over 4 years, in each case, subject to continued service to us.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Elements of Compensation </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Retirement Savings and Health and Welfare Benefits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We do not currently provide for any matching contributions under the 401(k) plan.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of our full-time employees, including our NEOs, are eligible to participate in our health and welfare plans. These health and welfare plans include medical, dental and vision benefits; short-term and long-term disability insurance; and supplemental life and AD&amp;D insurance.</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Perquisites and Other Personal Benefits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do not provide any perquisites or personal benefits to our NEOs not otherwise made available to other employees in 2022. During 2022, we paid each of our employees, including our NEOs, a monthly stipend of $100 related to the ongoing COVID 19 pandemic.</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2" w:name="DSPFPageBreakArea29"/>
      <w:bookmarkStart w:id="163" w:name="DSPFPageBreakArea29"/>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4" w:name="DSPFPageBreak29"/>
      <w:bookmarkStart w:id="165" w:name="DSPFPageBreak29"/>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6" w:name="ny20007204x2_def14a_111-executive_pg5"/>
        <w:bookmarkEnd w:id="16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Equity Awards at Fiscal Year-End 2022</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summarizes the number of shares of common stock underlying outstanding equity incentive plan awards for each named executive officer as of December 31, 2022.</w:t>
      </w:r>
    </w:p>
    <w:tbl>
      <w:tblPr>
        <w:tblW w:w="8642" w:type="dxa"/>
        <w:jc w:val="left"/>
        <w:tblInd w:w="0" w:type="dxa"/>
        <w:tblCellMar>
          <w:top w:w="0" w:type="dxa"/>
          <w:left w:w="0" w:type="dxa"/>
          <w:bottom w:w="65" w:type="dxa"/>
          <w:right w:w="0" w:type="dxa"/>
        </w:tblCellMar>
      </w:tblPr>
      <w:tblGrid>
        <w:gridCol w:w="1415"/>
        <w:gridCol w:w="23"/>
        <w:gridCol w:w="23"/>
        <w:gridCol w:w="1220"/>
        <w:gridCol w:w="23"/>
        <w:gridCol w:w="23"/>
        <w:gridCol w:w="935"/>
        <w:gridCol w:w="23"/>
        <w:gridCol w:w="23"/>
        <w:gridCol w:w="1025"/>
        <w:gridCol w:w="23"/>
        <w:gridCol w:w="23"/>
        <w:gridCol w:w="665"/>
        <w:gridCol w:w="23"/>
        <w:gridCol w:w="23"/>
        <w:gridCol w:w="875"/>
        <w:gridCol w:w="23"/>
        <w:gridCol w:w="23"/>
        <w:gridCol w:w="1085"/>
        <w:gridCol w:w="23"/>
        <w:gridCol w:w="23"/>
        <w:gridCol w:w="1100"/>
      </w:tblGrid>
      <w:tr>
        <w:trPr/>
        <w:tc>
          <w:tcPr>
            <w:tcW w:w="1415" w:type="dxa"/>
            <w:vMerge w:val="restart"/>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vMerge w:val="restart"/>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638" w:type="dxa"/>
            <w:gridSpan w:val="10"/>
            <w:tcBorders>
              <w:bottom w:val="single" w:sz="8" w:space="0" w:color="000000"/>
            </w:tcBorders>
            <w:shd w:fill="auto" w:val="cle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231" w:type="dxa"/>
            <w:gridSpan w:val="4"/>
            <w:tcBorders>
              <w:bottom w:val="single" w:sz="8" w:space="0" w:color="000000"/>
            </w:tcBorders>
            <w:shd w:fill="auto" w:val="cle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Awards(2)</w:t>
            </w:r>
          </w:p>
        </w:tc>
      </w:tr>
      <w:tr>
        <w:trPr/>
        <w:tc>
          <w:tcPr>
            <w:tcW w:w="1415" w:type="dxa"/>
            <w:vMerge w:val="continue"/>
            <w:tcBorders>
              <w:bottom w:val="single" w:sz="8" w:space="0" w:color="000000"/>
            </w:tcBorders>
            <w:shd w:fill="auto" w:val="clear"/>
            <w:vAlign w:val="center"/>
          </w:tcPr>
          <w:p>
            <w:pPr>
              <w:pStyle w:val="Normal"/>
              <w:rPr/>
            </w:pPr>
            <w:r>
              <w:rPr/>
            </w:r>
          </w:p>
        </w:tc>
        <w:tc>
          <w:tcPr>
            <w:tcW w:w="23" w:type="dxa"/>
            <w:vMerge w:val="continue"/>
            <w:tcBorders>
              <w:bottom w:val="single" w:sz="2" w:space="0" w:color="FFFFFF"/>
            </w:tcBorders>
            <w:shd w:fill="auto" w:val="clear"/>
            <w:vAlign w:val="center"/>
          </w:tcPr>
          <w:p>
            <w:pPr>
              <w:pStyle w:val="Normal"/>
              <w:rPr/>
            </w:pPr>
            <w:r>
              <w:rPr/>
            </w:r>
          </w:p>
        </w:tc>
        <w:tc>
          <w:tcPr>
            <w:tcW w:w="23" w:type="dxa"/>
            <w:tcBorders>
              <w:bottom w:val="single" w:sz="2" w:space="0" w:color="FFFFFF"/>
            </w:tcBorders>
            <w:shd w:fill="auto" w:val="clear"/>
            <w:vAlign w:val="center"/>
          </w:tcPr>
          <w:p>
            <w:pPr>
              <w:pStyle w:val="TableContents"/>
              <w:spacing w:before="0" w:after="283"/>
              <w:rPr/>
            </w:pPr>
            <w:r>
              <w:rPr/>
              <w:t>​</w:t>
            </w:r>
          </w:p>
        </w:tc>
        <w:tc>
          <w:tcPr>
            <w:tcW w:w="12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 </w:t>
            </w:r>
          </w:p>
        </w:tc>
      </w:tr>
      <w:tr>
        <w:trPr/>
        <w:tc>
          <w:tcPr>
            <w:tcW w:w="141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160,416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539,584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112,500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320,625</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248,188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269,771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57,550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164,017</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1/9/2020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406,481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150,979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7.60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1/17/2019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445,520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9,480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1/17/2029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7/26/2018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rPr>
                <w:sz w:val="4"/>
                <w:szCs w:val="4"/>
              </w:rPr>
            </w:pPr>
            <w:r>
              <w:rPr>
                <w:sz w:val="4"/>
                <w:szCs w:val="4"/>
              </w:rPr>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1/16/2018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390,348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8/9/2017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79,535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1/19/2017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318,141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1/15/2016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301,258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23.02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r>
        <w:trPr/>
        <w:tc>
          <w:tcPr>
            <w:tcW w:w="141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M.D., M.P.H.</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44,000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148,000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85,500</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lineRule="auto" w:line="240"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11/2/2020</w:t>
            </w:r>
            <w:r>
              <w:rPr>
                <w:rFonts w:ascii="Times New Roman;Times;serif" w:hAnsi="Times New Roman;Times;serif"/>
                <w:color w:val="000000"/>
                <w:sz w:val="20"/>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54,687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50,313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5.19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11/2/2030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11,664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33,242</w:t>
            </w:r>
          </w:p>
        </w:tc>
      </w:tr>
      <w:tr>
        <w:trPr/>
        <w:tc>
          <w:tcPr>
            <w:tcW w:w="141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Rodriguez</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44,687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150,313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105,748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301,382</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70,320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76,435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16,304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46,466</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lineRule="auto" w:line="240"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5/18/2020(5)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150,317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82,433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5/18/2030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color w:val="000000"/>
              </w:rPr>
            </w:pPr>
            <w:r>
              <w:rPr>
                <w:color w:val="000000"/>
              </w:rPr>
              <w:t>—</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Except as otherwise noted, each option vests and becomes exercisable in substantially equal monthly installments over four years from the vesting commencement date, subject to the holder continuing to provide services to us through each such date.</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Except as otherwise noted, each award of restricted stock units vest in substantially equal quarterly installments over four years from the vesting commencement date, on each of February 19; May 19; August 19 and November 19, subject to the holder continuing to provide continued services to us through each such date.</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calculated based on the $2.85 closing trading price of our common stock as of December 30, 2022, the last trading day of fiscal year 2022.</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shd w:fill="auto" w:val="clear"/>
            <w:vAlign w:val="center"/>
          </w:tcPr>
          <w:p>
            <w:pPr>
              <w:pStyle w:val="TableContents"/>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 and the restricted stock unit award vests as to 25% of the restricted stock units subject to the award on November 19, 2021, and as to 1/16th of the shares subject to the restricted stock unit on each February 19; May 19; August 19 and November 19, subject to the holder continuing to provide services to us through each such date.</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tc>
      </w:tr>
    </w:tbl>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Arrangements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entered into agreements with each of our NEOs in connection with their employment with us. These agreements set forth the terms and conditions of employment of each NEO, including base salary, initial equity award grants, and standard employee benefit plan participation. We also have entered into agreements with our NEOs that provide for severance benefits and payments upon certain terminations without cause or resignations for good reason. Specifically, in June 2014, we entered into an amended and restated employment agreement with Mr. Raab and we have entered into a change in control severance agreement with each of our other NEOs.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7" w:name="DSPFPageBreakArea30"/>
      <w:bookmarkStart w:id="168" w:name="DSPFPageBreakArea30"/>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9" w:name="DSPFPageBreak30"/>
      <w:bookmarkStart w:id="170" w:name="DSPFPageBreak30"/>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1" w:name="ny20007204x2_def14a_111-executive_pg6"/>
        <w:bookmarkEnd w:id="17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each other NEO’s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 for good reason, in each case within three months prior to and 12 months after a change in control, then they will receive: (i) a lump sum amount equal to the sum of their base salary as in effect immediately prior to such termination and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purposes of Mr. Raab’s amended and restated employment agreement and each of the other NEO’s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purposes of Mr. Raab’s amended and restated employment agreement and each of the other NEO’s change in control severance agreements, “good reason” includes the occurrence of: (i) a material diminution in the NEO’s authority, duties, or responsibilities, which substantially reduces the nature or character of their position; (ii) a reduction (or material reduction, in the case of each named executive officer other than Mr. Raab)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NEO, provided that in order for “good reason” to exist, each of the following conditions must be met: (i) the foregoing good reason conditions must have occurred without the named executive officer’s express written consent; (ii) 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31"/>
      <w:bookmarkStart w:id="173" w:name="DSPFPageBreakArea31"/>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4" w:name="DSPFPageBreak31"/>
      <w:bookmarkStart w:id="175" w:name="DSPFPageBreak31"/>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6" w:name="ny20007204x2_def14a_112-pvp_pg1"/>
        <w:bookmarkEnd w:id="17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Pay Versus Performance</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Pay Versus Performance Table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concerning the compensation provided to our NEOs and certain measures of Company performance in the years ended December 31, 2022 and 2021, for services to our Company in all capacities. The Compensation Committee did not consider the pay versus performance disclosure below in making its pay decisions for any of the fiscal years shown.</w:t>
      </w:r>
    </w:p>
    <w:tbl>
      <w:tblPr>
        <w:tblW w:w="9521" w:type="dxa"/>
        <w:jc w:val="left"/>
        <w:tblInd w:w="0" w:type="dxa"/>
        <w:tblCellMar>
          <w:top w:w="0" w:type="dxa"/>
          <w:left w:w="0" w:type="dxa"/>
          <w:bottom w:w="85" w:type="dxa"/>
          <w:right w:w="0" w:type="dxa"/>
        </w:tblCellMar>
      </w:tblPr>
      <w:tblGrid>
        <w:gridCol w:w="455"/>
        <w:gridCol w:w="23"/>
        <w:gridCol w:w="23"/>
        <w:gridCol w:w="1550"/>
        <w:gridCol w:w="23"/>
        <w:gridCol w:w="23"/>
        <w:gridCol w:w="1100"/>
        <w:gridCol w:w="23"/>
        <w:gridCol w:w="23"/>
        <w:gridCol w:w="1550"/>
        <w:gridCol w:w="23"/>
        <w:gridCol w:w="23"/>
        <w:gridCol w:w="1850"/>
        <w:gridCol w:w="23"/>
        <w:gridCol w:w="23"/>
        <w:gridCol w:w="1715"/>
        <w:gridCol w:w="23"/>
        <w:gridCol w:w="23"/>
        <w:gridCol w:w="1025"/>
      </w:tblGrid>
      <w:tr>
        <w:trPr/>
        <w:tc>
          <w:tcPr>
            <w:tcW w:w="4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for PEO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to PEO ($)(1)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Non-PEO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8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to Non-PEO NEOs ($)(1)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7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investment Based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Total Shareholder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Return (“TSR”) ($)(2)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Loss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in millions)</w:t>
            </w:r>
          </w:p>
        </w:tc>
      </w:tr>
      <w:tr>
        <w:trPr/>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1,947,020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4,047,941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1,049,800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850" w:type="dxa"/>
            <w:tcBorders/>
            <w:shd w:fill="CCEEFF" w:val="clear"/>
            <w:tcMar>
              <w:bottom w:w="0" w:type="dxa"/>
            </w:tcMar>
            <w:vAlign w:val="center"/>
          </w:tcPr>
          <w:p>
            <w:pPr>
              <w:pStyle w:val="TableContents"/>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1,913,762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15" w:type="dxa"/>
            <w:tcBorders/>
            <w:shd w:fill="CCEEFF" w:val="clear"/>
            <w:tcMar>
              <w:bottom w:w="0" w:type="dxa"/>
            </w:tcMar>
            <w:vAlign w:val="center"/>
          </w:tcPr>
          <w:p>
            <w:pPr>
              <w:pStyle w:val="TableContents"/>
              <w:spacing w:before="0" w:after="283"/>
              <w:ind w:left="691"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r>
      <w:tr>
        <w:trPr/>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50" w:type="dxa"/>
            <w:tcBorders/>
            <w:shd w:fill="auto" w:val="clear"/>
            <w:tcMar>
              <w:bottom w:w="0" w:type="dxa"/>
            </w:tcMar>
            <w:vAlign w:val="center"/>
          </w:tcPr>
          <w:p>
            <w:pPr>
              <w:pStyle w:val="TableContents"/>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4,230,994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39,202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50" w:type="dxa"/>
            <w:tcBorders/>
            <w:shd w:fill="auto" w:val="clear"/>
            <w:tcMar>
              <w:bottom w:w="0" w:type="dxa"/>
            </w:tcM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1,700,013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850" w:type="dxa"/>
            <w:tcBorders/>
            <w:shd w:fill="auto" w:val="clear"/>
            <w:tcMar>
              <w:bottom w:w="0" w:type="dxa"/>
            </w:tcMar>
            <w:vAlign w:val="center"/>
          </w:tcPr>
          <w:p>
            <w:pPr>
              <w:pStyle w:val="TableContents"/>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584,783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15" w:type="dxa"/>
            <w:tcBorders/>
            <w:shd w:fill="auto" w:val="clear"/>
            <w:tcMar>
              <w:bottom w:w="0" w:type="dxa"/>
            </w:tcMar>
            <w:vAlign w:val="center"/>
          </w:tcPr>
          <w:p>
            <w:pPr>
              <w:pStyle w:val="TableContents"/>
              <w:spacing w:before="0" w:after="283"/>
              <w:ind w:left="691"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(158)</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compensation actually paid (“CAP”) to our CEO, Michael Raab, who was our Principal Executive Officer or “PEO” for each of the two years shown, and the average CAP to our remaining NEOs or “Non-PEO NEOs” for the relevant fiscal year, as determined under SEC rules, which includes Laura Williams, M.D., M.P.H. and Susan Rodriguez for 2022 and Justin Renz, Robert Blanks, Elizabeth Grammer, Esq. and David Rosenbaum, Ph.D. for 2021. </w:t>
            </w:r>
          </w:p>
        </w:tc>
      </w:tr>
    </w:tbl>
    <w:p>
      <w:pPr>
        <w:pStyle w:val="TextBody"/>
        <w:spacing w:before="9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Amounts represent the Summary Compensation Table Total Compensation for the applicable fiscal year adjusted as follows:</w:t>
      </w:r>
    </w:p>
    <w:tbl>
      <w:tblPr>
        <w:tblW w:w="10205" w:type="dxa"/>
        <w:jc w:val="left"/>
        <w:tblInd w:w="0" w:type="dxa"/>
        <w:tblCellMar>
          <w:top w:w="0" w:type="dxa"/>
          <w:left w:w="0" w:type="dxa"/>
          <w:bottom w:w="0" w:type="dxa"/>
          <w:right w:w="0" w:type="dxa"/>
        </w:tblCellMar>
      </w:tblPr>
      <w:tblGrid>
        <w:gridCol w:w="6609"/>
        <w:gridCol w:w="23"/>
        <w:gridCol w:w="23"/>
        <w:gridCol w:w="740"/>
        <w:gridCol w:w="23"/>
        <w:gridCol w:w="23"/>
        <w:gridCol w:w="875"/>
        <w:gridCol w:w="23"/>
        <w:gridCol w:w="23"/>
        <w:gridCol w:w="834"/>
        <w:gridCol w:w="23"/>
        <w:gridCol w:w="23"/>
        <w:gridCol w:w="963"/>
      </w:tblGrid>
      <w:tr>
        <w:trPr/>
        <w:tc>
          <w:tcPr>
            <w:tcW w:w="6609"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 (“FY”)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66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843"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6609"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non-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NEOs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3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63"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non-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NEOs</w:t>
            </w:r>
          </w:p>
        </w:tc>
      </w:tr>
      <w:tr>
        <w:trPr/>
        <w:tc>
          <w:tcPr>
            <w:tcW w:w="660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Deduction for ASC 718 Fair Value as of Grant Date Reported under the Option Awards Columns in the Summary Compensation Table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665,520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232,514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3,190,994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3" w:type="dxa"/>
            <w:tcBorders/>
            <w:shd w:fill="CCEEFF"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rPr>
              <w:t>1,079,113</w:t>
            </w:r>
          </w:p>
        </w:tc>
      </w:tr>
      <w:tr>
        <w:trPr/>
        <w:tc>
          <w:tcPr>
            <w:tcW w:w="660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Remain Unvested as of FY End (“FYE”)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1,525,779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526,580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510,407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3" w:type="dxa"/>
            <w:tcBorders/>
            <w:shd w:fill="auto"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rPr>
              <w:t>298,612</w:t>
            </w:r>
          </w:p>
        </w:tc>
      </w:tr>
      <w:tr>
        <w:trPr/>
        <w:tc>
          <w:tcPr>
            <w:tcW w:w="660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Vested during the FY as of Vesting Date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236,714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100,375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412,382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3" w:type="dxa"/>
            <w:tcBorders/>
            <w:shd w:fill="CCEEFF"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rPr>
              <w:t>116,84</w:t>
            </w:r>
            <w:r>
              <w:rPr>
                <w:rFonts w:ascii="Times New Roman;Times;serif" w:hAnsi="Times New Roman;Times;serif"/>
                <w:color w:val="000000"/>
                <w:sz w:val="16"/>
              </w:rPr>
              <w:t>6</w:t>
            </w:r>
          </w:p>
        </w:tc>
      </w:tr>
      <w:tr>
        <w:trPr/>
        <w:tc>
          <w:tcPr>
            <w:tcW w:w="660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Increase/deduction based on ASC 718 Fair Value of Outstanding Unvested Prior FY Awards as of FYE Compared to Valuation as of Prior FYE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367,447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91,823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(1,684,660)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3" w:type="dxa"/>
            <w:tcBorders/>
            <w:shd w:fill="auto"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rPr>
              <w:t>(419,298)</w:t>
            </w:r>
          </w:p>
        </w:tc>
      </w:tr>
      <w:tr>
        <w:trPr/>
        <w:tc>
          <w:tcPr>
            <w:tcW w:w="660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Increase/deduction based on ASC 718 Fair Value of Prior FY Awards that Vested during the FY as of Vesting Date Compared to Valuation as of Prior FYE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636,501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377,698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(238,927</w:t>
            </w:r>
            <w:r>
              <w:rPr>
                <w:rFonts w:ascii="Times New Roman;Times;serif" w:hAnsi="Times New Roman;Times;serif"/>
                <w:color w:val="000000"/>
                <w:sz w:val="16"/>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3" w:type="dxa"/>
            <w:tcBorders/>
            <w:shd w:fill="CCEEFF"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(32,277</w:t>
            </w:r>
            <w:r>
              <w:rPr>
                <w:rFonts w:ascii="Times New Roman;Times;serif" w:hAnsi="Times New Roman;Times;serif"/>
                <w:color w:val="000000"/>
                <w:sz w:val="16"/>
              </w:rPr>
              <w:t>)</w:t>
            </w:r>
          </w:p>
        </w:tc>
      </w:tr>
      <w:tr>
        <w:trPr/>
        <w:tc>
          <w:tcPr>
            <w:tcW w:w="6609"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Total Adjustments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2,100,921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863,962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(4,191,792</w:t>
            </w:r>
            <w:r>
              <w:rPr>
                <w:rFonts w:ascii="Times New Roman;Times;serif" w:hAnsi="Times New Roman;Times;serif"/>
                <w:color w:val="000000"/>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3" w:type="dxa"/>
            <w:tcBorders/>
            <w:shd w:fill="auto" w:val="clear"/>
            <w:vAlign w:val="center"/>
          </w:tcPr>
          <w:p>
            <w:pPr>
              <w:pStyle w:val="TableContents"/>
              <w:spacing w:before="0" w:after="283"/>
              <w:ind w:left="11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1" w:color="000000"/>
              </w:rPr>
              <w:t>(1,115,230</w:t>
            </w:r>
            <w:r>
              <w:rPr>
                <w:rFonts w:ascii="Times New Roman;Times;serif" w:hAnsi="Times New Roman;Times;serif"/>
                <w:color w:val="000000"/>
                <w:sz w:val="16"/>
              </w:rPr>
              <w:t>)</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2021 or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7" w:name="DSPFPageBreakArea32"/>
      <w:bookmarkStart w:id="178" w:name="DSPFPageBreakArea32"/>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9" w:name="DSPFPageBreak32"/>
      <w:bookmarkStart w:id="180" w:name="DSPFPageBreak32"/>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1" w:name="ny20007204x2_def14a_112-pvp_pg2"/>
        <w:bookmarkEnd w:id="18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Narrative Disclosure to Pay Versus Performance Table</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Relationship Between Financial Performance Measures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graphs below compare the compensation actually paid to our PEO and the average of the compensation actually paid to our remaining NEOs, with (i) our cumulative TSR,and (ii) our net income, in each case, for the fiscal years ended December 31, 2021 and 2022.</w:t>
      </w:r>
    </w:p>
    <w:p>
      <w:pPr>
        <w:pStyle w:val="TextBody"/>
        <w:spacing w:before="305" w:after="283"/>
        <w:jc w:val="center"/>
        <w:rPr>
          <w:color w:val="000000"/>
        </w:rPr>
      </w:pPr>
      <w:r>
        <w:rPr>
          <w:color w:val="000000"/>
        </w:rPr>
        <w:drawing>
          <wp:inline distT="0" distB="0" distL="0" distR="0">
            <wp:extent cx="5781675" cy="3657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81675" cy="36576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95" w:after="283"/>
        <w:jc w:val="center"/>
        <w:rPr>
          <w:color w:val="000000"/>
        </w:rPr>
      </w:pPr>
      <w:r>
        <w:rPr>
          <w:color w:val="000000"/>
        </w:rPr>
        <w:drawing>
          <wp:inline distT="0" distB="0" distL="0" distR="0">
            <wp:extent cx="5781675" cy="3657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36576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2" w:name="DSPFPageBreakArea33"/>
      <w:bookmarkStart w:id="183" w:name="DSPFPageBreakArea33"/>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4" w:name="DSPFPageBreak33"/>
      <w:bookmarkStart w:id="185" w:name="DSPFPageBreak33"/>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6" w:name="ny20007204x2_def14a_112-pvp_pg3"/>
        <w:bookmarkEnd w:id="18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Compensation Plan Information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provides certain information as of December 31, 2022, with respect to all of our equity compensation plans in effect on that date:</w:t>
      </w:r>
    </w:p>
    <w:tbl>
      <w:tblPr>
        <w:tblW w:w="8273" w:type="dxa"/>
        <w:jc w:val="left"/>
        <w:tblInd w:w="0" w:type="dxa"/>
        <w:tblCellMar>
          <w:top w:w="0" w:type="dxa"/>
          <w:left w:w="0" w:type="dxa"/>
          <w:bottom w:w="85" w:type="dxa"/>
          <w:right w:w="0" w:type="dxa"/>
        </w:tblCellMar>
      </w:tblPr>
      <w:tblGrid>
        <w:gridCol w:w="5090"/>
        <w:gridCol w:w="23"/>
        <w:gridCol w:w="23"/>
        <w:gridCol w:w="965"/>
        <w:gridCol w:w="23"/>
        <w:gridCol w:w="23"/>
        <w:gridCol w:w="965"/>
        <w:gridCol w:w="23"/>
        <w:gridCol w:w="23"/>
        <w:gridCol w:w="1115"/>
      </w:tblGrid>
      <w:tr>
        <w:trPr/>
        <w:tc>
          <w:tcPr>
            <w:tcW w:w="50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Column (a))</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r>
      <w:tr>
        <w:trPr/>
        <w:tc>
          <w:tcPr>
            <w:tcW w:w="5090"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Stockholders(1)(2)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13,629,049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$5.007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15" w:type="dxa"/>
            <w:tcBorders/>
            <w:shd w:fill="CCEEFF" w:val="clear"/>
            <w:tcMar>
              <w:bottom w:w="0" w:type="dxa"/>
            </w:tcMar>
            <w:vAlign w:val="center"/>
          </w:tcPr>
          <w:p>
            <w:pPr>
              <w:pStyle w:val="TableContents"/>
              <w:spacing w:lineRule="auto" w:line="240"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2,372,362(3)</w:t>
            </w:r>
          </w:p>
        </w:tc>
      </w:tr>
      <w:tr>
        <w:trPr/>
        <w:tc>
          <w:tcPr>
            <w:tcW w:w="5090"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Stockholders(4)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1,737,187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5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$3.176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15" w:type="dxa"/>
            <w:tcBorders/>
            <w:shd w:fill="auto"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4,690,580</w:t>
            </w:r>
          </w:p>
        </w:tc>
      </w:tr>
      <w:tr>
        <w:trPr/>
        <w:tc>
          <w:tcPr>
            <w:tcW w:w="50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15,366,236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$4.828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15" w:type="dxa"/>
            <w:tcBorders/>
            <w:shd w:fill="CCEEFF"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7,062,942</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1,030,194 shares subject to outstanding restricted stock units and (B) 12,598,855 shares subject to stock options. The weighted average exercise price shown is for stock options; other outstanding awards had no exercise price. No new awards may be made under the 2008 Stock Incentive Plan.</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2014 Equity Incentive Plan and the 2014 Employee Stock Purchase Plan contain “evergreen” provisions, pursuant to which (i) the number of shares of common stock reserved for issuance pursuant to awards under the 2014 Equity Incentive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Times New Roman;Times;serif" w:hAnsi="Times New Roman;Times;serif"/>
                <w:i/>
                <w:color w:val="000000"/>
                <w:sz w:val="16"/>
              </w:rPr>
              <w:t>provided, however,</w:t>
            </w:r>
            <w:r>
              <w:rPr>
                <w:rFonts w:ascii="Times New Roman;Times;serif" w:hAnsi="Times New Roman;Times;serif"/>
                <w:color w:val="000000"/>
                <w:sz w:val="16"/>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 On January 1, 2023, an additional 7,943,000 shares of our common stock were reserved for issuance pursuant to awards under the 2014 Equity Incentive Plan as a result of the “evergreen” provision, and an additional 992,875 shares were reserved for issuance under our 2014 Employee Stock Purchase Plan as a result of the “evergreen” provision.</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590,626 shares that were available for future issuances as of December 31, 2022 under the 2014 Employee Stock Purchase Plan (of which 165,969 shares were issued with respect to the purchase period in effect as of December 31, 2022, which purchase period ended on February 28, 2023), which allows eligible employees to purchase shares of common stock with accumulated payroll deductions.</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the Ardelyx, Inc. 2016 Employment Commencement Incentive Plan. Effective January 6, 2022, our board of directors determined to reserve an additional 2,000,000 shares of our common stock for issuance pursuant to awards under the 2016 Employment Commencement Incentive Plan. Effective December 6, 2022, our board of directors determined to reserve an additional 3,000,000 shares of our common stock for issuance pursuant to awards under the 2016 Employment Commencement Incentive Plan.</w:t>
            </w:r>
          </w:p>
        </w:tc>
      </w:tr>
    </w:tbl>
    <w:p>
      <w:pPr>
        <w:pStyle w:val="TextBody"/>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Material Features of the 2016 Employment Commencement Incentive Plan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equity awards and stock purchase plans. A total of 1,000,000 shares of our common stock were initially reserved for issuance under the 2016 Plan. In March 2021, January 2022 and December 2022, our board of directors increased the number of shares reserved for issuance under the 2016 Plan to 1,457,767 shares, 3,457,767 shares and 6,457,767 shares, respectively. As of December 31, 2022, we had awards outstanding with respect to 1,737,187shares under the 2016 Plan, and 4,690,580 shares remained available for future grants. The 2016 Plan provides for the grant of non-qualified stock options, restricted stock units, restricted stock awards, stock appreciation rights, and other stock-based and cash-based awards. These awards may be granted to individuals who are then new employees, or are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7" w:name="DSPFPageBreakArea34"/>
      <w:bookmarkStart w:id="188" w:name="DSPFPageBreakArea34"/>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9" w:name="DSPFPageBreak34"/>
      <w:bookmarkStart w:id="190" w:name="DSPFPageBreak34"/>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1" w:name="ny20007204x2_def14a_112-pvp_pg4"/>
        <w:bookmarkEnd w:id="19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commencing employment with us or one of our subsidiaries following a bona fide period of non-employment with us, and for whom such awards are granted as a material inducement to commencing employment with us or one of our subsidiaries.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filed registration statements on Form S-8 with the SEC covering the shares of common stock that may be issued under the 2016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2" w:name="DSPFPageBreakArea35"/>
      <w:bookmarkStart w:id="193" w:name="DSPFPageBreakArea35"/>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5"/>
      <w:bookmarkStart w:id="195" w:name="DSPFPageBreak35"/>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6" w:name="ny20007204x2_def14a_113-security_pg1"/>
        <w:bookmarkEnd w:id="19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97" w:name="tSOOC"/>
      <w:bookmarkEnd w:id="197"/>
      <w:r>
        <w:rPr>
          <w:rFonts w:ascii="Times New Roman;Times;serif" w:hAnsi="Times New Roman;Times;serif"/>
          <w:b/>
          <w:color w:val="000000"/>
          <w:sz w:val="20"/>
        </w:rPr>
        <w:t>SECURITY OWNERSHIP OF CERTAIN BENEFICIAL OWNERS AND MANAGEMENT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relating to the beneficial ownership of our common stock as of April 18, 2023, by: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person, or group of affiliated persons, known by us to beneficially own more than 5% of our outstanding shares of common stock;</w:t>
            </w:r>
          </w:p>
        </w:tc>
      </w:tr>
    </w:tbl>
    <w:tbl>
      <w:tblPr>
        <w:tblW w:w="3955" w:type="dxa"/>
        <w:jc w:val="left"/>
        <w:tblInd w:w="0" w:type="dxa"/>
        <w:tblCellMar>
          <w:top w:w="0" w:type="dxa"/>
          <w:left w:w="0" w:type="dxa"/>
          <w:bottom w:w="0" w:type="dxa"/>
          <w:right w:w="0" w:type="dxa"/>
        </w:tblCellMar>
      </w:tblPr>
      <w:tblGrid>
        <w:gridCol w:w="110"/>
        <w:gridCol w:w="38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8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directors and nominees for director;</w:t>
            </w:r>
          </w:p>
        </w:tc>
      </w:tr>
    </w:tbl>
    <w:tbl>
      <w:tblPr>
        <w:tblW w:w="3505" w:type="dxa"/>
        <w:jc w:val="left"/>
        <w:tblInd w:w="0" w:type="dxa"/>
        <w:tblCellMar>
          <w:top w:w="0" w:type="dxa"/>
          <w:left w:w="0" w:type="dxa"/>
          <w:bottom w:w="0" w:type="dxa"/>
          <w:right w:w="0" w:type="dxa"/>
        </w:tblCellMar>
      </w:tblPr>
      <w:tblGrid>
        <w:gridCol w:w="110"/>
        <w:gridCol w:w="33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3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named executive officers; and</w:t>
            </w:r>
          </w:p>
        </w:tc>
      </w:tr>
    </w:tbl>
    <w:tbl>
      <w:tblPr>
        <w:tblW w:w="3835" w:type="dxa"/>
        <w:jc w:val="left"/>
        <w:tblInd w:w="0" w:type="dxa"/>
        <w:tblCellMar>
          <w:top w:w="0" w:type="dxa"/>
          <w:left w:w="0" w:type="dxa"/>
          <w:bottom w:w="0" w:type="dxa"/>
          <w:right w:w="0" w:type="dxa"/>
        </w:tblCellMar>
      </w:tblPr>
      <w:tblGrid>
        <w:gridCol w:w="110"/>
        <w:gridCol w:w="37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18, 2023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percentage of shares beneficially owned is computed on the basis of 214,462,429 shares of our common stock outstanding as of April 18, 2023. Shares of our common stock that a person has the right to acquire within 60 days of April 18, 2023 pursuant to the exercise of outstanding stock options, and restricted stock units that are expected to vest and settle on or before April 18, 2023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tbl>
      <w:tblPr>
        <w:tblW w:w="8879" w:type="dxa"/>
        <w:jc w:val="left"/>
        <w:tblInd w:w="0" w:type="dxa"/>
        <w:tblCellMar>
          <w:top w:w="0" w:type="dxa"/>
          <w:left w:w="0" w:type="dxa"/>
          <w:bottom w:w="0" w:type="dxa"/>
          <w:right w:w="0" w:type="dxa"/>
        </w:tblCellMar>
      </w:tblPr>
      <w:tblGrid>
        <w:gridCol w:w="5000"/>
        <w:gridCol w:w="23"/>
        <w:gridCol w:w="23"/>
        <w:gridCol w:w="965"/>
        <w:gridCol w:w="23"/>
        <w:gridCol w:w="23"/>
        <w:gridCol w:w="890"/>
        <w:gridCol w:w="23"/>
        <w:gridCol w:w="23"/>
        <w:gridCol w:w="950"/>
        <w:gridCol w:w="23"/>
        <w:gridCol w:w="23"/>
        <w:gridCol w:w="890"/>
      </w:tblGrid>
      <w:tr>
        <w:trPr/>
        <w:tc>
          <w:tcPr>
            <w:tcW w:w="500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833" w:type="dxa"/>
            <w:gridSpan w:val="10"/>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 Ownership</w:t>
            </w:r>
          </w:p>
        </w:tc>
      </w:tr>
      <w:tr>
        <w:trPr/>
        <w:tc>
          <w:tcPr>
            <w:tcW w:w="500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6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Within 60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Days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and Greater Stockholders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r>
      <w:tr>
        <w:trPr/>
        <w:tc>
          <w:tcPr>
            <w:tcW w:w="500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Janus Henderson Group plc(1)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19,774,333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19,774,333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536,520</w:t>
            </w:r>
            <w:r>
              <w:rPr>
                <w:rFonts w:ascii="Times New Roman;Times;serif" w:hAnsi="Times New Roman;Times;serif"/>
                <w:color w:val="000000"/>
                <w:sz w:val="20"/>
              </w:rPr>
              <w:t>(2)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2,990,571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3,527,091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Rodriguez</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173,805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384,576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558,381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211,182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181,207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392,389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1,166,765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341,295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1,508,060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261,295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261,295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202,162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276,295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478,457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147,765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243,567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Geoffrey A. Block, M.D.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238,795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238,795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198,655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296,050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Lundberg, Ph.D.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134,039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236,295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370,334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219,826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296,295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516,121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00" w:type="dxa"/>
            <w:tcBorders/>
            <w:shd w:fill="CCEEFF" w:val="cle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(15 persons)(4)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3,845,256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8,451,610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12,296,866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r>
    </w:tbl>
    <w:tbl>
      <w:tblPr>
        <w:tblW w:w="6745" w:type="dxa"/>
        <w:jc w:val="left"/>
        <w:tblInd w:w="0" w:type="dxa"/>
        <w:tblCellMar>
          <w:top w:w="0" w:type="dxa"/>
          <w:left w:w="0" w:type="dxa"/>
          <w:bottom w:w="0" w:type="dxa"/>
          <w:right w:w="0" w:type="dxa"/>
        </w:tblCellMar>
      </w:tblPr>
      <w:tblGrid>
        <w:gridCol w:w="110"/>
        <w:gridCol w:w="663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6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Indicates beneficial ownership of less than 1% of the total outstanding shares of common stock.</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Schedule 13G filed with the SEC on January 10, 2023 by Janus Henderson Group plc (“Janus Henderson”). Janus Henderson reported that it possessed shared voting and dispositive power over the shares and that it did not possess sole voting or dispositive power over any shares beneficially owned. The principal business address of Janus Henderson is 201 Bishopsgate, EC2M 3AE, United Kingdom.</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8" w:name="DSPFPageBreakArea36"/>
      <w:bookmarkStart w:id="199" w:name="DSPFPageBreakArea36"/>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0" w:name="DSPFPageBreak36"/>
      <w:bookmarkStart w:id="201" w:name="DSPFPageBreak3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2" w:name="ny20007204x2_def14a_113-security_pg2"/>
        <w:bookmarkEnd w:id="202"/>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244,477 shares directly owned by Mr. Raab, (ii) 24,364 shares owned directly by Michael G. Raab, trustee of the Michael G. Raab Living Trust dated July 25, 2012, and (iii) an aggregate of 1,000 shares owned directly by trusts for the benefit of Mr. Raab’s children.</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87,566 shares and (ii) 110,000 shares subject to options that Mr. Mott may acquire within 60 days of April 18, 2023, that Mr. Mott holds for the benefit of entities associated with New Enterprise Associates. Mr. Mott disclaims beneficial ownership of all such shares and options, except to the extent of his actual pecuniary interest therein.</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260,764 shares directly owned by Dr. Rosenbaum, (ii) 848,360 shares that may be acquired directly by Dr. Rosenbaum pursuant to the exercise of stock options or the vesting of restricted stock units within 60 days of April 18, 2023, (iii) 77,592 shares owned indirectly owned by David Paul Rosenbaum and Susan Edelstein Rosenbaum, Trustees of the David Paul Rosenbaum Family Trust, (iv) 75,327 shares owned directly by Dr. Rosenbaum’s spouse, and (v) 214,300 shares that may be acquired directly by Dr. Rosenbaum’s spouse pursuant to the exercise of stock options or the vesting of restricted stock units within 60 days of April 18, 2023.</w:t>
            </w:r>
          </w:p>
        </w:tc>
      </w:tr>
    </w:tbl>
    <w:p>
      <w:pPr>
        <w:pStyle w:val="TextBody"/>
        <w:spacing w:before="240" w:after="283"/>
        <w:jc w:val="center"/>
        <w:rPr>
          <w:rFonts w:ascii="Times New Roman;Times;serif" w:hAnsi="Times New Roman;Times;serif"/>
          <w:b/>
          <w:color w:val="000000"/>
          <w:sz w:val="20"/>
        </w:rPr>
      </w:pPr>
      <w:bookmarkStart w:id="203" w:name="tDS"/>
      <w:bookmarkEnd w:id="203"/>
      <w:r>
        <w:rPr>
          <w:rFonts w:ascii="Times New Roman;Times;serif" w:hAnsi="Times New Roman;Times;serif"/>
          <w:b/>
          <w:color w:val="000000"/>
          <w:sz w:val="20"/>
        </w:rPr>
        <w:t>DELINQUENT SECTION 16(A) REPORTS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16(a) of the Securities Exchange Act of 1934, as amended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Company’s knowledge, based solely on a review of the copies of such reports furnished to the Company and written representations that no other reports were required, during the year ended December 31, 2022, all Section 16(a) filing requirements applicable to our officers, directors and greater than 10% beneficial owners were met, except for the following: (i) late Form 4s filed on January 12, 2022, due to administrative delays, for each of Susan Rodriguez, Robert Blanks, Elizabeth Grammer, Esq., Michael Raab, Justin Renz and David Rosenbaum, Ph.D., where the Board granted awards of restricted stock units to executive officers on January 6, 2022; and (ii) late Form 4s filed on February 25, 2022, due to an administrative delays, for each of Susan Rodriguez, Robert Blanks, Elizabeth Grammer, Esq., Michael Raab, Justin Renz and David Rosenbaum, Ph.D., in each case, pertaining to the sale of shares upon the vesting of restricted stock units pursuant to an automatic sell-to-cover program.</w:t>
      </w:r>
    </w:p>
    <w:p>
      <w:pPr>
        <w:pStyle w:val="TextBody"/>
        <w:spacing w:before="240" w:after="283"/>
        <w:jc w:val="center"/>
        <w:rPr>
          <w:rFonts w:ascii="Times New Roman;Times;serif" w:hAnsi="Times New Roman;Times;serif"/>
          <w:b/>
          <w:color w:val="000000"/>
          <w:sz w:val="20"/>
        </w:rPr>
      </w:pPr>
      <w:bookmarkStart w:id="204" w:name="tAI"/>
      <w:bookmarkEnd w:id="204"/>
      <w:r>
        <w:rPr>
          <w:rFonts w:ascii="Times New Roman;Times;serif" w:hAnsi="Times New Roman;Times;serif"/>
          <w:b/>
          <w:color w:val="000000"/>
          <w:sz w:val="20"/>
        </w:rPr>
        <w:t>ADDITIONAL INFORMATION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Householding of Proxy Materials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Registered Stockholders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Street Name Holders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who hold their shares through a brokerage may elect to participate in householding, or revoke their consent to participate in householding, by contacting their respective brokers.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Reports</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 is accompanied by our 2022 Annual Report to Stockholders, which includes our Annual Report on Form 10-K for the fiscal year ended December 31, 2022, or the 10-K. The 10-K includes our audited financial statements. We have filed the 10-K with the SEC, and it is available free of charge 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5" w:name="DSPFPageBreakArea37"/>
      <w:bookmarkStart w:id="206" w:name="DSPFPageBreakArea37"/>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7" w:name="DSPFPageBreak37"/>
      <w:bookmarkStart w:id="208" w:name="DSPFPageBreak37"/>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9" w:name="ny20007204x2_def14a_113-security_pg3"/>
        <w:bookmarkEnd w:id="2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Matters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date of this proxy statement, our board of directors knows of no other matters that will be presented for consideration at the 2023 Annual Meeting other than the matters described in this proxy statement. If other matters are properly brought before the 2023 Annual Meeting, then proxies will be voted in accordance with the recommendation of the board of directors or, in the absence of such a recommendation, in accordance with the best judgment of the proxy holder.</w:t>
      </w:r>
    </w:p>
    <w:tbl>
      <w:tblPr>
        <w:tblW w:w="3321" w:type="dxa"/>
        <w:jc w:val="left"/>
        <w:tblInd w:w="0" w:type="dxa"/>
        <w:tblCellMar>
          <w:top w:w="0" w:type="dxa"/>
          <w:left w:w="0" w:type="dxa"/>
          <w:bottom w:w="0" w:type="dxa"/>
          <w:right w:w="0" w:type="dxa"/>
        </w:tblCellMar>
      </w:tblPr>
      <w:tblGrid>
        <w:gridCol w:w="75"/>
        <w:gridCol w:w="23"/>
        <w:gridCol w:w="23"/>
        <w:gridCol w:w="320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20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Elizabeth Grammer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and Administrative Officer</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Waltham, Massachusetts</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26, 2023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0" w:name="DSPFPageBreakArea38"/>
      <w:bookmarkStart w:id="211" w:name="DSPFPageBreakArea3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2" w:name="DSPFPageBreak38"/>
      <w:bookmarkStart w:id="213" w:name="DSPFPageBreak38"/>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4" w:name="ny20007204x2_def14a_200-proxycards_pg1"/>
        <w:bookmarkEnd w:id="2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5" w:name="DSPFPageBreakArea39"/>
      <w:bookmarkStart w:id="216" w:name="DSPFPageBreakArea39"/>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7" w:name="DSPFPageBreak39"/>
      <w:bookmarkStart w:id="218" w:name="DSPFPageBreak3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9" w:name="ny20007204x2_def14a_200-proxycards_pg2"/>
        <w:bookmarkEnd w:id="2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21347</Words>
  <CharactersWithSpaces>136187</CharactersWithSpaces>
  <Paragraphs>2089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