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4"/>
          <w:szCs w:val="24"/>
          <w:color w:val="auto"/>
        </w:rPr>
      </w:pPr>
    </w:p>
    <w:p>
      <w:pPr>
        <w:jc w:val="center"/>
        <w:ind w:left="400"/>
        <w:spacing w:after="0" w:line="234" w:lineRule="auto"/>
        <w:rPr>
          <w:sz w:val="20"/>
          <w:szCs w:val="20"/>
          <w:color w:val="auto"/>
        </w:rPr>
      </w:pPr>
      <w:r>
        <w:rPr>
          <w:rFonts w:ascii="Times New Roman" w:cs="Times New Roman" w:eastAsia="Times New Roman" w:hAnsi="Times New Roman"/>
          <w:sz w:val="14"/>
          <w:szCs w:val="14"/>
          <w:b w:val="1"/>
          <w:bCs w:val="1"/>
          <w:color w:val="auto"/>
        </w:rPr>
        <w:t>Confidential Draft Submission No. 1 submitted to the Securities and Exchange Commission on April 11, 2014. This draft registration statement has not been filed publicly with the Securities and Exchange Commission and all information contained herein remains confidential.</w:t>
      </w:r>
    </w:p>
    <w:p>
      <w:pPr>
        <w:spacing w:after="0" w:line="1" w:lineRule="exact"/>
        <w:rPr>
          <w:sz w:val="24"/>
          <w:szCs w:val="24"/>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-306705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49"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6"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2834</w:t>
      </w:r>
    </w:p>
    <w:p>
      <w:pPr>
        <w:spacing w:after="0" w:line="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2"/>
          <w:szCs w:val="12"/>
          <w:b w:val="1"/>
          <w:bCs w:val="1"/>
          <w:color w:val="auto"/>
        </w:rPr>
        <w:t>(Primary Standard Industrial Classification Code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26-1303944</w:t>
      </w:r>
    </w:p>
    <w:p>
      <w:pPr>
        <w:spacing w:after="0" w:line="6"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0" w:lineRule="exact"/>
        <w:rPr>
          <w:sz w:val="24"/>
          <w:szCs w:val="24"/>
          <w:color w:val="auto"/>
        </w:rPr>
      </w:pPr>
    </w:p>
    <w:p>
      <w:pPr>
        <w:sectPr>
          <w:pgSz w:w="11900" w:h="16838" w:orient="portrait"/>
          <w:cols w:equalWidth="0" w:num="3">
            <w:col w:w="3680" w:space="440"/>
            <w:col w:w="4260" w:space="720"/>
            <w:col w:w="2320"/>
          </w:cols>
          <w:pgMar w:left="240" w:top="226" w:right="239" w:bottom="1440" w:gutter="0" w:footer="0" w:header="0"/>
          <w:type w:val="continuous"/>
        </w:sectPr>
      </w:pPr>
    </w:p>
    <w:p>
      <w:pPr>
        <w:ind w:left="89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34175 Ardenwood Blvd.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Fremont, CA 94555</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(510) 745-1700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Michael Raab</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Ardelyx, Inc.</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34175 Ardenwood Blvd.</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Fremont, CA 94555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(510) 745-1700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9" w:lineRule="exact"/>
        <w:rPr>
          <w:sz w:val="24"/>
          <w:szCs w:val="24"/>
          <w:color w:val="auto"/>
        </w:rPr>
      </w:pPr>
    </w:p>
    <w:tbl>
      <w:tblPr>
        <w:tblLayout w:type="fixed"/>
        <w:tblInd w:w="1200" w:type="dxa"/>
        <w:tblCellMar>
          <w:top w:w="0" w:type="dxa"/>
          <w:left w:w="0" w:type="dxa"/>
          <w:bottom w:w="0" w:type="dxa"/>
          <w:right w:w="0" w:type="dxa"/>
        </w:tblCellMar>
      </w:tblPr>
      <w:tr>
        <w:trPr>
          <w:trHeight w:val="178"/>
        </w:trPr>
        <w:tc>
          <w:tcPr>
            <w:tcW w:w="2060" w:type="dxa"/>
            <w:vAlign w:val="bottom"/>
            <w:vMerge w:val="restart"/>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6"/>
              </w:rPr>
              <w:t>Alan C. Mendelson, Esq.</w:t>
            </w:r>
          </w:p>
        </w:tc>
        <w:tc>
          <w:tcPr>
            <w:tcW w:w="1260" w:type="dxa"/>
            <w:vAlign w:val="bottom"/>
          </w:tcPr>
          <w:p>
            <w:pPr>
              <w:spacing w:after="0"/>
              <w:rPr>
                <w:sz w:val="15"/>
                <w:szCs w:val="15"/>
                <w:color w:val="auto"/>
              </w:rPr>
            </w:pPr>
          </w:p>
        </w:tc>
        <w:tc>
          <w:tcPr>
            <w:tcW w:w="380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160" w:type="dxa"/>
            <w:vAlign w:val="bottom"/>
            <w:vMerge w:val="restart"/>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5"/>
              </w:rPr>
              <w:t>David J. Saul, Esq.</w:t>
            </w:r>
          </w:p>
        </w:tc>
        <w:tc>
          <w:tcPr>
            <w:tcW w:w="0" w:type="dxa"/>
            <w:vAlign w:val="bottom"/>
          </w:tcPr>
          <w:p>
            <w:pPr>
              <w:spacing w:after="0"/>
              <w:rPr>
                <w:sz w:val="1"/>
                <w:szCs w:val="1"/>
                <w:color w:val="auto"/>
              </w:rPr>
            </w:pPr>
          </w:p>
        </w:tc>
      </w:tr>
      <w:tr>
        <w:trPr>
          <w:trHeight w:val="146"/>
        </w:trPr>
        <w:tc>
          <w:tcPr>
            <w:tcW w:w="20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Mark V. Roeder, Esq.</w:t>
            </w:r>
          </w:p>
        </w:tc>
        <w:tc>
          <w:tcPr>
            <w:tcW w:w="1260" w:type="dxa"/>
            <w:vAlign w:val="bottom"/>
          </w:tcPr>
          <w:p>
            <w:pPr>
              <w:spacing w:after="0"/>
              <w:rPr>
                <w:sz w:val="12"/>
                <w:szCs w:val="12"/>
                <w:color w:val="auto"/>
              </w:rPr>
            </w:pPr>
          </w:p>
        </w:tc>
        <w:tc>
          <w:tcPr>
            <w:tcW w:w="38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Elizabeth Grammer, Esq.</w:t>
            </w:r>
          </w:p>
        </w:tc>
        <w:tc>
          <w:tcPr>
            <w:tcW w:w="2160" w:type="dxa"/>
            <w:vAlign w:val="bottom"/>
          </w:tcPr>
          <w:p>
            <w:pPr>
              <w:jc w:val="center"/>
              <w:ind w:left="3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Paul Kinsella, Esq.</w:t>
            </w:r>
          </w:p>
        </w:tc>
        <w:tc>
          <w:tcPr>
            <w:tcW w:w="0" w:type="dxa"/>
            <w:vAlign w:val="bottom"/>
          </w:tcPr>
          <w:p>
            <w:pPr>
              <w:spacing w:after="0"/>
              <w:rPr>
                <w:sz w:val="1"/>
                <w:szCs w:val="1"/>
                <w:color w:val="auto"/>
              </w:rPr>
            </w:pPr>
          </w:p>
        </w:tc>
      </w:tr>
      <w:tr>
        <w:trPr>
          <w:trHeight w:val="149"/>
        </w:trPr>
        <w:tc>
          <w:tcPr>
            <w:tcW w:w="2060" w:type="dxa"/>
            <w:vAlign w:val="bottom"/>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Brian J. Cuneo, Esq.</w:t>
            </w:r>
          </w:p>
        </w:tc>
        <w:tc>
          <w:tcPr>
            <w:tcW w:w="1260" w:type="dxa"/>
            <w:vAlign w:val="bottom"/>
          </w:tcPr>
          <w:p>
            <w:pPr>
              <w:spacing w:after="0"/>
              <w:rPr>
                <w:sz w:val="12"/>
                <w:szCs w:val="12"/>
                <w:color w:val="auto"/>
              </w:rPr>
            </w:pPr>
          </w:p>
        </w:tc>
        <w:tc>
          <w:tcPr>
            <w:tcW w:w="380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Vice President, Legal</w:t>
            </w:r>
          </w:p>
        </w:tc>
        <w:tc>
          <w:tcPr>
            <w:tcW w:w="2160" w:type="dxa"/>
            <w:vAlign w:val="bottom"/>
          </w:tcPr>
          <w:p>
            <w:pPr>
              <w:jc w:val="center"/>
              <w:ind w:left="3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Ropes &amp; Gray LLP</w:t>
            </w:r>
          </w:p>
        </w:tc>
        <w:tc>
          <w:tcPr>
            <w:tcW w:w="0" w:type="dxa"/>
            <w:vAlign w:val="bottom"/>
          </w:tcPr>
          <w:p>
            <w:pPr>
              <w:spacing w:after="0"/>
              <w:rPr>
                <w:sz w:val="1"/>
                <w:szCs w:val="1"/>
                <w:color w:val="auto"/>
              </w:rPr>
            </w:pPr>
          </w:p>
        </w:tc>
      </w:tr>
      <w:tr>
        <w:trPr>
          <w:trHeight w:val="149"/>
        </w:trPr>
        <w:tc>
          <w:tcPr>
            <w:tcW w:w="2060" w:type="dxa"/>
            <w:vAlign w:val="bottom"/>
          </w:tcPr>
          <w:p>
            <w:pPr>
              <w:jc w:val="center"/>
              <w:ind w:right="4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Latham &amp; Watkins LLP</w:t>
            </w:r>
          </w:p>
        </w:tc>
        <w:tc>
          <w:tcPr>
            <w:tcW w:w="1260" w:type="dxa"/>
            <w:vAlign w:val="bottom"/>
          </w:tcPr>
          <w:p>
            <w:pPr>
              <w:spacing w:after="0"/>
              <w:rPr>
                <w:sz w:val="12"/>
                <w:szCs w:val="12"/>
                <w:color w:val="auto"/>
              </w:rPr>
            </w:pPr>
          </w:p>
        </w:tc>
        <w:tc>
          <w:tcPr>
            <w:tcW w:w="38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Ardelyx, Inc.</w:t>
            </w:r>
          </w:p>
        </w:tc>
        <w:tc>
          <w:tcPr>
            <w:tcW w:w="2160" w:type="dxa"/>
            <w:vAlign w:val="bottom"/>
          </w:tcPr>
          <w:p>
            <w:pPr>
              <w:jc w:val="center"/>
              <w:ind w:left="3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1900 University Ave., Suite 600</w:t>
            </w:r>
          </w:p>
        </w:tc>
        <w:tc>
          <w:tcPr>
            <w:tcW w:w="0" w:type="dxa"/>
            <w:vAlign w:val="bottom"/>
          </w:tcPr>
          <w:p>
            <w:pPr>
              <w:spacing w:after="0"/>
              <w:rPr>
                <w:sz w:val="1"/>
                <w:szCs w:val="1"/>
                <w:color w:val="auto"/>
              </w:rPr>
            </w:pPr>
          </w:p>
        </w:tc>
      </w:tr>
      <w:tr>
        <w:trPr>
          <w:trHeight w:val="149"/>
        </w:trPr>
        <w:tc>
          <w:tcPr>
            <w:tcW w:w="2060" w:type="dxa"/>
            <w:vAlign w:val="bottom"/>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140 Scott Drive</w:t>
            </w:r>
          </w:p>
        </w:tc>
        <w:tc>
          <w:tcPr>
            <w:tcW w:w="1260" w:type="dxa"/>
            <w:vAlign w:val="bottom"/>
          </w:tcPr>
          <w:p>
            <w:pPr>
              <w:spacing w:after="0"/>
              <w:rPr>
                <w:sz w:val="12"/>
                <w:szCs w:val="12"/>
                <w:color w:val="auto"/>
              </w:rPr>
            </w:pPr>
          </w:p>
        </w:tc>
        <w:tc>
          <w:tcPr>
            <w:tcW w:w="3800" w:type="dxa"/>
            <w:vAlign w:val="bottom"/>
            <w:gridSpan w:val="2"/>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34175 Ardenwood Blvd.</w:t>
            </w:r>
          </w:p>
        </w:tc>
        <w:tc>
          <w:tcPr>
            <w:tcW w:w="2160" w:type="dxa"/>
            <w:vAlign w:val="bottom"/>
          </w:tcPr>
          <w:p>
            <w:pPr>
              <w:jc w:val="center"/>
              <w:ind w:left="3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East Palo Alto, CA 94303</w:t>
            </w:r>
          </w:p>
        </w:tc>
        <w:tc>
          <w:tcPr>
            <w:tcW w:w="0" w:type="dxa"/>
            <w:vAlign w:val="bottom"/>
          </w:tcPr>
          <w:p>
            <w:pPr>
              <w:spacing w:after="0"/>
              <w:rPr>
                <w:sz w:val="1"/>
                <w:szCs w:val="1"/>
                <w:color w:val="auto"/>
              </w:rPr>
            </w:pPr>
          </w:p>
        </w:tc>
      </w:tr>
      <w:tr>
        <w:trPr>
          <w:trHeight w:val="149"/>
        </w:trPr>
        <w:tc>
          <w:tcPr>
            <w:tcW w:w="2060" w:type="dxa"/>
            <w:vAlign w:val="bottom"/>
          </w:tcPr>
          <w:p>
            <w:pPr>
              <w:jc w:val="center"/>
              <w:ind w:right="5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Menlo Park, CA 94025</w:t>
            </w:r>
          </w:p>
        </w:tc>
        <w:tc>
          <w:tcPr>
            <w:tcW w:w="1260" w:type="dxa"/>
            <w:vAlign w:val="bottom"/>
          </w:tcPr>
          <w:p>
            <w:pPr>
              <w:spacing w:after="0"/>
              <w:rPr>
                <w:sz w:val="12"/>
                <w:szCs w:val="12"/>
                <w:color w:val="auto"/>
              </w:rPr>
            </w:pPr>
          </w:p>
        </w:tc>
        <w:tc>
          <w:tcPr>
            <w:tcW w:w="38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Fremont, CA 94555</w:t>
            </w:r>
          </w:p>
        </w:tc>
        <w:tc>
          <w:tcPr>
            <w:tcW w:w="2160" w:type="dxa"/>
            <w:vAlign w:val="bottom"/>
          </w:tcPr>
          <w:p>
            <w:pPr>
              <w:jc w:val="center"/>
              <w:ind w:left="3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Telephone: (650) 617-4000</w:t>
            </w:r>
          </w:p>
        </w:tc>
        <w:tc>
          <w:tcPr>
            <w:tcW w:w="0" w:type="dxa"/>
            <w:vAlign w:val="bottom"/>
          </w:tcPr>
          <w:p>
            <w:pPr>
              <w:spacing w:after="0"/>
              <w:rPr>
                <w:sz w:val="1"/>
                <w:szCs w:val="1"/>
                <w:color w:val="auto"/>
              </w:rPr>
            </w:pPr>
          </w:p>
        </w:tc>
      </w:tr>
      <w:tr>
        <w:trPr>
          <w:trHeight w:val="149"/>
        </w:trPr>
        <w:tc>
          <w:tcPr>
            <w:tcW w:w="2060" w:type="dxa"/>
            <w:vAlign w:val="bottom"/>
          </w:tcPr>
          <w:p>
            <w:pPr>
              <w:jc w:val="center"/>
              <w:ind w:right="4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Telephone: (650) 328-4600</w:t>
            </w:r>
          </w:p>
        </w:tc>
        <w:tc>
          <w:tcPr>
            <w:tcW w:w="1260" w:type="dxa"/>
            <w:vAlign w:val="bottom"/>
          </w:tcPr>
          <w:p>
            <w:pPr>
              <w:spacing w:after="0"/>
              <w:rPr>
                <w:sz w:val="12"/>
                <w:szCs w:val="12"/>
                <w:color w:val="auto"/>
              </w:rPr>
            </w:pPr>
          </w:p>
        </w:tc>
        <w:tc>
          <w:tcPr>
            <w:tcW w:w="3800" w:type="dxa"/>
            <w:vAlign w:val="bottom"/>
            <w:gridSpan w:val="2"/>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Telephone: (510) 745-1700</w:t>
            </w:r>
          </w:p>
        </w:tc>
        <w:tc>
          <w:tcPr>
            <w:tcW w:w="2160" w:type="dxa"/>
            <w:vAlign w:val="bottom"/>
          </w:tcPr>
          <w:p>
            <w:pPr>
              <w:jc w:val="center"/>
              <w:ind w:left="3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Facsimile: (650)617-4090</w:t>
            </w:r>
          </w:p>
        </w:tc>
        <w:tc>
          <w:tcPr>
            <w:tcW w:w="0" w:type="dxa"/>
            <w:vAlign w:val="bottom"/>
          </w:tcPr>
          <w:p>
            <w:pPr>
              <w:spacing w:after="0"/>
              <w:rPr>
                <w:sz w:val="1"/>
                <w:szCs w:val="1"/>
                <w:color w:val="auto"/>
              </w:rPr>
            </w:pPr>
          </w:p>
        </w:tc>
      </w:tr>
      <w:tr>
        <w:trPr>
          <w:trHeight w:val="178"/>
        </w:trPr>
        <w:tc>
          <w:tcPr>
            <w:tcW w:w="2060" w:type="dxa"/>
            <w:vAlign w:val="bottom"/>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5"/>
              </w:rPr>
              <w:t>Facsimile: (650) 463-2600</w:t>
            </w:r>
          </w:p>
        </w:tc>
        <w:tc>
          <w:tcPr>
            <w:tcW w:w="1260" w:type="dxa"/>
            <w:vAlign w:val="bottom"/>
          </w:tcPr>
          <w:p>
            <w:pPr>
              <w:spacing w:after="0"/>
              <w:rPr>
                <w:sz w:val="15"/>
                <w:szCs w:val="15"/>
                <w:color w:val="auto"/>
              </w:rPr>
            </w:pPr>
          </w:p>
        </w:tc>
        <w:tc>
          <w:tcPr>
            <w:tcW w:w="38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7"/>
              </w:rPr>
              <w:t>Facsimile: (510) 745-0493</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5060" w:type="dxa"/>
            <w:vAlign w:val="bottom"/>
            <w:gridSpan w:val="3"/>
          </w:tcPr>
          <w:p>
            <w:pPr>
              <w:jc w:val="center"/>
              <w:ind w:left="112"/>
              <w:spacing w:after="0" w:line="156" w:lineRule="exact"/>
              <w:rPr>
                <w:sz w:val="20"/>
                <w:szCs w:val="20"/>
                <w:color w:val="auto"/>
              </w:rPr>
            </w:pPr>
            <w:r>
              <w:rPr>
                <w:rFonts w:ascii="Times New Roman" w:cs="Times New Roman" w:eastAsia="Times New Roman" w:hAnsi="Times New Roman"/>
                <w:sz w:val="14"/>
                <w:szCs w:val="14"/>
                <w:b w:val="1"/>
                <w:bCs w:val="1"/>
                <w:color w:val="auto"/>
                <w:w w:val="96"/>
              </w:rPr>
              <w:t>Approximate date of commencement of proposed sale to the public:</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50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color w:val="auto"/>
                <w:w w:val="96"/>
              </w:rPr>
              <w:t>As soon as practicable after the effective date of this Registration Statement.</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60"/>
        <w:spacing w:after="0" w:line="138" w:lineRule="exact"/>
        <w:tabs>
          <w:tab w:leader="none" w:pos="10360" w:val="left"/>
        </w:tabs>
        <w:rPr>
          <w:sz w:val="20"/>
          <w:szCs w:val="20"/>
          <w:color w:val="auto"/>
        </w:rPr>
      </w:pPr>
      <w:r>
        <w:rPr>
          <w:rFonts w:ascii="Times New Roman" w:cs="Times New Roman" w:eastAsia="Times New Roman" w:hAnsi="Times New Roman"/>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12"/>
          <w:szCs w:val="12"/>
          <w:color w:val="auto"/>
        </w:rPr>
        <w:t>☐</w:t>
      </w:r>
    </w:p>
    <w:p>
      <w:pPr>
        <w:spacing w:after="0" w:line="52" w:lineRule="exact"/>
        <w:rPr>
          <w:sz w:val="24"/>
          <w:szCs w:val="24"/>
          <w:color w:val="auto"/>
        </w:rPr>
      </w:pPr>
    </w:p>
    <w:p>
      <w:pPr>
        <w:ind w:right="40" w:firstLine="342"/>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36"/>
        </w:trPr>
        <w:tc>
          <w:tcPr>
            <w:tcW w:w="15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Large accelerated filer</w:t>
            </w:r>
          </w:p>
        </w:tc>
        <w:tc>
          <w:tcPr>
            <w:tcW w:w="6760" w:type="dxa"/>
            <w:vAlign w:val="bottom"/>
          </w:tcPr>
          <w:p>
            <w:pPr>
              <w:ind w:left="380"/>
              <w:spacing w:after="0" w:line="136" w:lineRule="exact"/>
              <w:rPr>
                <w:sz w:val="20"/>
                <w:szCs w:val="20"/>
                <w:color w:val="auto"/>
              </w:rPr>
            </w:pPr>
            <w:r>
              <w:rPr>
                <w:rFonts w:ascii="MS PGothic" w:cs="MS PGothic" w:eastAsia="MS PGothic" w:hAnsi="MS PGothic"/>
                <w:sz w:val="14"/>
                <w:szCs w:val="14"/>
                <w:color w:val="auto"/>
              </w:rPr>
              <w:t>☐</w:t>
            </w:r>
          </w:p>
        </w:tc>
        <w:tc>
          <w:tcPr>
            <w:tcW w:w="2080" w:type="dxa"/>
            <w:vAlign w:val="bottom"/>
            <w:gridSpan w:val="2"/>
          </w:tcPr>
          <w:p>
            <w:pPr>
              <w:ind w:left="560"/>
              <w:spacing w:after="0" w:line="136" w:lineRule="exact"/>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80"/>
              <w:spacing w:after="0" w:line="136"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6"/>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6760" w:type="dxa"/>
            <w:vAlign w:val="bottom"/>
          </w:tcPr>
          <w:p>
            <w:pPr>
              <w:ind w:left="38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w w:val="97"/>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76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7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jc w:val="center"/>
              <w:ind w:left="334"/>
              <w:spacing w:after="0" w:line="113"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760" w:type="dxa"/>
            <w:vAlign w:val="bottom"/>
            <w:tcBorders>
              <w:right w:val="single" w:sz="8" w:color="auto"/>
            </w:tcBorders>
            <w:vMerge w:val="restart"/>
          </w:tcPr>
          <w:p>
            <w:pPr>
              <w:jc w:val="center"/>
              <w:ind w:right="1532"/>
              <w:spacing w:after="0"/>
              <w:rPr>
                <w:sz w:val="20"/>
                <w:szCs w:val="20"/>
                <w:color w:val="auto"/>
              </w:rPr>
            </w:pPr>
            <w:r>
              <w:rPr>
                <w:rFonts w:ascii="Times New Roman" w:cs="Times New Roman" w:eastAsia="Times New Roman" w:hAnsi="Times New Roman"/>
                <w:sz w:val="14"/>
                <w:szCs w:val="14"/>
                <w:b w:val="1"/>
                <w:bCs w:val="1"/>
                <w:color w:val="auto"/>
                <w:w w:val="96"/>
              </w:rPr>
              <w:t>Title of each class of</w:t>
            </w:r>
          </w:p>
        </w:tc>
        <w:tc>
          <w:tcPr>
            <w:tcW w:w="1580" w:type="dxa"/>
            <w:vAlign w:val="bottom"/>
            <w:tcBorders>
              <w:right w:val="single" w:sz="8" w:color="auto"/>
            </w:tcBorders>
          </w:tcPr>
          <w:p>
            <w:pPr>
              <w:jc w:val="center"/>
              <w:ind w:left="334"/>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maximum</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76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ind w:left="354"/>
              <w:spacing w:after="0" w:line="139" w:lineRule="exact"/>
              <w:rPr>
                <w:sz w:val="20"/>
                <w:szCs w:val="20"/>
                <w:color w:val="auto"/>
              </w:rPr>
            </w:pPr>
            <w:r>
              <w:rPr>
                <w:rFonts w:ascii="Times New Roman" w:cs="Times New Roman" w:eastAsia="Times New Roman" w:hAnsi="Times New Roman"/>
                <w:sz w:val="14"/>
                <w:szCs w:val="14"/>
                <w:b w:val="1"/>
                <w:bCs w:val="1"/>
                <w:color w:val="auto"/>
                <w:w w:val="95"/>
              </w:rPr>
              <w:t>aggregate</w:t>
            </w:r>
          </w:p>
        </w:tc>
        <w:tc>
          <w:tcPr>
            <w:tcW w:w="500" w:type="dxa"/>
            <w:vAlign w:val="bottom"/>
          </w:tcPr>
          <w:p>
            <w:pPr>
              <w:spacing w:after="0"/>
              <w:rPr>
                <w:sz w:val="12"/>
                <w:szCs w:val="12"/>
                <w:color w:val="auto"/>
              </w:rPr>
            </w:pPr>
          </w:p>
        </w:tc>
        <w:tc>
          <w:tcPr>
            <w:tcW w:w="1000" w:type="dxa"/>
            <w:vAlign w:val="bottom"/>
          </w:tcPr>
          <w:p>
            <w:pPr>
              <w:jc w:val="center"/>
              <w:ind w:right="12"/>
              <w:spacing w:after="0" w:line="139" w:lineRule="exact"/>
              <w:rPr>
                <w:sz w:val="20"/>
                <w:szCs w:val="20"/>
                <w:color w:val="auto"/>
              </w:rPr>
            </w:pPr>
            <w:r>
              <w:rPr>
                <w:rFonts w:ascii="Times New Roman" w:cs="Times New Roman" w:eastAsia="Times New Roman" w:hAnsi="Times New Roman"/>
                <w:sz w:val="14"/>
                <w:szCs w:val="14"/>
                <w:b w:val="1"/>
                <w:bCs w:val="1"/>
                <w:color w:val="auto"/>
                <w:w w:val="93"/>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760" w:type="dxa"/>
            <w:vAlign w:val="bottom"/>
            <w:tcBorders>
              <w:bottom w:val="single" w:sz="8" w:color="auto"/>
              <w:right w:val="single" w:sz="8" w:color="auto"/>
            </w:tcBorders>
          </w:tcPr>
          <w:p>
            <w:pPr>
              <w:jc w:val="center"/>
              <w:ind w:right="1512"/>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1580" w:type="dxa"/>
            <w:vAlign w:val="bottom"/>
            <w:tcBorders>
              <w:bottom w:val="single" w:sz="8" w:color="auto"/>
              <w:right w:val="single" w:sz="8" w:color="auto"/>
            </w:tcBorders>
          </w:tcPr>
          <w:p>
            <w:pPr>
              <w:jc w:val="center"/>
              <w:ind w:left="354"/>
              <w:spacing w:after="0" w:line="176" w:lineRule="exact"/>
              <w:rPr>
                <w:sz w:val="20"/>
                <w:szCs w:val="20"/>
                <w:color w:val="auto"/>
              </w:rPr>
            </w:pPr>
            <w:r>
              <w:rPr>
                <w:rFonts w:ascii="Times New Roman" w:cs="Times New Roman" w:eastAsia="Times New Roman" w:hAnsi="Times New Roman"/>
                <w:sz w:val="13"/>
                <w:szCs w:val="13"/>
                <w:b w:val="1"/>
                <w:bCs w:val="1"/>
                <w:color w:val="auto"/>
              </w:rPr>
              <w:t>offering price</w:t>
            </w:r>
            <w:r>
              <w:rPr>
                <w:rFonts w:ascii="Times New Roman" w:cs="Times New Roman" w:eastAsia="Times New Roman" w:hAnsi="Times New Roman"/>
                <w:sz w:val="20"/>
                <w:szCs w:val="20"/>
                <w:b w:val="1"/>
                <w:bCs w:val="1"/>
                <w:color w:val="auto"/>
                <w:vertAlign w:val="superscript"/>
              </w:rPr>
              <w:t>(1)</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32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580" w:type="dxa"/>
            <w:vAlign w:val="bottom"/>
            <w:tcBorders>
              <w:bottom w:val="single" w:sz="8" w:color="auto"/>
              <w:right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ind w:left="340" w:right="16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in accordance with Rule 457(o) under the Securities Act of 1933, as amended. Includes shares that the underwriters have the option to purchase to cover overallotments, if any.</w:t>
      </w:r>
    </w:p>
    <w:p>
      <w:pPr>
        <w:spacing w:after="0" w:line="1" w:lineRule="exact"/>
        <w:rPr>
          <w:sz w:val="24"/>
          <w:szCs w:val="24"/>
          <w:color w:val="auto"/>
        </w:rPr>
      </w:pPr>
    </w:p>
    <w:p>
      <w:pPr>
        <w:ind w:right="360" w:firstLine="342"/>
        <w:spacing w:after="0" w:line="23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14" w:lineRule="exact"/>
        <w:rPr>
          <w:sz w:val="20"/>
          <w:szCs w:val="20"/>
          <w:color w:val="auto"/>
        </w:rPr>
      </w:pPr>
    </w:p>
    <w:tbl>
      <w:tblPr>
        <w:tblLayout w:type="fixed"/>
        <w:tblInd w:w="398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CC062A"/>
              </w:rPr>
              <w:t>Subject to completion, dated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CC062A"/>
              </w:rPr>
              <w:t>, 2014</w:t>
            </w:r>
          </w:p>
        </w:tc>
      </w:tr>
    </w:tbl>
    <w:p>
      <w:pPr>
        <w:spacing w:after="0" w:line="1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370840</wp:posOffset>
            </wp:positionV>
            <wp:extent cx="153479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is the initial public offering of shares of common stock of Ardelyx, Inc.</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are offering shares of our common stock. Prior to this offering, there has been no public market for our common stock. We have applied to list our common stock on The NASDAQ Global Market under the symbol “ARDX.” We expect that the initial public offering price will be between $ and $ per share.</w:t>
      </w:r>
    </w:p>
    <w:p>
      <w:pPr>
        <w:spacing w:after="0" w:line="13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We are an emerging growth company under the federal securities laws and will be subject to reduced public company reporting requirements for this prospectus and future filings.</w:t>
      </w:r>
    </w:p>
    <w:p>
      <w:pPr>
        <w:spacing w:after="0" w:line="103"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1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3"/>
                <w:szCs w:val="13"/>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966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62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11"/>
                <w:szCs w:val="11"/>
                <w:color w:val="auto"/>
              </w:rPr>
              <w:t>(1)</w:t>
            </w:r>
          </w:p>
        </w:tc>
        <w:tc>
          <w:tcPr>
            <w:tcW w:w="620" w:type="dxa"/>
            <w:vAlign w:val="bottom"/>
          </w:tcPr>
          <w:p>
            <w:pPr>
              <w:jc w:val="right"/>
              <w:ind w:right="46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2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“Underwriting” for additional disclosure regarding underwriting discounts, commissions and estimated offering expenses.</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have granted the underwriters the right to purchase up to additional shares of common stock to cover over-allotments, if any. The underwriters can exercise this right at any time within 30 days after the date of this prospectus.</w:t>
      </w:r>
    </w:p>
    <w:p>
      <w:pPr>
        <w:sectPr>
          <w:pgSz w:w="11900" w:h="16838" w:orient="portrait"/>
          <w:cols w:equalWidth="0" w:num="1">
            <w:col w:w="11420"/>
          </w:cols>
          <w:pgMar w:left="240" w:top="455" w:right="239" w:bottom="1440" w:gutter="0" w:footer="0" w:header="0"/>
        </w:sectPr>
      </w:pP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expect to deliver the shares against payment in New York, New York on or about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2014.</w:t>
      </w:r>
    </w:p>
    <w:p>
      <w:pPr>
        <w:spacing w:after="0" w:line="192" w:lineRule="exact"/>
        <w:rPr>
          <w:sz w:val="20"/>
          <w:szCs w:val="20"/>
          <w:color w:val="auto"/>
        </w:rPr>
      </w:pPr>
    </w:p>
    <w:p>
      <w:pPr>
        <w:sectPr>
          <w:pgSz w:w="11900" w:h="16838" w:orient="portrait"/>
          <w:cols w:equalWidth="0" w:num="2">
            <w:col w:w="7400" w:space="580"/>
            <w:col w:w="3440"/>
          </w:cols>
          <w:pgMar w:left="240" w:top="455" w:right="239" w:bottom="1440" w:gutter="0" w:footer="0" w:header="0"/>
          <w:type w:val="continuous"/>
        </w:sectPr>
      </w:pPr>
    </w:p>
    <w:p>
      <w:pPr>
        <w:ind w:right="2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ectPr>
          <w:pgSz w:w="11900" w:h="16838" w:orient="portrait"/>
          <w:cols w:equalWidth="0" w:num="1">
            <w:col w:w="11420"/>
          </w:cols>
          <w:pgMar w:left="240" w:top="455" w:right="2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Citigroup</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Leerink Partners</w:t>
      </w:r>
    </w:p>
    <w:p>
      <w:pPr>
        <w:spacing w:after="0" w:line="200" w:lineRule="exact"/>
        <w:rPr>
          <w:sz w:val="20"/>
          <w:szCs w:val="20"/>
          <w:color w:val="auto"/>
        </w:rPr>
      </w:pPr>
    </w:p>
    <w:p>
      <w:pPr>
        <w:sectPr>
          <w:pgSz w:w="11900" w:h="16838" w:orient="portrait"/>
          <w:cols w:equalWidth="0" w:num="2">
            <w:col w:w="8320" w:space="720"/>
            <w:col w:w="2380"/>
          </w:cols>
          <w:pgMar w:left="240" w:top="455"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JMP Securities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Wedbush PacGrow Life Sciences</w:t>
      </w:r>
    </w:p>
    <w:p>
      <w:pPr>
        <w:spacing w:after="0" w:line="188" w:lineRule="exact"/>
        <w:rPr>
          <w:sz w:val="20"/>
          <w:szCs w:val="20"/>
          <w:color w:val="auto"/>
        </w:rPr>
      </w:pPr>
    </w:p>
    <w:p>
      <w:pPr>
        <w:sectPr>
          <w:pgSz w:w="11900" w:h="16838" w:orient="portrait"/>
          <w:cols w:equalWidth="0" w:num="2">
            <w:col w:w="7300" w:space="720"/>
            <w:col w:w="3400"/>
          </w:cols>
          <w:pgMar w:left="240" w:top="455" w:right="239" w:bottom="1440" w:gutter="0" w:footer="0" w:header="0"/>
          <w:type w:val="continuous"/>
        </w:sectPr>
      </w:pPr>
    </w:p>
    <w:p>
      <w:pPr>
        <w:ind w:left="5940"/>
        <w:spacing w:after="0"/>
        <w:rPr>
          <w:sz w:val="20"/>
          <w:szCs w:val="20"/>
          <w:color w:val="auto"/>
        </w:rPr>
      </w:pPr>
      <w:r>
        <w:rPr>
          <w:rFonts w:ascii="Times New Roman" w:cs="Times New Roman" w:eastAsia="Times New Roman" w:hAnsi="Times New Roman"/>
          <w:sz w:val="16"/>
          <w:szCs w:val="16"/>
          <w:color w:val="auto"/>
        </w:rPr>
        <w:t>, 2014</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00" w:type="dxa"/>
            <w:vAlign w:val="bottom"/>
            <w:gridSpan w:val="24"/>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00" w:type="dxa"/>
            <w:vAlign w:val="bottom"/>
            <w:gridSpan w:val="24"/>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0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RISK FACTORS</w:t>
              </w:r>
            </w:hyperlink>
          </w:p>
        </w:tc>
        <w:tc>
          <w:tcPr>
            <w:tcW w:w="8960" w:type="dxa"/>
            <w:vAlign w:val="bottom"/>
            <w:gridSpan w:val="13"/>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SPECIAL NOTE REGARDING FORWARD-LOOKING STATEMENTS</w:t>
              </w:r>
            </w:hyperlink>
          </w:p>
        </w:tc>
        <w:tc>
          <w:tcPr>
            <w:tcW w:w="57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5"/>
              </w:rPr>
            </w:pPr>
            <w:hyperlink w:anchor="page54">
              <w:r>
                <w:rPr>
                  <w:rFonts w:ascii="Times New Roman" w:cs="Times New Roman" w:eastAsia="Times New Roman" w:hAnsi="Times New Roman"/>
                  <w:sz w:val="18"/>
                  <w:szCs w:val="18"/>
                  <w:color w:val="0000EE"/>
                  <w:w w:val="95"/>
                </w:rPr>
                <w:t>MARKET, INDUSTRY AND OTHER DATA</w:t>
              </w:r>
            </w:hyperlink>
          </w:p>
        </w:tc>
        <w:tc>
          <w:tcPr>
            <w:tcW w:w="77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USE OF PROCEEDS</w:t>
              </w:r>
            </w:hyperlink>
          </w:p>
        </w:tc>
        <w:tc>
          <w:tcPr>
            <w:tcW w:w="94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5"/>
              </w:rPr>
            </w:pPr>
            <w:hyperlink w:anchor="page57">
              <w:r>
                <w:rPr>
                  <w:rFonts w:ascii="Times New Roman" w:cs="Times New Roman" w:eastAsia="Times New Roman" w:hAnsi="Times New Roman"/>
                  <w:sz w:val="18"/>
                  <w:szCs w:val="18"/>
                  <w:color w:val="0000EE"/>
                  <w:w w:val="95"/>
                </w:rPr>
                <w:t>CAPITALIZATION</w:t>
              </w:r>
            </w:hyperlink>
          </w:p>
        </w:tc>
        <w:tc>
          <w:tcPr>
            <w:tcW w:w="10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DILUTION</w:t>
              </w:r>
            </w:hyperlink>
          </w:p>
        </w:tc>
        <w:tc>
          <w:tcPr>
            <w:tcW w:w="1014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5"/>
              </w:rPr>
            </w:pPr>
            <w:hyperlink w:anchor="page61">
              <w:r>
                <w:rPr>
                  <w:rFonts w:ascii="Times New Roman" w:cs="Times New Roman" w:eastAsia="Times New Roman" w:hAnsi="Times New Roman"/>
                  <w:sz w:val="18"/>
                  <w:szCs w:val="18"/>
                  <w:color w:val="0000EE"/>
                  <w:w w:val="95"/>
                </w:rPr>
                <w:t>SELECTED FINANCIAL DATA</w:t>
              </w:r>
            </w:hyperlink>
          </w:p>
        </w:tc>
        <w:tc>
          <w:tcPr>
            <w:tcW w:w="86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8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BUSINESS</w:t>
              </w:r>
            </w:hyperlink>
          </w:p>
        </w:tc>
        <w:tc>
          <w:tcPr>
            <w:tcW w:w="7860" w:type="dxa"/>
            <w:vAlign w:val="bottom"/>
            <w:tcBorders>
              <w:top w:val="single" w:sz="8" w:color="0000EE"/>
            </w:tcBorders>
            <w:gridSpan w:val="21"/>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10">
              <w:r>
                <w:rPr>
                  <w:rFonts w:ascii="Times New Roman" w:cs="Times New Roman" w:eastAsia="Times New Roman" w:hAnsi="Times New Roman"/>
                  <w:sz w:val="18"/>
                  <w:szCs w:val="18"/>
                  <w:color w:val="0000EE"/>
                  <w:w w:val="96"/>
                </w:rPr>
                <w:t>MANAGEMENT</w:t>
              </w:r>
            </w:hyperlink>
          </w:p>
        </w:tc>
        <w:tc>
          <w:tcPr>
            <w:tcW w:w="97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118">
              <w:r>
                <w:rPr>
                  <w:rFonts w:ascii="Times New Roman" w:cs="Times New Roman" w:eastAsia="Times New Roman" w:hAnsi="Times New Roman"/>
                  <w:sz w:val="18"/>
                  <w:szCs w:val="18"/>
                  <w:color w:val="0000EE"/>
                  <w:w w:val="96"/>
                </w:rPr>
                <w:t>EXECUTIVE COMPENSATION</w:t>
              </w:r>
            </w:hyperlink>
          </w:p>
        </w:tc>
        <w:tc>
          <w:tcPr>
            <w:tcW w:w="86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PRINCIPAL STOCKHOLDERS</w:t>
              </w:r>
            </w:hyperlink>
          </w:p>
        </w:tc>
        <w:tc>
          <w:tcPr>
            <w:tcW w:w="56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MATERIAL U.S. FEDERAL INCOME TAX CONSEQUENCES TO NON-U.S. HOLDERS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65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UNDERWRITING</w:t>
              </w:r>
            </w:hyperlink>
          </w:p>
        </w:tc>
        <w:tc>
          <w:tcPr>
            <w:tcW w:w="44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152">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6"/>
          </w:tcPr>
          <w:p>
            <w:pPr>
              <w:spacing w:after="0"/>
              <w:rPr>
                <w:sz w:val="17"/>
                <w:szCs w:val="17"/>
                <w:color w:val="auto"/>
              </w:rPr>
            </w:pPr>
          </w:p>
        </w:tc>
        <w:tc>
          <w:tcPr>
            <w:tcW w:w="958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6"/>
              </w:rPr>
            </w:pPr>
            <w:hyperlink w:anchor="page153">
              <w:r>
                <w:rPr>
                  <w:rFonts w:ascii="Times New Roman" w:cs="Times New Roman" w:eastAsia="Times New Roman" w:hAnsi="Times New Roman"/>
                  <w:sz w:val="18"/>
                  <w:szCs w:val="18"/>
                  <w:color w:val="0000EE"/>
                  <w:w w:val="96"/>
                </w:rPr>
                <w:t>INDEX TO FINANCIAL STATEMENTS</w:t>
              </w:r>
            </w:hyperlink>
          </w:p>
        </w:tc>
        <w:tc>
          <w:tcPr>
            <w:tcW w:w="740" w:type="dxa"/>
            <w:vAlign w:val="bottom"/>
            <w:tcBorders>
              <w:top w:val="single" w:sz="8" w:color="0000EE"/>
            </w:tcBorders>
            <w:gridSpan w:val="3"/>
          </w:tcPr>
          <w:p>
            <w:pPr>
              <w:spacing w:after="0"/>
              <w:rPr>
                <w:sz w:val="17"/>
                <w:szCs w:val="17"/>
                <w:color w:val="auto"/>
              </w:rPr>
            </w:pPr>
          </w:p>
        </w:tc>
        <w:tc>
          <w:tcPr>
            <w:tcW w:w="72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is accurate only as of the date on the front of this prospectus, regardless of the time of delivery of this prospectus or any sale of shares of our common stock.</w:t>
      </w:r>
    </w:p>
    <w:p>
      <w:pPr>
        <w:spacing w:after="0" w:line="137" w:lineRule="exact"/>
        <w:rPr>
          <w:sz w:val="20"/>
          <w:szCs w:val="20"/>
          <w:color w:val="auto"/>
        </w:rPr>
      </w:pPr>
    </w:p>
    <w:p>
      <w:pPr>
        <w:ind w:right="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Until , 2014 (the 25</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8"/>
          <w:szCs w:val="18"/>
          <w:b w:val="1"/>
          <w:bCs w:val="1"/>
          <w:color w:val="auto"/>
        </w:rPr>
        <w:t xml:space="preserve">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2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our logo are some of our trademarks used in this prospectus. This prospectus also includes trademarks, tradenames, and service marks that are the property of other organizations. Solely for convenience, these trademarks and tradenames referred to in this prospectus appear without the </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 symbol, but, in the case of our trademarks and tradenames, those references are not intended to indicate, in any way, that we will not assert, to the fullest extent under applicable law, our rights, or the right of the applicable licensor to these trademarks and tradenames.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212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1" w:lineRule="exact"/>
        <w:rPr>
          <w:sz w:val="20"/>
          <w:szCs w:val="20"/>
          <w:color w:val="auto"/>
        </w:rPr>
      </w:pPr>
    </w:p>
    <w:p>
      <w:pPr>
        <w:ind w:left="200" w:right="16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deciding to invest in our common stock, you should read this entire prospectus carefully, including the sections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“Ardelyx,” “we,” “us” and “our” refer to Ardelyx, Inc.</w:t>
      </w:r>
    </w:p>
    <w:p>
      <w:pPr>
        <w:spacing w:after="0" w:line="136" w:lineRule="exact"/>
        <w:rPr>
          <w:sz w:val="20"/>
          <w:szCs w:val="20"/>
          <w:color w:val="auto"/>
        </w:rPr>
      </w:pPr>
    </w:p>
    <w:p>
      <w:pPr>
        <w:ind w:left="200" w:firstLine="443"/>
        <w:spacing w:after="0" w:line="287" w:lineRule="auto"/>
        <w:rPr>
          <w:sz w:val="20"/>
          <w:szCs w:val="20"/>
          <w:color w:val="auto"/>
        </w:rPr>
      </w:pPr>
      <w:r>
        <w:rPr>
          <w:rFonts w:ascii="Times New Roman" w:cs="Times New Roman" w:eastAsia="Times New Roman" w:hAnsi="Times New Roman"/>
          <w:sz w:val="16"/>
          <w:szCs w:val="16"/>
          <w:color w:val="auto"/>
        </w:rPr>
        <w:t>We are a clinical-stage biopharmaceutical company focused on the discovery, development and commercialization of innovative, non-systemic, small molecule therapeutics that work exclusively in the gastrointestinal, or GI, tract to treat cardio-renal, GI and metabolic diseases. We have developed a proprietary drug discovery and design platform enabling us, in a rapid and cost-efficient manner, to discover and design novel drug candidates. Utilizing our platform, we discovered and designed our lead product candidate, tenapanor, which in preclinical and clinical studies has consistently demonstrated the ability to reduce the absorption of dietary sodium and phosphorus, both of which are key factors in the progression of kidney disease. In 2012, we entered into a collaboration partnership with AstraZeneca AB, or AstraZeneca, for the worldwide development and commercialization of tenapanor. AstraZeneca is responsible for all of the development and commercialization costs for tenapanor, and we have retained an option to co-promote in the United States. Together with AstraZeneca, we are evaluating tenapanor in three Phase 2 clinical trials in patients with end stage renal disease, or ESRD, late-stage chronic kidney disease, or CKD, and constipation-predominant irritable bowel syndrome, or IBS-C. To enhance our proprietary drug discovery and design platform, we have developed a cell-culture system to simulate gut tissues called Ardelyx Primary Enterocyte and Colonocyte Culture System, or APECCS. We have also identified over 3,800 proteins on the inner surface of the gut, many of which we believe may be drug targets. In addition to tenapanor, we are evaluating small molecule NaP2b inhibitors for the treatment of hyperphosphatemia in ESRD, a program we have licensed to Sanofi S.A., or Sanofi. We are also independently advancing three other discovery and lead development programs focused in cardio-renal, GI and metabolic diseases.</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80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lead product candidate, tenapanor, is a small molecule, orally administered inhibitor of NHE3, a transporter of sodium in the GI tract. We and AstraZeneca have evaluated tenapanor in eight human clinical trials in over 750 individuals. In Phase 1 and Phase 2 clinical trials, tenapanor has been safe and well-tolerated and has shown the ability to divert dietary sodium into the stool in both healthy adult subjects and patients with ESRD. In Phase 1 clinical trials in healthy adults, we observed that tenapanor has a significant effect on the diversion of dietary phosphorus into the stool. Additionally, tenapanor has demonstrated activity consistent with an IBS-C drug by increasing the frequency of bowel movements in IBS-C patients in a Phase 2a clinical trial. We and AstraZeneca are continuing development in ongoing Phase 2a and Phase 2b clinical trials in three different indications:</w:t>
      </w:r>
    </w:p>
    <w:p>
      <w:pPr>
        <w:spacing w:after="0" w:line="58" w:lineRule="exact"/>
        <w:rPr>
          <w:sz w:val="20"/>
          <w:szCs w:val="20"/>
          <w:color w:val="auto"/>
        </w:rPr>
      </w:pPr>
    </w:p>
    <w:p>
      <w:pPr>
        <w:jc w:val="both"/>
        <w:ind w:left="1060" w:right="20" w:hanging="323"/>
        <w:spacing w:after="0" w:line="26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ESRD patients on hemodialysis to treat hyperphosphatemia</w:t>
      </w:r>
      <w:r>
        <w:rPr>
          <w:rFonts w:ascii="Times New Roman" w:cs="Times New Roman" w:eastAsia="Times New Roman" w:hAnsi="Times New Roman"/>
          <w:sz w:val="18"/>
          <w:szCs w:val="18"/>
          <w:color w:val="auto"/>
        </w:rPr>
        <w:t>: Phase 2b randomized, double-blind, placebo-controlled clinical trial in 150 patients to evaluate the effects of tenapanor on serum phosphorus. Enrollment is ongoing and the results of this clinical trial are expected in the first half of 2015.</w:t>
      </w:r>
    </w:p>
    <w:p>
      <w:pPr>
        <w:spacing w:after="0" w:line="51" w:lineRule="exact"/>
        <w:rPr>
          <w:rFonts w:ascii="Times New Roman" w:cs="Times New Roman" w:eastAsia="Times New Roman" w:hAnsi="Times New Roman"/>
          <w:sz w:val="18"/>
          <w:szCs w:val="18"/>
          <w:color w:val="auto"/>
        </w:rPr>
      </w:pPr>
    </w:p>
    <w:p>
      <w:pPr>
        <w:ind w:left="1060" w:right="60" w:hanging="323"/>
        <w:spacing w:after="0" w:line="26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Stage 3 CKD patients with type 2 diabetes mellitus, albuminuria and high blood pressure</w:t>
      </w:r>
      <w:r>
        <w:rPr>
          <w:rFonts w:ascii="Times New Roman" w:cs="Times New Roman" w:eastAsia="Times New Roman" w:hAnsi="Times New Roman"/>
          <w:sz w:val="18"/>
          <w:szCs w:val="18"/>
          <w:color w:val="auto"/>
        </w:rPr>
        <w:t>: Phase 2a randomized, double-blind, placebo-controlled clinical trial in 140 patients to evaluate the effects of tenapanor on kidney function and fluid overload. Enrollment is ongoing and the results of this clinical trial are expected in the second half of 2015.</w:t>
      </w:r>
    </w:p>
    <w:p>
      <w:pPr>
        <w:spacing w:after="0" w:line="51" w:lineRule="exact"/>
        <w:rPr>
          <w:rFonts w:ascii="Times New Roman" w:cs="Times New Roman" w:eastAsia="Times New Roman" w:hAnsi="Times New Roman"/>
          <w:sz w:val="18"/>
          <w:szCs w:val="18"/>
          <w:color w:val="auto"/>
        </w:rPr>
      </w:pPr>
    </w:p>
    <w:p>
      <w:pPr>
        <w:ind w:left="1060" w:right="40" w:hanging="323"/>
        <w:spacing w:after="0" w:line="26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IBS-C patients</w:t>
      </w:r>
      <w:r>
        <w:rPr>
          <w:rFonts w:ascii="Times New Roman" w:cs="Times New Roman" w:eastAsia="Times New Roman" w:hAnsi="Times New Roman"/>
          <w:sz w:val="18"/>
          <w:szCs w:val="18"/>
          <w:color w:val="auto"/>
        </w:rPr>
        <w:t>: Phase 2b randomized, double-blind, placebo-controlled clinical trial in 371 patients to evaluate the effect of tenapanor on the frequency of bowel movements versus placebo. Enrollment is completed and the results of this clinical trial are expected in the fourth quarter of 2014.</w:t>
      </w:r>
    </w:p>
    <w:p>
      <w:pPr>
        <w:spacing w:after="0" w:line="132" w:lineRule="exact"/>
        <w:rPr>
          <w:sz w:val="20"/>
          <w:szCs w:val="20"/>
          <w:color w:val="auto"/>
        </w:rPr>
      </w:pPr>
    </w:p>
    <w:p>
      <w:pPr>
        <w:ind w:left="200" w:right="220" w:firstLine="443"/>
        <w:spacing w:after="0" w:line="256" w:lineRule="auto"/>
        <w:rPr>
          <w:sz w:val="20"/>
          <w:szCs w:val="20"/>
          <w:color w:val="auto"/>
        </w:rPr>
      </w:pPr>
      <w:r>
        <w:rPr>
          <w:rFonts w:ascii="Times New Roman" w:cs="Times New Roman" w:eastAsia="Times New Roman" w:hAnsi="Times New Roman"/>
          <w:sz w:val="18"/>
          <w:szCs w:val="18"/>
          <w:color w:val="auto"/>
        </w:rPr>
        <w:t>We believe the market opportunity for tenapanor for these three potential patient populations is significant. We estimate, based on phosphate binder utilization, the only approved therapies for hyperphosphatemia, that there are about 270,000 ESRD patients with hyperphosphatemia in the United States. The worldwide market for phosphate binders in 2011 was reported to be approximately $1.5 billion and is projected to reach $2.3 billion by 2015. We believe there are approximately 1.8 million patients in the United States that have late-stage, or stage 3b or stage 4, CKD with type 2 diabetes, and approximately 4.4 million individuals in the United States with IBS-C.</w:t>
      </w:r>
    </w:p>
    <w:p>
      <w:pPr>
        <w:spacing w:after="0" w:line="139"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In addition to tenapanor, we have discovered novel NaP2b inhibitors for the treatment of hyperphosphatemia in ESRD patients by inhibiting the active absorption of phosphorus. In February 2014, we entered into an option and license agreement with Sanofi under which we granted Sanofi an exclusive worldwide license to conduct research utilizing our small molecule NaP2b inhibitors. In addition, Sanofi has the option to obtain an exclusive license to develop, manufacture and commercialize our NaP2b inhibitors. Sanofi is advancing this program towards first-in-human clinical trials. Under our arrangement, Sanofi is responsible for all of the costs and expenses for research and preclinical activities and, should it exercise its option, for the development and commercialization efforts under the NaP2b program, while we retain an option to co-promote licensed products in the United States.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Utilizing our proprietary drug discovery and design platform, we are pursuing other internal discovery and lead-development programs:</w:t>
      </w:r>
    </w:p>
    <w:p>
      <w:pPr>
        <w:spacing w:after="0" w:line="90" w:lineRule="exact"/>
        <w:rPr>
          <w:sz w:val="20"/>
          <w:szCs w:val="20"/>
          <w:color w:val="auto"/>
        </w:rPr>
      </w:pPr>
    </w:p>
    <w:p>
      <w:pPr>
        <w:ind w:left="1060" w:right="320" w:hanging="323"/>
        <w:spacing w:after="0" w:line="334" w:lineRule="auto"/>
        <w:tabs>
          <w:tab w:leader="none" w:pos="10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RDX009 Program</w:t>
      </w:r>
      <w:r>
        <w:rPr>
          <w:rFonts w:ascii="Times New Roman" w:cs="Times New Roman" w:eastAsia="Times New Roman" w:hAnsi="Times New Roman"/>
          <w:sz w:val="16"/>
          <w:szCs w:val="16"/>
          <w:color w:val="auto"/>
        </w:rPr>
        <w:t>: Our focus is the discovery and development of non-systemic TGR5 agonists that stimulate GLP-2 and have the potential when used in combination with a DPP4 inhibitor to heal the intestines and reduce inflammation in inflammatory bowel disease;</w:t>
      </w:r>
    </w:p>
    <w:p>
      <w:pPr>
        <w:spacing w:after="0" w:line="1" w:lineRule="exact"/>
        <w:rPr>
          <w:rFonts w:ascii="Times New Roman" w:cs="Times New Roman" w:eastAsia="Times New Roman" w:hAnsi="Times New Roman"/>
          <w:sz w:val="16"/>
          <w:szCs w:val="16"/>
          <w:color w:val="auto"/>
        </w:rPr>
      </w:pPr>
    </w:p>
    <w:p>
      <w:pPr>
        <w:ind w:left="1060" w:right="360" w:hanging="323"/>
        <w:spacing w:after="0" w:line="275"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RDX013 Program</w:t>
      </w:r>
      <w:r>
        <w:rPr>
          <w:rFonts w:ascii="Times New Roman" w:cs="Times New Roman" w:eastAsia="Times New Roman" w:hAnsi="Times New Roman"/>
          <w:sz w:val="18"/>
          <w:szCs w:val="18"/>
          <w:color w:val="auto"/>
        </w:rPr>
        <w:t>: Our focus is the discovery and development of drug candidates to treat hyperkalemia, or elevated serum potassium, also commonly seen in CKD and ESRD patients; and</w:t>
      </w:r>
    </w:p>
    <w:p>
      <w:pPr>
        <w:spacing w:after="0" w:line="38" w:lineRule="exact"/>
        <w:rPr>
          <w:rFonts w:ascii="Times New Roman" w:cs="Times New Roman" w:eastAsia="Times New Roman" w:hAnsi="Times New Roman"/>
          <w:sz w:val="18"/>
          <w:szCs w:val="18"/>
          <w:color w:val="auto"/>
        </w:rPr>
      </w:pPr>
    </w:p>
    <w:p>
      <w:pPr>
        <w:ind w:left="1060" w:right="20" w:hanging="323"/>
        <w:spacing w:after="0" w:line="339" w:lineRule="auto"/>
        <w:tabs>
          <w:tab w:leader="none" w:pos="10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RDX020 Program</w:t>
      </w:r>
      <w:r>
        <w:rPr>
          <w:rFonts w:ascii="Times New Roman" w:cs="Times New Roman" w:eastAsia="Times New Roman" w:hAnsi="Times New Roman"/>
          <w:sz w:val="16"/>
          <w:szCs w:val="16"/>
          <w:color w:val="auto"/>
        </w:rPr>
        <w:t>: Our focus is the discovery and development of drug candidates that provide alternate ways to manage fluid overload and kidney function by inhibiting chloride transport in CKD patients, particularly those who also experience acid-base disorders due to their disease.</w:t>
      </w: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Proprietary Drug Discovery and Design Platform</w:t>
      </w:r>
    </w:p>
    <w:p>
      <w:pPr>
        <w:spacing w:after="0" w:line="92"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Our platform, comprised of proprietary know-how and drug discovery and design tools such as APECCS, provides us with a competitive advantage in drug development. This platform enables us, in a rapid and cost-efficient manner, to discover and design novel drug candidates that work exclusively in the GI tract to treat cardio-renal, GI and metabolic diseases. By targeting receptors and transporters localized in the GI tract, we can modulate important functions of the gut, such as absorption of specific nutrients and minerals, or the gut’s various hormonal functions, to treat and prevent diseases while avoiding systemic toxicities.</w:t>
      </w:r>
    </w:p>
    <w:p>
      <w:pPr>
        <w:spacing w:after="0" w:line="139" w:lineRule="exact"/>
        <w:rPr>
          <w:sz w:val="20"/>
          <w:szCs w:val="20"/>
          <w:color w:val="auto"/>
        </w:rPr>
      </w:pPr>
    </w:p>
    <w:p>
      <w:pPr>
        <w:ind w:left="200" w:right="80" w:firstLine="443"/>
        <w:spacing w:after="0" w:line="258" w:lineRule="auto"/>
        <w:rPr>
          <w:sz w:val="20"/>
          <w:szCs w:val="20"/>
          <w:color w:val="auto"/>
        </w:rPr>
      </w:pPr>
      <w:r>
        <w:rPr>
          <w:rFonts w:ascii="Times New Roman" w:cs="Times New Roman" w:eastAsia="Times New Roman" w:hAnsi="Times New Roman"/>
          <w:sz w:val="18"/>
          <w:szCs w:val="18"/>
          <w:color w:val="auto"/>
        </w:rPr>
        <w:t>Traditional small molecule drug discovery and design focuses on drugs that are rapidly absorbed in the GI tract. Once absorbed, those molecules typically need to survive the first-pass metabolism that occurs in the liver in order to arrive at the targeted cells or tissues and provide the desired benefit or effect. Compared to the traditional approach employed by the pharmaceutical industry to develop systemic drugs, we believe our proprietary drug discovery and design platform has several key benefits:</w:t>
      </w:r>
    </w:p>
    <w:p>
      <w:pPr>
        <w:spacing w:after="0" w:line="55" w:lineRule="exact"/>
        <w:rPr>
          <w:sz w:val="20"/>
          <w:szCs w:val="20"/>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exploits the natural functions of the gut to affect disease;</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drug candidates with a superior safety profile that remain non-systemic;</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discovery time; and</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efficient phenotypic screens.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left="200" w:right="280" w:firstLine="443"/>
        <w:spacing w:after="0" w:line="275" w:lineRule="auto"/>
        <w:rPr>
          <w:sz w:val="20"/>
          <w:szCs w:val="20"/>
          <w:color w:val="auto"/>
        </w:rPr>
      </w:pPr>
      <w:r>
        <w:rPr>
          <w:rFonts w:ascii="Times New Roman" w:cs="Times New Roman" w:eastAsia="Times New Roman" w:hAnsi="Times New Roman"/>
          <w:sz w:val="18"/>
          <w:szCs w:val="18"/>
          <w:color w:val="auto"/>
        </w:rPr>
        <w:t>Our goal is to be a leader in the discovery, development and commercialization of innovative, non-systemic, small molecule therapeutics that work exclusively in the GI tract to treat cardio-renal, GI and metabolic diseases. Our strategy involves the following:</w:t>
      </w:r>
    </w:p>
    <w:p>
      <w:pPr>
        <w:spacing w:after="0" w:line="39" w:lineRule="exact"/>
        <w:rPr>
          <w:sz w:val="20"/>
          <w:szCs w:val="20"/>
          <w:color w:val="auto"/>
        </w:rPr>
      </w:pPr>
    </w:p>
    <w:p>
      <w:pPr>
        <w:ind w:left="1060" w:hanging="32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tenapanor into late-stage and pivotal clinical trials in collaboration with AstraZeneca;</w:t>
      </w:r>
    </w:p>
    <w:p>
      <w:pPr>
        <w:spacing w:after="0" w:line="90" w:lineRule="exact"/>
        <w:rPr>
          <w:rFonts w:ascii="Times New Roman" w:cs="Times New Roman" w:eastAsia="Times New Roman" w:hAnsi="Times New Roman"/>
          <w:sz w:val="18"/>
          <w:szCs w:val="18"/>
          <w:color w:val="auto"/>
        </w:rPr>
      </w:pPr>
    </w:p>
    <w:p>
      <w:pPr>
        <w:ind w:left="1060" w:right="200" w:hanging="32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non-dilutive financing from our existing collaboration partnerships and the proceeds of this offering to expand our product pipeline and advance our earlier-stage product candidates into clinical trials;</w:t>
      </w:r>
    </w:p>
    <w:p>
      <w:pPr>
        <w:spacing w:after="0" w:line="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leverage our technological capabilities and drug discovery and design platform to expand our product pipeline;</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commercial capabilities; and</w:t>
      </w:r>
    </w:p>
    <w:p>
      <w:pPr>
        <w:spacing w:after="0" w:line="90" w:lineRule="exact"/>
        <w:rPr>
          <w:rFonts w:ascii="Times New Roman" w:cs="Times New Roman" w:eastAsia="Times New Roman" w:hAnsi="Times New Roman"/>
          <w:sz w:val="18"/>
          <w:szCs w:val="18"/>
          <w:color w:val="auto"/>
        </w:rPr>
      </w:pPr>
    </w:p>
    <w:p>
      <w:pPr>
        <w:ind w:left="1060" w:right="480" w:hanging="32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leverage our management team’s drug development and commercialization expertise to identify and secure complementary in-licensing opportunities.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92"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Our executive management team has extensive experience in the discovery, development and commercialization of products in the renal field. As the Senior Vice President and General Manager of Renagel at Genzyme Corporation, or Genzyme, a Sanofi company, our President and Chief Executive Officer, Michael Raab, launched and oversaw the sales growth of sevelamer, the leading phosphate binder for the treatment of hyperphosphatemia with over $1.0 billion in worldwide sales in 2013. Mr. Raab was also instrumental in the worldwide launch of both Ceredase and Cerezyme, Genzyme’s $1.0 billion therapies for Gaucher disease. Other members of our executive team have discovered or developed important products and product candidates in the cardio-renal, GI and metabolic fields, including Renagel, patiromer and Welchol, in key roles in leading biopharmaceutical companies such as Ilypsa, Inc., MedImmune, LLC, a subsidiary of AstraZeneca Plc, GelTex Pharmaceuticals, Inc., Genzyme and PDL BioPharma, Inc.</w:t>
      </w:r>
    </w:p>
    <w:p>
      <w:pPr>
        <w:spacing w:after="0" w:line="3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489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4894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Associated With Our Business</w:t>
      </w:r>
    </w:p>
    <w:p>
      <w:pPr>
        <w:spacing w:after="0" w:line="92" w:lineRule="exact"/>
        <w:rPr>
          <w:sz w:val="20"/>
          <w:szCs w:val="20"/>
          <w:color w:val="auto"/>
        </w:rPr>
      </w:pPr>
    </w:p>
    <w:p>
      <w:pPr>
        <w:ind w:left="200" w:right="540" w:firstLine="443"/>
        <w:spacing w:after="0" w:line="275"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the section entitled “Risk Factors” immediately following this prospectus summary. These risks include, among others:</w:t>
      </w:r>
    </w:p>
    <w:p>
      <w:pPr>
        <w:spacing w:after="0" w:line="39" w:lineRule="exact"/>
        <w:rPr>
          <w:sz w:val="20"/>
          <w:szCs w:val="20"/>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losses and we will incur losses in the future;</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from product sales and may never be profitable;</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substantial additional financing;</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tenapanor;</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AstraZeneca for the development, regulatory approval, manufacture and commercialization of tenapanor;</w:t>
      </w:r>
    </w:p>
    <w:p>
      <w:pPr>
        <w:spacing w:after="0" w:line="90" w:lineRule="exact"/>
        <w:rPr>
          <w:rFonts w:ascii="Times New Roman" w:cs="Times New Roman" w:eastAsia="Times New Roman" w:hAnsi="Times New Roman"/>
          <w:sz w:val="18"/>
          <w:szCs w:val="18"/>
          <w:color w:val="auto"/>
        </w:rPr>
      </w:pPr>
    </w:p>
    <w:p>
      <w:pPr>
        <w:ind w:left="1060" w:right="40" w:hanging="32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and we may encounter substantial delays in our clinical studies;</w:t>
      </w:r>
    </w:p>
    <w:p>
      <w:pPr>
        <w:spacing w:after="0" w:line="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never achieve market acceptance or commercial success;</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is lengthy, time consuming and inherently unpredictable; and</w:t>
      </w:r>
    </w:p>
    <w:p>
      <w:pPr>
        <w:spacing w:after="0" w:line="90" w:lineRule="exact"/>
        <w:rPr>
          <w:rFonts w:ascii="Times New Roman" w:cs="Times New Roman" w:eastAsia="Times New Roman" w:hAnsi="Times New Roman"/>
          <w:sz w:val="18"/>
          <w:szCs w:val="18"/>
          <w:color w:val="auto"/>
        </w:rPr>
      </w:pPr>
    </w:p>
    <w:p>
      <w:pPr>
        <w:ind w:left="1060" w:right="100" w:hanging="32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may not be adequate to enable us to compete effectively in our market, and we may become subject to claims alleging infringement of third parties’ intellectual property rights.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left="200" w:right="20" w:firstLine="443"/>
        <w:spacing w:after="0" w:line="262" w:lineRule="auto"/>
        <w:rPr>
          <w:sz w:val="20"/>
          <w:szCs w:val="20"/>
          <w:color w:val="auto"/>
        </w:rPr>
      </w:pPr>
      <w:r>
        <w:rPr>
          <w:rFonts w:ascii="Times New Roman" w:cs="Times New Roman" w:eastAsia="Times New Roman" w:hAnsi="Times New Roman"/>
          <w:sz w:val="18"/>
          <w:szCs w:val="18"/>
          <w:color w:val="auto"/>
        </w:rPr>
        <w:t>We were founded in October 2007 as a Delaware corporation under the name Nteryx, Inc. Our principal executive offices are located at 34175 Ardenwood Blvd., Fremont, CA 94555, and our telephone number is (510) 745-1700. Our website address is www.ardelyx.com. The information on, or that can be accessed through, our website is not part of this prospectus. We have included our website address as an inactive textual reference only.</w:t>
      </w:r>
    </w:p>
    <w:p>
      <w:pPr>
        <w:spacing w:after="0" w:line="132"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this offering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and (4) the date on which we have issued more than $1.0 billion in non-convertible debt during the prior three-year period. We refer to the Jumpstart Our Business Startup Act of 2012 herein as the “JOBS Act,” and references herein to “emerging growth company” shall have the meaning associated with it in the JOBS Act.</w:t>
      </w: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64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645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5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Ardelyx, Inc.</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we are offering</w:t>
            </w:r>
          </w:p>
        </w:tc>
        <w:tc>
          <w:tcPr>
            <w:tcW w:w="1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w:t>
            </w:r>
          </w:p>
        </w:tc>
        <w:tc>
          <w:tcPr>
            <w:tcW w:w="1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 to cover over-</w:t>
            </w:r>
          </w:p>
        </w:tc>
        <w:tc>
          <w:tcPr>
            <w:tcW w:w="1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allotments, if any</w:t>
            </w:r>
          </w:p>
        </w:tc>
        <w:tc>
          <w:tcPr>
            <w:tcW w:w="1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9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p>
        </w:tc>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3900" w:type="dxa"/>
            <w:vAlign w:val="bottom"/>
          </w:tcPr>
          <w:p>
            <w:pPr>
              <w:spacing w:after="0"/>
              <w:rPr>
                <w:sz w:val="18"/>
                <w:szCs w:val="18"/>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approximately $</w:t>
            </w:r>
          </w:p>
        </w:tc>
        <w:tc>
          <w:tcPr>
            <w:tcW w:w="54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 additional</w:t>
            </w:r>
          </w:p>
        </w:tc>
      </w:tr>
      <w:tr>
        <w:trPr>
          <w:trHeight w:val="216"/>
        </w:trPr>
        <w:tc>
          <w:tcPr>
            <w:tcW w:w="3900" w:type="dxa"/>
            <w:vAlign w:val="bottom"/>
          </w:tcPr>
          <w:p>
            <w:pPr>
              <w:spacing w:after="0"/>
              <w:rPr>
                <w:sz w:val="18"/>
                <w:szCs w:val="18"/>
                <w:color w:val="auto"/>
              </w:rPr>
            </w:pPr>
          </w:p>
        </w:tc>
        <w:tc>
          <w:tcPr>
            <w:tcW w:w="4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shares in full, at an assumed initial public offering price of $</w:t>
            </w:r>
          </w:p>
        </w:tc>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per share, the midpoint of</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price range set forth on the cover page of this prospectus, after deducting the underwriting</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8"/>
              </w:rPr>
              <w:t>discounts and commissions and estimated offering expenses payable by us. We currently expect</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to use the net proceeds from this offering to fund continued discovery and development efforts</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for our preclinical product candidates, the exercise of our right to co-fund the first Phase 3</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7"/>
              </w:rPr>
              <w:t>clinical development program for tenapanor, if we decide to exercise such right, expenses related</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to the development of APECCS, and the remainder for working capital and other corporate</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8"/>
              </w:rPr>
              <w:t>purposes, which will include facilities expansion and the pursuit of other research and discovery</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8"/>
              </w:rPr>
              <w:t>efforts and could also include the acquisition or in-license of other products, product candidates</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or technologies. See “Use of Proceeds” on page 52 for a more complete description of the</w:t>
            </w:r>
          </w:p>
        </w:tc>
      </w:tr>
      <w:tr>
        <w:trPr>
          <w:trHeight w:val="228"/>
        </w:trPr>
        <w:tc>
          <w:tcPr>
            <w:tcW w:w="3900" w:type="dxa"/>
            <w:vAlign w:val="bottom"/>
          </w:tcPr>
          <w:p>
            <w:pPr>
              <w:spacing w:after="0"/>
              <w:rPr>
                <w:sz w:val="19"/>
                <w:szCs w:val="19"/>
                <w:color w:val="auto"/>
              </w:rPr>
            </w:pPr>
          </w:p>
        </w:tc>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intended use of proceeds from this offering.</w:t>
            </w: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0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See “Risk Factors” beginning on page 9 and other information included in this prospectus for a</w:t>
            </w:r>
          </w:p>
        </w:tc>
      </w:tr>
      <w:tr>
        <w:trPr>
          <w:trHeight w:val="216"/>
        </w:trPr>
        <w:tc>
          <w:tcPr>
            <w:tcW w:w="3900" w:type="dxa"/>
            <w:vAlign w:val="bottom"/>
          </w:tcPr>
          <w:p>
            <w:pPr>
              <w:spacing w:after="0"/>
              <w:rPr>
                <w:sz w:val="18"/>
                <w:szCs w:val="18"/>
                <w:color w:val="auto"/>
              </w:rPr>
            </w:pPr>
          </w:p>
        </w:tc>
        <w:tc>
          <w:tcPr>
            <w:tcW w:w="71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7"/>
              </w:rPr>
              <w:t>discussion of factors that you should consider carefully before deciding to invest in our common</w:t>
            </w:r>
          </w:p>
        </w:tc>
      </w:tr>
      <w:tr>
        <w:trPr>
          <w:trHeight w:val="228"/>
        </w:trPr>
        <w:tc>
          <w:tcPr>
            <w:tcW w:w="3900" w:type="dxa"/>
            <w:vAlign w:val="bottom"/>
          </w:tcPr>
          <w:p>
            <w:pPr>
              <w:spacing w:after="0"/>
              <w:rPr>
                <w:sz w:val="19"/>
                <w:szCs w:val="19"/>
                <w:color w:val="auto"/>
              </w:rPr>
            </w:pP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Proposed symbol on The NASDAQ Global Market</w:t>
            </w: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“ARDX”</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9"/>
        </w:trPr>
        <w:tc>
          <w:tcPr>
            <w:tcW w:w="7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shares of common stock outstanding as of</w:t>
            </w: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2014, and excludes the following:</w:t>
            </w:r>
          </w:p>
        </w:tc>
        <w:tc>
          <w:tcPr>
            <w:tcW w:w="1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69" w:lineRule="exact"/>
        <w:rPr>
          <w:sz w:val="20"/>
          <w:szCs w:val="20"/>
          <w:color w:val="auto"/>
        </w:rPr>
      </w:pPr>
    </w:p>
    <w:p>
      <w:pPr>
        <w:ind w:left="1060" w:right="40" w:hanging="323"/>
        <w:spacing w:after="0" w:line="26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7,924,604 shares of common stock issuable upon the exercise of outstanding stock options under our 2008 Stock Incentive Plan, as amended, as of March 31, 2014 having a weighted-average exercise price of $0.14 per share (which excludes 2,154,804 shares of early exercised stock options subject to a repurchase right);</w:t>
      </w:r>
    </w:p>
    <w:p>
      <w:pPr>
        <w:spacing w:after="0" w:line="51" w:lineRule="exact"/>
        <w:rPr>
          <w:rFonts w:ascii="Times New Roman" w:cs="Times New Roman" w:eastAsia="Times New Roman" w:hAnsi="Times New Roman"/>
          <w:sz w:val="18"/>
          <w:szCs w:val="18"/>
          <w:color w:val="auto"/>
        </w:rPr>
      </w:pPr>
    </w:p>
    <w:p>
      <w:pPr>
        <w:ind w:left="1060" w:right="80" w:hanging="323"/>
        <w:spacing w:after="0" w:line="275"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 shares of common stock reserved for issuance pursuant to future awards under our 2008 Stock Incentive Plan, as amended, as of March 31, 2014, which will become available for issuance under our 2014 Equity Incentive Award Plan after consummation of this offering; and</w:t>
      </w:r>
    </w:p>
    <w:p>
      <w:pPr>
        <w:spacing w:after="0" w:line="38" w:lineRule="exact"/>
        <w:rPr>
          <w:rFonts w:ascii="Times New Roman" w:cs="Times New Roman" w:eastAsia="Times New Roman" w:hAnsi="Times New Roman"/>
          <w:sz w:val="18"/>
          <w:szCs w:val="18"/>
          <w:color w:val="auto"/>
        </w:rPr>
      </w:pPr>
    </w:p>
    <w:p>
      <w:pPr>
        <w:ind w:left="1060" w:right="280" w:hanging="323"/>
        <w:spacing w:after="0" w:line="262" w:lineRule="auto"/>
        <w:tabs>
          <w:tab w:leader="none" w:pos="16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pursuant to future awards under our 2014 Equity Incentive Award Plan, as well as any automatic increases in the number of shares of our common stock reserved for future issuance under this plan, which will become effective immediately prior to the consummation of this offering.</w:t>
      </w: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5171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25171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Unless otherwise indicated, the number of shares of our common stock described above gives effect to:</w:t>
      </w:r>
    </w:p>
    <w:p>
      <w:pPr>
        <w:sectPr>
          <w:pgSz w:w="11900" w:h="16838" w:orient="portrait"/>
          <w:cols w:equalWidth="0" w:num="1">
            <w:col w:w="11200"/>
          </w:cols>
          <w:pgMar w:left="240" w:top="455" w:right="459" w:bottom="1440" w:gutter="0" w:footer="0" w:header="0"/>
        </w:sectPr>
      </w:pP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-for-prospectus is a part;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reverse stock split of our capital stock to be effected prior to the effectiveness of the registration statement of which this</w:t>
      </w:r>
    </w:p>
    <w:p>
      <w:pPr>
        <w:spacing w:after="0" w:line="329" w:lineRule="exact"/>
        <w:rPr>
          <w:sz w:val="20"/>
          <w:szCs w:val="20"/>
          <w:color w:val="auto"/>
        </w:rPr>
      </w:pPr>
    </w:p>
    <w:p>
      <w:pPr>
        <w:sectPr>
          <w:pgSz w:w="11900" w:h="16838" w:orient="portrait"/>
          <w:cols w:equalWidth="0" w:num="3">
            <w:col w:w="800" w:space="260"/>
            <w:col w:w="1400" w:space="140"/>
            <w:col w:w="8600"/>
          </w:cols>
          <w:pgMar w:left="240" w:top="455" w:right="459" w:bottom="1440" w:gutter="0" w:footer="0" w:header="0"/>
          <w:type w:val="continuous"/>
        </w:sectPr>
      </w:pPr>
    </w:p>
    <w:p>
      <w:pPr>
        <w:ind w:left="1060" w:right="180" w:hanging="323"/>
        <w:spacing w:after="0" w:line="334" w:lineRule="auto"/>
        <w:tabs>
          <w:tab w:leader="none" w:pos="10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our convertible preferred stock pursuant to a stockholder vote under our amended and restated certificate of incorporation into an aggregate of 103,655,115 shares of common stock immediately prior to the consummation of this offering;</w:t>
      </w:r>
    </w:p>
    <w:p>
      <w:pPr>
        <w:sectPr>
          <w:pgSz w:w="11900" w:h="16838" w:orient="portrait"/>
          <w:cols w:equalWidth="0" w:num="1">
            <w:col w:w="11200"/>
          </w:cols>
          <w:pgMar w:left="240" w:top="455" w:right="459" w:bottom="144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275" w:lineRule="auto"/>
        <w:rPr>
          <w:sz w:val="20"/>
          <w:szCs w:val="20"/>
          <w:color w:val="auto"/>
        </w:rPr>
      </w:pPr>
      <w:r>
        <w:rPr>
          <w:rFonts w:ascii="Times New Roman" w:cs="Times New Roman" w:eastAsia="Times New Roman" w:hAnsi="Times New Roman"/>
          <w:sz w:val="18"/>
          <w:szCs w:val="18"/>
          <w:color w:val="auto"/>
        </w:rPr>
        <w:t>the net exercise, based on an assumed initial public offering price of $ per share, the midpoint of the price range set forth on the cover page of this prospectus, of all of our Series B warrants into shares of our common stock at an exercise price of $0.01 per share;</w:t>
      </w:r>
    </w:p>
    <w:p>
      <w:pPr>
        <w:spacing w:after="0" w:line="39" w:lineRule="exact"/>
        <w:rPr>
          <w:sz w:val="20"/>
          <w:szCs w:val="20"/>
          <w:color w:val="auto"/>
        </w:rPr>
      </w:pPr>
    </w:p>
    <w:p>
      <w:pPr>
        <w:sectPr>
          <w:pgSz w:w="11900" w:h="16838" w:orient="portrait"/>
          <w:cols w:equalWidth="0" w:num="2">
            <w:col w:w="800" w:space="260"/>
            <w:col w:w="10140"/>
          </w:cols>
          <w:pgMar w:left="240" w:top="455" w:right="459" w:bottom="1440" w:gutter="0" w:footer="0" w:header="0"/>
          <w:type w:val="continuous"/>
        </w:sectPr>
      </w:pPr>
    </w:p>
    <w:p>
      <w:pPr>
        <w:ind w:left="1060" w:hanging="323"/>
        <w:spacing w:after="0" w:line="27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consummation of this offering; and</w:t>
      </w:r>
    </w:p>
    <w:p>
      <w:pPr>
        <w:spacing w:after="0" w:line="38"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to cover over-allotments.</w:t>
      </w:r>
    </w:p>
    <w:p>
      <w:pPr>
        <w:spacing w:after="0" w:line="171" w:lineRule="exact"/>
        <w:rPr>
          <w:sz w:val="20"/>
          <w:szCs w:val="20"/>
          <w:color w:val="auto"/>
        </w:rPr>
      </w:pPr>
    </w:p>
    <w:p>
      <w:pPr>
        <w:ind w:left="200" w:right="120" w:firstLine="443"/>
        <w:spacing w:after="0" w:line="258" w:lineRule="auto"/>
        <w:rPr>
          <w:sz w:val="20"/>
          <w:szCs w:val="20"/>
          <w:color w:val="auto"/>
        </w:rPr>
      </w:pPr>
      <w:r>
        <w:rPr>
          <w:rFonts w:ascii="Times New Roman" w:cs="Times New Roman" w:eastAsia="Times New Roman" w:hAnsi="Times New Roman"/>
          <w:sz w:val="18"/>
          <w:szCs w:val="18"/>
          <w:color w:val="auto"/>
        </w:rPr>
        <w:t>We refer to our Series A and Series B convertible preferred stock collectively as “convertible preferred stock” in this prospectus, as well as for financial reporting purposes and in the financial tables included in this prospectus, as more fully explained in Note 7 to our audited financial statements. In this prospectus (other than for financial reporting purposes and in the financial tables included in this prospectus), we refer to our outstanding warrants to purchase shares of our Series B convertible preferred stock as our Series B warrants.</w:t>
      </w:r>
    </w:p>
    <w:p>
      <w:pPr>
        <w:spacing w:after="0" w:line="2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55" w:right="4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118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1188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73" w:lineRule="exact"/>
        <w:rPr>
          <w:sz w:val="20"/>
          <w:szCs w:val="20"/>
          <w:color w:val="auto"/>
        </w:rPr>
      </w:pPr>
    </w:p>
    <w:p>
      <w:pPr>
        <w:ind w:left="200" w:right="60" w:firstLine="443"/>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summary financial data for our business. We derived the following statements of operations data for the years ended December 31, 2012 and 2013 and the balance sheet data as of December 31, 2013 from our audited financial statements appearing elsewhere in this prospectus. You should read this data together with our financial statements and related notes appearing elsewhere in this prospectus and the information under the captions “Selected Financial Data” and “Management’s Discussion and Analysis of Financial Condition and Results of Operations.” Our historical results are not necessarily indicative of our future results.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11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gridSpan w:val="5"/>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(in thousands,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 data)</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Licensing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16"/>
        </w:trPr>
        <w:tc>
          <w:tcPr>
            <w:tcW w:w="8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28,928</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28,093</w:t>
            </w:r>
          </w:p>
        </w:tc>
        <w:tc>
          <w:tcPr>
            <w:tcW w:w="0" w:type="dxa"/>
            <w:vAlign w:val="bottom"/>
          </w:tcPr>
          <w:p>
            <w:pPr>
              <w:spacing w:after="0"/>
              <w:rPr>
                <w:sz w:val="1"/>
                <w:szCs w:val="1"/>
                <w:color w:val="auto"/>
              </w:rPr>
            </w:pPr>
          </w:p>
        </w:tc>
      </w:tr>
      <w:tr>
        <w:trPr>
          <w:trHeight w:val="216"/>
        </w:trPr>
        <w:tc>
          <w:tcPr>
            <w:tcW w:w="8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1"/>
                <w:szCs w:val="11"/>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31,793</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r>
              <w:rPr>
                <w:rFonts w:ascii="Times New Roman" w:cs="Times New Roman" w:eastAsia="Times New Roman" w:hAnsi="Times New Roman"/>
                <w:sz w:val="11"/>
                <w:szCs w:val="11"/>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7,776,345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10,152,207</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 (unaudited)</w:t>
            </w:r>
            <w:r>
              <w:rPr>
                <w:rFonts w:ascii="Times New Roman" w:cs="Times New Roman" w:eastAsia="Times New Roman" w:hAnsi="Times New Roman"/>
                <w:sz w:val="11"/>
                <w:szCs w:val="11"/>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pro forma net loss per common share, basic and diluted (unaudited)</w:t>
            </w: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  Included in the statement of operations data above are the following stock-based compensation expenses (in thousands):</w:t>
      </w: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221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252</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473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323"/>
        <w:spacing w:after="0" w:line="26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audited financial statements included elsewhere in this prospectus for an explanation of the calculations of our basic and diluted net loss per common share, pro forma net loss per common share, and the weighted-average number of shares used in the computation of the per share amounts.</w:t>
      </w: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63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our balance sheet data as of December 31, 2013:</w:t>
      </w:r>
    </w:p>
    <w:p>
      <w:pPr>
        <w:spacing w:after="0" w:line="90" w:lineRule="exact"/>
        <w:rPr>
          <w:sz w:val="20"/>
          <w:szCs w:val="20"/>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9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w:t>
      </w:r>
    </w:p>
    <w:p>
      <w:pPr>
        <w:spacing w:after="0" w:line="90" w:lineRule="exact"/>
        <w:rPr>
          <w:rFonts w:ascii="Times New Roman" w:cs="Times New Roman" w:eastAsia="Times New Roman" w:hAnsi="Times New Roman"/>
          <w:sz w:val="18"/>
          <w:szCs w:val="18"/>
          <w:color w:val="auto"/>
        </w:rPr>
      </w:pPr>
    </w:p>
    <w:p>
      <w:pPr>
        <w:ind w:left="1620" w:right="20" w:hanging="437"/>
        <w:spacing w:after="0" w:line="262" w:lineRule="auto"/>
        <w:tabs>
          <w:tab w:leader="none" w:pos="1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convertible preferred stock pursuant to a stockholder vote under our amended and restated certificate of incorporation into an aggregate of 103,655,115 shares of common stock immediately prior to the consummation of this offering;</w:t>
      </w:r>
    </w:p>
    <w:p>
      <w:pPr>
        <w:sectPr>
          <w:pgSz w:w="11900" w:h="16838" w:orient="portrait"/>
          <w:cols w:equalWidth="0" w:num="1">
            <w:col w:w="11260"/>
          </w:cols>
          <w:pgMar w:left="240" w:top="455" w:right="399" w:bottom="1440" w:gutter="0" w:footer="0" w:header="0"/>
        </w:sectPr>
      </w:pPr>
    </w:p>
    <w:p>
      <w:pPr>
        <w:spacing w:after="0" w:line="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net exercise, based on an assumed initial public offering price of $ per share, the midpoint of the price range set forth on the cover page of this prospectus, of all of our Series B warrants into shares of our common stock at an exercise price of $0.01 per share, and the related reclassification of our convertible preferred stock warrant liability to additional paid-in capital; and</w:t>
      </w:r>
    </w:p>
    <w:p>
      <w:pPr>
        <w:spacing w:after="0" w:line="51" w:lineRule="exact"/>
        <w:rPr>
          <w:sz w:val="20"/>
          <w:szCs w:val="20"/>
          <w:color w:val="auto"/>
        </w:rPr>
      </w:pPr>
    </w:p>
    <w:p>
      <w:pPr>
        <w:sectPr>
          <w:pgSz w:w="11900" w:h="16838" w:orient="portrait"/>
          <w:cols w:equalWidth="0" w:num="2">
            <w:col w:w="1240" w:space="380"/>
            <w:col w:w="9640"/>
          </w:cols>
          <w:pgMar w:left="240" w:top="455" w:right="399" w:bottom="1440" w:gutter="0" w:footer="0" w:header="0"/>
          <w:type w:val="continuous"/>
        </w:sectPr>
      </w:pPr>
    </w:p>
    <w:p>
      <w:pPr>
        <w:ind w:left="1620" w:right="780" w:hanging="437"/>
        <w:spacing w:after="0" w:line="275"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consummation of this offering; and</w:t>
      </w:r>
    </w:p>
    <w:p>
      <w:pPr>
        <w:sectPr>
          <w:pgSz w:w="11900" w:h="16838" w:orient="portrait"/>
          <w:cols w:equalWidth="0" w:num="1">
            <w:col w:w="11260"/>
          </w:cols>
          <w:pgMar w:left="240" w:top="455" w:right="399" w:bottom="1440" w:gutter="0" w:footer="0" w:header="0"/>
          <w:type w:val="continuous"/>
        </w:sectPr>
      </w:pPr>
    </w:p>
    <w:p>
      <w:pPr>
        <w:spacing w:after="0" w:line="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a pro forma as adjusted basis to give further effect to the sale of shares of common stock in this offering at an assumed initial public offering price of $ per share, after deducting the estimated underwriting discounts and commissions and estimated offering expenses payable by us.</w:t>
      </w:r>
    </w:p>
    <w:p>
      <w:pPr>
        <w:spacing w:after="0" w:line="171" w:lineRule="exact"/>
        <w:rPr>
          <w:sz w:val="20"/>
          <w:szCs w:val="20"/>
          <w:color w:val="auto"/>
        </w:rPr>
      </w:pPr>
    </w:p>
    <w:p>
      <w:pPr>
        <w:sectPr>
          <w:pgSz w:w="11900" w:h="16838" w:orient="portrait"/>
          <w:cols w:equalWidth="0" w:num="2">
            <w:col w:w="800" w:space="260"/>
            <w:col w:w="10200"/>
          </w:cols>
          <w:pgMar w:left="240" w:top="455" w:right="399" w:bottom="1440" w:gutter="0" w:footer="0" w:header="0"/>
          <w:type w:val="continuous"/>
        </w:sectPr>
      </w:pPr>
    </w:p>
    <w:tbl>
      <w:tblPr>
        <w:tblLayout w:type="fixed"/>
        <w:tblInd w:w="200" w:type="dxa"/>
        <w:tblCellMar>
          <w:top w:w="0" w:type="dxa"/>
          <w:left w:w="0" w:type="dxa"/>
          <w:bottom w:w="0" w:type="dxa"/>
          <w:right w:w="0" w:type="dxa"/>
        </w:tblCellMar>
      </w:tblPr>
      <w:tr>
        <w:trPr>
          <w:trHeight w:val="165"/>
        </w:trPr>
        <w:tc>
          <w:tcPr>
            <w:tcW w:w="1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6"/>
              </w:rPr>
              <w:t>As of December 31, 2013</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5"/>
        </w:trPr>
        <w:tc>
          <w:tcPr>
            <w:tcW w:w="11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ind w:left="220"/>
              <w:spacing w:after="0" w:line="115"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100" w:type="dxa"/>
            <w:vAlign w:val="bottom"/>
          </w:tcPr>
          <w:p>
            <w:pPr>
              <w:spacing w:after="0"/>
              <w:rPr>
                <w:sz w:val="10"/>
                <w:szCs w:val="10"/>
                <w:color w:val="auto"/>
              </w:rPr>
            </w:pPr>
          </w:p>
        </w:tc>
      </w:tr>
      <w:tr>
        <w:trPr>
          <w:trHeight w:val="176"/>
        </w:trPr>
        <w:tc>
          <w:tcPr>
            <w:tcW w:w="11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6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3"/>
                <w:szCs w:val="13"/>
                <w:b w:val="1"/>
                <w:bCs w:val="1"/>
                <w:color w:val="auto"/>
              </w:rPr>
              <w:t>As Adjusted</w:t>
            </w:r>
            <w:r>
              <w:rPr>
                <w:rFonts w:ascii="Times New Roman" w:cs="Times New Roman" w:eastAsia="Times New Roman" w:hAnsi="Times New Roman"/>
                <w:sz w:val="20"/>
                <w:szCs w:val="20"/>
                <w:b w:val="1"/>
                <w:bCs w:val="1"/>
                <w:color w:val="auto"/>
                <w:vertAlign w:val="superscript"/>
              </w:rPr>
              <w:t>(1)</w:t>
            </w:r>
          </w:p>
        </w:tc>
      </w:tr>
      <w:tr>
        <w:trPr>
          <w:trHeight w:val="125"/>
        </w:trPr>
        <w:tc>
          <w:tcPr>
            <w:tcW w:w="11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11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Pr>
          <w:p>
            <w:pPr>
              <w:spacing w:after="0"/>
              <w:rPr>
                <w:sz w:val="18"/>
                <w:szCs w:val="18"/>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$ 34,435</w:t>
            </w:r>
          </w:p>
        </w:tc>
        <w:tc>
          <w:tcPr>
            <w:tcW w:w="1680" w:type="dxa"/>
            <w:vAlign w:val="bottom"/>
          </w:tcPr>
          <w:p>
            <w:pPr>
              <w:jc w:val="right"/>
              <w:ind w:right="500"/>
              <w:spacing w:after="0"/>
              <w:rPr>
                <w:sz w:val="20"/>
                <w:szCs w:val="20"/>
                <w:color w:val="auto"/>
              </w:rPr>
            </w:pPr>
            <w:r>
              <w:rPr>
                <w:rFonts w:ascii="Times New Roman" w:cs="Times New Roman" w:eastAsia="Times New Roman" w:hAnsi="Times New Roman"/>
                <w:sz w:val="18"/>
                <w:szCs w:val="18"/>
                <w:color w:val="auto"/>
              </w:rPr>
              <w:t>$ 34,435</w:t>
            </w:r>
          </w:p>
        </w:tc>
        <w:tc>
          <w:tcPr>
            <w:tcW w:w="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Working capital</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24,697</w:t>
            </w:r>
          </w:p>
        </w:tc>
        <w:tc>
          <w:tcPr>
            <w:tcW w:w="1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24,697</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Pr>
          <w:p>
            <w:pPr>
              <w:spacing w:after="0"/>
              <w:rPr>
                <w:sz w:val="18"/>
                <w:szCs w:val="18"/>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42,904</w:t>
            </w:r>
          </w:p>
        </w:tc>
        <w:tc>
          <w:tcPr>
            <w:tcW w:w="1680" w:type="dxa"/>
            <w:vAlign w:val="bottom"/>
          </w:tcPr>
          <w:p>
            <w:pPr>
              <w:jc w:val="right"/>
              <w:ind w:right="500"/>
              <w:spacing w:after="0"/>
              <w:rPr>
                <w:sz w:val="20"/>
                <w:szCs w:val="20"/>
                <w:color w:val="auto"/>
              </w:rPr>
            </w:pPr>
            <w:r>
              <w:rPr>
                <w:rFonts w:ascii="Times New Roman" w:cs="Times New Roman" w:eastAsia="Times New Roman" w:hAnsi="Times New Roman"/>
                <w:sz w:val="18"/>
                <w:szCs w:val="18"/>
                <w:color w:val="auto"/>
              </w:rPr>
              <w:t>42,904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6,456</w:t>
            </w:r>
          </w:p>
        </w:tc>
        <w:tc>
          <w:tcPr>
            <w:tcW w:w="16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720" w:type="dxa"/>
            <w:vAlign w:val="bottom"/>
          </w:tcPr>
          <w:p>
            <w:pPr>
              <w:spacing w:after="0"/>
              <w:rPr>
                <w:sz w:val="18"/>
                <w:szCs w:val="18"/>
                <w:color w:val="auto"/>
              </w:rPr>
            </w:pP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56,155</w:t>
            </w:r>
          </w:p>
        </w:tc>
        <w:tc>
          <w:tcPr>
            <w:tcW w:w="1680" w:type="dxa"/>
            <w:vAlign w:val="bottom"/>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(68,653)</w:t>
            </w:r>
          </w:p>
        </w:tc>
        <w:tc>
          <w:tcPr>
            <w:tcW w:w="16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(68,653)</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720" w:type="dxa"/>
            <w:vAlign w:val="bottom"/>
          </w:tcPr>
          <w:p>
            <w:pPr>
              <w:spacing w:after="0"/>
              <w:rPr>
                <w:sz w:val="19"/>
                <w:szCs w:val="19"/>
                <w:color w:val="auto"/>
              </w:rPr>
            </w:pPr>
          </w:p>
        </w:tc>
        <w:tc>
          <w:tcPr>
            <w:tcW w:w="14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(63,479)</w:t>
            </w: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8"/>
                <w:szCs w:val="18"/>
                <w:color w:val="auto"/>
              </w:rPr>
              <w:t>(868)</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6"/>
        </w:trPr>
        <w:tc>
          <w:tcPr>
            <w:tcW w:w="112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4940" w:type="dxa"/>
            <w:vAlign w:val="bottom"/>
            <w:gridSpan w:val="6"/>
          </w:tcPr>
          <w:p>
            <w:pPr>
              <w:spacing w:after="0"/>
              <w:rPr>
                <w:sz w:val="8"/>
                <w:szCs w:val="8"/>
                <w:color w:val="auto"/>
              </w:rPr>
            </w:pPr>
          </w:p>
        </w:tc>
      </w:tr>
      <w:tr>
        <w:trPr>
          <w:trHeight w:val="222"/>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Each $1.00 increase or decrease in the assumed initial public offering price of $</w:t>
            </w:r>
          </w:p>
        </w:tc>
        <w:tc>
          <w:tcPr>
            <w:tcW w:w="49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per share would increase or decrease, respectively, the amount of</w:t>
            </w:r>
          </w:p>
        </w:tc>
      </w:tr>
      <w:tr>
        <w:trPr>
          <w:trHeight w:val="228"/>
        </w:trPr>
        <w:tc>
          <w:tcPr>
            <w:tcW w:w="6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cash and cash equivalents, working capital, total assets and total stockholders’ equity by $</w:t>
            </w:r>
          </w:p>
        </w:tc>
        <w:tc>
          <w:tcPr>
            <w:tcW w:w="42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w w:val="98"/>
              </w:rPr>
              <w:t>million, assuming the number of shares offered by us, as</w:t>
            </w:r>
          </w:p>
        </w:tc>
      </w:tr>
    </w:tbl>
    <w:p>
      <w:pPr>
        <w:ind w:left="520"/>
        <w:spacing w:after="0" w:line="281" w:lineRule="auto"/>
        <w:rPr>
          <w:sz w:val="20"/>
          <w:szCs w:val="20"/>
          <w:color w:val="auto"/>
        </w:rPr>
      </w:pPr>
      <w:r>
        <w:rPr>
          <w:rFonts w:ascii="Times New Roman" w:cs="Times New Roman" w:eastAsia="Times New Roman" w:hAnsi="Times New Roman"/>
          <w:sz w:val="16"/>
          <w:szCs w:val="16"/>
          <w:color w:val="auto"/>
        </w:rPr>
        <w:t>set forth on the cover page of this prospectus, remains the same and after deducting the estimated underwriting discounts and commissions and estimated offering expenses payable by us. We may also increase or decrease the number of shares we are offering. An increase or decrease of 1,000,000 in the number of shares we are offering would increase or decrease, respectively, the amount of cash and cash equivalents, working capital, total assets</w:t>
      </w:r>
    </w:p>
    <w:p>
      <w:pPr>
        <w:spacing w:after="0" w:line="2"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color w:val="auto"/>
        </w:rPr>
        <w:t>and stockholders’ equity by approximately $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240" w:top="455" w:right="3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88" w:lineRule="exact"/>
        <w:rPr>
          <w:sz w:val="20"/>
          <w:szCs w:val="20"/>
          <w:color w:val="auto"/>
        </w:rPr>
      </w:pPr>
    </w:p>
    <w:p>
      <w:pPr>
        <w:ind w:left="240" w:right="1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have incurred significant losses since our inception and we will incur losses in the future. We have only one product candidate in clinical trials and no product sales, which, together with our limited operating history, makes it difficult to assess our future viability.</w:t>
      </w:r>
    </w:p>
    <w:p>
      <w:pPr>
        <w:spacing w:after="0" w:line="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our lead product candidate, tenapanor, and developing our proprietary drug discovery and design platform. To date, we have not commercialized any products or generated any revenue from the sale of products. We are not profitable and have incurred losses in each year since our inception in October 2007, and we do not know whether or when we will become profitable. We have only a limited operating history upon which you can evaluate our business and prospects. We continue to incur significant research and development and other expenses related to our ongoing operations. Our net loss for the years ended December 31, 2012 and 2013 was $9.8 million and $6.6 million, respectively. As of December 31, 2013, we had an accumulated deficit of $68.7 million.</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we do not receive anticipated milestone payments from our collaboration partners, AstraZeneca AB, or AstraZeneca and Sanofi S.A., or Sanofi, our operating losses will substantially increase for the foreseeable future as we continue our discovery, research, development, manufacturing and commercialization activities. We cannot assure you that we will receive any potential milestones under our agreements with AstraZeneca and/or Sanofi. For a discussion of the risks associated with our preclinical and clinical development programs with, and potential for milestone payments from, AstraZeneca and Sanofi, see below under “— Risks Related to Our Business.”</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Even if we receive the anticipated milestone payments or receive royalty payments from our collaboration partners, we may not be able to achieve or sustain profitability. For example, we may choose to exercise our right to co-fund a portion of the first Phase 3 clinical development program for tenapanor, incurring expenses of up to $40.0 million, and we would likely incur continued operating losses during the period we are co-funding the program. In addition, our receipt of milestone payments from our collaboration partners may not result in the recognition of revenue in the period received, as we may be required to amortize the milestone payment over a period of time. Depending upon such requirement and the period of amortization, we may continue to incur losses even after the receipt of such milestone payments. Therefore, there can be no assurance that our losses will not increase into the future. Our prior losses, combined with possible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We have no products approved for sale and have never generated any revenue from product sales. Our ability to generate revenue from product sales and achieve profitability depends on our ability, and the ability of</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collaboration partners,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or pursuant to milestone payments depends heavily on many factors, including but not limited to:</w:t>
      </w:r>
    </w:p>
    <w:p>
      <w:pPr>
        <w:spacing w:after="0" w:line="51"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research and preclinical and clinical development of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collaboration partners, obtaining regulatory approvals for our product candidates;</w:t>
      </w:r>
    </w:p>
    <w:p>
      <w:pPr>
        <w:spacing w:after="0" w:line="90"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partners to successfully commercialize and/or our ability to commercialize or co-promote, if we so choose, our product candidates;</w:t>
      </w:r>
    </w:p>
    <w:p>
      <w:pPr>
        <w:spacing w:after="0" w:line="38"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any approved product candidates and establishing and maintaining supply and manufacturing relationships with third parties that can provide adequate (in amount and quality) products to support clinical development and the market demand for our product candidates, if approved;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as viable treatment options;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in-licensing and/or developing new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partnership, licensing or other arrangements into which we may enter;</w:t>
      </w:r>
    </w:p>
    <w:p>
      <w:pPr>
        <w:spacing w:after="0" w:line="90" w:lineRule="exact"/>
        <w:rPr>
          <w:rFonts w:ascii="Times New Roman" w:cs="Times New Roman" w:eastAsia="Times New Roman" w:hAnsi="Times New Roman"/>
          <w:sz w:val="18"/>
          <w:szCs w:val="18"/>
          <w:color w:val="auto"/>
        </w:rPr>
      </w:pPr>
    </w:p>
    <w:p>
      <w:pPr>
        <w:ind w:left="900" w:right="40" w:hanging="325"/>
        <w:spacing w:after="0" w:line="33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71"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In cases where we, or our collaboration partners, are successful in obtaining regulatory approvals to market one or more of our product candidates, our revenue will be dependent, in part, upon the size of the markets in the territories for which regulatory approval is granted, the accepted price for the product, the ability to get reimbursement at any price and whether we have royalty and/or co-promotion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the sale of such products,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you to lose all or part of your investment.</w:t>
      </w:r>
    </w:p>
    <w:p>
      <w:pPr>
        <w:spacing w:after="0" w:line="189"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financing to achieve our goals, and a failure to obtain this necessary capital when needed on acceptable terms, or at all, could force us to delay, limit, reduce or terminate our product development or other operations.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activities, including developing our lead product candidate, tenapanor, and developing our proprietary drug discovery and design platform. As of December 31, 2013, we had working capital of $24.7 million, including capital resources consisting of cash and cash equivalents of $34.4 million. We believe that we will continue to expend substantial resources for the foreseeable future, including costs associated with research and development, conducting preclinical studies and clinical trials, obtaining regulatory approvals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Based on our current operating plan, we believe that our existing capital resources will allow us to fund our operating plan through at least the next</w:t>
      </w:r>
    </w:p>
    <w:p>
      <w:pPr>
        <w:spacing w:after="0" w:line="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12 months. However, our operating plan may change as a result of many factors currently unknown to us, and we may need to seek additional funds sooner than planned. Our future funding requirements will depend on many factors, including, but not limited to:</w:t>
      </w:r>
    </w:p>
    <w:p>
      <w:pPr>
        <w:spacing w:after="0" w:line="51" w:lineRule="exact"/>
        <w:rPr>
          <w:sz w:val="20"/>
          <w:szCs w:val="20"/>
          <w:color w:val="auto"/>
        </w:rPr>
      </w:pPr>
    </w:p>
    <w:p>
      <w:pPr>
        <w:ind w:left="900" w:right="380" w:hanging="325"/>
        <w:spacing w:after="0" w:line="26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whether or not to exercise our right to co-fund the first Phase 3 clinical development program for tenapanor, in which case we may invest $20.0 million, $30.0 million or $40.0 million to acquire an increase of 1%, 2% or 3%, respectively, in the royalties payable to us by AstraZeneca on net sales of tenapanor;</w:t>
      </w:r>
    </w:p>
    <w:p>
      <w:pPr>
        <w:spacing w:after="0" w:line="51" w:lineRule="exact"/>
        <w:rPr>
          <w:rFonts w:ascii="Times New Roman" w:cs="Times New Roman" w:eastAsia="Times New Roman" w:hAnsi="Times New Roman"/>
          <w:sz w:val="18"/>
          <w:szCs w:val="18"/>
          <w:color w:val="auto"/>
        </w:rPr>
      </w:pPr>
    </w:p>
    <w:p>
      <w:pPr>
        <w:ind w:left="900" w:right="20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and regulatory milestones resulting in the payment to us from our collaboration partners of contractual milestone payments and the timing of receipt of such payments, if any;</w:t>
      </w:r>
    </w:p>
    <w:p>
      <w:pPr>
        <w:spacing w:after="0" w:line="38"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for our product candidates that have not been licensed, including the ability to enroll patients in a timely manner for clinical trials;</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collaboration partners to successfully commercialize and/or co-promote our product candidates;</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product candidates, including the cost and timing of building our sales and marketing capabilities;</w:t>
      </w:r>
    </w:p>
    <w:p>
      <w:pPr>
        <w:spacing w:after="0" w:line="38"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partnerships, in-license/out-license or other similar arrangements and the financial terms of such agreements;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reimbursement for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and</w:t>
      </w:r>
    </w:p>
    <w:p>
      <w:pPr>
        <w:spacing w:after="0" w:line="90" w:lineRule="exact"/>
        <w:rPr>
          <w:rFonts w:ascii="Times New Roman" w:cs="Times New Roman" w:eastAsia="Times New Roman" w:hAnsi="Times New Roman"/>
          <w:sz w:val="18"/>
          <w:szCs w:val="18"/>
          <w:color w:val="auto"/>
        </w:rPr>
      </w:pPr>
    </w:p>
    <w:p>
      <w:pPr>
        <w:ind w:left="900" w:right="280" w:hanging="325"/>
        <w:spacing w:after="0" w:line="26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our research and development activities, preclinical and clinical trials for our product candidates for which we retain such responsibility and our establishment and maintenance of sales and marketing capabilities or other activities that may be necessary to commercialize or co-promote our product candidates.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240"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tenapanor, which may not be successful in nonclinical studies or clinical trials, receive regulatory approval or be successfully commercialized.</w:t>
      </w:r>
    </w:p>
    <w:p>
      <w:pPr>
        <w:spacing w:after="0" w:line="3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To date, we have invested a significant amount of our efforts and financial resources in the research and development of tenapanor, which is currently our lead product candidate and only product candidate in clinical</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color w:val="auto"/>
        </w:rPr>
        <w:t>trials. In particular, together with AstraZeneca, our collaboration partner for tenapanor, we have completed six Phase 1 and two Phase 2 trials and are currently conducting three Phase 2 trials and one Phase 1 study. Our near-term prospects, including our ability to finance our operations through the receipt of milestone payments and generate revenue from product sales, will depend heavily on the successful development and AstraZeneca’s commercialization of tenapanor, if approved. The clinical and commercial success of tenapanor will depend on a number of factors, including the following:</w:t>
      </w:r>
    </w:p>
    <w:p>
      <w:pPr>
        <w:spacing w:after="0" w:line="22" w:lineRule="exact"/>
        <w:rPr>
          <w:sz w:val="20"/>
          <w:szCs w:val="20"/>
          <w:color w:val="auto"/>
        </w:rPr>
      </w:pPr>
    </w:p>
    <w:p>
      <w:pPr>
        <w:ind w:left="900" w:right="30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completion of the ongoing clinical trials of tenapanor, which will depend substantially upon the satisfactory performance of third-party contractors;</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tenapanor’s safety and efficacy profile is satisfactory to the U.S. Food and Drug Administration, or FDA, and foreign regulatory authorities to warrant marketing approval;</w:t>
      </w:r>
    </w:p>
    <w:p>
      <w:pPr>
        <w:spacing w:after="0" w:line="38" w:lineRule="exact"/>
        <w:rPr>
          <w:rFonts w:ascii="Times New Roman" w:cs="Times New Roman" w:eastAsia="Times New Roman" w:hAnsi="Times New Roman"/>
          <w:sz w:val="18"/>
          <w:szCs w:val="18"/>
          <w:color w:val="auto"/>
        </w:rPr>
      </w:pPr>
    </w:p>
    <w:p>
      <w:pPr>
        <w:ind w:left="900" w:right="120" w:hanging="325"/>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completion of the ongoing chronic kidney disease, or CKD, Phase 2a clinical trial, which will depend substantially upon our ability to identify principal investigators with patient populations suitable for study, and the ability of those principal investigators to successfully enroll those patients into the trial;</w:t>
      </w:r>
    </w:p>
    <w:p>
      <w:pPr>
        <w:spacing w:after="0" w:line="51" w:lineRule="exact"/>
        <w:rPr>
          <w:rFonts w:ascii="Times New Roman" w:cs="Times New Roman" w:eastAsia="Times New Roman" w:hAnsi="Times New Roman"/>
          <w:sz w:val="18"/>
          <w:szCs w:val="18"/>
          <w:color w:val="auto"/>
        </w:rPr>
      </w:pPr>
    </w:p>
    <w:p>
      <w:pPr>
        <w:ind w:left="900" w:right="220" w:hanging="325"/>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 long-term rat carcinogenicity study required for approval of tenapanor, which will not be known for at least two and half years, and which may be delayed for a significant period of time for reasons outside of the control of AstraZeneca, particularly if AstraZeneca is required to restart or modify the study for any reason;</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FDA or foreign regulatory authorities require additional clinical trials prior to approval to market tenapanor;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tenapanor;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w:t>
      </w:r>
    </w:p>
    <w:p>
      <w:pPr>
        <w:spacing w:after="0" w:line="90"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AstraZeneca and us through our co-promotion rights, if we choose to exercise such rights and are not precluded from doing so under the terms of our agreement with AstraZeneca or any subsequent co-promotion agreements, to successfully commercialize tenapanor, if approved for marketing and sale by the FDA or foreign regulatory authorities, including educating physicians and patients about the benefits, administration and use of tenapanor;</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regulatory requirements applicable to tenapanor;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tenapanor as safe and effective by patients and the medical community;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tenapanor by third-party payors;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AstraZeneca’s marketing, sales and distribution strategy and operations;</w:t>
      </w:r>
    </w:p>
    <w:p>
      <w:pPr>
        <w:spacing w:after="0" w:line="90" w:lineRule="exact"/>
        <w:rPr>
          <w:rFonts w:ascii="Times New Roman" w:cs="Times New Roman" w:eastAsia="Times New Roman" w:hAnsi="Times New Roman"/>
          <w:sz w:val="18"/>
          <w:szCs w:val="18"/>
          <w:color w:val="auto"/>
        </w:rPr>
      </w:pPr>
    </w:p>
    <w:p>
      <w:pPr>
        <w:jc w:val="both"/>
        <w:ind w:left="900" w:right="60" w:hanging="325"/>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AstraZeneca, or any third-party manufacturer it contracts with, to successfully scale up the manufacturing process for tenapanor, which has not yet been demonstrated, and to manufacture supplies of tenapanor and to develop, validate and maintain a commercially viable manufacturing process that is compliant with current good manufacturing practice, or cGMP, requirements;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intellectual property rights in and to tenapanor;</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tenapanor following approval.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Most of these factors are beyond our control, including clinical development, the regulatory submission process, manufacturing, marketing and sales efforts of AstraZeneca.</w:t>
      </w:r>
    </w:p>
    <w:p>
      <w:pPr>
        <w:spacing w:after="0" w:line="120"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color w:val="auto"/>
        </w:rPr>
        <w:t>As a first-in-class drug, tenapanor, has not been extensively studied in humans and the nonclinical and clinical data on its effect in the human body is limited to the trials and studies that we and AstraZeneca have completed. We cannot be certain that tenapanor will be successful in preclinical studies, clinical trials or receive regulatory approval. For example, like phosphate binders, treatment with tenapanor in patients with end stage renal disease, or ESRD, may be significantly impacted by such patient’s adherence to a restrictive low phosphorus diet, and as such, adherence may be a factor in demonstrating the efficacy of tenapanor in clinical trials for this patient population. Further, it may not be possible or practicable to demonstrate, or if approved, to market on the basis of, certain of the benefits we believe tenapanor possesses, including the reduction of sodium absorption in patients with CKD, which is unlikely to be an endpoint to be considered for approval in CKD patients. Additionally, the reduction of serum phosphorus is currently an approvable endpoint in ESRD, but not in the broader CKD patient population in the United States. If the number of patients in the market for tenapanor or the price that the market can bear is not as significant as we estimate, we may not generate significant revenue from sales of tenapanor, if approved. Accordingly, we cannot assure you that tenapanor will ever be successfully commercialized or that we will ever generate revenue from sales of tenapanor. If we and AstraZeneca are not successful in completing the development of, obtaining approval for, and commercializing tenapanor, or are significantly delayed in doing so, our business will be materially harmed.</w:t>
      </w:r>
    </w:p>
    <w:p>
      <w:pPr>
        <w:spacing w:after="0" w:line="200" w:lineRule="exact"/>
        <w:rPr>
          <w:sz w:val="20"/>
          <w:szCs w:val="20"/>
          <w:color w:val="auto"/>
        </w:rPr>
      </w:pPr>
    </w:p>
    <w:p>
      <w:pPr>
        <w:spacing w:after="0" w:line="208" w:lineRule="exact"/>
        <w:rPr>
          <w:sz w:val="20"/>
          <w:szCs w:val="20"/>
          <w:color w:val="auto"/>
        </w:rPr>
      </w:pPr>
    </w:p>
    <w:p>
      <w:pPr>
        <w:ind w:left="240"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AstraZeneca for the development, regulatory approval, manufacture and commercialization of our small molecule NHE3 inhibitor program, which includes tenapanor, and if AstraZeneca fails to perform as expected, or is unable to obtain the required regulatory approvals for tenapanor, the potential for us to generate future revenue from milestone and royalty payments from tenapanor would be significantly reduced and our business would be materially and adversely harmed.</w:t>
      </w:r>
    </w:p>
    <w:p>
      <w:pPr>
        <w:spacing w:after="0" w:line="5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October 2012, we entered into a license agreement with AstraZeneca granting it an exclusive worldwide license to our small molecule NHE3 inhibitor program, which includes our lead product candidate tenapanor, for all indications. Under this agreement, AstraZeneca has responsibility for completing all nonclinical and clinical development and obtaining and maintaining regulatory approval for tenapanor from the FDA and regulatory agencies outside of the United States. Ultimately, if tenapanor is advanced through clinical trials and receives marketing approval from the FDA or comparable foreign regulatory agencies, AstraZeneca will be responsible for the commercialization of tenapanor, subject to our right to elect to participate in certain co-promotion activities in the United States. The potential for us to obtain future development milestone payments and, ultimately, generate revenue from royalties from tenapanor depends entirely on the successful development, regulatory approval, marketing and commercialization of tenapanor by AstraZeneca. In addition to the risks inherent in the development of a drug product candidate, our collaboration partnership with AstraZeneca may not be successful due to a number of important factors, including the following:</w:t>
      </w:r>
    </w:p>
    <w:p>
      <w:pPr>
        <w:spacing w:after="0" w:line="62" w:lineRule="exact"/>
        <w:rPr>
          <w:sz w:val="20"/>
          <w:szCs w:val="20"/>
          <w:color w:val="auto"/>
        </w:rPr>
      </w:pPr>
    </w:p>
    <w:p>
      <w:pPr>
        <w:ind w:left="900" w:right="20" w:hanging="325"/>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175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after the database lock for the ongoing Phase 2b clinical trial in hyperphosphatemic ESRD patients, AstraZeneca may terminate the license for any reason with 30 -days’ prior written notice and thereafter AstraZeneca may terminate the license with 120- days’ prior written notice;</w:t>
      </w:r>
    </w:p>
    <w:p>
      <w:pPr>
        <w:spacing w:after="0" w:line="51"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has the unilateral ability to choose not to develop tenapanor for one or more indications for which it has been or is currently being evaluated, provided it pursues at least one indication, and AstraZeneca may choose to pursue an indication that is not in our strategic best interest or forego an indication, even if clinical data is supportive of further development for such indication;</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choose not to develop and commercialize tenapanor in all relevant markets;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take considerably more time advancing tenapanor through the clinical and regulatory process than we currently anticipate, which could materially delay the achievement of milestones and, consequently the receipt of milestone payments from AstraZeneca;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8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AstraZeneca’s obligation to use “commercially reasonable efforts” with regard to the development, regulatory approval, manufacture and commercialization of tenapanor under our agreement leaves AstraZeneca with discretion in determining the efforts and resources that it will apply to the development, regulatory approval, manufacture and commercialization of tenapanor;</w:t>
      </w:r>
    </w:p>
    <w:p>
      <w:pPr>
        <w:spacing w:after="0" w:line="51"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our right to elect to participate in co-promotion activities in the United States, AstraZeneca controls all aspects of the commercialization of tenapanor;</w:t>
      </w:r>
    </w:p>
    <w:p>
      <w:pPr>
        <w:spacing w:after="0" w:line="38" w:lineRule="exact"/>
        <w:rPr>
          <w:rFonts w:ascii="Times New Roman" w:cs="Times New Roman" w:eastAsia="Times New Roman" w:hAnsi="Times New Roman"/>
          <w:sz w:val="18"/>
          <w:szCs w:val="18"/>
          <w:color w:val="auto"/>
        </w:rPr>
      </w:pPr>
    </w:p>
    <w:p>
      <w:pPr>
        <w:ind w:left="900" w:right="14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is obligated to reimburse a specified amount for the current constipation-predominant irritable bowel syndrome, or IBS-C, Phase 2b clinical trial, and despite our efforts to keep costs below that amount, we may be required to spend more than that to complete the trial, and if we do so, we will not be reimbursed for those excess amounts by AstraZeneca;</w:t>
      </w:r>
    </w:p>
    <w:p>
      <w:pPr>
        <w:spacing w:after="0" w:line="51" w:lineRule="exact"/>
        <w:rPr>
          <w:rFonts w:ascii="Times New Roman" w:cs="Times New Roman" w:eastAsia="Times New Roman" w:hAnsi="Times New Roman"/>
          <w:sz w:val="18"/>
          <w:szCs w:val="18"/>
          <w:color w:val="auto"/>
        </w:rPr>
      </w:pPr>
    </w:p>
    <w:p>
      <w:pPr>
        <w:ind w:left="900" w:right="340" w:hanging="325"/>
        <w:spacing w:after="0" w:line="334" w:lineRule="auto"/>
        <w:tabs>
          <w:tab w:leader="none" w:pos="9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AstraZeneca’s recent strategic withdrawal from selling gastrointestinal, or GI, products and the differing treatment of the IBS-C indication in our agreement implies that AstraZeneca may choose not to develop the IBS-C indication, even if our current Phase 2b clinical trial were successful;</w:t>
      </w:r>
    </w:p>
    <w:p>
      <w:pPr>
        <w:spacing w:after="0" w:line="1" w:lineRule="exact"/>
        <w:rPr>
          <w:rFonts w:ascii="Times New Roman" w:cs="Times New Roman" w:eastAsia="Times New Roman" w:hAnsi="Times New Roman"/>
          <w:sz w:val="16"/>
          <w:szCs w:val="16"/>
          <w:color w:val="auto"/>
        </w:rPr>
      </w:pPr>
    </w:p>
    <w:p>
      <w:pPr>
        <w:jc w:val="both"/>
        <w:ind w:left="900" w:right="6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change the focus of its development and commercialization efforts or pursue higher-priority programs and, accordingly, reduce the efforts and resources allocated to tenapanor, which will have the direct effect of reducing our co-promotion activities as our level of co-promotion is limited to a percentage of the overall commercialization activities;</w:t>
      </w:r>
    </w:p>
    <w:p>
      <w:pPr>
        <w:spacing w:after="0" w:line="51"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fail to develop a commercially viable formulation or manufacturing process for tenapanor, and may fail to manufacture or supply sufficient drug substance of tenapanor for commercial use, if approved, which could result in lost revenue;</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not comply with all applicable regulatory requirements or may fail to report safety data in accordance with all applicable regulatory requirements;</w:t>
      </w:r>
    </w:p>
    <w:p>
      <w:pPr>
        <w:spacing w:after="0" w:line="38"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agreement with AstraZeneca terminates, we will no longer have any rights to receive potential revenue under the agreement with AstraZeneca, in which case we would need to identify alternative means to continue the development, manufacture and commercialization of tenapanor, alone or with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sublicense its rights with respect to tenapanor to one or more third parties without our consent;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not dedicate the resources that would be necessary to carry tenapanor through clinical development or may not obtain the necessary regulatory approvals.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timing and amount of any milestone and royalty payments we may receive under our agreement will depend on, among other things, the efforts, allocation of resources, and successful development and commercialization of tenapanor by AstraZeneca under our agreement. There can be no assurance that any of the development and regulatory milestones will be achieved or that we will receive any future milestone payments under the agreement. In addition, in certain circumstances we may believe that we have achieved a particular milestone and AstraZeneca may disagree with our belief. In that case, receipt of that milestone payment may be delayed or may never be received, which may require us to adjust our operating plans.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AstraZeneca does not perform in the manner we expect or fulfill its responsibilities in a timely manner, or at all, the clinical development, regulatory approval and commercialization efforts related to tenapanor could be delayed or terminated and it could become necessary for us to assume the responsibility at our own expense for the clinical development of tenapanor. In that event, we would likely be required to substantially limit the size and scope of the development and commercialization of tenapanor or seek additional financing to fund further development, or to identify alternative collaboration partners for tenapanor, and our potential to generate future revenue from royalties and milestone payments from tenapanor would be significantly reduced or delayed and our business would be materially and adversely harmed.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election to co-fund the first Phase 3 clinical development program for tenapanor must be made in a limited time period prior to the initiation of the first pivotal clinical trial for tenapanor and, as a result, we may make a substantial capital investment for a product candidate based on limited clinical data.</w:t>
      </w:r>
    </w:p>
    <w:p>
      <w:pPr>
        <w:spacing w:after="0" w:line="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our agreement with AstraZeneca, we may elect to participate in the funding of the first Phase 3 clinical development program for the first indication of tenapanor by investing a co-funding amount of $20.0 million, $30.0 million or $40.0 million to acquire an increase of 1%, 2% or 3%, respectively, in the royalties payable to us by AstraZeneca on net sales of tenapanor. We may exercise this right only for a limited period of 60 days following AstraZeneca’s determination to proceed to the first Phase 3 clinical development program for tenapanor for a specific indication. An election to participate in the co-fund will be based, in part, on our analysis as to the likelihood of success of the Phase 3 clinical development program and the potential for regulatory approval to commercialize tenapanor. As a result, we will be required to make a substantial capital investment in tenapanor prior to the initiation of the first pivotal clinical trial and if tenapanor is unsuccessful in its pivotal trial or if it never receives regulatory approval, we will not receive any financial return on this capital investment.</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negotiated our agreement with AstraZeneca specifying all of the terms of our co-promotion right.</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Pursuant to our license agreement with AstraZeneca, we have retained a co-promotion right with respect to tenapanor in the United States. While the license agreement includes the material terms of our co-promotion right, we and AstraZeneca mutually agreed to negotiate a separate agreement specifying the detailed activities and responsibilities in respect of the marketing and co-promotion of tenapanor following our election to exercise our co-promotion rights. If we elect to exercise our co-promotion rights, the separate agreement we negotiated with AstraZeneca may place restrictions or additional obligations on us, including financial obligations. Any restrictions or additional obligations may restrict our co-promotion activities or involve more significant financial obligations than we currently anticipate.</w:t>
      </w:r>
    </w:p>
    <w:p>
      <w:pPr>
        <w:spacing w:after="0" w:line="216" w:lineRule="exact"/>
        <w:rPr>
          <w:sz w:val="20"/>
          <w:szCs w:val="20"/>
          <w:color w:val="auto"/>
        </w:rPr>
      </w:pPr>
    </w:p>
    <w:p>
      <w:pPr>
        <w:ind w:left="240"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Exercising our co-promotion right under our license agreement with AstraZeneca may restrict our future commercialization and/or co-promotion activities.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agreement with AstraZeneca prohibits us from using the same sales force to co-promote tenapanor as we do to promote other products that compete with tenapanor or with any other products that are then being actively promoted by AstraZeneca or its affiliates. If we elect to co-promote tenapanor, we may therefore be required to have a separate sales forces to promote other products we may elect to co-promote under our agreement with Sanofi, or other products we develop and commercialize on our own, should any of such products be competitive with tenapanor or with any other products promoted by AstraZeneca or its affiliates. The exercise of the co-promotion right under our agreement with AstraZeneca, could adversely affect the efficiency and cost of our promotion efforts for our products and, effectively, may prohibit us from exercising our co-promotion rights under our agreement with Sanofi or with respect to other co-promotion rights with future collaboration partners.</w:t>
      </w:r>
    </w:p>
    <w:p>
      <w:pPr>
        <w:spacing w:after="0" w:line="218" w:lineRule="exact"/>
        <w:rPr>
          <w:sz w:val="20"/>
          <w:szCs w:val="20"/>
          <w:color w:val="auto"/>
        </w:rPr>
      </w:pPr>
    </w:p>
    <w:p>
      <w:pPr>
        <w:ind w:lef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Sanofi does not exercise its option to obtain an exclusive license to develop, manufacture and commercialize our NaP2b inhibitors or if it exercises the option and subsequently terminates any development program under its collaboration partnership with us, any potential milestone payments or revenue from product sales under this collaboration partnership will be significantly reduced or non-existent, and our results of operations and financial condition will be materially and adversely affected.</w:t>
      </w:r>
    </w:p>
    <w:p>
      <w:pPr>
        <w:spacing w:after="0" w:line="5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February 2014, we entered into a license option and license agreement with Sanofi under which we granted Sanofi an exclusive worldwide license to conduct research utilizing our small molecule NaP2b inhibitors, which we refer to as our RDX002 program, solely for the purpose of completing activities under a preclinical development plan. We believe the inhibition of NaP2b, an intestinal phosphate transporter, would provide utility for the treatment of hyperphosphatemia in ESRD patients, which is also the lead indication for which we and AstraZeneca are developing tenapanor.</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this agreement, Sanofi has the option to obtain an exclusive license to develop, manufacture and commercialize our NaP2b inhibitors. Sanofi may exercise this option at any time following the effective date of the agreement and ending upon expiration of a specified period of time after the filing of an investigational new drug application, or IND, subject to certain exceptions, and if Sanofi does not exercise the option during a defined time period, the agreement will terminate.</w:t>
      </w:r>
    </w:p>
    <w:p>
      <w:pPr>
        <w:spacing w:after="0" w:line="136"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If Sanofi does not exercise its option under its agreement with us, or terminates its rights and obligations with respect to the development program or the entire agreement, then depending on the timing of such event:</w:t>
      </w:r>
    </w:p>
    <w:p>
      <w:pPr>
        <w:spacing w:after="0" w:line="39"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NaP2b inhibitor program may be terminated or significantly delayed;</w:t>
      </w:r>
    </w:p>
    <w:p>
      <w:pPr>
        <w:spacing w:after="0" w:line="90" w:lineRule="exact"/>
        <w:rPr>
          <w:rFonts w:ascii="Times New Roman" w:cs="Times New Roman" w:eastAsia="Times New Roman" w:hAnsi="Times New Roman"/>
          <w:sz w:val="18"/>
          <w:szCs w:val="18"/>
          <w:color w:val="auto"/>
        </w:rPr>
      </w:pPr>
    </w:p>
    <w:p>
      <w:pPr>
        <w:ind w:left="900" w:right="36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bear all of the risks and costs related to the further development and commercialization of product candidates that were previously the subject of the agreement if we decided to continue work under the NaP2b inhibitor program independently;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eligible to receive any of the remaining development or regulatory milestone payments or royalties on product sales;</w:t>
      </w:r>
    </w:p>
    <w:p>
      <w:pPr>
        <w:spacing w:after="0" w:line="90" w:lineRule="exact"/>
        <w:rPr>
          <w:rFonts w:ascii="Times New Roman" w:cs="Times New Roman" w:eastAsia="Times New Roman" w:hAnsi="Times New Roman"/>
          <w:sz w:val="18"/>
          <w:szCs w:val="18"/>
          <w:color w:val="auto"/>
        </w:rPr>
      </w:pPr>
    </w:p>
    <w:p>
      <w:pPr>
        <w:ind w:left="900" w:hanging="325"/>
        <w:spacing w:after="0" w:line="301"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fund further development and commercialization of the NaP2b program, we may need to raise additional capital if we choose to internally pursue the development of the program, or we may need to seek out and establish alternative collaboration partnerships with third-party collaboration partners for the program, which may not be possible, or we may not be able to do so on terms which are acceptable to us, in which case it may be necessary for us to limit the size or scope of the programs or increase our expenditures and seek additional funding by other means; and</w:t>
      </w:r>
    </w:p>
    <w:p>
      <w:pPr>
        <w:spacing w:after="0" w:line="22" w:lineRule="exact"/>
        <w:rPr>
          <w:rFonts w:ascii="Times New Roman" w:cs="Times New Roman" w:eastAsia="Times New Roman" w:hAnsi="Times New Roman"/>
          <w:sz w:val="16"/>
          <w:szCs w:val="16"/>
          <w:color w:val="auto"/>
        </w:rPr>
      </w:pPr>
    </w:p>
    <w:p>
      <w:pPr>
        <w:ind w:left="900" w:right="82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could increase significantly if it is necessary for us to hire additional employees and allocate scarce resources to the development and commercialization of the NaP2b program.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events would have a material adverse effect on our results of operations and financial condition.</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addition, we may be effectively prohibited from co-promoting any product candidates arising from the NaP2b program if we have previously exercised our co-promotion right under our agreement with AstraZeneca. For additional information regarding the effect of exercising our co-promotion right with AstraZeneca, see the risk factor above titled “Exercising our co-promotion right under our license agreement with AstraZeneca may restrict our future commercialization and/or co-promotion activities.”</w:t>
      </w:r>
    </w:p>
    <w:p>
      <w:pPr>
        <w:spacing w:after="0" w:line="213" w:lineRule="exact"/>
        <w:rPr>
          <w:sz w:val="20"/>
          <w:szCs w:val="20"/>
          <w:color w:val="auto"/>
        </w:rPr>
      </w:pPr>
    </w:p>
    <w:p>
      <w:pPr>
        <w:ind w:left="240"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future trial results.</w:t>
      </w:r>
    </w:p>
    <w:p>
      <w:pPr>
        <w:spacing w:after="0" w:line="3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or our collaboration partners,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For example, in a Phase 2a study evaluating tenapanor in ESRD patients with fluid overload, while pharmacological activity of tenapanor was confirmed, the study failed to meet the primary endpoint of a statistically significant difference between tenapanor and placebo in change in interdialytic weight gain from baseline to week 4. The results of preclinical and clinical studies of our product candidates may not be predictive of the results of later-stage clinical trials. For example, the positive results generated to date in preclinical and clinical studies for tenapanor do not ensure that the ongoing Phase 2a and Phase 2b clinical trials, or future clinical trials, will demonstrate similar results.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for similar indications that we are pursuing due to lack of efficacy or adverse safety profiles,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may experience delays in our ongoing or future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51"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to commence a trial, if applicable;</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or IRB, approval at each site;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suitable patients in a timely manner to participate in our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clinical sites observe trial protocol, comply with good clinical practices, or GCPs, or continue to participate in a trial;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with new or existing laws or regulations;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17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 We and AstraZeneca have experienced a delay in the enrollment of the ongoing Phase 2a clinical trial in CKD patients due to the restrictive eligibility criteria, and, although we have initiated efforts to increase enrollment by initiating new sites and amending the protocol, there can be no assurances that our efforts will be successful in increasing the rate of enrollment to complete this study on time, if at all.</w:t>
      </w:r>
    </w:p>
    <w:p>
      <w:pPr>
        <w:spacing w:after="0" w:line="11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our collaboration partner for the product candidate, by the IRBs of the institutions in which such trials are being conducted, by an independent data safety monitoring board, or DSMB, for such trial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and political and economic risks relevant to such foreign countries. In addition, the FDA may determine that the clinical trial results obtained in foreign subjects do not represent the safety and efficacy of a product candidate when administered in U.S. patients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are thus not supportive of an NDA approval in the United States. As part of our effort to increase the rate of enrollment in the ongoing Phase 2a clinical trial in CKD patients, we and AstraZeneca have plans to initiate sites in Germany. For the reasons stated above, these efforts may not improve the rate of enrollment in this study, or generate results that can be used to support the development of tenapanor.</w:t>
      </w:r>
    </w:p>
    <w:p>
      <w:pPr>
        <w:spacing w:after="0" w:line="13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If there are delays in the completion of, or termination of, any clinical trial of our product candidates, the commercial prospects of our product candidates may be harmed, and our ability to generate revenue from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product sales.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16" w:lineRule="exact"/>
        <w:rPr>
          <w:sz w:val="20"/>
          <w:szCs w:val="20"/>
          <w:color w:val="auto"/>
        </w:rPr>
      </w:pPr>
    </w:p>
    <w:p>
      <w:pPr>
        <w:ind w:left="24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unlicensed product candidates are at an early stage of development and we may not be successful in our efforts to develop these products or expand our pipeline of product candidates.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pipeline of products candidates utilizing our proprietary drug discovery and design platform and to advance such product candidates through clinical development. Our current unlicensed product candidates, which include candidates in our RDX009, RDX013 and RDX020 programs, are in the discovery and lead identification stages of preclinical development and will require substantial preclinical and clinical development, testing and regulatory approval prior to commercialization. In particular, tenapanor is our only product candidate in clinical trials and our other product candidates are in the preclinical stage with significant research and development required before we could file an IND with regulatory authorities to begin clinical studies. Of the large number of drugs in development, only a small percentage of such drugs successfully complete the FDA regulatory approval process and are commercialized. Accordingly, even if we are able to continue to fund our development programs, we cannot assure you that any product candidates will reach the clinic or be successfully developed or commercialized.</w:t>
      </w:r>
    </w:p>
    <w:p>
      <w:pPr>
        <w:spacing w:after="0" w:line="138"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and effective. Our research programs may initially show promise in identifying potential product candidates, yet fail to yield product candidates for clinical development or commercialization for many reasons, including the following:</w:t>
      </w:r>
    </w:p>
    <w:p>
      <w:pPr>
        <w:spacing w:after="0" w:line="55"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and our drug discovery and design platform may not be successful in identifying potential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90" w:lineRule="exact"/>
        <w:rPr>
          <w:rFonts w:ascii="Times New Roman" w:cs="Times New Roman" w:eastAsia="Times New Roman" w:hAnsi="Times New Roman"/>
          <w:sz w:val="18"/>
          <w:szCs w:val="18"/>
          <w:color w:val="auto"/>
        </w:rPr>
      </w:pPr>
    </w:p>
    <w:p>
      <w:pPr>
        <w:ind w:left="900" w:right="68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our program so that the continued development of that product candidate is no longer reasonable;</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or by pursuing in-licensing or acquisition of product candidates, the potential product candidates for which we identify or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216" w:lineRule="exact"/>
        <w:rPr>
          <w:sz w:val="20"/>
          <w:szCs w:val="20"/>
          <w:color w:val="auto"/>
        </w:rPr>
      </w:pPr>
    </w:p>
    <w:p>
      <w:pPr>
        <w:ind w:left="240"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proprietary drug discovery and design platform, and, in particular, APECCS, is a new approach to the discovery, design and development of new product candidates and may not result in any products of commercial value.</w:t>
      </w:r>
    </w:p>
    <w:p>
      <w:pPr>
        <w:spacing w:after="0" w:line="3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enable the identification, screening, testing, design and development of new product candidates, and we recently we enhanced this platform with the addition of APECCS. We plan to utilize APECCS to identify new and potentially novel targets in the GI tract. We have also identified over 3,800 proteins on the inner surface of the gut, many of which we believe may be drug targets. However, we cannot assure you APECCS will work nor that any of these potential targets or other aspects of our proprietary drug discovery and design platform will yield product candidates that could enter clinical development and, ultimately, be commercially valuable.</w:t>
      </w:r>
    </w:p>
    <w:p>
      <w:pPr>
        <w:spacing w:after="0" w:line="216"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4"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Because we have limited financial and managerial resources, we have focused on research programs and product candidates that relate to discovery and development of non-systemic drugs that work in the GI tract.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partnerships, licensing or other royalty arrangements in cases in which it would have been more advantageous for us to retain sole development and commercialization rights to such product candidate.</w:t>
      </w:r>
    </w:p>
    <w:p>
      <w:pPr>
        <w:spacing w:after="0" w:line="190" w:lineRule="exact"/>
        <w:rPr>
          <w:sz w:val="20"/>
          <w:szCs w:val="20"/>
          <w:color w:val="auto"/>
        </w:rPr>
      </w:pPr>
    </w:p>
    <w:p>
      <w:pPr>
        <w:ind w:left="24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preclinical and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48"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color w:val="auto"/>
        </w:rPr>
        <w:t>We do not have the ability to independently conduct clinical trials and, in some cases, preclinical or nonclinical studies. We rely on medical institutions, clinical investigators, contract laboratories, collaboration partners and other third parties, such as CROs, to conduct clinical trials on our product candidates. The third parties with whom we contract for execution of the clinical trials we are conducting with AstraZeneca, as well as those third parties with whom we will contract for execution of clinical trials for our internal programs,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preclinical and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good laboratory practices, or GLPs, for preclinical and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preclinical and clinical development, respectively. Regulatory authorities enforce GCPs through periodic inspections of trial sponsors, principal investigators and trial sites. If we or any of our third 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9" w:lineRule="exact"/>
        <w:rPr>
          <w:sz w:val="20"/>
          <w:szCs w:val="20"/>
          <w:color w:val="auto"/>
        </w:rPr>
      </w:pPr>
    </w:p>
    <w:p>
      <w:pPr>
        <w:ind w:left="240"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health care payors and the medical community.</w:t>
      </w:r>
    </w:p>
    <w:p>
      <w:pPr>
        <w:spacing w:after="0" w:line="3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Even if our product candidates obtain FDA or other regulatory approvals, and are ultimately commercialized, our product candidates may not achieve market acceptance among physicians, patients, third-party payors, patient advocacy groups, health care payors and the medical community. Market acceptance of our product candidates for which marketing approval is obtained depends on a number of factors, including:</w:t>
      </w:r>
    </w:p>
    <w:p>
      <w:pPr>
        <w:spacing w:after="0" w:line="51"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products as demonstrated in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profile of the product;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over existing therapies;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clinics and patients of the product as a safe and effective treatment;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products;</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 and willingness to pay for our products, if approved, on the part of physicians and patients;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products and their ability to meet market demand;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or our collaboration partners’ marketing and distribution organizations;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Any failure by our product candidates that obtain regulatory approval to achieve market acceptance or commercial success would adversely affect our results of operations.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regulatory approval, if any. If any of our product candidates receives marketing approval and we or others later identify undesirable side effects caused by the product candidate, the ability to market the product candidates could be compromised.</w:t>
      </w:r>
    </w:p>
    <w:p>
      <w:pPr>
        <w:spacing w:after="0" w:line="5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our collaboration partners,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flatulence, abdominal discomfort, abdominal pain, and abdominal distention. In the event that trials conducted by us or AstraZeneca with tenapanor, or trials we conduct with our other product candidates, reveal an unacceptable severity and prevalence of these or other side effects, such trials could be suspended or terminated and the FDA or comparable foreign regulatory authorities could order AstraZeneca or us to cease further development of or deny approval of tenapanor, or any such other product candidate,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1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39"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required to recall the product;</w:t>
      </w:r>
    </w:p>
    <w:p>
      <w:pPr>
        <w:spacing w:after="0" w:line="90" w:lineRule="exact"/>
        <w:rPr>
          <w:rFonts w:ascii="Times New Roman" w:cs="Times New Roman" w:eastAsia="Times New Roman" w:hAnsi="Times New Roman"/>
          <w:sz w:val="18"/>
          <w:szCs w:val="18"/>
          <w:color w:val="auto"/>
        </w:rPr>
      </w:pPr>
    </w:p>
    <w:p>
      <w:pPr>
        <w:ind w:left="900" w:right="120" w:hanging="325"/>
        <w:spacing w:after="0" w:line="258"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subject to fines, injunctions or the imposition of civil or criminal penalties;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71"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Any of the foregoing events could prevent us, or our collaboration partners, from achieving or maintaining market acceptance of a particular product candidate, if approved, and could result in the loss of significant revenue to us, which would materially and adversely affect our results of operations and business.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or our other product candidates, would compete against existing treatments. For example, tenapanor will, if approved, compete directly with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phosphate binders for the treatment of hypophosphatemia in patients with ESRD, including sevelamer hydrochloride (Renagel) and sevelamer carbonate (Renvela), which were launched by Genzyme. We are also aware of at least one company, Impax Laboratories, which is expected to launch a generic version of sevelamer carbonate and sevelamer hydrochloride in April 2014. In addition to the currently marketed phosphate binders, we are aware of several other binders in development such as ferric citrate (Zerenex), an iron-based binder in Phase 3 being developed in the United States by Keryx and approved in Japan, fermagate (Alpharen), an iron-based binder in Phase 2 being developed by Opko Health, and sucroferric oxyhydroxide (Velphoro), an iron-based binder.</w:t>
      </w:r>
    </w:p>
    <w:p>
      <w:pPr>
        <w:spacing w:after="0" w:line="10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While there are no treatments for CKD that have been proven to reverse the disease, we are aware of one agent, CLP-1001, being developed by Sorbent Therapeutics, which is an orally administered, non-systemic exchange resin that binds both sodium and potassium as well as protons that showed positive effects in CKD patients with heart failure in a Phase 2a clinical trial and which showed the ability to increase fecal sodium. We believe this agent, if approved, may be competitive with tenapanor to treat CKD and ESRD patients. We are aware of certain investigational drugs that were being developed for delaying kidney decline as measured by estimated glomerular filtration rate, or eGFR. Among other products, Concert Pharmaceuticals is developing CTP-499 which showed a significant improvement in markers of kidney disease in a Phase 2 clinical trial in patients with CKD and type 2 diabetes.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relieve temporary constipation. We are also aware of two prescription drugs currently on the U.S. market that are approved to treat IBS-C, Linzess (linaclotide), which was developed by Ironwood Pharmaceuticals and was approved in 2012 and 2013 for IBS-C and chronic constipation in both the United States and in Europe, and Amitiza (lubiprostone), which was first approved in the United States in 2006 and is currently marketed by Sucampo and Takeda for treatment of chronic idiopathic constipation, or CIC, IBS-C and opioid induced constipation, or OIC.</w:t>
      </w:r>
    </w:p>
    <w:p>
      <w:pPr>
        <w:spacing w:after="0" w:line="13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additional information regarding the competitive landscape for our product candidates, see “Business—Competition.”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co-promote tenapanor, if approved, or commercialize or co-promote any of our other product candidates.</w:t>
      </w:r>
    </w:p>
    <w:p>
      <w:pPr>
        <w:spacing w:after="0" w:line="3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do not have a sales organization. In order to co-promote tenapanor or commercialize or co-promote any of our other product candidates, we must build our marketing, sales, distribution, managerial and other non-technical capabilities or make arrangements with third parties to perform these services, and we may not be successful in doing so. If one or more of our product candidates receives regulatory approval, we expect to establish a specialty sales organization with technical expertise and supporting distribution capabilities to co-promote and/or commercialize our product candidates, which will be expensive and time consuming. As a company,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would adversely impact the commercialization of these products.</w:t>
      </w:r>
    </w:p>
    <w:p>
      <w:pPr>
        <w:spacing w:after="0" w:line="14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209" w:lineRule="exact"/>
        <w:rPr>
          <w:sz w:val="20"/>
          <w:szCs w:val="20"/>
          <w:color w:val="auto"/>
        </w:rPr>
      </w:pPr>
    </w:p>
    <w:p>
      <w:pPr>
        <w:ind w:left="240"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preclinical and clinical drug supplies, and we intend to rely on third parties to produce commercial supplies of any approved product candidate. Our business would be harmed if those third parties fail to obtain approval of the FDA, Competent Authorities of the Member States of the EEA or comparable regulatory authorities, fail to provide us with sufficient quantities of drug product, or fail to do so at acceptable quality levels or prices.</w:t>
      </w:r>
    </w:p>
    <w:p>
      <w:pPr>
        <w:spacing w:after="0" w:line="5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preclinical and clinical drug supplies for use in the conduct of our preclinical and clinical studies, and we lack the resources and the capability to manufacture any of our product candidates on a clinical or commercial scale. The facilities used by our contract manufacturers to manufacture any drug products must be approved by the FDA pursuant to inspections that will be conducted after an NDA is submitted to the FDA. We do not control the manufacturing process of our product candidates, and, other than with respect to tenapanor, we are completely dependent on our contract manufacturing partners for compliance with the regulatory requirements, known as cGMPs, for manufacture of both active drug substances and finished drug products. Under our agreement with AstraZeneca, the manufacturing of tenapanor is the responsibility of AstraZeneca. We are entirely dependent on AstraZeneca for all aspects of the manufacturing and validation process, as well as providing all commercial supply of tenapanor. For additional information regarding the risks of our dependence on AstraZeneca, see the risk factors above titled “We are substantially dependent on the success of our lead product candidate, tenapanor, which may not be successful in nonclinical studies or clinical trials, receive regulatory approval or be successfully commercialized” and “We are dependent on AstraZeneca for the development, regulatory approval, manufacture and commercialization of our small molecule NHE3 inhibitor program, which includes tenapanor, and if AstraZeneca fails to perform as expected, or is unable to obtain the required regulatory approvals for tenapanor, the potential for us to generate future revenue from milestone and royalty payments from tenapanor would be significantly reduced and our business would be materially and adversely harmed.”</w:t>
      </w:r>
    </w:p>
    <w:p>
      <w:pPr>
        <w:spacing w:after="0" w:line="146"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rely on our manufacturers to purchase from third-party suppliers the materials necessary to produce our product candidates for our clinical studies. 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215" w:lineRule="exact"/>
        <w:rPr>
          <w:sz w:val="20"/>
          <w:szCs w:val="20"/>
          <w:color w:val="auto"/>
        </w:rPr>
      </w:pPr>
    </w:p>
    <w:p>
      <w:pPr>
        <w:ind w:left="24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3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39"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extends this implementation date to January 1, 2024. As a result of the recent legislation, beginning in 2024, ESRD-related drugs will be included in the bundle and separate Medicare reimbursement will no longer be available for such drugs, as it is today under Medicare Part D. While it is too early to project the full impact bundling may have on the industry, the impact could potentially cause dramatic price reductions for tenapanor, if approved. We and AstraZeneca may be unable to sell tenapanor, if approved, to dialysis providers on a profitable basis if third-party payors reduce their current levels of payment, or if our costs of production increase faster than increases in reimbursement levels.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4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6" w:lineRule="exact"/>
        <w:rPr>
          <w:sz w:val="20"/>
          <w:szCs w:val="20"/>
          <w:color w:val="auto"/>
        </w:rPr>
      </w:pPr>
    </w:p>
    <w:p>
      <w:pPr>
        <w:ind w:left="240"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3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our product candidates.</w:t>
      </w:r>
    </w:p>
    <w:p>
      <w:pPr>
        <w:spacing w:after="0" w:line="17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213" w:lineRule="exact"/>
        <w:rPr>
          <w:sz w:val="20"/>
          <w:szCs w:val="20"/>
          <w:color w:val="auto"/>
        </w:rPr>
      </w:pPr>
    </w:p>
    <w:p>
      <w:pPr>
        <w:ind w:left="240" w:right="18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Michael Raab, our Chief Scientific Officer, Dominique Charmot, Ph.D., and our Vice President of Drug Development, David Rosenbaum, Ph.D., and if we are not able to retain these members of our management or recruit additional management, clinical and scientific personnel, our business will suffer.</w:t>
      </w:r>
    </w:p>
    <w:p>
      <w:pPr>
        <w:spacing w:after="0" w:line="48" w:lineRule="exact"/>
        <w:rPr>
          <w:sz w:val="20"/>
          <w:szCs w:val="20"/>
          <w:color w:val="auto"/>
        </w:rPr>
      </w:pPr>
    </w:p>
    <w:p>
      <w:pPr>
        <w:ind w:right="80" w:firstLine="456"/>
        <w:spacing w:after="0" w:line="288" w:lineRule="auto"/>
        <w:rPr>
          <w:sz w:val="20"/>
          <w:szCs w:val="20"/>
          <w:color w:val="auto"/>
        </w:rPr>
      </w:pPr>
      <w:r>
        <w:rPr>
          <w:rFonts w:ascii="Times New Roman" w:cs="Times New Roman" w:eastAsia="Times New Roman" w:hAnsi="Times New Roman"/>
          <w:sz w:val="16"/>
          <w:szCs w:val="16"/>
          <w:color w:val="auto"/>
        </w:rPr>
        <w:t>Our success depends in part on our continued ability to attract, retain and motivate highly qualified personnel. In particular, we are highly dependent upon Michael Raab, our President and Chief Executive Officer, Dominique Charmot, Ph.D., our Chief Scientific Officer, and David Rosenbaum, Ph.D., our Vice President of Drug Development. The loss of services of any of these individuals could delay or prevent the successful development of our product pipeline, completion of our planned clinical trials or the commercialization of our product candidates. Although we have entered into employment agreements with our senior management team, including Mr. Raab and Drs. Charmot and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2014, we had 37 full-time employees. We will need to continue to expand our managerial, operational, finance and other resources in order to manage our operations, preclinical and clinical trials, research and development activities, regulatory filings, manufacturing and supply activities, and any marketing and commercialization activities, including co-promotion activities. Our management, personnel, systems and facilities currently in place may not be adequate to support this future growth. Our need to effectively execute our growth strategy requires that we:</w:t>
      </w:r>
    </w:p>
    <w:p>
      <w:pPr>
        <w:spacing w:after="0" w:line="55"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general and administrative functions;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build a marketing and commercial organization;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retain, incentivize and integrate additional employees;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third parties;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legal, financial and management controls, reporting systems and procedures.</w:t>
      </w:r>
    </w:p>
    <w:p>
      <w:pPr>
        <w:spacing w:after="0" w:line="171"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we expect that we will need to implement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during the conversion process, we may be limited in our ability to convert any business that we acquire to the ERP. Any disruptions or difficulties in implementing or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41" w:lineRule="exact"/>
        <w:rPr>
          <w:sz w:val="20"/>
          <w:szCs w:val="20"/>
          <w:color w:val="auto"/>
        </w:rPr>
      </w:pPr>
    </w:p>
    <w:p>
      <w:pPr>
        <w:ind w:firstLine="456"/>
        <w:spacing w:after="0" w:line="283" w:lineRule="auto"/>
        <w:rPr>
          <w:sz w:val="20"/>
          <w:szCs w:val="20"/>
          <w:color w:val="auto"/>
        </w:rPr>
      </w:pPr>
      <w:r>
        <w:rPr>
          <w:rFonts w:ascii="Times New Roman" w:cs="Times New Roman" w:eastAsia="Times New Roman" w:hAnsi="Times New Roman"/>
          <w:sz w:val="16"/>
          <w:szCs w:val="16"/>
          <w:color w:val="auto"/>
        </w:rPr>
        <w:t>After this offering, we will be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earlier of (1) the last day of the fiscal year following the fifth anniversary of the completion of this offering (December 31, 2019), (2) the last day of the fiscal year in which we have total annual gross revenue of at least $1.0 billion, or</w:t>
      </w:r>
    </w:p>
    <w:p>
      <w:pPr>
        <w:spacing w:after="0" w:line="4" w:lineRule="exact"/>
        <w:rPr>
          <w:sz w:val="20"/>
          <w:szCs w:val="20"/>
          <w:color w:val="auto"/>
        </w:rPr>
      </w:pPr>
    </w:p>
    <w:p>
      <w:pPr>
        <w:jc w:val="both"/>
        <w:ind w:right="120" w:firstLine="8"/>
        <w:spacing w:after="0" w:line="255"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are deemed to be a large accelerated filer, which means the market value of our common stock that is held by non-affiliates exceeds $700 million as of the prior June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and (4) the date on which we have issued more than $1.0 billion in non-convertible debt during the prior three-year period.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16"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form additional collaboration partnerships in the future with respect to our independent programs, and we may not realize the benefits of such collaborations.</w:t>
      </w:r>
    </w:p>
    <w:p>
      <w:pPr>
        <w:spacing w:after="0" w:line="34"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We may form collaboration partnerships, create joint ventures or enter into licensing arrangements with third parties with respect to our independent programs that we believe will complement or augment our existing business. We have historically engaged, and intend to continue to engage, in partnering discussions with a range of pharmaceutical and biotechnology companies and could enter into new collaboration partnerships at any time. We face significant competition in seeking appropriate collaboration partners, and the negotiation process to secure appropriate terms is time-consuming and complex. Any delays in identifying suitable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 collaboration partnership for any future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and/or third parties may not view our product candidates and programs as having sufficient potential for commercialization, including the likelihood of an adequate safety and efficacy profile. Even if we are successful in entering into a collaboration partnership or license arrangement, there is no guarantee that the collaboration partnership will be successful, or that any future collaboration partner will commit sufficient resources to the development, regulatory approval, and commercialization effort for such products, or that such alliances will result in us achieving revenues that justify such transactions.</w:t>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We may engage in strategic transactions that could impact our liquidity, increase our expenses and present significant distractions to our management.</w:t>
      </w:r>
    </w:p>
    <w:p>
      <w:pPr>
        <w:spacing w:after="0" w:line="117"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We intend to consider strategic transactions, such as acquisitions of companies, asset purchases, and or in-licensing of products, product candidates or technologies. Additional potential transactions that we may consider include a variety of different business arrangements, including spin-offs,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7" w:lineRule="exact"/>
        <w:rPr>
          <w:sz w:val="20"/>
          <w:szCs w:val="20"/>
          <w:color w:val="auto"/>
        </w:rPr>
      </w:pPr>
    </w:p>
    <w:p>
      <w:pPr>
        <w:ind w:left="900" w:right="14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90"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71"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09"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seek and obtain approval to commercialize our product candidates outside of the United States, or otherwise engage in business outside of the United States, a variety of risks associated with international operations could materially adversely affect our business.</w:t>
      </w:r>
    </w:p>
    <w:p>
      <w:pPr>
        <w:spacing w:after="0" w:line="3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may decide to seek marketing approval for certain of our product candidates outside the United States or otherwise engage in business outside the United States, including entering into contractual agreements with third-parties. We expect that we will be subject to additional risks related to entering into these international business markets and relationships, including:</w:t>
      </w:r>
    </w:p>
    <w:p>
      <w:pPr>
        <w:spacing w:after="0" w:line="51"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United States and foreign drug import and export rules;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90" w:lineRule="exact"/>
        <w:rPr>
          <w:rFonts w:ascii="Times New Roman" w:cs="Times New Roman" w:eastAsia="Times New Roman" w:hAnsi="Times New Roman"/>
          <w:sz w:val="18"/>
          <w:szCs w:val="18"/>
          <w:color w:val="auto"/>
        </w:rPr>
      </w:pPr>
    </w:p>
    <w:p>
      <w:pPr>
        <w:ind w:left="900" w:right="440" w:hanging="325"/>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48" w:lineRule="exact"/>
        <w:rPr>
          <w:sz w:val="20"/>
          <w:szCs w:val="20"/>
          <w:color w:val="auto"/>
        </w:rPr>
      </w:pPr>
    </w:p>
    <w:p>
      <w:pPr>
        <w:ind w:left="240" w:right="7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3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storage, use and disposal of hazardous materials, including the components of our product candidates and other hazardous compounds. We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00" w:lineRule="exact"/>
        <w:rPr>
          <w:sz w:val="20"/>
          <w:szCs w:val="20"/>
          <w:color w:val="auto"/>
        </w:rPr>
      </w:pPr>
    </w:p>
    <w:p>
      <w:pPr>
        <w:spacing w:after="0" w:line="213" w:lineRule="exact"/>
        <w:rPr>
          <w:sz w:val="20"/>
          <w:szCs w:val="20"/>
          <w:color w:val="auto"/>
        </w:rPr>
      </w:pPr>
    </w:p>
    <w:p>
      <w:pPr>
        <w:ind w:left="240"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CROs or other contractors or consultants, may fail or suffer security breaches, which could result in a material disruption of our product development programs.</w:t>
      </w:r>
    </w:p>
    <w:p>
      <w:pPr>
        <w:spacing w:after="0" w:line="3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current global economic environment.</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Our results of operations could be adversely affected by general conditions in the global economy and in the global financial markets. The recent global financial crisis caused extreme volatility and disruptions in the capital and credit markets. We cannot anticipate all the ways in which the current global economic climate and global financial market conditions could adversely impact our business.</w:t>
      </w:r>
    </w:p>
    <w:p>
      <w:pPr>
        <w:spacing w:after="0" w:line="139" w:lineRule="exact"/>
        <w:rPr>
          <w:sz w:val="20"/>
          <w:szCs w:val="20"/>
          <w:color w:val="auto"/>
        </w:rPr>
      </w:pPr>
    </w:p>
    <w:p>
      <w:pPr>
        <w:ind w:right="200" w:firstLine="456"/>
        <w:spacing w:after="0" w:line="253"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the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prior to the effectiveness of certain provisions of the Patient Protection and Affordable Care Act, as amended by the Health Care and Education Reconciliation Act, collectively known as the Affordable Care Act,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213"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3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88" w:lineRule="exact"/>
        <w:rPr>
          <w:sz w:val="20"/>
          <w:szCs w:val="20"/>
          <w:color w:val="auto"/>
        </w:rPr>
      </w:pPr>
    </w:p>
    <w:p>
      <w:pPr>
        <w:ind w:left="240"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3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We have not submitted an application or obtained marketing approval for any of our product candidates anywhere in the world. Obtaining regulatory approval of a new drug application, or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58"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of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NDAs or supplements to approved NDAs.</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32" w:lineRule="exact"/>
        <w:rPr>
          <w:sz w:val="20"/>
          <w:szCs w:val="20"/>
          <w:color w:val="auto"/>
        </w:rPr>
      </w:pPr>
    </w:p>
    <w:p>
      <w:pPr>
        <w:ind w:left="900" w:right="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collaboration partners’, clinical studies;</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interpretation of data from preclinical studies or clinical studies;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38"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9" w:lineRule="exact"/>
        <w:rPr>
          <w:sz w:val="20"/>
          <w:szCs w:val="20"/>
          <w:color w:val="auto"/>
        </w:rPr>
      </w:pPr>
    </w:p>
    <w:p>
      <w:pPr>
        <w:ind w:left="240"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5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As such, we and our third 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38"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36"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39"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or holds on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withdrawal of the product from the market or voluntary or mandatory product recalls;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the FDA’s policies may change and additional government regulations may be enacted that could prevent, limit or delay regulatory approval of our product candidates. If we are slow or unable to adapt to</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We and our collaboration partners and contract manufacturers are subject to significant regulation with respect to manufacturing our product candidates.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manufacturing facilities on which we rely may not continue to meet regulatory requirements or may not be able to meet supply demands.</w:t>
      </w:r>
    </w:p>
    <w:p>
      <w:pPr>
        <w:spacing w:after="0" w:line="78" w:lineRule="exact"/>
        <w:rPr>
          <w:sz w:val="20"/>
          <w:szCs w:val="20"/>
          <w:color w:val="auto"/>
        </w:rPr>
      </w:pPr>
    </w:p>
    <w:p>
      <w:pPr>
        <w:ind w:right="20" w:firstLine="456"/>
        <w:spacing w:after="0" w:line="285" w:lineRule="auto"/>
        <w:rPr>
          <w:sz w:val="20"/>
          <w:szCs w:val="20"/>
          <w:color w:val="auto"/>
        </w:rPr>
      </w:pPr>
      <w:r>
        <w:rPr>
          <w:rFonts w:ascii="Times New Roman" w:cs="Times New Roman" w:eastAsia="Times New Roman" w:hAnsi="Times New Roman"/>
          <w:sz w:val="16"/>
          <w:szCs w:val="16"/>
          <w:color w:val="auto"/>
        </w:rPr>
        <w:t>All entities involved in the preparation of product candidates for clinical studies or commercial sale, including our existing contract manufacturers for our product candidates and AstraZeneca, and those contract manufacturers it may rely upon with respect to the manufacture of tenapanor, are subject to extensive regulation.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an NDA or comparable regulatory filing on a timely basis and must adhere to cGMP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collaboration partners and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other than with respect to tenapanor, our contract manufacturing partners for compliance with the regulatory requirements. AstraZeneca is fully responsible for the manufacture of tenapanor, and we are entirely dependent upon AstraZeneca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33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32"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20"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4"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3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government agencies. If tenapanor, or our other product candidates, receives marketing approval, we and our collaborating partners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3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3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3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Some participants in clinical studies of tenapanor have reported adverse effects after being treated with tenapanor, including diarrhea, nausea, flatulence, abdominal discomfort, abdominal pain, and abdominal distention.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215" w:lineRule="exact"/>
        <w:rPr>
          <w:sz w:val="20"/>
          <w:szCs w:val="20"/>
          <w:color w:val="auto"/>
        </w:rPr>
      </w:pPr>
    </w:p>
    <w:p>
      <w:pPr>
        <w:ind w:left="24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3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w:t>
      </w:r>
    </w:p>
    <w:p>
      <w:pPr>
        <w:spacing w:after="0" w:line="1" w:lineRule="exact"/>
        <w:rPr>
          <w:sz w:val="20"/>
          <w:szCs w:val="20"/>
          <w:color w:val="auto"/>
        </w:rPr>
      </w:pPr>
    </w:p>
    <w:p>
      <w:pPr>
        <w:ind w:firstLine="8"/>
        <w:spacing w:after="0" w:line="251" w:lineRule="auto"/>
        <w:tabs>
          <w:tab w:leader="none" w:pos="2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18"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may be subject to healthcare laws, regulation and enforcement; our failure or the failure of our collaboration partners to comply with these laws could have a material adverse effect on our results of operations and financial conditions.</w:t>
      </w:r>
    </w:p>
    <w:p>
      <w:pPr>
        <w:spacing w:after="0" w:line="34"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51" w:lineRule="exact"/>
        <w:rPr>
          <w:sz w:val="20"/>
          <w:szCs w:val="20"/>
          <w:color w:val="auto"/>
        </w:rPr>
      </w:pPr>
    </w:p>
    <w:p>
      <w:pPr>
        <w:ind w:left="900" w:right="300" w:hanging="325"/>
        <w:spacing w:after="0" w:line="25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55"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38"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38"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51" w:lineRule="exact"/>
        <w:rPr>
          <w:rFonts w:ascii="Times New Roman" w:cs="Times New Roman" w:eastAsia="Times New Roman" w:hAnsi="Times New Roman"/>
          <w:sz w:val="18"/>
          <w:szCs w:val="18"/>
          <w:color w:val="auto"/>
        </w:rPr>
      </w:pPr>
    </w:p>
    <w:p>
      <w:pPr>
        <w:ind w:left="900" w:right="100" w:hanging="325"/>
        <w:spacing w:after="0" w:line="310" w:lineRule="auto"/>
        <w:tabs>
          <w:tab w:leader="none" w:pos="9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sunshine requirements under the Affordable Care Act,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6" w:lineRule="exact"/>
        <w:rPr>
          <w:rFonts w:ascii="Times New Roman" w:cs="Times New Roman" w:eastAsia="Times New Roman" w:hAnsi="Times New Roman"/>
          <w:sz w:val="16"/>
          <w:szCs w:val="16"/>
          <w:color w:val="auto"/>
        </w:rPr>
      </w:pPr>
    </w:p>
    <w:p>
      <w:pPr>
        <w:ind w:left="90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38" w:lineRule="exact"/>
        <w:rPr>
          <w:rFonts w:ascii="Times New Roman" w:cs="Times New Roman" w:eastAsia="Times New Roman" w:hAnsi="Times New Roman"/>
          <w:sz w:val="18"/>
          <w:szCs w:val="18"/>
          <w:color w:val="auto"/>
        </w:rPr>
      </w:pPr>
    </w:p>
    <w:p>
      <w:pPr>
        <w:ind w:left="900" w:right="14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51" w:lineRule="exact"/>
        <w:rPr>
          <w:rFonts w:ascii="Times New Roman" w:cs="Times New Roman" w:eastAsia="Times New Roman" w:hAnsi="Times New Roman"/>
          <w:sz w:val="18"/>
          <w:szCs w:val="18"/>
          <w:color w:val="auto"/>
        </w:rPr>
      </w:pPr>
    </w:p>
    <w:p>
      <w:pPr>
        <w:ind w:left="900" w:right="18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1"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16" w:lineRule="exact"/>
        <w:rPr>
          <w:sz w:val="20"/>
          <w:szCs w:val="20"/>
          <w:color w:val="auto"/>
        </w:rPr>
      </w:pPr>
    </w:p>
    <w:p>
      <w:pPr>
        <w:ind w:left="240"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3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58"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171" w:lineRule="exact"/>
        <w:rPr>
          <w:sz w:val="20"/>
          <w:szCs w:val="20"/>
          <w:color w:val="auto"/>
        </w:rPr>
      </w:pPr>
    </w:p>
    <w:p>
      <w:pPr>
        <w:ind w:right="20" w:firstLine="456"/>
        <w:spacing w:after="0" w:line="339" w:lineRule="auto"/>
        <w:rPr>
          <w:sz w:val="20"/>
          <w:szCs w:val="20"/>
          <w:color w:val="auto"/>
        </w:rPr>
      </w:pPr>
      <w:r>
        <w:rPr>
          <w:rFonts w:ascii="Times New Roman" w:cs="Times New Roman" w:eastAsia="Times New Roman" w:hAnsi="Times New Roman"/>
          <w:sz w:val="16"/>
          <w:szCs w:val="16"/>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74"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13"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On August 2, 2011, the Budget Control Act of 2011 created measures for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On January 2, 2013, the ATRA was signed into law, which, among other things, further reduced Medicare payments to several providers, including hospitals.</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88" w:lineRule="exact"/>
        <w:rPr>
          <w:sz w:val="20"/>
          <w:szCs w:val="20"/>
          <w:color w:val="auto"/>
        </w:rPr>
      </w:pPr>
    </w:p>
    <w:p>
      <w:pPr>
        <w:ind w:left="240" w:right="1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any other product candidates.</w:t>
      </w:r>
    </w:p>
    <w:p>
      <w:pPr>
        <w:spacing w:after="0" w:line="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There have been many lawsuits and other proceedings asserting infringement or misappropriation of patents and other intellectual property rights in the pharmaceutical and biotechnology industries. We cannot assure you that the manufacture, use or sale of tenapanor or any other product candidates will not infringe existing or future third-party patents.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w:t>
      </w:r>
    </w:p>
    <w:p>
      <w:pPr>
        <w:spacing w:after="0" w:line="141"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may be subject to third-party patent infringement claims in the future against us or our collaboration partners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or our collaboration partners, we or they could be forced to stop or delay research, development, manufacturing or sales of the product or product candidate that is the subject of the suit. As a result of patent infringement claims, or in order to avoid potential claims, we or our collaboration partners may choose to seek, or be required to seek, a license from the third party and would most likely be required to pay license fees or royalties or both. These licenses may not be available on acceptable terms, or at all. Even if we or our collaboration partners were able to obtain a license, the rights may be nonexclusive, which would give our competitors access to the same intellectual property. Ultimately, we could be prevented from commercializing a product, or forced to redesign it, or to cease some aspect of our business operations if, as a result of actual or threatened patent infringement claims, we or our collaboration partners are unable to enter into licenses on acceptable terms.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85" w:lineRule="exact"/>
        <w:rPr>
          <w:sz w:val="20"/>
          <w:szCs w:val="20"/>
          <w:color w:val="auto"/>
        </w:rPr>
      </w:pPr>
    </w:p>
    <w:p>
      <w:pPr>
        <w:ind w:left="240" w:right="7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3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36"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33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240" w:top="45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our business. Moreover, our competitors could counterclaim that we infringe their intellectual property, and some of our competitors have substantially greater intellectual property portfolios than we do.</w:t>
      </w:r>
    </w:p>
    <w:p>
      <w:pPr>
        <w:spacing w:after="0" w:line="120"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33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213" w:lineRule="exact"/>
        <w:rPr>
          <w:sz w:val="20"/>
          <w:szCs w:val="20"/>
          <w:color w:val="auto"/>
        </w:rPr>
      </w:pPr>
    </w:p>
    <w:p>
      <w:pPr>
        <w:ind w:left="240" w:right="10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If we or our collaboration partners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or our collaboration partners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4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or our collaboration partners request, the period during which we or our collaboration partners will have the right to exclusively market our product will be shortened and our competitors may obtain approval of competing products following our patent expiration, and our revenue could be reduced, possibly materially.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94"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technological and legal complexity. Therefore, obtaining and enforcing biopharmaceutical patents is costly, time consuming and inherently uncertain. In addition, the United States has recently enacted and is currently implementing wide-ranging patent reform legislation, including the Leahy-Smith America Invents Act signed into law on September 16, 2011. That Act includes a number of significant changes to U.S. patent law. These include provisions that affect the way patent applications are prosecuted and new venues and opportunities for competitors to challenge patent portfolios. Because of that Act, the U.S. patent system is now a “first to file” system, which may make it more difficult to obtain patent protection for inventions and increase the uncertainties and costs surrounding the prosecution of our or our collaboration partners’ patent applications and the enforcement or defense of our or our collaboration partners’ issued patents, all of which could materially adversely affect our business, results of operations and financial condition.</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16" w:lineRule="exact"/>
        <w:rPr>
          <w:sz w:val="20"/>
          <w:szCs w:val="20"/>
          <w:color w:val="auto"/>
        </w:rPr>
      </w:pPr>
    </w:p>
    <w:p>
      <w:pPr>
        <w:jc w:val="both"/>
        <w:ind w:left="240" w:right="7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216"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34"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41"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resell shares of our common stock at or above the price you paid.</w:t>
      </w:r>
    </w:p>
    <w:p>
      <w:pPr>
        <w:spacing w:after="0" w:line="94" w:lineRule="exact"/>
        <w:rPr>
          <w:sz w:val="20"/>
          <w:szCs w:val="20"/>
          <w:color w:val="auto"/>
        </w:rPr>
      </w:pPr>
    </w:p>
    <w:p>
      <w:pPr>
        <w:ind w:right="340" w:firstLine="456"/>
        <w:spacing w:after="0" w:line="334" w:lineRule="auto"/>
        <w:rPr>
          <w:sz w:val="20"/>
          <w:szCs w:val="20"/>
          <w:color w:val="auto"/>
        </w:rPr>
      </w:pPr>
      <w:r>
        <w:rPr>
          <w:rFonts w:ascii="Times New Roman" w:cs="Times New Roman" w:eastAsia="Times New Roman" w:hAnsi="Times New Roman"/>
          <w:sz w:val="16"/>
          <w:szCs w:val="16"/>
          <w:color w:val="auto"/>
        </w:rPr>
        <w:t>The trading price of our common stock following this offering could be highly volatile and could be subject to wide fluctuations in response to various factors, some of which are beyond our control. These factors include those discussed in this “Risk Factors” section of this prospectus and others such as:</w:t>
      </w:r>
    </w:p>
    <w:p>
      <w:pPr>
        <w:spacing w:after="0" w:line="1" w:lineRule="exact"/>
        <w:rPr>
          <w:sz w:val="20"/>
          <w:szCs w:val="20"/>
          <w:color w:val="auto"/>
        </w:rPr>
      </w:pPr>
    </w:p>
    <w:p>
      <w:pPr>
        <w:ind w:left="900" w:right="68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 including the ongoing and planned clinical trials for tenapanor;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commercialize or obtain regulatory approval for our product candidates, or delays in commercializing or obtaining regulatory approval;</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a complete response letter to tenapanor, or specific label indications or patient populations for its use, or changes or delays in the regulatory review process;</w:t>
      </w:r>
    </w:p>
    <w:p>
      <w:pPr>
        <w:spacing w:after="0" w:line="38" w:lineRule="exact"/>
        <w:rPr>
          <w:rFonts w:ascii="Times New Roman" w:cs="Times New Roman" w:eastAsia="Times New Roman" w:hAnsi="Times New Roman"/>
          <w:sz w:val="18"/>
          <w:szCs w:val="18"/>
          <w:color w:val="auto"/>
        </w:rPr>
      </w:pPr>
    </w:p>
    <w:p>
      <w:pPr>
        <w:ind w:left="900" w:right="340" w:hanging="325"/>
        <w:spacing w:after="0" w:line="26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future collaboration partnerships or our existing collaboration partnerships with AstraZeneca and/or Sanofi, including decisions regarding the exercise by AstraZeneca or Sanofi of their options or any termination by them of any development program under their collaboration partnerships with us;</w:t>
      </w:r>
    </w:p>
    <w:p>
      <w:pPr>
        <w:spacing w:after="0" w:line="51" w:lineRule="exact"/>
        <w:rPr>
          <w:rFonts w:ascii="Times New Roman" w:cs="Times New Roman" w:eastAsia="Times New Roman" w:hAnsi="Times New Roman"/>
          <w:sz w:val="18"/>
          <w:szCs w:val="18"/>
          <w:color w:val="auto"/>
        </w:rPr>
      </w:pPr>
    </w:p>
    <w:p>
      <w:pPr>
        <w:ind w:left="900" w:right="74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and the related announcement, to exercise our co-fund right with respect to the first Phase 3 clinical development program for tenapanor;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 manufacturing supply chain or sales and marketing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any manufacturers or suppliers;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 or other healthcare reform measures in the United States;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equity markets;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16"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and we could spend the proceeds from this offering in ways our stockholders may not agree with or that do not yield a favorable return, if at all. We currently intend to use substantially all of the net proceeds of this offering to fund continued discovery and development efforts for our preclinical product candidates, the exercise of our right to co-fund the first Phase 3 clinical development program for tenapanor, if we decide to exercise such right, expenses related to the development of APECCS, and the remainder for working capital and other corporate purposes, and the balance for working capital and general corporate purposes, which will include facilities expansion and the pursuit of other research and discovery efforts and could also include the acquisition or in-license of other products, product candidates or technologies. However, our use of these proceeds may differ substantially from our current plans. If we do not invest or apply the proceeds of this offering in ways that improve our operating results, we may fail to achieve expected financial results, which could cause our stock price to decline.</w:t>
      </w:r>
    </w:p>
    <w:p>
      <w:pPr>
        <w:spacing w:after="0" w:line="215" w:lineRule="exact"/>
        <w:rPr>
          <w:sz w:val="20"/>
          <w:szCs w:val="20"/>
          <w:color w:val="auto"/>
        </w:rPr>
      </w:pPr>
    </w:p>
    <w:p>
      <w:pPr>
        <w:ind w:left="240"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and you may not be able to resell your common stock at or above the public offering price.</w:t>
      </w:r>
    </w:p>
    <w:p>
      <w:pPr>
        <w:spacing w:after="0" w:line="3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and an active public market for our shares may not develop or be sustained after this offering. We and the representatives of the underwriters will determine the initial public offering price of our common stock through negotiation. This price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will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or in-license new product candidates using our shares as consideration.</w:t>
      </w:r>
    </w:p>
    <w:p>
      <w:pPr>
        <w:spacing w:after="0" w:line="216" w:lineRule="exact"/>
        <w:rPr>
          <w:sz w:val="20"/>
          <w:szCs w:val="20"/>
          <w:color w:val="auto"/>
        </w:rPr>
      </w:pPr>
    </w:p>
    <w:p>
      <w:pPr>
        <w:ind w:left="240"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34"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18" w:lineRule="exact"/>
        <w:rPr>
          <w:sz w:val="20"/>
          <w:szCs w:val="20"/>
          <w:color w:val="auto"/>
        </w:rPr>
      </w:pPr>
    </w:p>
    <w:p>
      <w:pPr>
        <w:ind w:left="240"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3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following the fifth anniversary of the completion of this offering (December 31, 2019), (2) the last day of the fiscal year in which we have total annual gross revenue of at least $1.0 billion, or (3) the last day of the fiscal year in which we are deemed to be a large accelerated filer, which means the market value of our common stock that is held by non-affiliates exceeds $700 million as of the prior June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and (4) the date on which we have issued more than $1.0 billion in non-convertible debt during the prior three-year period.</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94" w:lineRule="exact"/>
        <w:rPr>
          <w:sz w:val="20"/>
          <w:szCs w:val="20"/>
          <w:color w:val="auto"/>
        </w:rPr>
      </w:pPr>
    </w:p>
    <w:p>
      <w:pPr>
        <w:ind w:right="360" w:firstLine="456"/>
        <w:spacing w:after="0" w:line="289" w:lineRule="auto"/>
        <w:rPr>
          <w:sz w:val="20"/>
          <w:szCs w:val="20"/>
          <w:color w:val="auto"/>
        </w:rPr>
      </w:pPr>
      <w:r>
        <w:rPr>
          <w:rFonts w:ascii="Times New Roman" w:cs="Times New Roman" w:eastAsia="Times New Roman" w:hAnsi="Times New Roman"/>
          <w:sz w:val="16"/>
          <w:szCs w:val="16"/>
          <w:color w:val="auto"/>
        </w:rPr>
        <w:t>The initial public offering price of our common stock is substantially higher than the pro forma net tangible book value per share of our common stock before giving effect to this offering. Accordingly, if you purchase our common stock in this offering, you will incur immediate substantial dilution of</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approximately $ per share, based on the expected initial public offering price of $ per share (the midpoint of the price range set forth on the cover page of this prospectus), and our pro forma net tangible book value as of December 31, 2013. In addition, following this offering, purchasers in this offering will have contributed approximately % of the total gross consideration paid by stockholders to us to purchase shares of our common stock, but will own only approximately % of the shares of common stock outstanding immediately after this offering. Furthermore, if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underwriters exercise their option to purchase additional shares, or outstanding options or convertible securities are exercised, you could experience further dilution. For a further description of the dilution that you will experience immediately after this offering, see the section titled “Dilution.”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If we sell shares of our common stock in future financings, stockholders may experience immediate dilution and, as a result, our stock price may decline.</w:t>
      </w:r>
    </w:p>
    <w:p>
      <w:pPr>
        <w:spacing w:after="0" w:line="11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94"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upon the number of shares outstanding</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of December 31, 2013, upon the closing of this offering, we will have outstanding a total of shares of common stock, assuming no exercise of the underwriters’ option to purchase additional shares. Of these shares, approximately shares of our common stock, plus any shares sold upon exercise of the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underwriters’ option to purchase additional shares, will be freely tradable, without restriction, in the public market immediately following this offering. Citigroup and Leerink, however, may, in their sole discretion, permit our officers, directors and other stockholders who are subject to these lock-up agreements to sell shares prior to the expiration of the lock-up agreements.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lock-up agreements pertaining to this offering will expire 180 days from the date of this prospectus. After the lock-up agreements expire, as of</w:t>
      </w:r>
    </w:p>
    <w:p>
      <w:pPr>
        <w:spacing w:after="0" w:line="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December 31, 2013, up to an additional shares of common stock will be eligible for sale in the public market, of which shares are held by current directors, executive officers and other affiliates and may be subject to Rule 144 under the Securities Act of 1933, or the Securities Act.</w:t>
      </w:r>
    </w:p>
    <w:p>
      <w:pPr>
        <w:spacing w:after="0" w:line="13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addition, as of December 31, 2013, 10.5 million shares of common stock that are subject to outstanding options,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36"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After this offering, the holders of approximately 111.6 million shares of our outstanding common stock as of March 31, 2014,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0" w:lineRule="exact"/>
        <w:rPr>
          <w:sz w:val="20"/>
          <w:szCs w:val="20"/>
          <w:color w:val="auto"/>
        </w:rPr>
      </w:pPr>
    </w:p>
    <w:p>
      <w:pPr>
        <w:ind w:left="24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34"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2014, our executive officers, directors, holders of 5% or more of our capital stock and their respective affiliates beneficially owned approximately 97.7% of our outstanding voting stock and, upon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closing of this offering, that same group will hold approximately % of our outstanding voting stock (assuming no exercise of the underwriters’ option to purchase additional shares and no exercise of outstanding options). Therefore, even 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16" w:lineRule="exact"/>
        <w:rPr>
          <w:sz w:val="20"/>
          <w:szCs w:val="20"/>
          <w:color w:val="auto"/>
        </w:rPr>
      </w:pPr>
    </w:p>
    <w:p>
      <w:pPr>
        <w:ind w:left="240"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3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acquirer or delay or prevent changes in control or changes in our management without the consent of our board of directors. The provisions in our charter documents will include the following:</w:t>
      </w:r>
    </w:p>
    <w:p>
      <w:pPr>
        <w:spacing w:after="0" w:line="51" w:lineRule="exact"/>
        <w:rPr>
          <w:sz w:val="20"/>
          <w:szCs w:val="20"/>
          <w:color w:val="auto"/>
        </w:rPr>
      </w:pPr>
    </w:p>
    <w:p>
      <w:pPr>
        <w:ind w:left="900" w:right="1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38" w:lineRule="exact"/>
        <w:rPr>
          <w:rFonts w:ascii="Times New Roman" w:cs="Times New Roman" w:eastAsia="Times New Roman" w:hAnsi="Times New Roman"/>
          <w:sz w:val="18"/>
          <w:szCs w:val="18"/>
          <w:color w:val="auto"/>
        </w:rPr>
      </w:pPr>
    </w:p>
    <w:p>
      <w:pPr>
        <w:ind w:left="900" w:right="44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approval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shares entitled to vote to remove a director for cause, and the prohibition on removal of directors without cause;</w:t>
      </w:r>
    </w:p>
    <w:p>
      <w:pPr>
        <w:spacing w:after="0" w:line="38" w:lineRule="exact"/>
        <w:rPr>
          <w:rFonts w:ascii="Times New Roman" w:cs="Times New Roman" w:eastAsia="Times New Roman" w:hAnsi="Times New Roman"/>
          <w:sz w:val="18"/>
          <w:szCs w:val="18"/>
          <w:color w:val="auto"/>
        </w:rPr>
      </w:pPr>
    </w:p>
    <w:p>
      <w:pPr>
        <w:ind w:left="900" w:hanging="325"/>
        <w:spacing w:after="0" w:line="334" w:lineRule="auto"/>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approval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Times New Roman" w:cs="Times New Roman" w:eastAsia="Times New Roman" w:hAnsi="Times New Roman"/>
          <w:sz w:val="18"/>
          <w:szCs w:val="18"/>
          <w:color w:val="auto"/>
        </w:rPr>
      </w:pPr>
    </w:p>
    <w:p>
      <w:pPr>
        <w:ind w:left="900" w:right="88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38" w:lineRule="exact"/>
        <w:rPr>
          <w:rFonts w:ascii="Times New Roman" w:cs="Times New Roman" w:eastAsia="Times New Roman" w:hAnsi="Times New Roman"/>
          <w:sz w:val="18"/>
          <w:szCs w:val="18"/>
          <w:color w:val="auto"/>
        </w:rPr>
      </w:pPr>
    </w:p>
    <w:p>
      <w:pPr>
        <w:jc w:val="both"/>
        <w:ind w:left="900" w:right="200" w:hanging="325"/>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51"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any holder of 15% or more of its capital stock unless the holder has held the stock for three years or, among other exceptions, the board of directors has approved the transaction. For a description of our capital stock, see “Description of Capital Stock.”</w:t>
      </w:r>
    </w:p>
    <w:p>
      <w:pPr>
        <w:spacing w:after="0" w:line="197" w:lineRule="exact"/>
        <w:rPr>
          <w:sz w:val="20"/>
          <w:szCs w:val="20"/>
          <w:color w:val="auto"/>
        </w:rPr>
      </w:pPr>
    </w:p>
    <w:p>
      <w:pPr>
        <w:ind w:lef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provide that:</w:t>
      </w:r>
    </w:p>
    <w:p>
      <w:pPr>
        <w:spacing w:after="0" w:line="39" w:lineRule="exact"/>
        <w:rPr>
          <w:sz w:val="20"/>
          <w:szCs w:val="20"/>
          <w:color w:val="auto"/>
        </w:rPr>
      </w:pPr>
    </w:p>
    <w:p>
      <w:pPr>
        <w:ind w:left="900" w:right="180" w:hanging="325"/>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90"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8" w:lineRule="exact"/>
        <w:rPr>
          <w:rFonts w:ascii="Times New Roman" w:cs="Times New Roman" w:eastAsia="Times New Roman" w:hAnsi="Times New Roman"/>
          <w:sz w:val="18"/>
          <w:szCs w:val="18"/>
          <w:color w:val="auto"/>
        </w:rPr>
      </w:pPr>
    </w:p>
    <w:p>
      <w:pPr>
        <w:ind w:left="900" w:right="360" w:hanging="325"/>
        <w:spacing w:after="0" w:line="26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51"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38"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97" w:lineRule="exact"/>
        <w:rPr>
          <w:sz w:val="20"/>
          <w:szCs w:val="20"/>
          <w:color w:val="auto"/>
        </w:rPr>
      </w:pPr>
    </w:p>
    <w:p>
      <w:pPr>
        <w:ind w:left="240"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3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restrict our ability to pay dividends.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30" w:lineRule="exact"/>
        <w:rPr>
          <w:sz w:val="20"/>
          <w:szCs w:val="20"/>
          <w:color w:val="auto"/>
        </w:rPr>
      </w:pPr>
    </w:p>
    <w:p>
      <w:pPr>
        <w:ind w:left="900" w:right="28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data from ongoing Phase 2a and 2b trials of tenapanor and the timing of commencement of the Phase 3 development program of tenapanor;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future milestone payments from our collaboration partners, and the expected timing of such payments;</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plans with respect to our NaP2b inhibitor program, as well as our RDX009, RDX013 and RDX020 programs;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our expectations that we elect to exercise our co-promotion rights with respect to tenapanor or an NaP2b inhibitor product, or exercise our co-fund rights with respect to the first Phase 3 clinical development program for tenapanor;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potential for Sanofi to exercise its option to exclusively license our NaP2b inhibitor program;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our intention to establish new collaboration partnerships;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acquire and advance product candidates into, and successfully complete, clinical 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including tenapanor and our NaP2b inhibitors;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tenapanor and our NaP2b inhibitors;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this offering;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240" w:top="455" w:right="5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40" w:top="455" w:right="2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product candidates, including data regarding the estimated patient population in those markets, their projected growth rates, the perceptions and preferences of patients and physicians regarding certain therapies for the treatment of ESRD patients with hyperphosphatemia, patients with CKD and patients with IBS-C and other disease indications that we are pursuing or may pursue,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right="400" w:firstLine="456"/>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from the sale of shares of common stock in this offering will be approximately $ million at an assumed initial public offering price of $ per share, the midpoint of the price range set forth on the cover page of this prospectus, after deducting the estimated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underwriting discounts and commissions and estimated offering expenses payable by us. If the underwriters exercise their option to purchase additional shares in</w:t>
      </w:r>
    </w:p>
    <w:p>
      <w:pPr>
        <w:spacing w:after="0" w:line="3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full, we estimate that net proceeds will be approximately $ million after deducting the estimated underwriting discounts and commissions and estimated offering expenses payable by us. Each $1.00 increase (decrease) in the assumed initial public offering price of $ per share (the midpoint of the price range set forth on the cover page of this prospectus) would increase (decrease) the net proceeds to us from this offering, after deducting the estimated underwriting discounts and commissions and estimated offering expenses payable by us, by approximately $ million, assuming that the number of shares offered by us, as</w:t>
      </w:r>
    </w:p>
    <w:p>
      <w:pPr>
        <w:spacing w:after="0" w:line="281" w:lineRule="auto"/>
        <w:rPr>
          <w:sz w:val="20"/>
          <w:szCs w:val="20"/>
          <w:color w:val="auto"/>
        </w:rPr>
      </w:pPr>
      <w:r>
        <w:rPr>
          <w:rFonts w:ascii="Times New Roman" w:cs="Times New Roman" w:eastAsia="Times New Roman" w:hAnsi="Times New Roman"/>
          <w:sz w:val="16"/>
          <w:szCs w:val="16"/>
          <w:color w:val="auto"/>
        </w:rPr>
        <w:t>set forth on the cover page of this prospectus, remains the same. We may also increase or decrease the number of shares we are offering. An increase (decrease) of 1,000,000 in the number of shares we are offering would increase (decrease) the net proceeds to us from this offering, after deducting the estimated underwriting</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discounts and commissions and estimated offering expenses payable by us, by approximately $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expect to use our net proceeds from this offering as follows:</w:t>
      </w:r>
    </w:p>
    <w:p>
      <w:pPr>
        <w:spacing w:after="0" w:line="90"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$15.0 million to $20.0 million to fund continued discovery and development efforts for our preclinical product candidates;</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exercise our right to co-fund the first Phase 3 clinical development program for tenapanor, we may invest $20.0 million, $30.0 million or $40.0 million to acquire an increase of 1%, 2% or 3%, respectively, in the royalties payable to us by AstraZeneca on net sales of tenapanor;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to $10.0 million to advance and expand the development of APECCS; and</w:t>
      </w:r>
    </w:p>
    <w:p>
      <w:pPr>
        <w:spacing w:after="0" w:line="90" w:lineRule="exact"/>
        <w:rPr>
          <w:rFonts w:ascii="Times New Roman" w:cs="Times New Roman" w:eastAsia="Times New Roman" w:hAnsi="Times New Roman"/>
          <w:sz w:val="18"/>
          <w:szCs w:val="18"/>
          <w:color w:val="auto"/>
        </w:rPr>
      </w:pPr>
    </w:p>
    <w:p>
      <w:pPr>
        <w:ind w:left="900" w:right="680" w:hanging="325"/>
        <w:spacing w:after="0" w:line="275"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working capital and other corporate purposes, which will include facilities expansion and the pursuit of other research and discovery efforts and could include the acquisition or in-license of other products, product candidates or technologies.</w:t>
      </w:r>
    </w:p>
    <w:p>
      <w:pPr>
        <w:spacing w:after="0" w:line="120"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However, due to the uncertainties inherent in the clinical development and regulatory approval process, it is difficult to estimate with certainty the exact amounts of the net proceeds from this offering that may be used for the above purposes. As such, our management will retain discretion over the use of the net proceeds from this offering. The amounts and timing of our expenditures will depend upon numerous factors, including, among others:</w:t>
      </w:r>
    </w:p>
    <w:p>
      <w:pPr>
        <w:spacing w:after="0" w:line="51"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results of our ongoing Phase 2a and 2b clinical trials for tenapanor;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if any, of milestone payments from one or more of our collaboration partners;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exercise our right to co-fund the Phase 3 clinical development program for tenapanor and at what financial level;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exercise our right to co-promote tenapanor and/or a NaP2b inhibitor under our agreements with our collaboration partners;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scope and timing of any nonclinical or clinical trials that we may decide to pursue;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any discovery programs and research and development activities that we may undertake.</w:t>
      </w:r>
    </w:p>
    <w:p>
      <w:pPr>
        <w:spacing w:after="0" w:line="171"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Pending the use of the proceeds from this offering, we intend to invest the net proceeds in interest-bearing, investment-grade securities, certificates of deposit or government securities.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60"/>
          </w:cols>
          <w:pgMar w:left="240" w:top="455" w:right="5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2013:</w:t>
      </w:r>
    </w:p>
    <w:p>
      <w:pPr>
        <w:spacing w:after="0" w:line="90"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w:t>
      </w:r>
    </w:p>
    <w:p>
      <w:pPr>
        <w:spacing w:after="0" w:line="90" w:lineRule="exact"/>
        <w:rPr>
          <w:rFonts w:ascii="Times New Roman" w:cs="Times New Roman" w:eastAsia="Times New Roman" w:hAnsi="Times New Roman"/>
          <w:sz w:val="18"/>
          <w:szCs w:val="18"/>
          <w:color w:val="auto"/>
        </w:rPr>
      </w:pPr>
    </w:p>
    <w:p>
      <w:pPr>
        <w:ind w:left="1480" w:right="140" w:hanging="446"/>
        <w:spacing w:after="0" w:line="262"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convertible preferred stock pursuant to a stockholder vote under our amended and restated certificate of incorporation into an aggregate of 103,655,115 shares of common stock immediately prior to the consummation of this offering;</w:t>
      </w:r>
    </w:p>
    <w:p>
      <w:pPr>
        <w:sectPr>
          <w:pgSz w:w="11900" w:h="16838" w:orient="portrait"/>
          <w:cols w:equalWidth="0" w:num="1">
            <w:col w:w="11260"/>
          </w:cols>
          <w:pgMar w:left="240" w:top="455" w:right="399" w:bottom="1440" w:gutter="0" w:footer="0" w:header="0"/>
        </w:sectPr>
      </w:pPr>
    </w:p>
    <w:p>
      <w:pPr>
        <w:spacing w:after="0" w:line="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net exercise, based on an assumed initial public offering price of $ per share, the midpoint of the price range set forth on the cover page of this prospectus, of all of our Series B warrants into shares of our common stock at an exercise price of $0.01 per share, and the related reclassification of our convertible preferred stock warrant liability to additional paid-in capital; and</w:t>
      </w:r>
    </w:p>
    <w:p>
      <w:pPr>
        <w:spacing w:after="0" w:line="51" w:lineRule="exact"/>
        <w:rPr>
          <w:sz w:val="20"/>
          <w:szCs w:val="20"/>
          <w:color w:val="auto"/>
        </w:rPr>
      </w:pPr>
    </w:p>
    <w:p>
      <w:pPr>
        <w:sectPr>
          <w:pgSz w:w="11900" w:h="16838" w:orient="portrait"/>
          <w:cols w:equalWidth="0" w:num="2">
            <w:col w:w="1100" w:space="380"/>
            <w:col w:w="9780"/>
          </w:cols>
          <w:pgMar w:left="240" w:top="455" w:right="399" w:bottom="1440" w:gutter="0" w:footer="0" w:header="0"/>
          <w:type w:val="continuous"/>
        </w:sectPr>
      </w:pPr>
    </w:p>
    <w:p>
      <w:pPr>
        <w:ind w:left="1480" w:right="920" w:hanging="446"/>
        <w:spacing w:after="0" w:line="275" w:lineRule="auto"/>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consummation of this offering; and</w:t>
      </w:r>
    </w:p>
    <w:p>
      <w:pPr>
        <w:sectPr>
          <w:pgSz w:w="11900" w:h="16838" w:orient="portrait"/>
          <w:cols w:equalWidth="0" w:num="1">
            <w:col w:w="11260"/>
          </w:cols>
          <w:pgMar w:left="240" w:top="455" w:right="399" w:bottom="1440" w:gutter="0" w:footer="0" w:header="0"/>
          <w:type w:val="continuous"/>
        </w:sectPr>
      </w:pP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on a pro forma as adjusted basis to give further effect to the sale of shares of common stock in this offering at an assumed initial public offering price of $ per share, the midpoint of the price range shown on the cover page of this prospectus, after deducting the estimated underwriting discounts and commissions and estimated offering expenses payable by us.</w:t>
      </w:r>
    </w:p>
    <w:p>
      <w:pPr>
        <w:spacing w:after="0" w:line="119" w:lineRule="exact"/>
        <w:rPr>
          <w:sz w:val="20"/>
          <w:szCs w:val="20"/>
          <w:color w:val="auto"/>
        </w:rPr>
      </w:pPr>
    </w:p>
    <w:p>
      <w:pPr>
        <w:sectPr>
          <w:pgSz w:w="11900" w:h="16838" w:orient="portrait"/>
          <w:cols w:equalWidth="0" w:num="2">
            <w:col w:w="640" w:space="260"/>
            <w:col w:w="10360"/>
          </w:cols>
          <w:pgMar w:left="240" w:top="455" w:right="3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240" w:top="455" w:right="39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20" w:firstLine="456"/>
        <w:spacing w:after="0" w:line="262" w:lineRule="auto"/>
        <w:rPr>
          <w:sz w:val="20"/>
          <w:szCs w:val="20"/>
          <w:color w:val="auto"/>
        </w:rPr>
      </w:pPr>
      <w:r>
        <w:rPr>
          <w:rFonts w:ascii="Times New Roman" w:cs="Times New Roman" w:eastAsia="Times New Roman" w:hAnsi="Times New Roman"/>
          <w:sz w:val="18"/>
          <w:szCs w:val="18"/>
          <w:color w:val="auto"/>
        </w:rPr>
        <w:t>You should read this information together with our audited financial statements and related notes appearing elsewhere in this prospectus and the information set forth under the headings “Selected Financial Data” and “Management’s Discussion and Analysis of Financial Condition and Results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6"/>
              </w:rPr>
              <w:t>As of December 31, 2013</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6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4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3"/>
                <w:szCs w:val="13"/>
                <w:b w:val="1"/>
                <w:bCs w:val="1"/>
                <w:color w:val="auto"/>
              </w:rPr>
              <w:t>Adjusted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38"/>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6"/>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(in thousands, except per share data)</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34,435</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34,435</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Convertible preferred stock, $0.0001 par value per share, 108,829,748 shares authorized;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103,655,115 shares issued and outstanding, actual, actual; no shares issued and outstanding, pro</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2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56,155</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gridSpan w:val="5"/>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Preferred stock, par value of $0.0001 per share, no shares authorized, issued or outstanding,</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actual; 5,000,000 shares authorized, no shares issued or outstanding, pro forma and pro</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forma as adjusted</w:t>
            </w:r>
          </w:p>
        </w:tc>
        <w:tc>
          <w:tcPr>
            <w:tcW w:w="2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7820" w:type="dxa"/>
            <w:vAlign w:val="bottom"/>
            <w:gridSpan w:val="5"/>
          </w:tcPr>
          <w:p>
            <w:pPr>
              <w:ind w:left="440"/>
              <w:spacing w:after="0" w:line="201" w:lineRule="exact"/>
              <w:rPr>
                <w:sz w:val="20"/>
                <w:szCs w:val="20"/>
                <w:color w:val="auto"/>
              </w:rPr>
            </w:pPr>
            <w:r>
              <w:rPr>
                <w:rFonts w:ascii="Times New Roman" w:cs="Times New Roman" w:eastAsia="Times New Roman" w:hAnsi="Times New Roman"/>
                <w:sz w:val="18"/>
                <w:szCs w:val="18"/>
                <w:color w:val="auto"/>
              </w:rPr>
              <w:t>Common stock, $0.0001 par value per share, 130,360,121 shares authorized; 11,029,497</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actual; 300,000,000 shares authorized,</w:t>
            </w:r>
          </w:p>
        </w:tc>
        <w:tc>
          <w:tcPr>
            <w:tcW w:w="1980" w:type="dxa"/>
            <w:vAlign w:val="bottom"/>
            <w:gridSpan w:val="2"/>
          </w:tcPr>
          <w:p>
            <w:pPr>
              <w:jc w:val="right"/>
              <w:ind w:right="678"/>
              <w:spacing w:after="0"/>
              <w:rPr>
                <w:sz w:val="20"/>
                <w:szCs w:val="20"/>
                <w:color w:val="auto"/>
              </w:rPr>
            </w:pPr>
            <w:r>
              <w:rPr>
                <w:rFonts w:ascii="Times New Roman" w:cs="Times New Roman" w:eastAsia="Times New Roman" w:hAnsi="Times New Roman"/>
                <w:sz w:val="18"/>
                <w:szCs w:val="18"/>
                <w:color w:val="auto"/>
              </w:rPr>
              <w:t>shares issued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and outstanding, pro forma and</w:t>
            </w:r>
          </w:p>
        </w:tc>
        <w:tc>
          <w:tcPr>
            <w:tcW w:w="4460" w:type="dxa"/>
            <w:vAlign w:val="bottom"/>
            <w:gridSpan w:val="3"/>
          </w:tcPr>
          <w:p>
            <w:pPr>
              <w:jc w:val="right"/>
              <w:ind w:right="1258"/>
              <w:spacing w:after="0"/>
              <w:rPr>
                <w:sz w:val="20"/>
                <w:szCs w:val="20"/>
                <w:color w:val="auto"/>
              </w:rPr>
            </w:pPr>
            <w:r>
              <w:rPr>
                <w:rFonts w:ascii="Times New Roman" w:cs="Times New Roman" w:eastAsia="Times New Roman" w:hAnsi="Times New Roman"/>
                <w:sz w:val="18"/>
                <w:szCs w:val="18"/>
                <w:color w:val="auto"/>
                <w:w w:val="98"/>
              </w:rPr>
              <w:t>shares issued and outstanding, pro forma as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w:t>
            </w:r>
          </w:p>
        </w:tc>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67,774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2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(68,653)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w w:val="97"/>
              </w:rPr>
              <w:t>(68,653)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7"/>
              </w:rPr>
              <w:t>Total stockholders’ (deficit) equity</w:t>
            </w:r>
          </w:p>
        </w:tc>
        <w:tc>
          <w:tcPr>
            <w:tcW w:w="2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(63,479)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(868)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capitalization</w:t>
            </w:r>
          </w:p>
        </w:tc>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74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60"/>
        <w:spacing w:after="0" w:line="257" w:lineRule="auto"/>
        <w:rPr>
          <w:sz w:val="20"/>
          <w:szCs w:val="20"/>
          <w:color w:val="auto"/>
        </w:rPr>
      </w:pPr>
      <w:r>
        <w:rPr>
          <w:rFonts w:ascii="Times New Roman" w:cs="Times New Roman" w:eastAsia="Times New Roman" w:hAnsi="Times New Roman"/>
          <w:sz w:val="18"/>
          <w:szCs w:val="18"/>
          <w:color w:val="auto"/>
        </w:rPr>
        <w:t>cover page of this prospectus, would increase or decrease, respectively, the amount of cash and cash equivalents, additional paid-in capital, total stockholder’s equity and total capitalization by $ million, assuming the number of shares offered by us, as set forth on the cover page of this prospectus,</w:t>
      </w:r>
    </w:p>
    <w:p>
      <w:pPr>
        <w:spacing w:after="0" w:line="1" w:lineRule="exact"/>
        <w:rPr>
          <w:sz w:val="20"/>
          <w:szCs w:val="20"/>
          <w:color w:val="auto"/>
        </w:rPr>
      </w:pPr>
    </w:p>
    <w:p>
      <w:pPr>
        <w:ind w:left="340" w:right="240"/>
        <w:spacing w:after="0" w:line="281" w:lineRule="auto"/>
        <w:rPr>
          <w:sz w:val="20"/>
          <w:szCs w:val="20"/>
          <w:color w:val="auto"/>
        </w:rPr>
      </w:pPr>
      <w:r>
        <w:rPr>
          <w:rFonts w:ascii="Times New Roman" w:cs="Times New Roman" w:eastAsia="Times New Roman" w:hAnsi="Times New Roman"/>
          <w:sz w:val="16"/>
          <w:szCs w:val="16"/>
          <w:color w:val="auto"/>
        </w:rPr>
        <w:t>remains the same and after deducting the estimated underwriting discount and commissions, and estimated offering expenses payable by us. We may also increase or decrease the number of shares we are offering. An increase or decrease of 1,000,000 in the number of shares we are offering would increase or</w:t>
      </w:r>
    </w:p>
    <w:p>
      <w:pPr>
        <w:spacing w:after="0" w:line="1"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decrease, respectively, the amount of cash and cash equivalents, working capital, total assets and stockholders’ equity by approximately $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outstanding share information in the table above excludes the following:</w:t>
      </w:r>
    </w:p>
    <w:p>
      <w:pPr>
        <w:spacing w:after="0" w:line="90" w:lineRule="exact"/>
        <w:rPr>
          <w:sz w:val="20"/>
          <w:szCs w:val="20"/>
          <w:color w:val="auto"/>
        </w:rPr>
      </w:pPr>
    </w:p>
    <w:p>
      <w:pPr>
        <w:ind w:left="900" w:right="160" w:hanging="325"/>
        <w:spacing w:after="0" w:line="26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10,465,638 shares of common stock issuable upon the exercise of outstanding stock options as of December 31, 2013 having a weighted-average exercise price of $0.11 per share (which includes 2,576,034 shares of early exercised stock options subject to a repurchase right as of December 31, 2013);</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35,238 shares of common stock reserved for issuance pursuant to future awards under our 2008 Stock Incentive Plan, as amended, as of</w:t>
      </w:r>
    </w:p>
    <w:p>
      <w:pPr>
        <w:spacing w:after="0" w:line="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December 31, 2013, which will become available for issuance under our 2014 Equity Incentive Award Plan after consummation of this offering; and</w:t>
      </w:r>
    </w:p>
    <w:p>
      <w:pPr>
        <w:spacing w:after="0" w:line="100" w:lineRule="exact"/>
        <w:rPr>
          <w:rFonts w:ascii="Times New Roman" w:cs="Times New Roman" w:eastAsia="Times New Roman" w:hAnsi="Times New Roman"/>
          <w:sz w:val="18"/>
          <w:szCs w:val="18"/>
          <w:color w:val="auto"/>
        </w:rPr>
      </w:pPr>
    </w:p>
    <w:p>
      <w:pPr>
        <w:ind w:left="900" w:right="640" w:hanging="325"/>
        <w:spacing w:after="0" w:line="262" w:lineRule="auto"/>
        <w:tabs>
          <w:tab w:leader="none" w:pos="14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pursuant to future awards under our 2014 Equity Incentive Award Plan, as well as any automatic increases in the number of shares of our common stock reserved for future issuance under this plan, which will become effective immediately prior to the consummation of this offering.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immediately diluted to the extent of the difference between the initial public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per share of our common stock in this offering and the net tangible book value per share of our common stock after this offering.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2013, we had a historical net tangible book value of $(63.5) million, or $(5.76) per share of common stock. Our net tangible book value represents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tangible assets less total liabilities and convertible preferred stock, all divided by the number of shares of common stock outstanding on December 31, 2013.</w:t>
      </w:r>
    </w:p>
    <w:p>
      <w:pPr>
        <w:spacing w:after="0" w:line="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at December 31, 2013, before giving effect to this offering, was $ million, or $ per share of our common stock. Pro forma net tangible book value, before the issuance and sale of shares in this offering, gives effect to:</w:t>
      </w:r>
    </w:p>
    <w:p>
      <w:pPr>
        <w:spacing w:after="0" w:line="51" w:lineRule="exact"/>
        <w:rPr>
          <w:sz w:val="20"/>
          <w:szCs w:val="20"/>
          <w:color w:val="auto"/>
        </w:rPr>
      </w:pPr>
    </w:p>
    <w:p>
      <w:pPr>
        <w:ind w:left="900" w:right="10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convertible preferred stock pursuant to a stockholder vote under our amended and restated certificate of incorporation into an aggregate of 103,655,115 shares of common stock immediately prior to the consummation of this offering;</w:t>
      </w:r>
    </w:p>
    <w:p>
      <w:pPr>
        <w:sectPr>
          <w:pgSz w:w="11900" w:h="16838" w:orient="portrait"/>
          <w:cols w:equalWidth="0" w:num="1">
            <w:col w:w="11380"/>
          </w:cols>
          <w:pgMar w:left="240" w:top="455" w:right="279" w:bottom="1440" w:gutter="0" w:footer="0" w:header="0"/>
        </w:sectPr>
      </w:pP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net exercise, based on an assumed initial public offering price of $ per share, the midpoint of the price range set forth on the cover page of this prospectus, of all of our Series B warrants into shares of our common stock at an exercise price of $0.01 per share, and the related reclassification of our convertible preferred stock warrant liability to additional paid-in capital; and</w:t>
      </w:r>
    </w:p>
    <w:p>
      <w:pPr>
        <w:spacing w:after="0" w:line="51" w:lineRule="exact"/>
        <w:rPr>
          <w:sz w:val="20"/>
          <w:szCs w:val="20"/>
          <w:color w:val="auto"/>
        </w:rPr>
      </w:pPr>
    </w:p>
    <w:p>
      <w:pPr>
        <w:sectPr>
          <w:pgSz w:w="11900" w:h="16838" w:orient="portrait"/>
          <w:cols w:equalWidth="0" w:num="2">
            <w:col w:w="640" w:space="260"/>
            <w:col w:w="10480"/>
          </w:cols>
          <w:pgMar w:left="240" w:top="455" w:right="279" w:bottom="1440" w:gutter="0" w:footer="0" w:header="0"/>
          <w:type w:val="continuous"/>
        </w:sectPr>
      </w:pPr>
    </w:p>
    <w:p>
      <w:pPr>
        <w:ind w:left="900" w:right="40" w:hanging="325"/>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immediately prior to the consummation of this offering.</w:t>
      </w:r>
    </w:p>
    <w:p>
      <w:pPr>
        <w:spacing w:after="0" w:line="120" w:lineRule="exact"/>
        <w:rPr>
          <w:sz w:val="20"/>
          <w:szCs w:val="20"/>
          <w:color w:val="auto"/>
        </w:rPr>
      </w:pPr>
    </w:p>
    <w:p>
      <w:pPr>
        <w:ind w:right="160" w:firstLine="456"/>
        <w:spacing w:after="0" w:line="289" w:lineRule="auto"/>
        <w:rPr>
          <w:sz w:val="20"/>
          <w:szCs w:val="20"/>
          <w:color w:val="auto"/>
        </w:rPr>
      </w:pPr>
      <w:r>
        <w:rPr>
          <w:rFonts w:ascii="Times New Roman" w:cs="Times New Roman" w:eastAsia="Times New Roman" w:hAnsi="Times New Roman"/>
          <w:sz w:val="16"/>
          <w:szCs w:val="16"/>
          <w:color w:val="auto"/>
        </w:rPr>
        <w:t>After giving effect to the sale of shares of common stock in this offering at an assumed initial public offering price of $ per share (the midpoint of the price range set forth on the cover page of this prospectus) and after deducting the estimated underwriting discounts and commissions and estimated offering</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expenses, our pro forma as adjusted net tangible book value at December 31, 2013 would have been approximately $ million, or $ per share. This represents an immediate increase in pro forma as adjusted net tangible book value of $ per share to existing stockholders and an immediate dilution of</w:t>
      </w:r>
    </w:p>
    <w:p>
      <w:pPr>
        <w:spacing w:after="0" w:line="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to new investors. The following table illustrates this per share dilution: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right="1680"/>
        <w:spacing w:after="0" w:line="250" w:lineRule="auto"/>
        <w:rPr>
          <w:sz w:val="20"/>
          <w:szCs w:val="20"/>
          <w:color w:val="auto"/>
        </w:rPr>
      </w:pPr>
      <w:r>
        <w:rPr>
          <w:rFonts w:ascii="Times New Roman" w:cs="Times New Roman" w:eastAsia="Times New Roman" w:hAnsi="Times New Roman"/>
          <w:sz w:val="18"/>
          <w:szCs w:val="18"/>
          <w:color w:val="auto"/>
        </w:rPr>
        <w:t>Historical net tangible book value per share as of December 31, 2013 $ Pro forma increase in net tangible book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14605</wp:posOffset>
            </wp:positionV>
            <wp:extent cx="4457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the midpoint of the price range set forth on the cover page of this prospectus, would increase (decrease) our pro forma as adjusted net tangible book value as of December 31, 2013 after this offering by approximately</w:t>
      </w:r>
    </w:p>
    <w:p>
      <w:pPr>
        <w:spacing w:after="0" w:line="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 million, or approximately $ per share, and would decrease (increase) dilution to investors in this offering by approximately $ per share, assuming that the number of shares offered by us, as set forth on the cover page of this prospectus, remains the same, after deducting the estimated underwriting discounts and commissions and estimated offering expenses payable by us. We may also increase or decrease the number of shares we are offering. An increase (decrease) of 1,000,000 in the number of shares we are offering would increase (decrease) our pro forma as adjusted net tangible book value as of December 31,</w:t>
      </w:r>
    </w:p>
    <w:p>
      <w:pPr>
        <w:spacing w:after="0" w:line="3"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2013 after this offering by approximately $ million, or approximately $ per share, and would decrease (increase) dilution to investors in this offering by approximately $ per share, assuming the assumed initial public offering price per share remains the same, after deducting the estimated underwriting discounts and commissions and estimated offering</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expenses payable by us. The pro forma as adjusted information is illustrative only, and we will adjust this information based on the actual initial public offering price and other terms of this offering determined at pricing.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the underwriters fully exercise their option to purchase additional shares, pro forma as adjusted net tangible book value after this offering would increase</w:t>
      </w:r>
    </w:p>
    <w:p>
      <w:pPr>
        <w:spacing w:after="0" w:line="44" w:lineRule="exact"/>
        <w:rPr>
          <w:sz w:val="20"/>
          <w:szCs w:val="20"/>
          <w:color w:val="auto"/>
        </w:rPr>
      </w:pPr>
    </w:p>
    <w:p>
      <w:pPr>
        <w:spacing w:after="0"/>
        <w:tabs>
          <w:tab w:leader="none" w:pos="1880" w:val="left"/>
          <w:tab w:leader="none" w:pos="7480" w:val="left"/>
        </w:tabs>
        <w:rPr>
          <w:sz w:val="20"/>
          <w:szCs w:val="20"/>
          <w:color w:val="auto"/>
        </w:rPr>
      </w:pPr>
      <w:r>
        <w:rPr>
          <w:rFonts w:ascii="Times New Roman" w:cs="Times New Roman" w:eastAsia="Times New Roman" w:hAnsi="Times New Roman"/>
          <w:sz w:val="18"/>
          <w:szCs w:val="18"/>
          <w:color w:val="auto"/>
        </w:rPr>
        <w:t>to approximately $</w:t>
      </w:r>
      <w:r>
        <w:rPr>
          <w:sz w:val="20"/>
          <w:szCs w:val="20"/>
          <w:color w:val="auto"/>
        </w:rPr>
        <w:tab/>
      </w:r>
      <w:r>
        <w:rPr>
          <w:rFonts w:ascii="Times New Roman" w:cs="Times New Roman" w:eastAsia="Times New Roman" w:hAnsi="Times New Roman"/>
          <w:sz w:val="18"/>
          <w:szCs w:val="18"/>
          <w:color w:val="auto"/>
        </w:rPr>
        <w:t>per share, and there would be an immediate dilution of approximately $</w:t>
      </w:r>
      <w:r>
        <w:rPr>
          <w:sz w:val="20"/>
          <w:szCs w:val="20"/>
          <w:color w:val="auto"/>
        </w:rPr>
        <w:tab/>
      </w:r>
      <w:r>
        <w:rPr>
          <w:rFonts w:ascii="Times New Roman" w:cs="Times New Roman" w:eastAsia="Times New Roman" w:hAnsi="Times New Roman"/>
          <w:sz w:val="16"/>
          <w:szCs w:val="16"/>
          <w:color w:val="auto"/>
        </w:rPr>
        <w:t>per share to new investors.</w:t>
      </w:r>
    </w:p>
    <w:p>
      <w:pPr>
        <w:spacing w:after="0" w:line="15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To the extent that outstanding options with an exercise price per share that is less than the pro forma as adjusted net tangible book value per share, before giving effect to the issuance and sale of shares in this offering,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39"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The following table shows, as of December 31, 2013, on a pro forma as adjusted basis, after giving effect to the pro forma adjustments described above, the number of shares of common stock purchased from us, the total consideration paid to us and the average price paid per share by existing stockholders and by new</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investors purchasing common stock in this offering at an assumed initial public offering price of $ per share, before deducting the estimated underwriting discounts and commissions and estimated offering expenses payable by us (in thousands, except share and per share amounts and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20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130"/>
        </w:trPr>
        <w:tc>
          <w:tcPr>
            <w:tcW w:w="7280" w:type="dxa"/>
            <w:vAlign w:val="bottom"/>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Borders>
              <w:bottom w:val="single" w:sz="8" w:color="auto"/>
            </w:tcBorders>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Per</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2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4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1"/>
              </w:rPr>
              <w:t>Percent</w:t>
            </w:r>
          </w:p>
        </w:tc>
        <w:tc>
          <w:tcPr>
            <w:tcW w:w="1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0" w:type="dxa"/>
            <w:vAlign w:val="bottom"/>
          </w:tcPr>
          <w:p>
            <w:pPr>
              <w:spacing w:after="0"/>
              <w:rPr>
                <w:sz w:val="1"/>
                <w:szCs w:val="1"/>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the number of shares outstanding as of December 31, 2013 and excludes the following:</w:t>
      </w:r>
    </w:p>
    <w:p>
      <w:pPr>
        <w:spacing w:after="0" w:line="39" w:lineRule="exact"/>
        <w:rPr>
          <w:sz w:val="20"/>
          <w:szCs w:val="20"/>
          <w:color w:val="auto"/>
        </w:rPr>
      </w:pPr>
    </w:p>
    <w:p>
      <w:pPr>
        <w:ind w:left="900" w:right="160" w:hanging="325"/>
        <w:spacing w:after="0" w:line="26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10,465,638 shares of common stock issuable upon the exercise of outstanding stock options as of December 31, 2013 having a weighted-average exercise price of $0.11 per share (which includes 2,576,034 shares of early exercised stock options subject to a repurchase right as of December 31, 2013);</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35,238 shares of common stock reserved for issuance pursuant to future awards under our 2008 Stock Incentive Plan, as amended, as of</w:t>
      </w:r>
    </w:p>
    <w:p>
      <w:pPr>
        <w:spacing w:after="0" w:line="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December 31, 2013, which will become available for issuance under our 2014 Equity Incentive Award Plan after consummation of this offering; and</w:t>
      </w:r>
    </w:p>
    <w:p>
      <w:pPr>
        <w:spacing w:after="0" w:line="100" w:lineRule="exact"/>
        <w:rPr>
          <w:rFonts w:ascii="Times New Roman" w:cs="Times New Roman" w:eastAsia="Times New Roman" w:hAnsi="Times New Roman"/>
          <w:sz w:val="18"/>
          <w:szCs w:val="18"/>
          <w:color w:val="auto"/>
        </w:rPr>
      </w:pPr>
    </w:p>
    <w:p>
      <w:pPr>
        <w:ind w:left="900" w:right="640" w:hanging="325"/>
        <w:spacing w:after="0" w:line="262" w:lineRule="auto"/>
        <w:tabs>
          <w:tab w:leader="none" w:pos="14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pursuant to future awards under our 2014 Equity Incentive Award Plan, as well as any automatic increases in the number of shares of our common stock reserved for future issuance under this plan, which will become effective immediately prior to the consummation of this offering.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selected statement of operations data for the years ended December 31, 2012 and 2013 and the selected balance sheet data as of December 31, 2012 and 2013 are derived from our audited financial statements included elsewhere in this prospectus.</w:t>
      </w:r>
    </w:p>
    <w:p>
      <w:pPr>
        <w:spacing w:after="0" w:line="120"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that may be expected in the future. You should read the selected historical financial data below in conjunction with “Management’s Discussion and Analysis of Financial Condition and Results of Operations” and the financial statements and related notes included elsewhere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4"/>
          </w:tcPr>
          <w:p>
            <w:pPr>
              <w:jc w:val="center"/>
              <w:ind w:right="14"/>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share data)</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Licensing revenue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11"/>
                <w:szCs w:val="11"/>
                <w:color w:val="auto"/>
              </w:rPr>
              <w:t>(1)</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1"/>
                <w:szCs w:val="11"/>
                <w:color w:val="auto"/>
              </w:rPr>
              <w:t>(1)</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31,793</w:t>
            </w:r>
          </w:p>
        </w:tc>
        <w:tc>
          <w:tcPr>
            <w:tcW w:w="0" w:type="dxa"/>
            <w:vAlign w:val="bottom"/>
          </w:tcPr>
          <w:p>
            <w:pPr>
              <w:spacing w:after="0"/>
              <w:rPr>
                <w:sz w:val="1"/>
                <w:szCs w:val="1"/>
                <w:color w:val="auto"/>
              </w:rPr>
            </w:pPr>
          </w:p>
        </w:tc>
      </w:tr>
      <w:tr>
        <w:trPr>
          <w:trHeight w:val="222"/>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r>
              <w:rPr>
                <w:rFonts w:ascii="Times New Roman" w:cs="Times New Roman" w:eastAsia="Times New Roman" w:hAnsi="Times New Roman"/>
                <w:sz w:val="11"/>
                <w:szCs w:val="11"/>
                <w:color w:val="auto"/>
              </w:rPr>
              <w:t>(2)</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3"/>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r>
              <w:rPr>
                <w:rFonts w:ascii="Times New Roman" w:cs="Times New Roman" w:eastAsia="Times New Roman" w:hAnsi="Times New Roman"/>
                <w:sz w:val="11"/>
                <w:szCs w:val="11"/>
                <w:color w:val="auto"/>
              </w:rPr>
              <w:t>(2)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7,776,345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10,152,207</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 (unaudited)</w:t>
            </w:r>
            <w:r>
              <w:rPr>
                <w:rFonts w:ascii="Times New Roman" w:cs="Times New Roman" w:eastAsia="Times New Roman" w:hAnsi="Times New Roman"/>
                <w:sz w:val="11"/>
                <w:szCs w:val="11"/>
                <w:color w:val="auto"/>
              </w:rPr>
              <w:t>(2)</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gridSpan w:val="3"/>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pro forma net loss per common share, basic and diluted (unaudited)</w:t>
            </w:r>
            <w:r>
              <w:rPr>
                <w:rFonts w:ascii="Times New Roman" w:cs="Times New Roman" w:eastAsia="Times New Roman" w:hAnsi="Times New Roman"/>
                <w:sz w:val="11"/>
                <w:szCs w:val="11"/>
                <w:color w:val="auto"/>
              </w:rPr>
              <w:t>(2)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the statement of operations data above are the following stock-based compensation expenses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221</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252</w:t>
            </w:r>
          </w:p>
        </w:tc>
        <w:tc>
          <w:tcPr>
            <w:tcW w:w="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473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40" w:hanging="332"/>
        <w:spacing w:after="0" w:line="26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audited financial statements included elsewhere in this prospectus for an explanation of the calculations of our basic and diluted net loss per common share, pro forma net loss per common share, and the weighted-average number of shares used in the computation of the per share amounts.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9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5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40" w:type="dxa"/>
            <w:vAlign w:val="bottom"/>
            <w:gridSpan w:val="2"/>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$ 32,903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$ 34,435</w:t>
            </w: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Working capital</w:t>
            </w:r>
          </w:p>
        </w:tc>
        <w:tc>
          <w:tcPr>
            <w:tcW w:w="584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20,069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24,697</w:t>
            </w: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5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37,884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42,904</w:t>
            </w: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584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2,950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6,456</w:t>
            </w:r>
          </w:p>
        </w:tc>
      </w:tr>
      <w:tr>
        <w:trPr>
          <w:trHeight w:val="216"/>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58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56,155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56,155</w:t>
            </w:r>
          </w:p>
        </w:tc>
      </w:tr>
      <w:tr>
        <w:trPr>
          <w:trHeight w:val="216"/>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584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(62,089)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(68,653)</w:t>
            </w:r>
          </w:p>
        </w:tc>
      </w:tr>
      <w:tr>
        <w:trPr>
          <w:trHeight w:val="228"/>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584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(57,392)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(63,479)</w:t>
            </w:r>
          </w:p>
        </w:tc>
      </w:tr>
      <w:tr>
        <w:trPr>
          <w:trHeight w:val="350"/>
        </w:trPr>
        <w:tc>
          <w:tcPr>
            <w:tcW w:w="4580" w:type="dxa"/>
            <w:vAlign w:val="bottom"/>
          </w:tcPr>
          <w:p>
            <w:pPr>
              <w:spacing w:after="0"/>
              <w:rPr>
                <w:sz w:val="24"/>
                <w:szCs w:val="24"/>
                <w:color w:val="auto"/>
              </w:rPr>
            </w:pPr>
          </w:p>
        </w:tc>
        <w:tc>
          <w:tcPr>
            <w:tcW w:w="4900" w:type="dxa"/>
            <w:vAlign w:val="bottom"/>
          </w:tcPr>
          <w:p>
            <w:pPr>
              <w:jc w:val="right"/>
              <w:ind w:right="3592"/>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5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included elsewhere in this prospectus. This discussion and other parts of this prospectus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prospectus.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innovative, non-systemic, small molecule therapeutics that work exclusively in the gastrointestinal, or GI, tract to treat cardio-renal, GI and metabolic diseases. We have developed a proprietary drug discovery and design platform enabling us, in a rapid and cost-efficient manner, to discover and design novel drug candidates. Utilizing our platform, we discovered and designed our lead product candidate, tenapanor, which in preclinical and clinical studies has consistently demonstrated the ability to reduce the absorption of dietary sodium and phosphorus, both of which are key factors in the progression of kidney disease. To enhance our proprietary drug discovery and design platform, we have developed a cell-culture system to simulate gut tissues called the Ardelyx Primary Enterocyte and Colonocyte Culture System, or APECCS. We have also identified over 3,800 proteins on the inner surface of the gut, many of which we believe may be drug targets. In addition to tenapanor, we are evaluating small molecule NaP2b inhibitors for the treatment of hyperphosphatemia in end stage renal disease, or ESRD, a program we have licensed to Sanofi S.A., or Sanofi. We are also independently advancing three other discovery and lead development programs focused in cardio-renal, GI and metabolic diseases.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October 2012, we entered into a collaboration partnership with AstraZeneca AB, or AstraZeneca, for the worldwide development and commercialization of tenapanor. AstraZeneca is responsible for all of the development and commercialization costs for tenapanor, and we have retained an option to co-promote in the United States. Together with AstraZeneca, we are evaluating tenapanor in three Phase 2 clinical trials in patients with ESRD, late-stage CKD, and constipation-predominant irritable bowel syndrome, or IBS-C. If we exercise our right to co-fund the first Phase 3 clinical development program for tenapanor, we may invest $20.0 million, $30.0 million or $40.0 million to acquire an increase of 1%, 2% or 3%, respectively, in the royalties payable to us by AstraZeneca on net sales of tenapanor. In December 2013, we entered into an amendment to the license agreement to acknowledge the intention of AstraZeneca to commence development of tenapanor for the treatment of hyperphosphatemia in ESRD patients and to provide additional clarification for certain payments. There was no change in the total consideration that we could receive under the agreement.</w:t>
      </w:r>
    </w:p>
    <w:p>
      <w:pPr>
        <w:spacing w:after="0" w:line="13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Through our participation with AstraZeneca on a development collaboration committee, we are involved in the management and oversight of the development of tenapanor and participation will continue until all of Phase 2 clinical trials with tenapanor have been completed. In addition, we are directly responsible for the conduct of certain specified clinical trials being conducted with tenapanor. AstraZeneca reimburses us for our internal and external costs related to those development efforts, and any other development efforts that may be assigned to us by the development collaboration committee. We are initially responsible for supplying tenapanor for use in development. The agreement also obligates us to transfer the technology and other necessary information such that AstraZeneca will be able to assume the responsibility for the supply of the drug product for use in later-stage clinical trials.</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Under the terms of the agreement with AstraZeneca, we received a $35.0 million upfront payment and we are eligible to receive up to $237.5 million in development milestones, of which we have received $15.0 million.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to receive a payment of $25.0 million in the second quarter of 2014 as a result of the dosing of the first patient in the Phase 2b ESRD clinical trial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hyperphosphatemia, which occurred in April 2014. In addition to the $237.5 million in total development milestones, we are also eligible to receive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$597.5 million in sales and launch milestones. Through March 31, 2014, we also received $24.5 million in reimbursement for our development efforts provided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agreement. We are also eligible to receive incremental tiered royalties based on aggregate annual net sales of each licensed product starting in the high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single digits and increasing to high teen percentages as annual net sales increase, subject to an increase related to our co-fund election, if we decide to make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election.</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identified the deliverables within the arrangement as a license to the technology, the initial supply of the compound of the licensed product for use in development, and ongoing development activities through completion of all Phase 2 clinical trials to be conducted with tenapanor. We have concluded that the license is not a separate unit of accounting as it does not have stand-alone value to AstraZeneca, apart from the development services to be performed pursuant to the agreement. As a result, we recognize revenue from the $35.0 million up-front payment on a straight-line basis over the period from the effective date of the agreement through the completion of all Phase 2 clinical trials to be conducted with tenapanor, which we currently estimate to be December 2016, and we recognize revenue from the $15.0 million development milestone payment on a straight-line basis over the period from the amendment date through the same estimated completion date of all Phase 2 clinical trials.</w:t>
      </w:r>
    </w:p>
    <w:p>
      <w:pPr>
        <w:spacing w:after="0" w:line="14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2014, we entered into an option and license agreement with Sanofi under which we granted Sanofi an exclusive worldwide license to conduct research utilizing our small molecule NaP2b inhibitors. In addition, Sanofi has the option to obtain an exclusive license to develop, manufacture and commercialize our NaP2b inhibitors. Sanofi is advancing this program towards first-in-human clinical trials. Under our arrangement, Sanofi is responsible for all of the costs and expenses for research and preclinical activities and, should it exercise its option, for the development and commercialization efforts under the program. Under the license option and license agreement, we received an upfront payment of $1.25 million and are responsible for up to $175,000 of patent costs, at which point any additional patent costs will be fully reimbursed to us by Sanofi. We have the potential to earn future development, regulatory and commercial milestone payments of up to $196.75 million if Sanofi continues to advance the program into development and through commercialization. If a NaP2b inhibitor is commercialized by Sanofi as a result of this program, we will receive tiered royalties ranging from the mid-single digits into the low double digits. As part of our agreement with Sanofi, we retain an option to co-promote licensed products in the United States.</w:t>
      </w:r>
    </w:p>
    <w:p>
      <w:pPr>
        <w:spacing w:after="0" w:line="14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revenue to date has been generated from collaboration and license revenue pursuant to our license agreements with AstraZeneca, and Sanofi. We have not generated any commercial product revenue. As of December 31, 2013, we had accumulated deficit of $68.7 million. We have incurred significant losses in the past and may continue to incur significant losses in the future as we advance our unpartnered preclinical programs. The significance of future losses will be dependent in part on whether AstraZeneca continues to develop and advance tenapanor, and whether Sanofi exercises its option to obtain an exclusive license to develop, manufacture and commercialize our NaP2b inhibitors, which in either case would result in milestone payments to us. There can be no assurance that we will receive additional collaboration revenue in the future.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revenue to date has been generated from non-refundable license payments and reimbursements for research and development expenses under our license agreements. We recognize revenue from upfront payments ratably over the term of our estimated period of performance under the agreement which we consider to be licensing revenue. In addition to receiving upfront payments, we may also be entitled to milestone and other contingent payments upon achieving predefined objectives. Such payments are recorded as revenue when we achieve the underlying milestone if it is deemed to be a substantive milestone at the date the arrangement is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entered into. To the extent that non-substantive milestones are achieved and we have remaining performance obligations, milestones are deferred and recognized as revenue over the estimated remaining period of performance. Reimbursements from AstraZeneca for development costs incurred under our license and collaboration agreement with them are classified as collaborative development revenue.</w:t>
      </w:r>
    </w:p>
    <w:p>
      <w:pPr>
        <w:spacing w:after="0" w:line="132"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year to year as a result of the timing and amount of milestones and other payments from our collaboration partnerships with AstraZeneca, Sanofi, and any future collaboration partners, and as a result of the fluctuations in the research and development expenses we incur in the performance of assigned activities under our license agreement with AstraZeneca.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such as the discovery and development of our unpartnered product candidates, as well as the development of product candidates pursuant to our license agreement with AstraZeneca. We recognize all research and development costs as they are incurred.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consist of the following:</w:t>
      </w:r>
    </w:p>
    <w:p>
      <w:pPr>
        <w:spacing w:after="0" w:line="90" w:lineRule="exact"/>
        <w:rPr>
          <w:sz w:val="20"/>
          <w:szCs w:val="20"/>
          <w:color w:val="auto"/>
        </w:rPr>
      </w:pPr>
    </w:p>
    <w:p>
      <w:pPr>
        <w:ind w:left="900" w:hanging="325"/>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third-party contract research organizations, or CROs, and investigative sites where a substantial portion of our clinical studies are conducted, and with contract manufacturing organizations, or CMOs, where our clinical supplies are produced;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 and</w:t>
      </w:r>
    </w:p>
    <w:p>
      <w:pPr>
        <w:spacing w:after="0" w:line="90" w:lineRule="exact"/>
        <w:rPr>
          <w:rFonts w:ascii="Times New Roman" w:cs="Times New Roman" w:eastAsia="Times New Roman" w:hAnsi="Times New Roman"/>
          <w:sz w:val="18"/>
          <w:szCs w:val="18"/>
          <w:color w:val="auto"/>
        </w:rPr>
      </w:pPr>
    </w:p>
    <w:p>
      <w:pPr>
        <w:ind w:left="900" w:right="680" w:hanging="325"/>
        <w:spacing w:after="0" w:line="275"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and other supplies.</w:t>
      </w:r>
    </w:p>
    <w:p>
      <w:pPr>
        <w:spacing w:after="0" w:line="120" w:lineRule="exact"/>
        <w:rPr>
          <w:sz w:val="20"/>
          <w:szCs w:val="20"/>
          <w:color w:val="auto"/>
        </w:rPr>
      </w:pPr>
    </w:p>
    <w:p>
      <w:pPr>
        <w:ind w:right="760" w:firstLine="456"/>
        <w:spacing w:after="0" w:line="262" w:lineRule="auto"/>
        <w:rPr>
          <w:sz w:val="20"/>
          <w:szCs w:val="20"/>
          <w:color w:val="auto"/>
        </w:rPr>
      </w:pPr>
      <w:r>
        <w:rPr>
          <w:rFonts w:ascii="Times New Roman" w:cs="Times New Roman" w:eastAsia="Times New Roman" w:hAnsi="Times New Roman"/>
          <w:sz w:val="18"/>
          <w:szCs w:val="18"/>
          <w:color w:val="auto"/>
        </w:rPr>
        <w:t>Prior to October 2012, we were responsible for the clinical expenses related to tenapanor. As part of the license agreement we entered into with AstraZeneca in October 2012, we receive reimbursements from AstraZeneca for internal and external development-related costs for tenapanor. The reimbursements are recognized in collaborative development revenue in the Statement of Operations and Comprehensive Loss.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during the years ended December 31, 2012 and 2013.</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left="301"/>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research expense</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Clinical development expense—tenapanor</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non-collaboration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AstraZeneca collaboration development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20,347</w:t>
            </w:r>
          </w:p>
        </w:tc>
        <w:tc>
          <w:tcPr>
            <w:tcW w:w="100" w:type="dxa"/>
            <w:vAlign w:val="bottom"/>
          </w:tcPr>
          <w:p>
            <w:pPr>
              <w:spacing w:after="0"/>
              <w:rPr>
                <w:sz w:val="18"/>
                <w:szCs w:val="18"/>
                <w:color w:val="auto"/>
              </w:rPr>
            </w:pPr>
          </w:p>
        </w:tc>
      </w:tr>
      <w:tr>
        <w:trPr>
          <w:trHeight w:val="27"/>
        </w:trPr>
        <w:tc>
          <w:tcPr>
            <w:tcW w:w="5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2"/>
              </w:rPr>
              <w:t>10,184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28,093</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expect our unpartnered research and development expenses will increase in the future as we progress our internal product candidates, advance our discovery research projects into the preclinical stage and continue our early stage research. The process of conducting preclinical studies and clinical trials necessary to obtain regulatory approval is costly and time consuming. We or our collaboration partners may never succeed in achieving marketing approval for any of our product candidates. The probability of success of each of the product candidates may be affected by numerous factors, including preclinical data, clinical data, competition, manufacturing capability and commercial viability.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Most of our product development programs are at an early stage;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 and the risks inherent in the development process, we are unable to determine the duration and completion costs of current or future clinical trials of our product candidates or if and to what extent we will generate revenues from the commercialization and sale of any of our product candidates. We anticipate that we and our collaboration partners will make determinations as to which programs to pursue and how much funding to direct to each program on an ongoing basis in response to the scientific and clinical success of each product candidate, as well as an ongoing assessment as to each product candidate’s commercial potential. We will need to raise additional capital or may seek additional collaboration partnerships in the future in order to complete the development and commercialization of our product candidates.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travel expenses and other expenses for outside professional services, including legal, human resources, audit and accounting services. Personnel costs consist of salaries, bonus, benefits and stock-based compensation. We expect to incur additional expenses as a result of operating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administration and professional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Preferred Stock Warrant Liability</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Change in fair value of convertible preferred stock warrant liability is the fair value remeasurement of our liability related to our convertible preferred stock warrants. We will continue to record adjustments to the estimated fair value of the convertible preferred stock warrants until they are exercised or expire. In connection with our initial public offering, our outstanding warrants will automatically net exercise and the convertible preferred stock warrant liability will be reclassified to additional paid-in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Provision for income taxes consists of California state income taxes as we were required to pay the Alternative Minimum Tax for the $35.0 million upfront payment received from AstraZeneca in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92" w:lineRule="exact"/>
        <w:rPr>
          <w:sz w:val="20"/>
          <w:szCs w:val="20"/>
          <w:color w:val="auto"/>
        </w:rPr>
      </w:pPr>
    </w:p>
    <w:p>
      <w:pPr>
        <w:ind w:right="220" w:firstLine="456"/>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Revenue from research activities made under collaboration partnership agreements are recognized as the services are provided and when there is persuasive evidence that an arrangement exists, delivery has occurred,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spacing w:after="0" w:line="339" w:lineRule="auto"/>
        <w:rPr>
          <w:sz w:val="20"/>
          <w:szCs w:val="20"/>
          <w:color w:val="auto"/>
        </w:rPr>
      </w:pPr>
      <w:r>
        <w:rPr>
          <w:rFonts w:ascii="Times New Roman" w:cs="Times New Roman" w:eastAsia="Times New Roman" w:hAnsi="Times New Roman"/>
          <w:sz w:val="16"/>
          <w:szCs w:val="16"/>
          <w:color w:val="auto"/>
        </w:rPr>
        <w:t>the price is fixed or determinable, and collectability is reasonably assured. Revenue generated from research and license agreements typically includes up-front signing or license fees, cost reimbursements, research services, minimum sublicense fees, milestone payments, and royalties on future licensees’ product sales.</w:t>
      </w:r>
    </w:p>
    <w:p>
      <w:pPr>
        <w:spacing w:after="0" w:line="7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 Our obligations under the agreements may include the transfer of intellectual property rights in the form of licenses, obligations to provide research and development services and obligations to participate on certain development committees with the collaboration partner. We make judgments that affect the period over which we recognize revenue. On a quarterly basis, we review our estimated period of performance for our license revenue based on the progress under the arrangement and account for the impact of any changes in estimated periods of performance on a prospective basis.</w:t>
      </w:r>
    </w:p>
    <w:p>
      <w:pPr>
        <w:spacing w:after="0" w:line="13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We recognize cost reimbursement revenue under collaboration partnership agreements as the related research and development costs for services are rendered. Deferred revenue represents the portion of research or license payments received that have not been earned.</w:t>
      </w:r>
    </w:p>
    <w:p>
      <w:pPr>
        <w:spacing w:after="0" w:line="120"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A milestone is considered substantive when the consideration earned from the achievement of the milestone (i) is commensurate with either our performance to achieve the milestone or the enhancement of value of the item delivered as a result of a specific outcome resulting from our performance to achieve the milestone, (ii) relates solely to past performance and (iii) is reasonable relative to all deliverables and payment terms in the arrangement. Such payments that are contingent upon the achievement of a substantive milestone are recognized entirely as revenue in the period in which the milestone is achieved. To the extent that non-substantive milestones are achieved and we have remaining performance obligations, milestones are deferred and recognized as revenue over the estimated remaining period of performance. If there were no remaining performance obligations, we recognize the revenue in the period it is earned.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 Stock-based compensation expense was $473,000 and $352,000 for the years ended December 31, 2012 and 2013, respectively.</w:t>
      </w:r>
    </w:p>
    <w:p>
      <w:pPr>
        <w:spacing w:after="0" w:line="103"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which determine the fair value of stock-based awards. These assumptions include:</w:t>
      </w:r>
    </w:p>
    <w:p>
      <w:pPr>
        <w:spacing w:after="0" w:line="37" w:lineRule="exact"/>
        <w:rPr>
          <w:sz w:val="20"/>
          <w:szCs w:val="20"/>
          <w:color w:val="auto"/>
        </w:rPr>
      </w:pPr>
    </w:p>
    <w:p>
      <w:pPr>
        <w:ind w:left="460" w:right="540"/>
        <w:spacing w:after="0" w:line="27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stock-based awards are expected to be outstanding. We used the simplified method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expected term, which is calculated as the average of the time-to-vesting and the contractual life of the options.</w:t>
      </w:r>
    </w:p>
    <w:p>
      <w:pPr>
        <w:spacing w:after="0" w:line="35" w:lineRule="exact"/>
        <w:rPr>
          <w:sz w:val="20"/>
          <w:szCs w:val="20"/>
          <w:color w:val="auto"/>
        </w:rPr>
      </w:pPr>
    </w:p>
    <w:p>
      <w:pPr>
        <w:ind w:left="460" w:right="40"/>
        <w:spacing w:after="0" w:line="297" w:lineRule="auto"/>
        <w:rPr>
          <w:sz w:val="20"/>
          <w:szCs w:val="20"/>
          <w:color w:val="auto"/>
        </w:rPr>
      </w:pPr>
      <w:r>
        <w:rPr>
          <w:rFonts w:ascii="Times New Roman" w:cs="Times New Roman" w:eastAsia="Times New Roman" w:hAnsi="Times New Roman"/>
          <w:sz w:val="16"/>
          <w:szCs w:val="16"/>
          <w:i w:val="1"/>
          <w:iCs w:val="1"/>
          <w:color w:val="auto"/>
        </w:rPr>
        <w:t>Expected Volatility</w:t>
      </w:r>
      <w:r>
        <w:rPr>
          <w:rFonts w:ascii="Times New Roman" w:cs="Times New Roman" w:eastAsia="Times New Roman" w:hAnsi="Times New Roman"/>
          <w:sz w:val="16"/>
          <w:szCs w:val="16"/>
          <w:color w:val="auto"/>
        </w:rPr>
        <w:t>—Since we are privately held and do not have any trading history for our common stock, the expected volatility was estimated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average volatility for comparable publicly traded biopharmaceutical companies over a period equal to the expected term of the stock option grants. When selecting comparable publicly traded biopharmaceutical companies on which we based our expected stock price volatility, we selected companies with comparable characteristics to us, including enterprise value, risk profiles, position within the industry, and with historical share price information sufficient to meet the expected life of the stock-based awards. The historical volatility data was computed using the daily closing</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color w:val="auto"/>
        </w:rPr>
        <w:t>prices for the selected companies’ shares during the equivalent period of the calculated expected term of the stock-based awards. We will continue to apply this process until a sufficient amount of historical information regarding the volatility of our own stock price becomes available.</w:t>
      </w:r>
    </w:p>
    <w:p>
      <w:pPr>
        <w:spacing w:after="0" w:line="37" w:lineRule="exact"/>
        <w:rPr>
          <w:sz w:val="20"/>
          <w:szCs w:val="20"/>
          <w:color w:val="auto"/>
        </w:rPr>
      </w:pPr>
    </w:p>
    <w:p>
      <w:pPr>
        <w:ind w:left="460" w:right="40"/>
        <w:spacing w:after="0" w:line="277"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zero coupon issues in effect at the time of grant for periods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expected term of option.</w:t>
      </w:r>
    </w:p>
    <w:p>
      <w:pPr>
        <w:spacing w:after="0" w:line="35" w:lineRule="exact"/>
        <w:rPr>
          <w:sz w:val="20"/>
          <w:szCs w:val="20"/>
          <w:color w:val="auto"/>
        </w:rPr>
      </w:pPr>
    </w:p>
    <w:p>
      <w:pPr>
        <w:ind w:left="460" w:right="40"/>
        <w:spacing w:after="0" w:line="277" w:lineRule="auto"/>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—We have never paid dividends on our common stock and have no plans to pay dividends on our common stock. Therefore, we used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yield of zero.</w:t>
      </w:r>
    </w:p>
    <w:p>
      <w:pPr>
        <w:spacing w:after="0" w:line="11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Black-Scholes assumptions, we estimate our forfeiture rate based on an analysis of our actual forfeitures and will continue to evaluate the adequacy of the forfeiture rate based on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stock-based compensation in future periods.</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Historically, for all periods prior to this initial public offering, the fair values of the shares of common stock underlying our share-based awards were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Given the absence of a public trading market for our common stock, our board of directors exercised reasonable judgment and considered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objective and subjective factors to determine the best estimate of the fair value of our common stock, including our stage of development; progress of our research and development efforts; the rights, preferences and privileges of our preferred stock relative to those of our common stock; equity market conditions affecting comparable public companies and the lack of marketability of our common stock.</w:t>
      </w:r>
    </w:p>
    <w:p>
      <w:pPr>
        <w:spacing w:after="0" w:line="13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determining a fair value for our common stock, we estimated the enterprise value of our business using the income approach and the market approach. The income approach estimates the fair value of a company based on the present value of the company’s future estimated cash flows. These future cash flows are discounted to their present values using an appropriate discount rate, to reflect the risks inherent in the company achieving these estimated cash flows. The discount rate used in our third-party valuations was based primarily on benchmark venture capital studies of discount rates for other companies in similar stages of development. The market approach estimates the fair value of a company by including an estimation of the value of a business based on estimating a future value under an initial public offering scenario based on recent biopharmaceutical initial public offerings and an estimate of value under a merger and acquisition scenario. The estimated enterprise value is then allocated to the common stock using the Option Pricing Method, or OPM, and the Probability Weighted Expected Return Method, or PWERM, or the hybrid method. The hybrid method applied the PWERM utilizing the probability of two exit scenarios, going public or being acquired, and the OPM was utilized in the remaining private scenario.</w:t>
      </w:r>
    </w:p>
    <w:p>
      <w:pPr>
        <w:spacing w:after="0" w:line="14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For valuations after the completion of this offering, our board of directors will determine the fair value of each share of underlying common stock based on the closing price of our common stock as reported on the date of grant.</w:t>
      </w:r>
    </w:p>
    <w:p>
      <w:pPr>
        <w:spacing w:after="0" w:line="120" w:lineRule="exact"/>
        <w:rPr>
          <w:sz w:val="20"/>
          <w:szCs w:val="20"/>
          <w:color w:val="auto"/>
        </w:rPr>
      </w:pPr>
    </w:p>
    <w:p>
      <w:pPr>
        <w:ind w:left="460"/>
        <w:spacing w:after="0"/>
        <w:tabs>
          <w:tab w:leader="none" w:pos="6420" w:val="left"/>
        </w:tabs>
        <w:rPr>
          <w:sz w:val="20"/>
          <w:szCs w:val="20"/>
          <w:color w:val="auto"/>
        </w:rPr>
      </w:pPr>
      <w:r>
        <w:rPr>
          <w:rFonts w:ascii="Times New Roman" w:cs="Times New Roman" w:eastAsia="Times New Roman" w:hAnsi="Times New Roman"/>
          <w:sz w:val="18"/>
          <w:szCs w:val="18"/>
          <w:color w:val="auto"/>
        </w:rPr>
        <w:t>The intrinsic value of all outstanding options as of December 31, 2013 was $</w:t>
      </w:r>
      <w:r>
        <w:rPr>
          <w:sz w:val="20"/>
          <w:szCs w:val="20"/>
          <w:color w:val="auto"/>
        </w:rPr>
        <w:tab/>
      </w:r>
      <w:r>
        <w:rPr>
          <w:rFonts w:ascii="Times New Roman" w:cs="Times New Roman" w:eastAsia="Times New Roman" w:hAnsi="Times New Roman"/>
          <w:sz w:val="16"/>
          <w:szCs w:val="16"/>
          <w:color w:val="auto"/>
        </w:rPr>
        <w:t>million based on the estimated fair value of our common stock of</w:t>
      </w:r>
    </w:p>
    <w:p>
      <w:pPr>
        <w:spacing w:after="0" w:line="21" w:lineRule="exact"/>
        <w:rPr>
          <w:sz w:val="20"/>
          <w:szCs w:val="20"/>
          <w:color w:val="auto"/>
        </w:rPr>
      </w:pPr>
    </w:p>
    <w:p>
      <w:pPr>
        <w:ind w:left="5620" w:right="4620" w:hanging="5612"/>
        <w:spacing w:after="0" w:line="433"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set forth on the cover page of this prospectus. 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Convertible Preferred Stock Warrants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Freestanding warrants for shares that are contingently redeemable are classified as a liability on the balance sheet at their estimated fair value. At the end of each reporting period, the change in estimated fair value during the period is recorded in change in fair value of convertible preferred stock warrant liability in the statement of operations and comprehensive loss. We will continue to adjust the carrying value of the warrants until the earlier of the exercise or expiration of the warrants. We estimated the fair values of these warrants using their intrinsic value in 2012 given their low exercise price. In 2013, we have estimated the fair value of the warrant liability using a hybrid of the OPM, and the PWERM. The hybrid method applied the PWERM utilizing the probability of two exit scenarios, going public or being acquired, and the OPM was utilized in the remaining private scenario. The scenarios were weighted based on our estimate of the assigned probability.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an asset and liability approach for deferred income taxes, which require recognition of deferred income tax assets and liabilities for the expected future tax consequences of events that have been recognized in the financial statements, but have not been reflected in taxable income. Estimates and judgments occur in the calculation of certain tax liabilities and in the determination of the recoverability of certain deferred income tax assets, which arise from temporary differences and carryforwards. Deferred income tax assets and liabilities are measured using the currently enacted tax rates that apply to taxable income in effect for the years in which those tax assets are expected to be realized or settled. We regularly assess the likelihood that deferred income tax assets will be realized based on historical levels of taxable income, projections for future taxable income, and tax planning strategies. To the extent that we believe any amounts are not more likely than not to be realized, we record a valuation allowance to reduce the deferred income tax assets. We regularly assess the need for the valuation allowance on its deferred tax assets, and to the extent that we determine that an adjustment is needed, such adjustment will be recorded in the period that the determination is made.</w:t>
      </w:r>
    </w:p>
    <w:p>
      <w:pPr>
        <w:spacing w:after="0" w:line="14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regularly review our tax positions and benefits to be realized. We recognize tax liabilities based upon estimate of whether, and the extent to which, additional taxes will be due when such estimates are more likely than not to be sustained. An uncertain income tax position will be recognized if it has a more likely than not of being sustained. We recognize interest and penalties related to income tax matters in the income tax provision in the statements of operations and comprehensive loss appearing elsewhere in this prospectus. We have not incurred any interest or penalties associated with unrecognized tax benefits for any periods presented.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2012 and 2013</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Licensing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678"/>
              <w:spacing w:after="0"/>
              <w:rPr>
                <w:sz w:val="20"/>
                <w:szCs w:val="20"/>
                <w:color w:val="auto"/>
              </w:rPr>
            </w:pPr>
            <w:r>
              <w:rPr>
                <w:rFonts w:ascii="Times New Roman" w:cs="Times New Roman" w:eastAsia="Times New Roman" w:hAnsi="Times New Roman"/>
                <w:sz w:val="18"/>
                <w:szCs w:val="18"/>
                <w:color w:val="auto"/>
              </w:rPr>
              <w:t>8,063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96"/>
              </w:rPr>
              <w:t>20,865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18,637</w:t>
            </w: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28,928</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10,184</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78"/>
              <w:spacing w:after="0"/>
              <w:rPr>
                <w:sz w:val="20"/>
                <w:szCs w:val="20"/>
                <w:color w:val="auto"/>
              </w:rPr>
            </w:pPr>
            <w:r>
              <w:rPr>
                <w:rFonts w:ascii="Times New Roman" w:cs="Times New Roman" w:eastAsia="Times New Roman" w:hAnsi="Times New Roman"/>
                <w:sz w:val="18"/>
                <w:szCs w:val="18"/>
                <w:color w:val="auto"/>
                <w:w w:val="96"/>
              </w:rPr>
              <w:t>28,093</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3,700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14,215</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31,793</w:t>
            </w:r>
          </w:p>
        </w:tc>
        <w:tc>
          <w:tcPr>
            <w:tcW w:w="7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26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26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(9,785)</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(6,423)</w:t>
            </w:r>
          </w:p>
        </w:tc>
        <w:tc>
          <w:tcPr>
            <w:tcW w:w="7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760" w:type="dxa"/>
            <w:vAlign w:val="bottom"/>
            <w:gridSpan w:val="2"/>
          </w:tcPr>
          <w:p>
            <w:pPr>
              <w:jc w:val="right"/>
              <w:ind w:right="63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76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Licensing revenue for the year ended December 31, 2013 was $8.1 million, an increase of $4.9 million, or 153%, compared to $3.2 million for the year ended December 31, 2012. The increase was due to a full year of amortization in 2013 of the AstraZeneca up-front license payment as compared to a partial period in 2012. In addition, we received an additional payment of $15.0 million in December 2013 related to the amendment to the AstraZeneca agreement which is also being amortized over the expected period of performance. The estimated period of performance is based on the completion of all of the Phase 2 clinical trials for tenapanor. We initially determined that the end of all Phase 2 clinical trials was June 2015. In connection with our process of evaluating the progress of clinical activities, we revised our estimate of the end date to be December 2016. The expected period of performance is reviewed quarterly and adjusted, as needed, to reflect the progress of nonclinical and clinical studies.</w:t>
      </w:r>
    </w:p>
    <w:p>
      <w:pPr>
        <w:spacing w:after="0" w:line="14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Collaborative development revenue consists of our development expenses that are reimbursable to us by AstraZeneca as part of our license agreement. Collaborative development revenue for the year ended December 31, 2013 was $20.9 million, an increase of $18.6 million, compared to $2.2 million for the year ended December 31, 2012. The increase was due to a full year of development activities related to the AstraZeneca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$28.1 million for the year ended December 31, 2013, an increase of $17.9 million, or 176%, compared to $10.2 million for the year ended December 31, 2012. The increase was primarily driven by increased development activities, including our ongoing Phase 2 clinical trials, as part of our license agreement with AstraZeneca for the research, development, and commercialization of tenapanor. AstraZeneca reimburses us for our internal and external development-related costs associated with our license agreement. These development-related costs are mainly comprised of external research and development expenses incurred under agreements with consultants and third-party contract research organizations.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9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were $3.7 million for the year ended December 31, 2013, a decrease of $0.3 million, or 8%, compared to $4.0 million for the year ended December 31, 2012. The decrease was primarily due to a decrease in consulting and legal fees of $0.5 million related to negotiation costs incurred in 2012 in connection with the AstraZeneca agreement, partially offset by an increase in salary expenses as a result of increased headcount in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Preferred Stock Warrant Liability</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Change in fair value of preferred stock warrant liability was $3.5 million for the year ended December 31, 2013, an increase of $2.6 million compared to $1.0 million for the year ended December 31, 2012. The increase was due to an increase in the fair value of our convertible preferred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Provision for income taxes was $0.1 million for the year ended December 31, 2013 compared to zero for the year ended December 31, 2012. The provision in 2013 was due to California state income taxes as we were required to pay the Alternative Minimum Tax in 2013 for the $35.0 million upfront payment received from AstraZeneca.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Expenditures</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Since inception, as of December 31, 2013, our operations have been financed primarily by net proceeds of $56.2 million from the sales of shares of our convertible preferred stock and $50.0 million from payments received under the AstraZeneca license agreement. As of December 31, 2013, we had $34.4 million of cash and cash equivalents.</w:t>
      </w:r>
    </w:p>
    <w:p>
      <w:pPr>
        <w:spacing w:after="0" w:line="132" w:lineRule="exact"/>
        <w:rPr>
          <w:sz w:val="20"/>
          <w:szCs w:val="20"/>
          <w:color w:val="auto"/>
        </w:rPr>
      </w:pPr>
    </w:p>
    <w:p>
      <w:pPr>
        <w:ind w:right="540" w:firstLine="456"/>
        <w:spacing w:after="0" w:line="339" w:lineRule="auto"/>
        <w:rPr>
          <w:sz w:val="20"/>
          <w:szCs w:val="20"/>
          <w:color w:val="auto"/>
        </w:rPr>
      </w:pPr>
      <w:r>
        <w:rPr>
          <w:rFonts w:ascii="Times New Roman" w:cs="Times New Roman" w:eastAsia="Times New Roman" w:hAnsi="Times New Roman"/>
          <w:sz w:val="16"/>
          <w:szCs w:val="16"/>
          <w:color w:val="auto"/>
        </w:rPr>
        <w:t>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7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We have based this estimate on assumptions that may prove to be wrong, and we could utilize our available capital resources sooner than we currently expect. Further, our operating plan may change, and we may need additional funds to meet operational needs and capital requirements for clinical trials and other research and development expenditures. We currently have no credit facility or committed sources of capital other than potential milestones receivable under our current collaboration partnership. Because of the numerous risks and uncertainties associated with the development and commercialization of our product candidates and the extent to which we may enter into additional collaboration partnerships with third parties to participate in their development and commercialization, we are unable to estimate the amounts of increased capital outlays and operating expenditures associated with our current and anticipated clinical studies. Our future funding requirements will depend on many factors, including the following:</w:t>
      </w:r>
    </w:p>
    <w:p>
      <w:pPr>
        <w:spacing w:after="0" w:line="57" w:lineRule="exact"/>
        <w:rPr>
          <w:sz w:val="20"/>
          <w:szCs w:val="20"/>
          <w:color w:val="auto"/>
        </w:rPr>
      </w:pPr>
    </w:p>
    <w:p>
      <w:pPr>
        <w:ind w:left="900" w:right="140" w:hanging="325"/>
        <w:spacing w:after="0" w:line="26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whether or not to exercise our right to co-fund the first Phase 3 clinical development program for tenapanor, in which we may invest $20.0 million, $30.0 million or $40.0 million to acquire an increase of 1%, 2% or 3%, respectively, in the royalties payable to us by AstraZeneca on net sales of tenapanor;</w:t>
      </w:r>
    </w:p>
    <w:p>
      <w:pPr>
        <w:spacing w:after="0" w:line="51"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development and regulatory milestones resulting in the payment to us from our collaboration partners of contractual milestone payments and the timing of the receipt of such payments, if any;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44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results and costs of our preclinical studies and clinical trials for our product candidates that have not been licensed, including the ability to enroll patients in a timely manner for clinical trials;</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collaboration partners to successfully commercialize and/or co-promote our product candidates;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product candidates, including the cost and timing of building our sales and marketing capabilities;</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 partnerships, in-license/out-license or other similar arrangements and the financial terms of such agreements;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the availability of adequate third-party reimbursement for our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discovery programs that we decide to pursue or initiate;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 and</w:t>
      </w:r>
    </w:p>
    <w:p>
      <w:pPr>
        <w:spacing w:after="0" w:line="90" w:lineRule="exact"/>
        <w:rPr>
          <w:rFonts w:ascii="Times New Roman" w:cs="Times New Roman" w:eastAsia="Times New Roman" w:hAnsi="Times New Roman"/>
          <w:sz w:val="18"/>
          <w:szCs w:val="18"/>
          <w:color w:val="auto"/>
        </w:rPr>
      </w:pPr>
    </w:p>
    <w:p>
      <w:pPr>
        <w:ind w:left="900" w:right="300" w:hanging="325"/>
        <w:spacing w:after="0" w:line="26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3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clinical studies, research and development programs or commercialization efforts. We may seek to raise any necessary additional capital through a combination of public or private equity offerings, debt financings, collaboration partnerships, licensing arrangements and other marketing and distribution arrangements. To the extent that we raise additional capital through marketing and distribution arrangements or other collaboration partnerships or licensing arrangements with third parties, we may have to relinquish valuable rights to our product candidates, future revenue streams, research programs or product candidates or to grant licenses on terms that may not be favorable to us.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r>
      <w:tr>
        <w:trPr>
          <w:trHeight w:val="142"/>
        </w:trPr>
        <w:tc>
          <w:tcPr>
            <w:tcW w:w="4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gridSpan w:val="2"/>
          </w:tcPr>
          <w:p>
            <w:pPr>
              <w:jc w:val="center"/>
              <w:ind w:left="452"/>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16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$ 21,980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51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516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363"/>
        </w:trPr>
        <w:tc>
          <w:tcPr>
            <w:tcW w:w="4240" w:type="dxa"/>
            <w:vAlign w:val="bottom"/>
          </w:tcPr>
          <w:p>
            <w:pPr>
              <w:spacing w:after="0"/>
              <w:rPr>
                <w:sz w:val="24"/>
                <w:szCs w:val="24"/>
                <w:color w:val="auto"/>
              </w:rPr>
            </w:pPr>
          </w:p>
        </w:tc>
        <w:tc>
          <w:tcPr>
            <w:tcW w:w="4100" w:type="dxa"/>
            <w:vAlign w:val="bottom"/>
          </w:tcPr>
          <w:p>
            <w:pPr>
              <w:jc w:val="right"/>
              <w:ind w:right="2912"/>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2013 was $1.8 million, consisting of a net loss of $6.6 million, which was offset by non-cash charges of $0.4 million for stock-based compensation, $0.6 million for depreciation and amortization expense, and $3.5 million for the change in the fair value remeasurement of our convertible preferred stock warrant liability. The change in our net operating assets and liabilities was due primarily to a $7.6 million increase in deferred revenue as a result of the $15.0 million payment received in 2013 under our license agreement with AstraZeneca, offset by $8.1 million in amortization of revenue and a $1.1 million increase in our accounts payable due to the timing of payments. Our accounts receivable increased by $3.4 million due to the timing of payments received from AstraZeneca for reimbursable costs incurred under our license agreement.</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2012 was $22.0 million, consisting of a net loss of $9.8 million which was offset by non-cash charges of $0.5 million for stock-based compensation, $0.7 million for depreciation and amortization expense, and $1.0 million for the change in the fair value remeasurement of our convertible preferred stock warrant liability. The change in our net operating assets and liabilities was due primarily to a $32.7 million increase in deferred revenue which was mainly driven by the $35.0 million up-front payment received in connection with our agreement with AstraZeneca, net of the amortization to revenue of $3.2 million. The remaining difference was an increase in reimbursable expenses included in deferred revenue of $0.9 million that related to reimbursements received for prepaid development expenses. Our accounts receivable increased by $3.1 million due to the recognition of reimbursable development costs and related timing of payments received from AstraZeneca.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31, 2012 and 2013, was related to our acquisition of property and equipment $0.1 million and $0.3 million. Purchases of property and equipment are primarily related to the expansion of our laboratory and related equipment.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Cash provided by financing activities for the years ended December 31, 2012 and 2013 was related to proceeds from the issuance of common stock upon the exercise of stock options of $0.3 million and $1,000, respectively, offset by repurchase of unvested common stock that was early exercised of $20,000 and $2,000,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6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Less Than</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More Than</w:t>
            </w: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6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9"/>
              <w:spacing w:after="0" w:line="152" w:lineRule="exact"/>
              <w:rPr>
                <w:sz w:val="20"/>
                <w:szCs w:val="20"/>
                <w:color w:val="auto"/>
              </w:rPr>
            </w:pPr>
            <w:r>
              <w:rPr>
                <w:rFonts w:ascii="Times New Roman" w:cs="Times New Roman" w:eastAsia="Times New Roman" w:hAnsi="Times New Roman"/>
                <w:sz w:val="14"/>
                <w:szCs w:val="14"/>
                <w:b w:val="1"/>
                <w:bCs w:val="1"/>
                <w:color w:val="auto"/>
                <w:w w:val="94"/>
              </w:rPr>
              <w:t>1 Year</w:t>
            </w:r>
          </w:p>
        </w:tc>
        <w:tc>
          <w:tcPr>
            <w:tcW w:w="620" w:type="dxa"/>
            <w:vAlign w:val="bottom"/>
          </w:tcPr>
          <w:p>
            <w:pPr>
              <w:spacing w:after="0"/>
              <w:rPr>
                <w:sz w:val="13"/>
                <w:szCs w:val="13"/>
                <w:color w:val="auto"/>
              </w:rPr>
            </w:pPr>
          </w:p>
        </w:tc>
        <w:tc>
          <w:tcPr>
            <w:tcW w:w="6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w w:val="89"/>
              </w:rPr>
              <w:t>1 to 3 Years</w:t>
            </w:r>
          </w:p>
        </w:tc>
        <w:tc>
          <w:tcPr>
            <w:tcW w:w="640" w:type="dxa"/>
            <w:vAlign w:val="bottom"/>
          </w:tcPr>
          <w:p>
            <w:pPr>
              <w:spacing w:after="0"/>
              <w:rPr>
                <w:sz w:val="13"/>
                <w:szCs w:val="13"/>
                <w:color w:val="auto"/>
              </w:rPr>
            </w:pPr>
          </w:p>
        </w:tc>
        <w:tc>
          <w:tcPr>
            <w:tcW w:w="11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620" w:type="dxa"/>
            <w:vAlign w:val="bottom"/>
          </w:tcPr>
          <w:p>
            <w:pPr>
              <w:spacing w:after="0"/>
              <w:rPr>
                <w:sz w:val="13"/>
                <w:szCs w:val="13"/>
                <w:color w:val="auto"/>
              </w:rPr>
            </w:pPr>
          </w:p>
        </w:tc>
        <w:tc>
          <w:tcPr>
            <w:tcW w:w="60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contractual obligations</w:t>
            </w:r>
            <w:r>
              <w:rPr>
                <w:rFonts w:ascii="Times New Roman" w:cs="Times New Roman" w:eastAsia="Times New Roman" w:hAnsi="Times New Roman"/>
                <w:sz w:val="11"/>
                <w:szCs w:val="11"/>
                <w:color w:val="auto"/>
              </w:rPr>
              <w:t>(1)</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0" w:right="300" w:hanging="332"/>
        <w:spacing w:after="0" w:line="275"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unrecognized tax benefits in the amount of $1.4 million as of December 31, 2013 related to uncertain tax positions. However, there is uncertainty regarding when these liabilities will require settlement so these amounts were not included in the contractual obligations table above.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88"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These risks primarily include interest rate sensitivities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We had cash and cash equivalents of $34.4 million as of December 31, 2013, which consist of bank deposits and money market funds. Such interest-earning instruments carry a degree of interest rate risk; however, historical fluctuations in interest income have not been significant. We had no outstanding debt as of December 31,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July 2013, the Financial Accounting Standards Board, or FASB, issued ASU 2013-11, </w:t>
      </w:r>
      <w:r>
        <w:rPr>
          <w:rFonts w:ascii="Times New Roman" w:cs="Times New Roman" w:eastAsia="Times New Roman" w:hAnsi="Times New Roman"/>
          <w:sz w:val="18"/>
          <w:szCs w:val="18"/>
          <w:i w:val="1"/>
          <w:iCs w:val="1"/>
          <w:color w:val="auto"/>
        </w:rPr>
        <w:t>Presentation of an Unrecognized Tax Benefit When a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Loss Carryforward, a Similar Tax Loss, or a Tax Credit Carryforward Exists</w:t>
      </w:r>
      <w:r>
        <w:rPr>
          <w:rFonts w:ascii="Times New Roman" w:cs="Times New Roman" w:eastAsia="Times New Roman" w:hAnsi="Times New Roman"/>
          <w:sz w:val="18"/>
          <w:szCs w:val="18"/>
          <w:color w:val="auto"/>
        </w:rPr>
        <w:t>. ASU 2013-11 concludes an unrecognized tax benefit should be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reduction of a deferred tax asset when settlement in this manner is available under the law. We will adopt this amendment as of January 2014. The result of adoption may be to reclassify certain long term liabilities to long term deferred tax assets, and the adoption will not result in a change to the tax provision. We do not believe that the impact on the balance sheet will be significant.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innovative, non-systemic, small molecule therapeutics that work exclusively in the gastrointestinal, or GI, tract to treat cardio-renal, GI and metabolic diseases. We have developed a proprietary drug discovery and design platform enabling us, in a rapid and cost-efficient manner, to discover and design novel drug candidates. Utilizing our platform, we discovered and designed our lead product candidate, tenapanor, which in preclinical and clinical studies has consistently demonstrated the ability to reduce the absorption of dietary sodium and phosphorus, both of which are key factors in the progression of kidney disease. In 2012, we entered into a collaboration partnership with AstraZeneca for the worldwide development and commercialization of tenapanor. AstraZeneca is responsible for all of the development and commercialization costs for tenapanor, and we have retained an option to co-promote in the United States. Together with AstraZeneca AB, or AstraZeneca, we are evaluating tenapanor in three Phase 2 clinical trials in patients with end stage renal disease, or ESRD, late-stage chronic kidney disease, or CKD, and constipation-predominant irritable bowel syndrome, or IBS-C. To enhance our proprietary drug discovery and design platform, we have developed a cell-culture system to simulate gut tissues called Ardelyx Primary Enterocyte and Colonocyte Culture System, or APECCS. We have also identified over 3,800 proteins on the inner surface of the gut, many of which we believe may be drug targets. In addition to tenapanor, we are evaluating small molecule NaP2b inhibitors for the treatment of hyperphosphatemia in ESRD, a program we have licensed to Sanofi S.A., or Sanofi. We are also independently advancing three other discovery and lead development programs focused in cardio-renal, GI and metabolic diseases.</w:t>
      </w:r>
    </w:p>
    <w:p>
      <w:pPr>
        <w:spacing w:after="0" w:line="14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Tenapanor is a small molecule, orally administered inhibitor of NHE3, a transporter of sodium in the GI tract. We and AstraZeneca have evaluated tenapanor in eight human clinical studies in over 750 individuals. In Phase 1 and Phase 2 clinical trials, tenapanor has been safe and well-tolerated and has shown the ability to divert dietary sodium into the stool in both healthy adult subjects and patients with ESRD. In Phase 1 clinical trials in healthy adults, we observed that tenapanor has a significant effect on the diversion of dietary phosphorus into the stool. Additionally, tenapanor has demonstrated activity consistent with an IBS-C drug by increasing the frequency of bowel movements in IBS-C patients in a Phase 2a clinical trial. We and AstraZeneca are continuing development in ongoing Phase 2a and Phase 2b clinical trials in three different indications:</w:t>
      </w:r>
    </w:p>
    <w:p>
      <w:pPr>
        <w:spacing w:after="0" w:line="58" w:lineRule="exact"/>
        <w:rPr>
          <w:sz w:val="20"/>
          <w:szCs w:val="20"/>
          <w:color w:val="auto"/>
        </w:rPr>
      </w:pPr>
    </w:p>
    <w:p>
      <w:pPr>
        <w:ind w:left="900" w:right="140" w:hanging="325"/>
        <w:spacing w:after="0" w:line="334" w:lineRule="auto"/>
        <w:tabs>
          <w:tab w:leader="none" w:pos="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ESRD patients on hemodialysis to treat hyperphosphatemia</w:t>
      </w:r>
      <w:r>
        <w:rPr>
          <w:rFonts w:ascii="Times New Roman" w:cs="Times New Roman" w:eastAsia="Times New Roman" w:hAnsi="Times New Roman"/>
          <w:sz w:val="16"/>
          <w:szCs w:val="16"/>
          <w:color w:val="auto"/>
        </w:rPr>
        <w:t>: Phase 2b randomized, double-blind, placebo-controlled clinical trial in 150 patients to evaluate the effects of tenapanor on serum phosphorus. Enrollment is ongoing and the results of this trial are expected in the first half of 2015.</w:t>
      </w:r>
    </w:p>
    <w:p>
      <w:pPr>
        <w:spacing w:after="0" w:line="1" w:lineRule="exact"/>
        <w:rPr>
          <w:rFonts w:ascii="Times New Roman" w:cs="Times New Roman" w:eastAsia="Times New Roman" w:hAnsi="Times New Roman"/>
          <w:sz w:val="16"/>
          <w:szCs w:val="16"/>
          <w:color w:val="auto"/>
        </w:rPr>
      </w:pPr>
    </w:p>
    <w:p>
      <w:pPr>
        <w:ind w:left="900" w:right="140" w:hanging="325"/>
        <w:spacing w:after="0" w:line="26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Stage 3 CKD patients with type 2 diabetes mellitus, albuminuria and high blood pressure</w:t>
      </w:r>
      <w:r>
        <w:rPr>
          <w:rFonts w:ascii="Times New Roman" w:cs="Times New Roman" w:eastAsia="Times New Roman" w:hAnsi="Times New Roman"/>
          <w:sz w:val="18"/>
          <w:szCs w:val="18"/>
          <w:color w:val="auto"/>
        </w:rPr>
        <w:t>: Phase 2a randomized, double-blind, placebo-controlled clinical trial in 140 patients to evaluate the effects of tenapanor on kidney function and fluid overload. Enrollment is ongoing and the results of this clinical trial are expected in the second half of 2015.</w:t>
      </w:r>
    </w:p>
    <w:p>
      <w:pPr>
        <w:spacing w:after="0" w:line="51" w:lineRule="exact"/>
        <w:rPr>
          <w:rFonts w:ascii="Times New Roman" w:cs="Times New Roman" w:eastAsia="Times New Roman" w:hAnsi="Times New Roman"/>
          <w:sz w:val="18"/>
          <w:szCs w:val="18"/>
          <w:color w:val="auto"/>
        </w:rPr>
      </w:pPr>
    </w:p>
    <w:p>
      <w:pPr>
        <w:ind w:left="900" w:right="340" w:hanging="325"/>
        <w:spacing w:after="0" w:line="26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IBS-C patients</w:t>
      </w:r>
      <w:r>
        <w:rPr>
          <w:rFonts w:ascii="Times New Roman" w:cs="Times New Roman" w:eastAsia="Times New Roman" w:hAnsi="Times New Roman"/>
          <w:sz w:val="18"/>
          <w:szCs w:val="18"/>
          <w:color w:val="auto"/>
        </w:rPr>
        <w:t>: Phase 2b randomized, double-blind, placebo-controlled clinical trial in 371 patients to evaluate the effect of tenapanor on the frequency of bowel movements versus placebo. Enrollment is completed and the results of this clinical trial are expected in the fourth quarter of 2014.</w:t>
      </w:r>
    </w:p>
    <w:p>
      <w:pPr>
        <w:spacing w:after="0" w:line="13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We believe the market opportunity for tenapanor for these three potential patient populations is significant. We estimate, based on phosphate binder utilization, the only approved therapies for hyperphosphatemia, that there are about 270,000 ESRD patients with hyperphosphatemia in the United States. The worldwide market for phosphate binders in 2011 was reported to be $1.5 billion and is projected to reach $2.3 billion by 2015. We believe there are approximately 1.8 million patients in the United States that have late-stage, or stage 3b or stage 4 CKD with type 2 diabetes, and approximately 4.4 million individuals in the United States with IBS-C.</w:t>
      </w:r>
    </w:p>
    <w:p>
      <w:pPr>
        <w:spacing w:after="0" w:line="13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In addition to tenapanor, we have discovered novel NaP2b inhibitors for the treatment of hyperphosphatemia in ESRD patients by inhibiting the active absorption of phosphorus. In February 2014, we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60"/>
          </w:cols>
          <w:pgMar w:left="240" w:top="455" w:right="2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entered into an option and license agreement with Sanofi under which we granted Sanofi an exclusive worldwide license to conduct research utilizing our small molecule NaP2b inhibitors. Sanofi is advancing this program towards first-in-human clinical trials. In addition, Sanofi has the option to obtain an exclusive license to develop, manufacture and commercialize our NaP2b inhibitors. Under our arrangement, Sanofi is responsible for all of the costs and expenses for research and preclinical activities and, should it exercise its option, for the development and commercialization efforts under the program, while we retain an option to co-promote licensed products in the United States.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Utilizing our proprietary drug discovery and design platform, we are pursuing other internal discovery and lead-development programs:</w:t>
      </w:r>
    </w:p>
    <w:p>
      <w:pPr>
        <w:spacing w:after="0" w:line="90" w:lineRule="exact"/>
        <w:rPr>
          <w:sz w:val="20"/>
          <w:szCs w:val="20"/>
          <w:color w:val="auto"/>
        </w:rPr>
      </w:pPr>
    </w:p>
    <w:p>
      <w:pPr>
        <w:ind w:left="900" w:right="24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RDX009 Program</w:t>
      </w:r>
      <w:r>
        <w:rPr>
          <w:rFonts w:ascii="Times New Roman" w:cs="Times New Roman" w:eastAsia="Times New Roman" w:hAnsi="Times New Roman"/>
          <w:sz w:val="18"/>
          <w:szCs w:val="18"/>
          <w:color w:val="auto"/>
        </w:rPr>
        <w:t>: Our focus is the discovery and development of non-systemic TGR5 agonists that stimulate GLP-2 and have the potential when used in combination with a DPP4 inhibitor to heal the intestines and reduce inflammation in inflammatory bowel disease, or IBD;</w:t>
      </w:r>
    </w:p>
    <w:p>
      <w:pPr>
        <w:spacing w:after="0" w:line="38" w:lineRule="exact"/>
        <w:rPr>
          <w:rFonts w:ascii="Times New Roman" w:cs="Times New Roman" w:eastAsia="Times New Roman" w:hAnsi="Times New Roman"/>
          <w:sz w:val="18"/>
          <w:szCs w:val="18"/>
          <w:color w:val="auto"/>
        </w:rPr>
      </w:pPr>
    </w:p>
    <w:p>
      <w:pPr>
        <w:ind w:left="900" w:right="700" w:hanging="325"/>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RDX013 Program</w:t>
      </w:r>
      <w:r>
        <w:rPr>
          <w:rFonts w:ascii="Times New Roman" w:cs="Times New Roman" w:eastAsia="Times New Roman" w:hAnsi="Times New Roman"/>
          <w:sz w:val="18"/>
          <w:szCs w:val="18"/>
          <w:color w:val="auto"/>
        </w:rPr>
        <w:t>: Our focus is the discovery and development of drug candidates to treat hyperkalemia, or elevated serum potassium, also commonly seen in CKD and ESRD patients; and</w:t>
      </w:r>
    </w:p>
    <w:p>
      <w:pPr>
        <w:spacing w:after="0" w:line="38" w:lineRule="exact"/>
        <w:rPr>
          <w:rFonts w:ascii="Times New Roman" w:cs="Times New Roman" w:eastAsia="Times New Roman" w:hAnsi="Times New Roman"/>
          <w:sz w:val="18"/>
          <w:szCs w:val="18"/>
          <w:color w:val="auto"/>
        </w:rPr>
      </w:pPr>
    </w:p>
    <w:p>
      <w:pPr>
        <w:ind w:left="900" w:right="120" w:hanging="325"/>
        <w:spacing w:after="0" w:line="339" w:lineRule="auto"/>
        <w:tabs>
          <w:tab w:leader="none" w:pos="9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RDX020 Program</w:t>
      </w:r>
      <w:r>
        <w:rPr>
          <w:rFonts w:ascii="Times New Roman" w:cs="Times New Roman" w:eastAsia="Times New Roman" w:hAnsi="Times New Roman"/>
          <w:sz w:val="16"/>
          <w:szCs w:val="16"/>
          <w:color w:val="auto"/>
        </w:rPr>
        <w:t>: Our focus is the discovery and development of drug candidates that provide alternate ways to manage fluid overload and kidney function by inhibiting chloride transport in CKD patients, particularly those who also experience acid-base disorders due to their disease.</w:t>
      </w:r>
    </w:p>
    <w:p>
      <w:pPr>
        <w:spacing w:after="0" w:line="7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executive management team has extensive experience in the discovery, development and commercialization of products in the renal field. As the Senior Vice President and General Manager of Renagel at Genzyme Corporation, or Genzyme, a Sanofi company, our President and Chief Executive Officer, Michael Raab, launched and oversaw the sales growth of sevelamer, the leading phosphate binder for the treatment of hyperphosphatemia with over $1.0 billion in worldwide sales in 2013. Mr. Raab was also instrumental in the worldwide launch of both Ceredase and Cerezyme, Genzyme’s $1.0 billion therapies for Gaucher disease. Other members of our executive team have discovered or developed important products in the cardio-renal, GI and metabolic fields, including Renagel, patiromer and Welchol, among other products, in key roles in leading biopharmaceutical companies such as Ilypsa, Inc., MedImmune, LLC, a subsidiary of AstraZeneca Plc, GelTex Pharmaceuticals, Inc., Genzyme and PDL BioPharma, Inc.</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operations to date have been funded by $56.2 million in equity investments primarily from leading venture capital investment firms and $51.3 million in upfront and development milestone payments from our collaboration partners AstraZeneca and Sanofi. We expect to receive a payment of $25.0 million in the second quarter of 2014 as a result of the dosing of the first patient in the Phase 2b ESRD clinical trial in hyperphosphatemia, which occurred in April 2014. Based on the current development plan for tenapanor, and assuming AstraZeneca’s decision to proceed with development in accordance with those plans, we expect to receive a $20.0 million development milestone payment in the first half of 2015 and, assuming positive results in the ongoing Phase 2b clinical trial of tenapanor for the treatment of hyperphosphatemia, along with a decision by AstraZeneca to move forward into a Phase 3 clinical trial, we expect that we would receive an additional $50.0 million development milestone payment by the second half of 2015.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Drug Discovery and Design Platform</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Our platform, comprised of proprietary know-how and drug discovery and design tools such as APECCS, provides us with a competitive advantage in drug development. This platform enables us, in a rapid and cost-efficient manner, to discover and design novel drug candidates that work exclusively in the GI tract to treat cardio-renal, GI and metabolic diseases. By targeting receptors and transporters localized in the GI tract, we can modulate important functions of the gut, such as absorption of specific nutrients and minerals, or the gut’s various hormonal functions, to treat and prevent diseases while avoiding systemic toxicities.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Platform versus Traditional Drug Discovery</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Traditional small molecule drug discovery and design focuses on drugs that are rapidly absorbed in the GI tract. Once absorbed, those molecules typically need to survive the first-pass metabolism that occurs in the liver in order to arrive at the targeted cells or tissues and provide the desired benefit or effect. Compared to the traditional approach employed by the pharmaceutical industry to develop systemic drugs, we believe our proprietary drug discovery and design platform has several key benefits:</w:t>
      </w:r>
    </w:p>
    <w:p>
      <w:pPr>
        <w:spacing w:after="0" w:line="55" w:lineRule="exact"/>
        <w:rPr>
          <w:sz w:val="20"/>
          <w:szCs w:val="20"/>
          <w:color w:val="auto"/>
        </w:rPr>
      </w:pPr>
    </w:p>
    <w:p>
      <w:pPr>
        <w:ind w:left="900" w:hanging="325"/>
        <w:spacing w:after="0" w:line="254"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Exploits the natural functions of the gut to affect disease</w:t>
      </w:r>
      <w:r>
        <w:rPr>
          <w:rFonts w:ascii="Times New Roman" w:cs="Times New Roman" w:eastAsia="Times New Roman" w:hAnsi="Times New Roman"/>
          <w:sz w:val="18"/>
          <w:szCs w:val="18"/>
          <w:color w:val="auto"/>
        </w:rPr>
        <w:t>. The gut is not a passive organ. It is lined with a variety of cell types that actively control the absorption of nutrients and minerals from the diet and serves to assist in the balance of those in the body. The gut also functions as an endocrine gland, causing the release of hormones in response to various stimuli. Additionally, the gut has multiple ways to communicate with the immune system and central nervous system. Our platform allows us to design drugs to modulate these active functions of the gut in order to prevent and treat disease. With our drug candidates, we can stimulate receptors in the gut to increase the release of endogenous hormones to take advantage of their natural effect on diseases and conditions. We have identified over 3,800 proteins on the inner surface of the gut, many of which we believe may be drug targets.</w:t>
      </w:r>
    </w:p>
    <w:p>
      <w:pPr>
        <w:spacing w:after="0" w:line="60" w:lineRule="exact"/>
        <w:rPr>
          <w:rFonts w:ascii="Times New Roman" w:cs="Times New Roman" w:eastAsia="Times New Roman" w:hAnsi="Times New Roman"/>
          <w:sz w:val="18"/>
          <w:szCs w:val="18"/>
          <w:color w:val="auto"/>
        </w:rPr>
      </w:pPr>
    </w:p>
    <w:p>
      <w:pPr>
        <w:ind w:left="900" w:right="60" w:hanging="325"/>
        <w:spacing w:after="0" w:line="25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Results in drug candidates with a superior safety profile that remain non-systemic.</w:t>
      </w:r>
      <w:r>
        <w:rPr>
          <w:rFonts w:ascii="Times New Roman" w:cs="Times New Roman" w:eastAsia="Times New Roman" w:hAnsi="Times New Roman"/>
          <w:sz w:val="18"/>
          <w:szCs w:val="18"/>
          <w:color w:val="auto"/>
        </w:rPr>
        <w:t xml:space="preserve"> Traditional approaches to drug development, require the design of molecules to elicit an effect in a particular area or tissue of the body. To do this, those molecules must be absorbed into the bloodstream thereby exposing many or all tissues to the drug and potentially to the drug’s metabolites. Drug and metabolite exposure in tissues not relevant to treating the intended disease or condition increases the chance of unwanted side effects. We avoid this systemic exposure by limiting the penetration of our drug candidates through the gut and into the bloodstream. We believe that our approach minimizes the possibility that our drugs may bind to or affect unintended targets in the body, reducing the potential for unwanted side effects.</w:t>
      </w:r>
    </w:p>
    <w:p>
      <w:pPr>
        <w:spacing w:after="0" w:line="58" w:lineRule="exact"/>
        <w:rPr>
          <w:rFonts w:ascii="Times New Roman" w:cs="Times New Roman" w:eastAsia="Times New Roman" w:hAnsi="Times New Roman"/>
          <w:sz w:val="18"/>
          <w:szCs w:val="18"/>
          <w:color w:val="auto"/>
        </w:rPr>
      </w:pPr>
    </w:p>
    <w:p>
      <w:pPr>
        <w:ind w:left="900" w:right="520" w:hanging="325"/>
        <w:spacing w:after="0" w:line="256"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Reduces discovery time</w:t>
      </w:r>
      <w:r>
        <w:rPr>
          <w:rFonts w:ascii="Times New Roman" w:cs="Times New Roman" w:eastAsia="Times New Roman" w:hAnsi="Times New Roman"/>
          <w:sz w:val="18"/>
          <w:szCs w:val="18"/>
          <w:color w:val="auto"/>
        </w:rPr>
        <w:t>. Because our drug candidates are designed to be non-systemic and work locally, we avoid the time that is dedicated in traditional drug discovery to designing molecules to achieve adequate bioavailability and avoid undesirable off-target side effects, while still providing the desired pharmacologic response. When animal studies confirm that one of our drug candidates is non-systemic and we observe minimal metabolism of the candidate in the gut with the use of our discovery platform tools, we have a high degree of certainty that the drug candidate will reach our intended target on the surface of the gut when administered orally.</w:t>
      </w:r>
    </w:p>
    <w:p>
      <w:pPr>
        <w:spacing w:after="0" w:line="57" w:lineRule="exact"/>
        <w:rPr>
          <w:rFonts w:ascii="Times New Roman" w:cs="Times New Roman" w:eastAsia="Times New Roman" w:hAnsi="Times New Roman"/>
          <w:sz w:val="18"/>
          <w:szCs w:val="18"/>
          <w:color w:val="auto"/>
        </w:rPr>
      </w:pPr>
    </w:p>
    <w:p>
      <w:pPr>
        <w:jc w:val="both"/>
        <w:ind w:left="900" w:right="100" w:hanging="325"/>
        <w:spacing w:after="0" w:line="26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Promotes efficient phenotypic screens</w:t>
      </w:r>
      <w:r>
        <w:rPr>
          <w:rFonts w:ascii="Times New Roman" w:cs="Times New Roman" w:eastAsia="Times New Roman" w:hAnsi="Times New Roman"/>
          <w:sz w:val="18"/>
          <w:szCs w:val="18"/>
          <w:color w:val="auto"/>
        </w:rPr>
        <w:t xml:space="preserve">. Our platform, particularly as enhanced with APECCS, allows us to conduct efficient phenotypic screening as the cell lines used for screening are a better representation of the GI.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selected hits is believed to be more predictive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compared to more traditional approaches.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our Proprietary Drug Discovery and Design Platform Works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platform allows us to identify and design novel non-systemic drug candidates to treat cardio-renal, GI and metabolic diseases.</w:t>
      </w:r>
    </w:p>
    <w:p>
      <w:pPr>
        <w:spacing w:after="0" w:line="90" w:lineRule="exact"/>
        <w:rPr>
          <w:sz w:val="20"/>
          <w:szCs w:val="20"/>
          <w:color w:val="auto"/>
        </w:rPr>
      </w:pPr>
    </w:p>
    <w:p>
      <w:pPr>
        <w:ind w:left="900" w:hanging="325"/>
        <w:spacing w:after="0" w:line="25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w:t>
      </w:r>
      <w:r>
        <w:rPr>
          <w:rFonts w:ascii="Times New Roman" w:cs="Times New Roman" w:eastAsia="Times New Roman" w:hAnsi="Times New Roman"/>
          <w:sz w:val="18"/>
          <w:szCs w:val="18"/>
          <w:color w:val="auto"/>
        </w:rPr>
        <w:t>: We identify and evaluate receptors and transporters on the epithelia of the GI tract that may impact diseases and we use a suite of techniques to characterize cell functions such as protein imaging and pharmacological probes in order to confirm that such targets are found on cells of the lumen, or inside surface, of the intestines. Using our scientific expertise and specialized know-how, along with traditional screening methodologies, we identify starting chemistries that have the potential to engage actively with the targeted receptor or transporter. These starting tool compounds are often absorbed into the bloodstream and have undesirable properties but serve the purpose of confirming the presence of the target we are pursuing. We use medicinal chemistry techniques to optimize potency and target engagement to eliminate or limit off-target activity and improve various drug properties of the compound.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20" w:hanging="325"/>
        <w:spacing w:after="0" w:line="301" w:lineRule="auto"/>
        <w:tabs>
          <w:tab w:leader="none" w:pos="9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Non-Systemic</w:t>
      </w:r>
      <w:r>
        <w:rPr>
          <w:rFonts w:ascii="Times New Roman" w:cs="Times New Roman" w:eastAsia="Times New Roman" w:hAnsi="Times New Roman"/>
          <w:sz w:val="16"/>
          <w:szCs w:val="16"/>
          <w:color w:val="auto"/>
        </w:rPr>
        <w:t>: We use our medicinal chemistry expertise, together with a suite of tools and capabilities we have developed to test and monitor the non-systemic qualities of our drugs. We then transform the optimized tool compounds into pre-lead drug candidates that have low systemic availability, low gastric and intestinal metabolism, favorable drug properties such as solubility and stability, and that affect the desired biological response in animals. These pre-lead molecules are then optimized in all respects to create lead molecules that can enter IND-enabling studies.</w:t>
      </w:r>
    </w:p>
    <w:p>
      <w:pPr>
        <w:spacing w:after="0" w:line="22" w:lineRule="exact"/>
        <w:rPr>
          <w:rFonts w:ascii="Times New Roman" w:cs="Times New Roman" w:eastAsia="Times New Roman" w:hAnsi="Times New Roman"/>
          <w:sz w:val="16"/>
          <w:szCs w:val="16"/>
          <w:color w:val="auto"/>
        </w:rPr>
      </w:pPr>
    </w:p>
    <w:p>
      <w:pPr>
        <w:ind w:left="900" w:hanging="325"/>
        <w:spacing w:after="0" w:line="254"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APECCS</w:t>
      </w:r>
      <w:r>
        <w:rPr>
          <w:rFonts w:ascii="Times New Roman" w:cs="Times New Roman" w:eastAsia="Times New Roman" w:hAnsi="Times New Roman"/>
          <w:sz w:val="18"/>
          <w:szCs w:val="18"/>
          <w:color w:val="auto"/>
        </w:rPr>
        <w:t xml:space="preserve">: APECCS, our novel cell-based system, involves the biopsy of various segments of the gut and the growth of those cells under proprietary conditions to maintain, to the extent possible, the integrity and functionality of the various cell types and substructures. We have developed this into a miniaturized format that allows us to utilize it for cell based drug screening. In addition to using APPECS in the design of our small molecule drug candidates, we use the APECCS technology to measure epithelial transport of ions and nutrients and to screen compounds to identify potential disease modulators such as inhibitors or activators using phenotypic screening. APECCS has the potential to allow us to identify novel targets, mechanisms of action and physiology as well as provide us an early understanding of how identified compounds may interact with specific gut tissues. In addition, we believe that APECCS may also provide us a clear path to translate cell-based observations into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rodent models and ultimately into human clinical studies.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Our goal is to be a leader in the discovery, development and commercialization of innovative, non-systemic, small molecule therapeutics that work exclusively in the GI tract to treat cardio-renal, GI and metabolic diseases. Our strategy involves the following:</w:t>
      </w:r>
    </w:p>
    <w:p>
      <w:pPr>
        <w:spacing w:after="0" w:line="3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tenapanor into late-stage and pivotal clinical trials in collaboration with AstraZeneca. </w:t>
      </w:r>
      <w:r>
        <w:rPr>
          <w:rFonts w:ascii="Times New Roman" w:cs="Times New Roman" w:eastAsia="Times New Roman" w:hAnsi="Times New Roman"/>
          <w:sz w:val="18"/>
          <w:szCs w:val="18"/>
          <w:color w:val="auto"/>
        </w:rPr>
        <w:t>We are actively involved with AstraZeneca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efforts for tenapanor, including overseeing and conducting, on AstraZeneca’s behalf, two of the three ongoing Phase 2 clinical trials, for which AstraZeneca is solely responsible for all development costs. We participate in the strategic and operational management of the global tenapanor program and are focused on rapidly and efficiently advancing this program. With successful completion of the ongoing Phase 2 clinical trials and assuming AstraZeneca’s decision to move forward with these programs, we expect that in the second half of 2015, AstraZeneca would initiate a Phase 3 pivotal clinical trial for hyperphosphatemia in ESRD, along with a Phase 2b clinical trial in CKD patients.</w:t>
      </w:r>
    </w:p>
    <w:p>
      <w:pPr>
        <w:spacing w:after="0" w:line="13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non-dilutive financing from our existing collaboration partnerships and the proceeds of this offering to expand our product pipeline and advance our earlier-stage product candidates into clinical trials. </w:t>
      </w:r>
      <w:r>
        <w:rPr>
          <w:rFonts w:ascii="Times New Roman" w:cs="Times New Roman" w:eastAsia="Times New Roman" w:hAnsi="Times New Roman"/>
          <w:sz w:val="18"/>
          <w:szCs w:val="18"/>
          <w:color w:val="auto"/>
        </w:rPr>
        <w:t>To date, we have received $51.3 million in non-dilutive funding from our collaboration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AstraZeneca and Sanofi. If we achieve our milestones in these agreements, we would receive additional significant non-dilutive funding, including a payment of $25.0 million that we expect to receive in the second quarter of 2014. We plan to use these payments, together with the proceeds of the offering, to continue our discovery and development efforts for our preclinical product candidates, which include our RDX009, RDX013 and RDX020 programs, and expand our product pipeline, including through the potential acquisition or in-license of other products. In addition, we will continue to evaluate new collaboration partnerships to enhance the discovery, development or commercialization of other product candidates in our product pipeline.</w:t>
      </w:r>
    </w:p>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technological capabilities and drug discovery and design platform to expand our product pipeline. </w:t>
      </w:r>
      <w:r>
        <w:rPr>
          <w:rFonts w:ascii="Times New Roman" w:cs="Times New Roman" w:eastAsia="Times New Roman" w:hAnsi="Times New Roman"/>
          <w:sz w:val="18"/>
          <w:szCs w:val="18"/>
          <w:color w:val="auto"/>
        </w:rPr>
        <w:t>We have developed a unique approach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discover and develop new agents to treat diseases involving the exploitation of receptors and targets on the epithelia of the GI tract that affect related biology to treat disease. We have built a suite of tools, knowledge and capabilities around this approach and have leveraged such tools for the discovery of NHE3 inhibitors such as tenapanor, NaP2b inhibitors, TGR5 agonists and other drug candidates in our pipeline. We have developed APECCS to augment and help streamline the approach. We have identified over 3,800 proteins on the inner surface of the gut, many of which we believe may be drug targets amenable to our approach. We plan to leverage these tools, capabilities and know-how to discover, develop and commercialize new first-in-class drugs that treat cardio-renal, GI and metabolic diseases.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Develop commercial capabilities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expect to develop U.S. commercial capabilities, initially focusing on the renal field and targeting nephrologists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specialty physicians. Our executive management team, and in particular our President and Chief Executive Officer, Michael Raab, has extensive experience in developing and commercializing therapeutic drugs for the CKD and ESRD markets. Upon receipt of positive Phase 3 results, we expect to exercise our right to co-promote one of our drug candidates with AstraZeneca or Sanofi, either of which would provide financial support that would assist us in building a specialty sales and marketing team for this purpose. We also may develop additional commercial capabilities in connection with other opportunities we choose to pursue.</w:t>
      </w:r>
    </w:p>
    <w:p>
      <w:pPr>
        <w:spacing w:after="0" w:line="104" w:lineRule="exact"/>
        <w:rPr>
          <w:sz w:val="20"/>
          <w:szCs w:val="20"/>
          <w:color w:val="auto"/>
        </w:rPr>
      </w:pPr>
    </w:p>
    <w:p>
      <w:pPr>
        <w:jc w:val="both"/>
        <w:ind w:right="80"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Leverage our management team’s drug development and commercialization expertise to identify and secure complementary in-licensing opportunities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management team has significant experience in the development and commercialization of products in the cardio-renal, GI and metabolic fields in which we operate. We intend to leverage this expertise to pursue in-licensing opportunities that expand our product pipeline within relevant therapeutic fields.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With AstraZeneca, we are evaluating the safety and efficacy of tenapanor in three ongoing Phase 2 clinical trials for three different indications. Through our collaboration partner, Sanofi, we are continuing discovery efforts with our NaP2b inhibitors. We also have three internal on-going discovery efforts aimed at non-systemic agents to treat IBD and hyperkalemia and to modulate chloride transport. The following table summarizes key information about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172720</wp:posOffset>
            </wp:positionV>
            <wp:extent cx="5205730" cy="255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0573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Tenapanor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tenapanor</w:t>
      </w:r>
    </w:p>
    <w:p>
      <w:pPr>
        <w:spacing w:after="0" w:line="94" w:lineRule="exact"/>
        <w:rPr>
          <w:sz w:val="20"/>
          <w:szCs w:val="20"/>
          <w:color w:val="auto"/>
        </w:rPr>
      </w:pPr>
    </w:p>
    <w:p>
      <w:pPr>
        <w:jc w:val="both"/>
        <w:ind w:firstLine="456"/>
        <w:spacing w:after="0" w:line="301" w:lineRule="auto"/>
        <w:rPr>
          <w:sz w:val="20"/>
          <w:szCs w:val="20"/>
          <w:color w:val="auto"/>
        </w:rPr>
      </w:pPr>
      <w:r>
        <w:rPr>
          <w:rFonts w:ascii="Times New Roman" w:cs="Times New Roman" w:eastAsia="Times New Roman" w:hAnsi="Times New Roman"/>
          <w:sz w:val="16"/>
          <w:szCs w:val="16"/>
          <w:color w:val="auto"/>
        </w:rPr>
        <w:t>Tenapanor has consistently demonstrated the ability to reduce the absorption of dietary sodium and phosphorus, both of which are widely recognized as key factors in the progression of kidney disease. Our lead indication is the treatment of hyperphosphatemia in ESRD patients. We and AstraZeneca are also evaluating the potential for tenapanor’s long-term benefit in the treatment of patients with CKD. Trials are underway to understand the potential impact tenapanor may have on markers of kidney disease and fluid status in CKD patients. We and AstraZeneca are also evaluating the use of tenapanor for the treatment of IBS-C.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Tenapanor is a non-systemic small molecule inhibitor of NHE3, a sodium transporter present on the epithelia of the GI tract.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have shown that tenapanor is potent against human NHE3 and specific for NHE3 versus other similar transporters such as NHE1, NHE2 and NaP2b. When radiolabeled tenapanor was administered orally to rats, we demonstrated that approximately 98% of the administered dose was detected, unchanged, in feces, indicating that no substantial metabolism occurred and that the drug was non-systemic. In human studies of orally-administered tenapanor, the drug was detected in the blood in only 0.7% of more than 2,000 collected serum samples, and even in those, at very low levels (&lt; 1.5 ng/mL). Tenapanor is stable at room temperature and has been formulated into small tablets ranging from 1 mg to 50 mg.</w:t>
      </w:r>
    </w:p>
    <w:p>
      <w:pPr>
        <w:spacing w:after="0" w:line="141" w:lineRule="exact"/>
        <w:rPr>
          <w:sz w:val="20"/>
          <w:szCs w:val="20"/>
          <w:color w:val="auto"/>
        </w:rPr>
      </w:pPr>
    </w:p>
    <w:p>
      <w:pPr>
        <w:ind w:right="300" w:firstLine="456"/>
        <w:spacing w:after="0" w:line="296" w:lineRule="auto"/>
        <w:rPr>
          <w:sz w:val="20"/>
          <w:szCs w:val="20"/>
          <w:color w:val="auto"/>
        </w:rPr>
      </w:pPr>
      <w:r>
        <w:rPr>
          <w:rFonts w:ascii="Times New Roman" w:cs="Times New Roman" w:eastAsia="Times New Roman" w:hAnsi="Times New Roman"/>
          <w:sz w:val="16"/>
          <w:szCs w:val="16"/>
          <w:color w:val="auto"/>
        </w:rPr>
        <w:t>We have administered tenapanor to over 750 subjects to date including over 280 healthy volunteers, 410 IBS-C subjects and 60 patients with CKD and ESRD. Tenapanor has been administered in a single dose of up to 900 mg and for a period of up to 3 months at 100 mg/day. Tenapanor has generally been observed to be safe and well-tolerated in preclinical, nonclinical and clinical studies. All findings were consistent with findings for non-systemic drugs, where dose-limiting side effects are due to the exaggerated pharmacology of the drug and, in the case of tenapanor, such side effects were related to gastrointestinal symptoms. All serious adverse events reported thus far have been assessed as unrelated to tenapanor by the study investigators, by us and by AstraZeneca.</w:t>
      </w:r>
    </w:p>
    <w:p>
      <w:pPr>
        <w:spacing w:after="0" w:line="10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animal studies and Phase 1 studies in healthy adult volunteers where fecal sodium was measured, we observed that tenapanor has a significant effect on the diversion of dietary sodium into the stool. In addition, in IBS-C patients, we saw that tenapanor elicited the expected pharmacological effect of increased fecal fluid that results from the inhibition of sodium absorption. The sodium effect of tenapanor is related to its interaction with NHE3. NHE3 is a sodium-proton exchanger located on the epithelia or surface of the intestinal lumen. NHE3 is also located on absorptive cells of the nephrons (structural units of the kidney that filter the blood). Its role is to absorb sodium into the body from the intestine or, alternately, re-absorb it from the filtered plasma in the kidney in order to maintain sodium balance in the body. The net flow of sodium (and chloride through other means) from the intestines also results in the complementary absorption of intestinal water to maintain a constant blood sodium concentration.</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preclinical studies with tenapanor, we observed that, in addition to diverting sodium into the stool, tenapanor also inhibited the absorption of phosphorus, and in Phase 1 studies in healthy adults, we observed that tenapanor has a significant effect on the diversion of dietary phosphorus into the stool.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we determined that tenapanor does not directly inhibit NaP2b or PiT1, both of which are phosphorus transporters in the gut. AstraZeneca continues to evaluate the mechanism for tenapanor’s phosphorus effect. Based on results from preclinical and Phase 1 studies, we and AstraZeneca determined that developing tenapanor to treat hyperphosphatemia in ESRD patients offered the most expeditious path to approval and commercialization.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Tenapanor for treating hyperphosphatemia in ESRD patients on hemodialysis</w:t>
      </w:r>
    </w:p>
    <w:p>
      <w:pPr>
        <w:spacing w:after="0" w:line="94"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treatment of hyperphosphatemia in ESRD patients by reducing the absorption of dietary phosphorus is the lead indication for tenapanor. We and AstraZeneca have undertaken a Phase 2b clinical trial in this indication.</w:t>
      </w:r>
    </w:p>
    <w:p>
      <w:pPr>
        <w:spacing w:after="0" w:line="12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CKD is the progressive deterioration of renal function that can occur over several months or years. The symptoms of worsening kidney function are nonspecific, and can include having less energy, reduced appetite, dry itchy skin, swollen feet and ankles, or generally just not feeling well. If the deterioration continues and is not halted by either changes in life-style or with the assistance of pharmacological intervention, the disease will likely cause significant cardiovascular morbidity, and can progress to ESRD, the final stage of CKD, where kidney function will be lost entirely.</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Current management of ESRD includes hemodialysis and peritoneal dialysis as a means to filter toxins from the blood once kidneys have failed. Unless this intervention occurs, kidney failure results in the accumulation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waste products that may ultimately cause death. Hemodialysis, the most common form of dialysis, generally requires a patient to visit a dialysis center at least three times per week for a three- to five-hour session, significantly reducing quality of life.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Hyperphosphatemia in ESRD</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Phosphorus, a vital element required for most cellular processes, is present in almost every food in the Western diet, and, in individuals with normal kidney function, any excess dietary phosphorus is efficiently removed by the kidney and excreted in urine. In adults with functioning kidneys, normal serum phosphorus levels are 2.6 to 3.8 mg/dL. With kidney failure, elevated phosphorus becomes a toxin and is diagnosed as hyperphosphatemia when serum phosphorus levels are greater than 5.0 mg/dL. Although patients with ESRD rely on dialysis to eliminate toxins, phosphorus is not readily removed by the procedure and other means of managing phosphorus levels must be employed.</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ESRD, excess levels of phosphorus have been shown to lead to an increase in cardiovascular disease risk, as well as increases in serum FGF-23, an important serum endocrine hormone that regulates phosphorus metabolism, and elevated parathyroid hormone, also known as secondary hyperparathyroidism. These endocrine changes in ESRD patients are a concern as elevated parathyroid hormone leads to the development of renal osteodystrophy, a condition of abnormal bone growth characterized by brittle bones. Elevated levels of FGF-23 are strongly associated with an increased risk of cardiovascular mortality. With concurrent elevated calcium levels common in these patients, particularly when calcium is used as a means of controlling phosphorus, deposits containing calcium and phosphate develop in arteries, joints, skin, soft tissue and other organs. Increased coronary artery calcification is associated with an increased risk of heart disease, stroke and death.</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Limitations of current products for hyperphosphatemia</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Since dialysis is unable to efficiently eliminate excess phosphorus, ESRD patients are put on restrictive low phosphorus diets and are prescribed medications called phosphate binders, the only pharmacologic interventions currently marketed for the treatment of hyperphosphatemia. Binders are a collection of drugs whose function is to bind, or absorb, dietary phosphorus and are taken in conjunction with meals and snacks. They include calcium or lanthanum, a rare-earth metal, which bind to and precipitate with dietary phosphate in the GI tract. The goal is for patients to excrete the precipitated phosphorus in their stool. A limitation of this approach is the systemic absorption of calcium or lanthanum, resulting in side effects and other unintended consequence for ESRD patients. In an effort to eliminate these unwanted side effects, non-absorbed exchange resins, such as sevelamer were developed to bind to phosphate in the GI tract and to be eliminated in stool.</w:t>
      </w:r>
    </w:p>
    <w:p>
      <w:pPr>
        <w:spacing w:after="0" w:line="14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Safety and tolerability have been significant concerns with many approved phosphate binders. The more common side effects of approved phosphate binders include long-term vascular calcification, nausea and vomiting, ileus or disruption of the normal propulsive ability of the GI tract.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ESRD patients take on average 10-14 oral medications each day, and they are severely restricted in their fluid intake. In addition, to control their serum phosphorus, their phosphate binder-related pill burden is significant, typically consisting of nine or more pills a day. The amount of phosphate a binder can remove is limited by its binding capacity, and therefore, increasing the dose, and the pill burden, of the binder is the only way to increase the amount of phosphate being bound and excreted. As a result, prescribed binder doses are intolerable for many patients.</w:t>
      </w:r>
    </w:p>
    <w:p>
      <w:pPr>
        <w:spacing w:after="0" w:line="136"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effectiveness of current treatment with phosphate binders is limited. For example, in a 2012 study conducted by Amgen in 1,430 ESRD patients on hemodialysis in the United States in which 89% of the patients in the study had previously been prescribed phosphate binders, the average baseline serum phosphorus level was 6.4 mg/dL, significantly above the target for dialysis patients of 5.5 mg/dL and far above normal serum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phosphorus levels of 2.6 to 3.8 mg/dL. Other studies suggest that this lack of efficacy is due primarily to poor patient compliance associated with significant pill burden and other tolerability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111125</wp:posOffset>
            </wp:positionV>
            <wp:extent cx="4210685" cy="37731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10685"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above graph does not reflect actual size but is to scale.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Size of the hyperphosphatemia market</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According to the most recent data available from the U.S. Renal Data System, in 2011 there were 395,656 patients on hemodialysis in the United States. Additionally, according to the European ERA-EDTA Registry 2011 Annual Report and a study in 2010 by the Japanese Society for Dialysis Therapy, there were approximately 270,000 patients on hemodialysis in Europe and about 250,000 in Japan. The worldwide market for phosphate binders in 2011 was reported to be approximately $1.5 billion and is projected to reach $2.3 billion by 2015. Although phosphate binders are not approved by the U.S. Food and Drug Administration, or FDA, for the treatment of hyperphosphatemia in CKD patients, in other major markets such as Europe and Japan, phosphate binders are approved for the treatment of hyperphosphatemia in Stages 3 and 4 CKD patients.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Preclinical and clinical data supporting tenapanor in hyperphosphatemia</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Several preclinical and clinical studies have shown tenapanor’s ability to inhibit the absorption of dietary phosphorus while maintaining an attractive safety and tolerability profile. In rats with normal renal function, tenapanor administered orally was able to significantly reduce urinary phosphorus. In a rat model of CKD, tenapanor reduced urinary and serum phosphorus and improved blood uremic markers indicative of improved renal status. Additionally in this model, tenapanor significantly improved survival, reduced aortic and gastric calcification, and reduced blood levels of FGF23, an important serum endocrine hormone that regulates phosphorus metabolism.</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four separate clinical trials tenapanor has consistently demonstrated the ability to inhibit the absorption of dietary phosphorus as measured by a decrease of urinary phosphorus and/or an increase of fecal phosphorus. The fecal phosphorus results in the studies described below were similar to those from a Phase 1 study in healthy adult volunteers published in 1997 by GelTex, where sevelamer was dosed at 5g three times daily, about 500 times the dose of tenapanor used in our studies.</w:t>
      </w:r>
    </w:p>
    <w:p>
      <w:pPr>
        <w:spacing w:after="0" w:line="55" w:lineRule="exact"/>
        <w:rPr>
          <w:sz w:val="20"/>
          <w:szCs w:val="20"/>
          <w:color w:val="auto"/>
        </w:rPr>
      </w:pPr>
    </w:p>
    <w:p>
      <w:pPr>
        <w:ind w:left="900" w:right="28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RDX5791-101: In this first-in-man clinical trial of tenapanor in healthy adults, doses of 3 to 100 mg administered once daily for 7 days produced increased fecal phosphorus as compared to placebo, suggesting that dietary phosphorus was diverted to the feces.</w:t>
      </w:r>
    </w:p>
    <w:p>
      <w:pPr>
        <w:spacing w:after="0" w:line="38"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RDX5791-102: In this Phase 1b study in healthy adults, tenapanor administered once, twice or three times daily for 7 days at various total daily doses of 30 to 120 mg consistently increased fecal phosphorus as compared to placebo.</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D5611C00002: In this Phase 1 clinical trial, designed to evaluate different formulations, 15 mg of tenapanor was administered twice daily to healthy adults. Tenapanor reduced urinary phosphorus compared to baseline.</w:t>
      </w:r>
    </w:p>
    <w:p>
      <w:pPr>
        <w:spacing w:after="0" w:line="38" w:lineRule="exact"/>
        <w:rPr>
          <w:rFonts w:ascii="Times New Roman" w:cs="Times New Roman" w:eastAsia="Times New Roman" w:hAnsi="Times New Roman"/>
          <w:sz w:val="18"/>
          <w:szCs w:val="18"/>
          <w:color w:val="auto"/>
        </w:rPr>
      </w:pPr>
    </w:p>
    <w:p>
      <w:pPr>
        <w:ind w:left="900" w:right="380" w:hanging="325"/>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D5611C00006: In this Phase 1 clinical trial to evaluate drug-drug interactions, tenapanor alone, versus baseline, increased fecal phosphorus and decreased urinary phosphorus.</w:t>
      </w:r>
    </w:p>
    <w:p>
      <w:pPr>
        <w:spacing w:after="0" w:line="12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We and AstraZeneca are encouraged by the consistency of these data and as a result have commenced a Phase 2b clinical trial designed to evaluate tenapanor’s ability to lower serum phosphorus in dialysis patients.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Development plans for tenapanor in hyperphosphatemia</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We and AstraZeneca have initiated a Phase 2b clinical trial to evaluate the effects of tenapanor on serum phosphorus in hemodialysis patients with hyperphosphatemia. The study is designed to evaluate several doses and dosing schedules, including once and twice daily dosing schedules, in a wide range of doses designed to find the minimum effective dose. We expect to receive results for this trial in the first half of 2015.</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Based on the results of this study and AstraZeneca’s decision to seek concurrence by the FDA, this study may be accepted for use as a pivotal Phase 3 trial. Additionally, upon successful completion of the Phase 2b trial, we expect that AstraZeneca would initiate either one or two pivotal Phase 3 studies in the second half of 2015 for hyperphosphatemia.</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Tenapanor’s competitive advantage in hyperphosphatemia</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Given that the objective is to lower serum phosphorus levels to below 5.5 mg/dL in dialysis patients, and that many of these patients are unable to accomplish this goal with currently marketed phosphate binders, there is a clear medical need for new treatments for hyperphosphatemia. We believe that there is a significant opportunity for new agents with demonstrated efficacy, a strong safety profile, and significantly lower pill burden.</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believe that tenapanor, if approved, has the potential to have the lowest pill burden among any of the marketed hyperphosphatemia drugs, with milligram rather than gram quantities dosed once or twice daily. In addition, we and AstraZeneca may evaluate whether tenapanor has the potential to be used in combination with phosphate binders for those patients who cannot achieve adequate phosphate control with a single agent.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Tenapanor for treating CKD: potential long-term benefit from sodium control</w:t>
      </w:r>
    </w:p>
    <w:p>
      <w:pPr>
        <w:spacing w:after="0" w:line="9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In an ongoing Phase 2a trial, we and AstraZeneca are exploring the potential benefit of tenapanor in treating patients with CKD who still have some renal function and are not yet on dialysis. In order to explore the benefits of tenapanor in this population, we are initially evaluating tenapanor for its effect on markers of kidney disease and fluid status.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40" w:top="455" w:right="2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decline in renal function in patients with CKD is initially asymptomatic and the rate of disease progression varies based on genetics, ethnicity, the underlying cause, such as cardiovascular disease, diabetes, and many other factors. As the disease progresses, signs and symptoms of CKD become more apparent and include fluid overload, hyperkalemia, metabolic acidosis, hypertension, anemia, and mineral and bone disorders. Therapy to delay progression of the disease focuses on blood pressure control and reduction in urinary protein excretion.</w:t>
      </w:r>
    </w:p>
    <w:p>
      <w:pPr>
        <w:spacing w:after="0" w:line="136"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If the results of the ongoing Phase 2a study demonstrate that tenapanor offers a benefit by decreasing elevated urine albumin to creatinine ratio, or UACR (a measure that roughly correlates with kidney disease severity and which has a significant component that may be independent of any blood pressure effect), we believe this may give us insight into the potential long-term benefit of tenapanor on delaying the progression of kidney disease.</w:t>
      </w:r>
    </w:p>
    <w:p>
      <w:pPr>
        <w:spacing w:after="0" w:line="132" w:lineRule="exact"/>
        <w:rPr>
          <w:sz w:val="20"/>
          <w:szCs w:val="20"/>
          <w:color w:val="auto"/>
        </w:rPr>
      </w:pPr>
    </w:p>
    <w:p>
      <w:pPr>
        <w:ind w:right="660" w:firstLine="456"/>
        <w:spacing w:after="0" w:line="339" w:lineRule="auto"/>
        <w:rPr>
          <w:sz w:val="20"/>
          <w:szCs w:val="20"/>
          <w:color w:val="auto"/>
        </w:rPr>
      </w:pPr>
      <w:r>
        <w:rPr>
          <w:rFonts w:ascii="Times New Roman" w:cs="Times New Roman" w:eastAsia="Times New Roman" w:hAnsi="Times New Roman"/>
          <w:sz w:val="16"/>
          <w:szCs w:val="16"/>
          <w:color w:val="auto"/>
        </w:rPr>
        <w:t>CKD is defined as abnormalities of kidney structure or function, present for more than three months, and is categorized by five general stages of progression (stages 1-5), according to estimated glomerular filtration rate, or eGFR. Stage 3b and beyond are generally considered to be late-stage CKD.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Sodium and fluid overload in CKD</w:t>
      </w:r>
    </w:p>
    <w:p>
      <w:pPr>
        <w:spacing w:after="0" w:line="92"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In CKD patients, failing kidneys are less efficient at blood filtration and sodium elimination resulting in fluid and sodium overload. This fluid overload correlates with the rapid decline of kidney function and the eventual requirement for renal replacement therapy including hemodialysis. The effects of fluid overload include high blood pressure, worsening kidney and heart disease, fluid in the lungs (edema) causing dyspnea (shortness of breath) and ultimately poor survival. Fluid overload has been shown to be an independent predictor of mortality in both hemodialysis patients and in CKD patients.</w:t>
      </w:r>
    </w:p>
    <w:p>
      <w:pPr>
        <w:spacing w:after="0" w:line="10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 study of CKD patients where sodium intake was restricted, the investigators demonstrated that by merely decreasing sodium intake that they were able to reduce blood pressure and albuminuria in those patients. Those two measures alone are indicators that kidney function may be improving. Although generally acknowledged that excess sodium intake should be curtailed in this population, it is also recognized that the majority of people who are told to restrict sodium intake are non-compliant. We believe that the pharmacologic approach we are taking with tenapanor may have the same impact.</w:t>
      </w:r>
    </w:p>
    <w:p>
      <w:pPr>
        <w:spacing w:after="0" w:line="136"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We believe that, if we are successful in demonstrating an improvement in UACR, our ongoing Phase 2a clinical trial of tenapanor in CKD patients will provide data to allow for further investment in larger trials evaluating tenapanor’s ability to delay disease progression. We expect to receive results from the ongoing Phase 2a study in the second half of 2015.</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Limitations of current approaches to delay CKD progression</w:t>
      </w:r>
    </w:p>
    <w:p>
      <w:pPr>
        <w:spacing w:after="0" w:line="92"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In an effort to preserve renal function, physicians often suggest a number of interventions and life-style modifications; however, most of them are quite cumbersome and lead to poor patient compliance. Although low sodium diets are generally required for all CKD patients, most patients are generally poorly compliant for a variety of reasons, including cost, lack of availability of low sodium foods and the inability to change eating habits.</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Most CKD patients are also treated with a combination of therapies designed to delay progression of kidney disease by controlling diabetes, blood pressure and decreasing fluid retention. Diuretics are often prescribed to inhibit sodium re-uptake in the kidney and increase urinary sodium and water excretion. However, diuretics lose efficacy as kidney function declines, and are known to cause electrolyte disorders such as hypokalemia (low potassium) and metabolic alkalosis (high bicarbonate level in the blood). Hypertension medications referred to as ACE inhibitors, ARBs and mineral corticoid receptor blockers also reduce blood pressure associated with fluid overload, which in turn can delay the rate of progression of CKD. In addition, these agents, particularly mineral corticoid receptor blockers, can result in hyperkalemia (high potassium), preventing their widespread use in CKD patients.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Size of late-stage CKD market</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Worldwide, there are about 64.6 million patients with stage 3 or 4 CKD all of which are at significant risk of kidney disease progression, heart disease caused by vascular calcification and premature death. There are approximately 3.6 million patients in the United States with stage 3b and 4 CKD. There are about 8.5 million and 2.3 million patients with stage 3b or 4 CKD in Europe and Japan, respectively. Of these, there are about 1.8 million, 1.7 million and 0.6 million patients in the United States, Europe and Japan, respectively, that have both CKD and type 2 diabetes, the patient population currently studied in the ongoing Phase 2a CKD clinical trial.</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Preclinical and clinical data supporting tenapanor for CKD</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preclinical models rats with CKD that were fed a high salt diet and exhibited hypervolemia, cardiac hypertrophy and arterial stiffening, had improved measures of cardio-renal function including a dose-dependent reduction of extracellular fluid volume, left ventricular hypertrophy, albuminuria, and blood pressure in a dose-dependent manner with administration of tenapanor. We observed these effects whether tenapanor was administered prophylactically or after disease was established. In these studies, tenapanor also prevented increases in glomerular area and urinary KIM-1, both markers of renal injury. In addition, rats dosed with a combination of tenapanor and the blood pressure medication enalapril showed improvement in cardiac diastolic dysfunction and arterial pulse wave velocity relative to those animals dosed with enalapril alone.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human studies, tenapanor reduced urinary sodium excretion by 20 to 50 mmol/day and led to an increase of similar magnitude in stool sodium.</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results of these preclinical and clinical studies suggest that therapeutic alteration of sodium transport with tenapanor in the gastrointestinal tract could lead to improvements in CKD and has informed the design of our development plan.</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Development plans for tenapanor in CKD</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and AstraZeneca have commenced an Phase 2a, randomized, double-blind, placebo-controlled, parallel design study to evaluate the safety, tolerability, and pharmacodynamics of tenapanor in CKD patients with type 2 diabetes and albuminuria and high blood pressure.</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With positive results from this Phase 2a study, we expect that AstraZeneca would commence a Phase 2b clinical program to evaluate the long-term benefit of sodium and fluid reduction in the CKD patient population. If the Phase 2b clinical program is successful, and should AstraZeneca decide to move forward with the development of tenapanor in the CKD patient population, we believe the Phase 3 clinical program could include endpoints such as the delay of the progression of kidney disease as measured by eGFR percentage of patients who progress to ESRD, cardiovascular events and survival.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Tenapanor for treating IBS-C</w:t>
      </w:r>
    </w:p>
    <w:p>
      <w:pPr>
        <w:spacing w:after="0" w:line="94"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Tenapanor is being evaluated in a randomized Phase 2b, double-blind, placebo-controlled clinical trial in 371 IBS-C patients to evaluate the effect of tenapanor on the frequency of bowel movements versus placebo. Enrollment is completed and the results of this clinical trial are expected in the fourth quarter of 2014. IBS-C is a GI disorder in which abdominal pain or discomfort is associated with constipation, which significantly affects the health and quality of life of affected patients. It is unknown what causes IBS-C. There is no specific test or biomarker for IBS-C and therefore, its presence is diagnosed by symptoms and by eliminating other disorders. IBS-C is very similar to chronic constipation and it is clinically distinguished by a significant pain component.</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Limitations of current products for IBS-C</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Numerous treatments exist for the constipation component of IBS-C, many of which are over-the-counter. We are aware of two prescription products marketed for IBS-C, Linzess (linaclotide) marketed by Ironwood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Pharmaceuticals and Amitiza (lubiprostone) marketed by Sucampo and Takeda. In Phase 3 clinical trials of Linzess in IBS-C patients, up to 20% more patients receiving Linzess than placebo reached the primary endpoint, indicating a significant response during 6 out of 12 weeks of treatment. In these studies, Linzess caused diarrhea in up to 17% more patients than placebo. Amitiza also causes significant levels of nausea and diarrhea.</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Preclinical and clinical data supporting tenapanor in IBS-C</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initiating our IBS-C clinical program, we generated a variety of evidence from animal studies which suggested that tenapanor would be effective in treating constipation disorders and IBS-C in particular. Rats treated with tenapanor exhibited a dose-dependent increase in both fecal water content and fecal form score in which higher scores mean looser stools. Similar results were observed in mouse, rabbit, dog, and non-human primates. In animal studies, we also showed that tenapanor transiently increases water content and transit rate in all segments of the intestinal tract, which is consistent with reported expression patterns of tenapanor’s target, NHE3. In a rat model of visceral hypersensitivity, tenapanor reduced or abolished stress-induced hypersensitivity to colorectal distention at two different doses without affecting the overall tone or relaxation effect in the relevant tissue.</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Results from two separate Phase 1 clinical trials were supportive of pursuing applications of tenapanor in constipation indications. For example, tenapanor administration reduced the median time to first post-treatment bowel movement, increased a measure of stool consistency (the Bristol Stool Form Scale), and increased average stool weight. Twice-daily dosing was shown to increase the pharmacodynamic response of tenapanor. On the basis of the Phase 1 results, we initiated and completed a Phase 2a study to evaluate complete spontaneous bowel movements in subjects with IBS-C. Although this primary endpoint was not met, we determined that the 100 mg once daily dose demonstrated activity consistent with an IBS-C drug with an incidence of diarrhea that was no different than placebo. In this randomized, placebo-controlled study, tenapanor was generally safe and well-tolerated when administered once daily for 4 weeks at doses of 10 mg, 30 mg and 100 mg (n=46-47/group). The results from these studies provided support for the design and initiation of a Phase 2b clinical trial evaluating twice daily dosing.</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Tenapanor’s competitive advantage in IBS-C</w:t>
      </w:r>
    </w:p>
    <w:p>
      <w:pPr>
        <w:spacing w:after="0" w:line="9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believe that tenapanor may offer a significant benefit over currently marketed drugs like Amitiza and Linzess, due in part, to the potential to adjust the dose and/or dose frequency of tenapanor in order to optimize its efficacy. The data we have generated in both animal and human studies have suggested that the effect of tenapanor for the treatment of IBS-C can be modulated by adjusting its dose and dose frequency.</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our Phase 1 clinical trials in healthy adults, we observed a consistent increase of fecal sodium when the once daily dose was increased from 3 mg to 100 mg, and we observed an approximate doubling of fecal sodium when the frequency of dosing was increased to twice daily. In all of our studies, we have seen that stool form change correlates with the amount of sodium diverted. In our Phase 2a clinical trial in IBS-C patients, we dosed up to 100 mg once daily and observed activity consistent with an IBS-C drug and an incidence of diarrhea, a significant limitation of other IBS-C drugs, that was similar to placebo. Our fully enrolled Phase 2b clinical trial is designed to explore the effect of twice daily dosing at various dose levels to determine if greater diversion of sodium equates to a greater effect and a larger percentage of patients meeting the primary endpoint.</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require large clinical trials in IBS-C patients to confirm this titration effect of tenapanor and its effect on efficacy and safety.</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Size of the IBS-C market</w:t>
      </w:r>
    </w:p>
    <w:p>
      <w:pPr>
        <w:spacing w:after="0" w:line="9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Based on reports in the literature regarding the prevalence of IBS in the U.S. population and the percentage of individuals who have IBS-C as opposed to other forms of IBS, we estimate that approximately 1.4% of the U.S. population has IBS-C, or about 4.4 million individuals. Of those, approximately 1.0 million patients have been diagnosed with IBS-C. Additionally, there are about 6.6 million IBS-C patients in Europe and about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3.4 million in Japan. The per-patient economic burden of IBS-C is estimated to be $1,500 to $7,500 per year in direct costs and $800 to $7,700 per year in indirect costs, implying the total burden in the United States is $2 billion to $15 billion.</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Development plans for tenapanor in IBS-C</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and AstraZeneca have completed enrollment of a 12-week randomized, placebo-controlled Phase 2b study of tenapanor in a population of IBS-C patients that is substantially similar to that studied in the four-week Phase 2a study. We expect to receive results from this study in the fourth quarter of 2014. If this study is successful and AstraZeneca decides to move forward with the development of tenapanor in IBS-C, we expect that the Phase 3 pivotal studies would be similar to those conducted in the development of Linzess.</w:t>
      </w:r>
    </w:p>
    <w:p>
      <w:pPr>
        <w:spacing w:after="0" w:line="213"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6"/>
          <w:szCs w:val="16"/>
          <w:b w:val="1"/>
          <w:bCs w:val="1"/>
          <w:i w:val="1"/>
          <w:iCs w:val="1"/>
          <w:color w:val="auto"/>
        </w:rPr>
        <w:t>Tenapanor clinical program</w:t>
      </w:r>
    </w:p>
    <w:p>
      <w:pPr>
        <w:spacing w:after="0" w:line="115"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Tenapanor has been administered to over 750 subjects to date including over 280 healthy volunteers, 410 IBS-C subjects and 60 subjects with CKD and ESRD. Tenapanor has been administered in a single dose of up to 900 mg and for a period of up to 3 months at 100 mg/day. We have seen little to no absorption of tenapanor into the blood with less than 0.7% of all tested serum samples having any detectable levels of tenapanor. Tenapanor has generally been observed to be safe and well-tolerated in preclinical, nonclinical and clinical studies. All findings were consistent with findings for non-systemic drugs, where dose-limiting side effects are due to the exaggerated pharmacology of the drug and, in the case of tenapanor, such side effects include diarrhea, nausea, flatulence, abdominal discomfort, abdominal pain, and abdominal distention. All serious adverse events reported thus far have been assessed as unrelated to tenapanor by the study investigators, by us and by AstraZeneca.</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Summary of clinical results</w:t>
      </w:r>
    </w:p>
    <w:p>
      <w:pPr>
        <w:spacing w:after="0" w:line="92"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6"/>
          <w:szCs w:val="16"/>
          <w:color w:val="auto"/>
        </w:rPr>
        <w:t>Tenapanor has been observed to inhibit the absorption of both dietary sodium and phosphate in healthy volunteers. These findings have been confirmed in ESRD patients on hemodialysis in a Phase 2a proof-of-concept study. Based on these observations from early clinical studies, a number of clinical development programs are ongoing to fully evaluate the utility of tenapanor in treating different disease conditions. Based on the ability of tenapanor to inhibit the absorption of dietary sodium, a Phase 2a study in CKD patients with type 2 diabetes mellitus, albuminuria and elevated systolic blood pressure is ongoing to examine the ability of tenapanor to decrease albuminuria, a measure that roughly correlates with decline in kidney function. A Phase 2b clinical trial is also ongoing in IBS-C patients to examine the ability of tenapanor to increase the number of weekly bowel movements and reduce abdominal pain. Based on its ability to inhibit the absorption of dietary phosphorus, a Phase 2b clinical trial is ongoing in ESRD patients with hyperphosphatemia to examine the ability of tenapanor to reduce serum phosphorus levels. The following chart provides a general overview of our clinical program to date for tenapanor: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UBJECTS</w:t>
            </w: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138"/>
        </w:trPr>
        <w:tc>
          <w:tcPr>
            <w:tcW w:w="17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RIAL</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1"/>
                <w:szCs w:val="11"/>
                <w:b w:val="1"/>
                <w:bCs w:val="1"/>
                <w:color w:val="auto"/>
              </w:rPr>
              <w:t>ACTIVE</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NDICATION</w:t>
            </w:r>
          </w:p>
        </w:tc>
        <w:tc>
          <w:tcPr>
            <w:tcW w:w="11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D</w:t>
            </w:r>
            <w:r>
              <w:rPr>
                <w:rFonts w:ascii="Times New Roman" w:cs="Times New Roman" w:eastAsia="Times New Roman" w:hAnsi="Times New Roman"/>
                <w:sz w:val="11"/>
                <w:szCs w:val="11"/>
                <w:b w:val="1"/>
                <w:bCs w:val="1"/>
                <w:color w:val="auto"/>
                <w:w w:val="99"/>
              </w:rPr>
              <w:t>OSE</w:t>
            </w:r>
          </w:p>
        </w:tc>
        <w:tc>
          <w:tcPr>
            <w:tcW w:w="3880" w:type="dxa"/>
            <w:vAlign w:val="bottom"/>
          </w:tcPr>
          <w:p>
            <w:pPr>
              <w:spacing w:after="0"/>
              <w:rPr>
                <w:sz w:val="12"/>
                <w:szCs w:val="12"/>
                <w:color w:val="auto"/>
              </w:rPr>
            </w:pPr>
          </w:p>
        </w:tc>
      </w:tr>
      <w:tr>
        <w:trPr>
          <w:trHeight w:val="196"/>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ONDUCTED BY</w:t>
            </w: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PLACEBO</w:t>
            </w: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7"/>
                <w:szCs w:val="17"/>
                <w:color w:val="auto"/>
              </w:rPr>
            </w:pPr>
          </w:p>
        </w:tc>
        <w:tc>
          <w:tcPr>
            <w:tcW w:w="20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BJECTIVES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w:t>
            </w:r>
            <w:r>
              <w:rPr>
                <w:rFonts w:ascii="Times New Roman" w:cs="Times New Roman" w:eastAsia="Times New Roman" w:hAnsi="Times New Roman"/>
                <w:sz w:val="11"/>
                <w:szCs w:val="11"/>
                <w:b w:val="1"/>
                <w:bCs w:val="1"/>
                <w:color w:val="auto"/>
                <w:w w:val="96"/>
              </w:rPr>
              <w:t>TATUS</w:t>
            </w:r>
            <w:r>
              <w:rPr>
                <w:rFonts w:ascii="Times New Roman" w:cs="Times New Roman" w:eastAsia="Times New Roman" w:hAnsi="Times New Roman"/>
                <w:sz w:val="14"/>
                <w:szCs w:val="14"/>
                <w:b w:val="1"/>
                <w:bCs w:val="1"/>
                <w:color w:val="auto"/>
                <w:w w:val="96"/>
              </w:rPr>
              <w:t>)</w:t>
            </w:r>
          </w:p>
        </w:tc>
        <w:tc>
          <w:tcPr>
            <w:tcW w:w="11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3"/>
                <w:szCs w:val="13"/>
                <w:b w:val="1"/>
                <w:bCs w:val="1"/>
                <w:color w:val="auto"/>
              </w:rPr>
              <w:t>L</w:t>
            </w:r>
            <w:r>
              <w:rPr>
                <w:rFonts w:ascii="Times New Roman" w:cs="Times New Roman" w:eastAsia="Times New Roman" w:hAnsi="Times New Roman"/>
                <w:sz w:val="10"/>
                <w:szCs w:val="10"/>
                <w:b w:val="1"/>
                <w:bCs w:val="1"/>
                <w:color w:val="auto"/>
              </w:rPr>
              <w:t>EVELS</w:t>
            </w:r>
            <w:r>
              <w:rPr>
                <w:rFonts w:ascii="Times New Roman" w:cs="Times New Roman" w:eastAsia="Times New Roman" w:hAnsi="Times New Roman"/>
                <w:sz w:val="20"/>
                <w:szCs w:val="20"/>
                <w:b w:val="1"/>
                <w:bCs w:val="1"/>
                <w:color w:val="auto"/>
                <w:vertAlign w:val="superscript"/>
              </w:rPr>
              <w:t>(1)</w:t>
            </w:r>
          </w:p>
        </w:tc>
        <w:tc>
          <w:tcPr>
            <w:tcW w:w="388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ELECTED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ESULTS</w:t>
            </w:r>
          </w:p>
        </w:tc>
      </w:tr>
      <w:tr>
        <w:trPr>
          <w:trHeight w:val="203"/>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1 Trials</w:t>
            </w: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r>
      <w:tr>
        <w:trPr>
          <w:trHeight w:val="231"/>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RDX5791-101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Safety, tolerability, and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10, 50, 150,</w:t>
            </w:r>
          </w:p>
        </w:tc>
        <w:tc>
          <w:tcPr>
            <w:tcW w:w="10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increased stool sodium excretion at doses of 10–100</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(62/18)</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pharmacokinetics of single and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6"/>
              </w:rPr>
              <w:t>450, 900 mg</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mg/day compared with placebo and reduced urinary sodium</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multiple doses of tenapanor. Effects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–single dose</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excretion</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on urinary and stool sodium</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3, 10, 30, 100 mg</w:t>
            </w: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Tenapanor increased fecal phosphorus as compared to placebo</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excretion</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QD for 7 days</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was minimally systemically available</w:t>
            </w:r>
          </w:p>
        </w:tc>
      </w:tr>
      <w:tr>
        <w:trPr>
          <w:trHeight w:val="244"/>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RDX5791-102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105</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Pharmacological activity, safety</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15, 30, 60 mg BID</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  Tenapanor increased stool sodium excretion and reduced urinary</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(84/21)</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tolerability of TID, BID and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4"/>
              </w:rPr>
              <w:t>30 mg QD</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sodium excretion with all dosing regimens.</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QD dosing of tenapanor</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30 mg TID for 7</w:t>
            </w: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Tenapanor increased fecal phosphorus as compared to placebo</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3"/>
              </w:rPr>
              <w:t>days</w:t>
            </w:r>
          </w:p>
        </w:tc>
        <w:tc>
          <w:tcPr>
            <w:tcW w:w="3880" w:type="dxa"/>
            <w:vAlign w:val="bottom"/>
          </w:tcPr>
          <w:p>
            <w:pPr>
              <w:spacing w:after="0"/>
              <w:rPr>
                <w:sz w:val="15"/>
                <w:szCs w:val="15"/>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UBJECTS</w:t>
            </w: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138"/>
        </w:trPr>
        <w:tc>
          <w:tcPr>
            <w:tcW w:w="17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RIAL</w:t>
            </w: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1"/>
                <w:szCs w:val="11"/>
                <w:b w:val="1"/>
                <w:bCs w:val="1"/>
                <w:color w:val="auto"/>
              </w:rPr>
              <w:t>ACTIVE</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1"/>
                <w:szCs w:val="11"/>
                <w:b w:val="1"/>
                <w:bCs w:val="1"/>
                <w:color w:val="auto"/>
              </w:rPr>
              <w:t>NDICATION</w:t>
            </w:r>
          </w:p>
        </w:tc>
        <w:tc>
          <w:tcPr>
            <w:tcW w:w="11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D</w:t>
            </w:r>
            <w:r>
              <w:rPr>
                <w:rFonts w:ascii="Times New Roman" w:cs="Times New Roman" w:eastAsia="Times New Roman" w:hAnsi="Times New Roman"/>
                <w:sz w:val="11"/>
                <w:szCs w:val="11"/>
                <w:b w:val="1"/>
                <w:bCs w:val="1"/>
                <w:color w:val="auto"/>
                <w:w w:val="99"/>
              </w:rPr>
              <w:t>OSE</w:t>
            </w:r>
          </w:p>
        </w:tc>
        <w:tc>
          <w:tcPr>
            <w:tcW w:w="3880" w:type="dxa"/>
            <w:vAlign w:val="bottom"/>
          </w:tcPr>
          <w:p>
            <w:pPr>
              <w:spacing w:after="0"/>
              <w:rPr>
                <w:sz w:val="12"/>
                <w:szCs w:val="12"/>
                <w:color w:val="auto"/>
              </w:rPr>
            </w:pPr>
          </w:p>
        </w:tc>
      </w:tr>
      <w:tr>
        <w:trPr>
          <w:trHeight w:val="183"/>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ONDUCTED BY</w:t>
            </w: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PLACEBO</w:t>
            </w: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BJECTIVES</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w:t>
            </w:r>
            <w:r>
              <w:rPr>
                <w:rFonts w:ascii="Times New Roman" w:cs="Times New Roman" w:eastAsia="Times New Roman" w:hAnsi="Times New Roman"/>
                <w:sz w:val="11"/>
                <w:szCs w:val="11"/>
                <w:b w:val="1"/>
                <w:bCs w:val="1"/>
                <w:color w:val="auto"/>
                <w:w w:val="96"/>
              </w:rPr>
              <w:t>TATUS</w:t>
            </w:r>
            <w:r>
              <w:rPr>
                <w:rFonts w:ascii="Times New Roman" w:cs="Times New Roman" w:eastAsia="Times New Roman" w:hAnsi="Times New Roman"/>
                <w:sz w:val="14"/>
                <w:szCs w:val="14"/>
                <w:b w:val="1"/>
                <w:bCs w:val="1"/>
                <w:color w:val="auto"/>
                <w:w w:val="96"/>
              </w:rPr>
              <w: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L</w:t>
            </w:r>
            <w:r>
              <w:rPr>
                <w:rFonts w:ascii="Times New Roman" w:cs="Times New Roman" w:eastAsia="Times New Roman" w:hAnsi="Times New Roman"/>
                <w:sz w:val="10"/>
                <w:szCs w:val="10"/>
                <w:b w:val="1"/>
                <w:bCs w:val="1"/>
                <w:color w:val="auto"/>
              </w:rPr>
              <w:t>EVELS</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38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1"/>
                <w:szCs w:val="11"/>
                <w:b w:val="1"/>
                <w:bCs w:val="1"/>
                <w:color w:val="auto"/>
              </w:rPr>
              <w:t>ELECTED</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ESULTS</w:t>
            </w:r>
          </w:p>
        </w:tc>
      </w:tr>
      <w:tr>
        <w:trPr>
          <w:trHeight w:val="230"/>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D5611C00002</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Pharmacological activity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5"/>
              </w:rPr>
              <w:t>15 mg BID</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increased fecal phosphorus and reduced urine</w:t>
            </w:r>
          </w:p>
        </w:tc>
      </w:tr>
      <w:tr>
        <w:trPr>
          <w:trHeight w:val="17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(18/0)</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different formulations of tenapanor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(completed)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phosphorus</w:t>
            </w:r>
          </w:p>
        </w:tc>
      </w:tr>
      <w:tr>
        <w:trPr>
          <w:trHeight w:val="24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D5611C00003</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Pharmacological activity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15 mg BID</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Trial results under evaluation and have not yet been released</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(AstraZeneca)</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3"/>
              </w:rPr>
              <w:t>(37/0)</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tenapanor with and without food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(Part A) and pharmacological</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activity of free-base tenapanor with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and without omeprazole (Part B)</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231"/>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D5611C00005</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Safety, tolerability, and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180 mg – single</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Trial results under evaluation and have not yet been released</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(66/17)</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pharmacokinetics of single and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3"/>
              </w:rPr>
              <w:t>dose</w:t>
            </w:r>
          </w:p>
        </w:tc>
        <w:tc>
          <w:tcPr>
            <w:tcW w:w="388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multiple doses of tenapanor in</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7"/>
              </w:rPr>
              <w:t>15, 30, 60, 90 mg</w:t>
            </w:r>
          </w:p>
        </w:tc>
        <w:tc>
          <w:tcPr>
            <w:tcW w:w="3880" w:type="dxa"/>
            <w:vAlign w:val="bottom"/>
          </w:tcPr>
          <w:p>
            <w:pPr>
              <w:spacing w:after="0"/>
              <w:rPr>
                <w:sz w:val="12"/>
                <w:szCs w:val="12"/>
                <w:color w:val="auto"/>
              </w:rPr>
            </w:pP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Japanese subjects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BID</w:t>
            </w:r>
          </w:p>
        </w:tc>
        <w:tc>
          <w:tcPr>
            <w:tcW w:w="3880" w:type="dxa"/>
            <w:vAlign w:val="bottom"/>
          </w:tcPr>
          <w:p>
            <w:pPr>
              <w:spacing w:after="0"/>
              <w:rPr>
                <w:sz w:val="15"/>
                <w:szCs w:val="15"/>
                <w:color w:val="auto"/>
              </w:rPr>
            </w:pPr>
          </w:p>
        </w:tc>
      </w:tr>
      <w:tr>
        <w:trPr>
          <w:trHeight w:val="217"/>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D5611C00006</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Pharmacological activity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15 mg BID</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activity was similar with and without administration</w:t>
            </w:r>
          </w:p>
        </w:tc>
      </w:tr>
      <w:tr>
        <w:trPr>
          <w:trHeight w:val="163"/>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(16/0)</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tenapanor when administered with</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(completed)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ind w:left="440"/>
              <w:spacing w:after="0" w:line="163" w:lineRule="exact"/>
              <w:rPr>
                <w:sz w:val="20"/>
                <w:szCs w:val="20"/>
                <w:color w:val="auto"/>
              </w:rPr>
            </w:pPr>
            <w:r>
              <w:rPr>
                <w:rFonts w:ascii="Times New Roman" w:cs="Times New Roman" w:eastAsia="Times New Roman" w:hAnsi="Times New Roman"/>
                <w:sz w:val="12"/>
                <w:szCs w:val="12"/>
                <w:color w:val="auto"/>
              </w:rPr>
              <w:t>with Renvela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2"/>
                <w:szCs w:val="12"/>
                <w:color w:val="auto"/>
              </w:rPr>
              <w:t xml:space="preserve"> for both the increase of fecal sodium and</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Renvela</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phosphorus</w:t>
            </w:r>
          </w:p>
        </w:tc>
      </w:tr>
      <w:tr>
        <w:trPr>
          <w:trHeight w:val="231"/>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D5611C00007</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The absorption, distribution,</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Healthy adults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15 mg QD</w:t>
            </w:r>
          </w:p>
        </w:tc>
        <w:tc>
          <w:tcPr>
            <w:tcW w:w="3880" w:type="dxa"/>
            <w:vAlign w:val="bottom"/>
          </w:tcPr>
          <w:p>
            <w:pPr>
              <w:jc w:val="right"/>
              <w:ind w:right="2133"/>
              <w:spacing w:after="0"/>
              <w:rPr>
                <w:sz w:val="20"/>
                <w:szCs w:val="20"/>
                <w:color w:val="auto"/>
              </w:rPr>
            </w:pPr>
            <w:r>
              <w:rPr>
                <w:rFonts w:ascii="Times New Roman" w:cs="Times New Roman" w:eastAsia="Times New Roman" w:hAnsi="Times New Roman"/>
                <w:sz w:val="14"/>
                <w:szCs w:val="14"/>
                <w:color w:val="auto"/>
                <w:w w:val="95"/>
              </w:rPr>
              <w:t>Pre-specified primary analysis:</w:t>
            </w:r>
          </w:p>
        </w:tc>
      </w:tr>
      <w:tr>
        <w:trPr>
          <w:trHeight w:val="134"/>
        </w:trPr>
        <w:tc>
          <w:tcPr>
            <w:tcW w:w="1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w w:val="97"/>
              </w:rPr>
              <w:t>(AstraZeneca)</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5"/>
              </w:rPr>
              <w:t>(8/0)</w:t>
            </w:r>
          </w:p>
        </w:tc>
        <w:tc>
          <w:tcPr>
            <w:tcW w:w="216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4"/>
                <w:szCs w:val="14"/>
                <w:color w:val="auto"/>
              </w:rPr>
              <w:t>metabolism and excretion (ADME)</w:t>
            </w:r>
          </w:p>
        </w:tc>
        <w:tc>
          <w:tcPr>
            <w:tcW w:w="15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w w:val="97"/>
              </w:rPr>
              <w:t>(ongoing)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  To characterise the metabolism, excretion and pharmacokinetics</w:t>
            </w:r>
          </w:p>
        </w:tc>
      </w:tr>
      <w:tr>
        <w:trPr>
          <w:trHeight w:val="163"/>
        </w:trPr>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gridSpan w:val="3"/>
          </w:tcPr>
          <w:p>
            <w:pPr>
              <w:ind w:left="120"/>
              <w:spacing w:after="0" w:line="163" w:lineRule="exact"/>
              <w:rPr>
                <w:sz w:val="20"/>
                <w:szCs w:val="20"/>
                <w:color w:val="auto"/>
              </w:rPr>
            </w:pPr>
            <w:r>
              <w:rPr>
                <w:rFonts w:ascii="Times New Roman" w:cs="Times New Roman" w:eastAsia="Times New Roman" w:hAnsi="Times New Roman"/>
                <w:sz w:val="12"/>
                <w:szCs w:val="12"/>
                <w:color w:val="auto"/>
              </w:rPr>
              <w:t xml:space="preserve">of a single oral dose of </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2"/>
                <w:szCs w:val="12"/>
                <w:color w:val="auto"/>
              </w:rPr>
              <w:t>C-labelled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ind w:left="440"/>
              <w:spacing w:after="0" w:line="163" w:lineRule="exact"/>
              <w:rPr>
                <w:sz w:val="20"/>
                <w:szCs w:val="20"/>
                <w:color w:val="auto"/>
              </w:rPr>
            </w:pPr>
            <w:r>
              <w:rPr>
                <w:rFonts w:ascii="Times New Roman" w:cs="Times New Roman" w:eastAsia="Times New Roman" w:hAnsi="Times New Roman"/>
                <w:sz w:val="12"/>
                <w:szCs w:val="12"/>
                <w:color w:val="auto"/>
              </w:rPr>
              <w:t>of a single oral dose of (</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2"/>
                <w:szCs w:val="12"/>
                <w:color w:val="auto"/>
              </w:rPr>
              <w:t>C)-tenapanor in healthy male</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tenapanor in healthy male</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subjects</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volunteers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257"/>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2a Trials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r>
      <w:tr>
        <w:trPr>
          <w:trHeight w:val="231"/>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RDX5791-201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186</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Safety, tolerability, and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IBS-C</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10, 30, 100 mg</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was generally safe and well-tolerated when</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(139/47)</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pharmacodynamics of tenapanor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8"/>
              </w:rPr>
              <w:t>QD</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6"/>
              </w:rPr>
              <w:t>administered once a day for 4 weeks at doses of 10 mg, 30 mg,</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for the treatment of constipation-</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and 100 mg</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predominant irritable bowel</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The results of this study provide preliminary evidence of the</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syndrome (IBS-C)</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6"/>
              </w:rPr>
              <w:t>ability of tenapanor to alleviate symptoms associated with IBS-</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w:t>
            </w:r>
          </w:p>
        </w:tc>
      </w:tr>
      <w:tr>
        <w:trPr>
          <w:trHeight w:val="24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D5610C00001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Safety, tolerability, and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CKD – Na &amp; Fluid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5, 15, 30, 60 mg</w:t>
            </w:r>
          </w:p>
        </w:tc>
        <w:tc>
          <w:tcPr>
            <w:tcW w:w="3880" w:type="dxa"/>
            <w:vAlign w:val="bottom"/>
          </w:tcPr>
          <w:p>
            <w:pPr>
              <w:jc w:val="right"/>
              <w:ind w:right="2133"/>
              <w:spacing w:after="0"/>
              <w:rPr>
                <w:sz w:val="20"/>
                <w:szCs w:val="20"/>
                <w:color w:val="auto"/>
              </w:rPr>
            </w:pPr>
            <w:r>
              <w:rPr>
                <w:rFonts w:ascii="Times New Roman" w:cs="Times New Roman" w:eastAsia="Times New Roman" w:hAnsi="Times New Roman"/>
                <w:sz w:val="14"/>
                <w:szCs w:val="14"/>
                <w:color w:val="auto"/>
                <w:w w:val="95"/>
              </w:rPr>
              <w:t>Pre-specified primary analysis:</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(70/70)</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pharmacodynamics of tenapanor in</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(ongoing)</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BID</w:t>
            </w: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7"/>
              </w:rPr>
              <w:t>•  To compare the effect of tenapanor versus placebo on the changes</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CKD patients with T2DM and</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titration</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8"/>
              </w:rPr>
              <w:t>in urine albumin-to-creatinine ratio (UACR) from Baseline to</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albuminuria</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Week 12</w:t>
            </w:r>
          </w:p>
        </w:tc>
      </w:tr>
      <w:tr>
        <w:trPr>
          <w:trHeight w:val="24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D5611C00001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Safety, tolerability, and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ESRD-Fluid</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6"/>
              </w:rPr>
              <w:t>Dose between 5</w:t>
            </w: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Tenapanor was generally safe and well-tolerated when</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(45/43)</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pharmacodynamics of tenapanor in</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(completed)</w:t>
            </w: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5"/>
              </w:rPr>
              <w:t>and 90 mgs</w:t>
            </w: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administered for 4 weeks</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ESRD-HD patients with elevated</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No effect on IDWG</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interdialytic weight gain (IDWG)</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Increase in stool sodium excretion</w:t>
            </w: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Minimal to no systemic exposure</w:t>
            </w:r>
          </w:p>
        </w:tc>
      </w:tr>
      <w:tr>
        <w:trPr>
          <w:trHeight w:val="270"/>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2b Trials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231"/>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D5612C00001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360 expected</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Efficacy and safety of tenapanor for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4"/>
              </w:rPr>
              <w:t>IBS-C</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5, 20, 50 mg BID</w:t>
            </w:r>
          </w:p>
        </w:tc>
        <w:tc>
          <w:tcPr>
            <w:tcW w:w="3880" w:type="dxa"/>
            <w:vAlign w:val="bottom"/>
          </w:tcPr>
          <w:p>
            <w:pPr>
              <w:jc w:val="right"/>
              <w:ind w:right="2133"/>
              <w:spacing w:after="0"/>
              <w:rPr>
                <w:sz w:val="20"/>
                <w:szCs w:val="20"/>
                <w:color w:val="auto"/>
              </w:rPr>
            </w:pPr>
            <w:r>
              <w:rPr>
                <w:rFonts w:ascii="Times New Roman" w:cs="Times New Roman" w:eastAsia="Times New Roman" w:hAnsi="Times New Roman"/>
                <w:sz w:val="14"/>
                <w:szCs w:val="14"/>
                <w:color w:val="auto"/>
                <w:w w:val="95"/>
              </w:rPr>
              <w:t>Pre-specified primary analysis:</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(Ardelyx)</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(270/90);</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treatment of constipation-</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(ongoing;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8"/>
              </w:rPr>
              <w:t>•  Percent CSBM responders (weekly responders for 6/12 weeks; ³1</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371 enrolled</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predominant irritable bowel</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5"/>
              </w:rPr>
              <w:t>enrollment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CSBM from baseline) vs. placebo</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syndrome (IBS-C)</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completed)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Determination of Phase 3 dose(s)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244"/>
        </w:trPr>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D5613C00001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140</w:t>
            </w: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Efficacy and safety of tenapanor for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ESRD-hyperphosphatemia</w:t>
            </w:r>
          </w:p>
        </w:tc>
        <w:tc>
          <w:tcPr>
            <w:tcW w:w="5020" w:type="dxa"/>
            <w:vAlign w:val="bottom"/>
            <w:gridSpan w:val="3"/>
          </w:tcPr>
          <w:p>
            <w:pPr>
              <w:jc w:val="right"/>
              <w:ind w:right="2133"/>
              <w:spacing w:after="0"/>
              <w:rPr>
                <w:sz w:val="20"/>
                <w:szCs w:val="20"/>
                <w:color w:val="auto"/>
              </w:rPr>
            </w:pPr>
            <w:r>
              <w:rPr>
                <w:rFonts w:ascii="Times New Roman" w:cs="Times New Roman" w:eastAsia="Times New Roman" w:hAnsi="Times New Roman"/>
                <w:sz w:val="14"/>
                <w:szCs w:val="14"/>
                <w:color w:val="auto"/>
                <w:w w:val="99"/>
              </w:rPr>
              <w:t>3, 30 mg QD 1, 3,  Pre-specified primary analysis:</w:t>
            </w:r>
          </w:p>
        </w:tc>
      </w:tr>
      <w:tr>
        <w:trPr>
          <w:trHeight w:val="149"/>
        </w:trPr>
        <w:tc>
          <w:tcPr>
            <w:tcW w:w="1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7"/>
              </w:rPr>
              <w:t>(AstraZeneca)</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(120/20)</w:t>
            </w: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treatment of</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7"/>
              </w:rPr>
              <w:t>(ongoing)</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5"/>
              </w:rPr>
              <w:t>10, 30 mg BID</w:t>
            </w:r>
          </w:p>
        </w:tc>
        <w:tc>
          <w:tcPr>
            <w:tcW w:w="3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The change in serum phosphate levels from the end of wash out</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hyperphosphatemia in ESRD-HD</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(pre randomization value) to end of treatment</w:t>
            </w:r>
          </w:p>
        </w:tc>
      </w:tr>
      <w:tr>
        <w:trPr>
          <w:trHeight w:val="149"/>
        </w:trPr>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patients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74"/>
        </w:trPr>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Determination of Phase 3 dose(s)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prospectus, QD means once a day, BID means twice a day and TID means three times a day.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Phase 1 trials</w:t>
      </w:r>
    </w:p>
    <w:p>
      <w:pPr>
        <w:spacing w:after="0" w:line="90" w:lineRule="exact"/>
        <w:rPr>
          <w:sz w:val="20"/>
          <w:szCs w:val="20"/>
          <w:color w:val="auto"/>
        </w:rPr>
      </w:pPr>
    </w:p>
    <w:p>
      <w:pPr>
        <w:ind w:left="900" w:hanging="325"/>
        <w:spacing w:after="0" w:line="25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RDX5791-101 (completed): </w:t>
      </w:r>
      <w:r>
        <w:rPr>
          <w:rFonts w:ascii="Times New Roman" w:cs="Times New Roman" w:eastAsia="Times New Roman" w:hAnsi="Times New Roman"/>
          <w:sz w:val="18"/>
          <w:szCs w:val="18"/>
          <w:color w:val="auto"/>
        </w:rPr>
        <w:t>In this first-in-human clinical trial, healthy volunteers received either a fixed dose of tenapanor or placebo once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either 1 day or 7 consecutive days. This trial demonstrated that single doses up to 900 mg and multiple doses up to 100 mg for 7 consecutive days of tenapanor were well-tolerated. Administration of tenapanor resulted in a significant, dose-dependent, increase in fecal sodium excretion at doses of 10 to 100 mg/day compared with placebo, with a corresponding decrease in urinary sodium excretion. As expected for individuals with normal renal function, there was no change in serum sodium levels. Additionally, tenapanor caused an increase in stool phosphorus excretion as compared to placebo. In the multiple-dose phase, only 2 of 576 plasma samples had any detectable tenapanor (&lt; 1 ng/mL), confirming that tenapanor is minimally systemically available.</w:t>
      </w:r>
    </w:p>
    <w:p>
      <w:pPr>
        <w:spacing w:after="0" w:line="54" w:lineRule="exact"/>
        <w:rPr>
          <w:rFonts w:ascii="Times New Roman" w:cs="Times New Roman" w:eastAsia="Times New Roman" w:hAnsi="Times New Roman"/>
          <w:sz w:val="18"/>
          <w:szCs w:val="18"/>
          <w:color w:val="auto"/>
        </w:rPr>
      </w:pPr>
    </w:p>
    <w:p>
      <w:pPr>
        <w:ind w:left="900" w:right="140" w:hanging="325"/>
        <w:spacing w:after="0" w:line="259"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RDX5791-102 (completed)</w:t>
      </w:r>
      <w:r>
        <w:rPr>
          <w:rFonts w:ascii="Times New Roman" w:cs="Times New Roman" w:eastAsia="Times New Roman" w:hAnsi="Times New Roman"/>
          <w:sz w:val="18"/>
          <w:szCs w:val="18"/>
          <w:color w:val="auto"/>
        </w:rPr>
        <w:t>: In this second completed Phase 1 trial, healthy volunteers were administered a daily dose of 30-120 mg/day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tenapanor either once, twice or three times a day in order to assess the pharmacologic effects of different dosing regimens of tenapanor on fecal and urinary sodium excretion. The results demonstrated a significant increase in fecal sodium excretion and a concomitant decrease in urinary sodium excretion across the all dosing regimens. Tenapanor was safe and well-tolerated in this study.</w:t>
      </w:r>
    </w:p>
    <w:p>
      <w:pPr>
        <w:spacing w:after="0" w:line="51" w:lineRule="exact"/>
        <w:rPr>
          <w:rFonts w:ascii="Times New Roman" w:cs="Times New Roman" w:eastAsia="Times New Roman" w:hAnsi="Times New Roman"/>
          <w:sz w:val="18"/>
          <w:szCs w:val="18"/>
          <w:color w:val="auto"/>
        </w:rPr>
      </w:pPr>
    </w:p>
    <w:p>
      <w:pPr>
        <w:ind w:left="900" w:right="180" w:hanging="325"/>
        <w:spacing w:after="0" w:line="259"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D5611C00002 (completed)</w:t>
      </w:r>
      <w:r>
        <w:rPr>
          <w:rFonts w:ascii="Times New Roman" w:cs="Times New Roman" w:eastAsia="Times New Roman" w:hAnsi="Times New Roman"/>
          <w:sz w:val="18"/>
          <w:szCs w:val="18"/>
          <w:color w:val="auto"/>
        </w:rPr>
        <w:t>: This Phase 1 trial was an open-label, three-way cross-over trial designed to evaluate the pharmacological activity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different formulations (e.g., capsules versus tablets) of tenapanor. The results demonstrated a similar increase in fecal sodium and phosphorus excretion and a concomitant decrease in urinary sodium and phosphorus excretion using the tablet formulation. The results demonstrated that the pharmacological activity of tenapanor in a tablet formulation was similar to previous results.</w:t>
      </w:r>
    </w:p>
    <w:p>
      <w:pPr>
        <w:spacing w:after="0" w:line="51" w:lineRule="exact"/>
        <w:rPr>
          <w:rFonts w:ascii="Times New Roman" w:cs="Times New Roman" w:eastAsia="Times New Roman" w:hAnsi="Times New Roman"/>
          <w:sz w:val="18"/>
          <w:szCs w:val="18"/>
          <w:color w:val="auto"/>
        </w:rPr>
      </w:pPr>
    </w:p>
    <w:p>
      <w:pPr>
        <w:ind w:left="900" w:right="220" w:hanging="325"/>
        <w:spacing w:after="0" w:line="26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D5611C00003 (completed)</w:t>
      </w:r>
      <w:r>
        <w:rPr>
          <w:rFonts w:ascii="Times New Roman" w:cs="Times New Roman" w:eastAsia="Times New Roman" w:hAnsi="Times New Roman"/>
          <w:sz w:val="18"/>
          <w:szCs w:val="18"/>
          <w:color w:val="auto"/>
        </w:rPr>
        <w:t>: This Phase 1 trial was an open-label, three-way cross-over trial designed to determine whether food intake affects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pharmacodynamics activity of tenapanor. Subjects received tenapanor 5-10 minutes before breakfast and dinner, 30 minutes after breakfast and dinner, or in a fasted state. Trial results are under evaluation and have not yet been released.</w:t>
      </w:r>
    </w:p>
    <w:p>
      <w:pPr>
        <w:spacing w:after="0" w:line="46" w:lineRule="exact"/>
        <w:rPr>
          <w:rFonts w:ascii="Times New Roman" w:cs="Times New Roman" w:eastAsia="Times New Roman" w:hAnsi="Times New Roman"/>
          <w:sz w:val="18"/>
          <w:szCs w:val="18"/>
          <w:color w:val="auto"/>
        </w:rPr>
      </w:pPr>
    </w:p>
    <w:p>
      <w:pPr>
        <w:ind w:left="900" w:right="80" w:hanging="325"/>
        <w:spacing w:after="0" w:line="26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D5611C00005 (completed)</w:t>
      </w:r>
      <w:r>
        <w:rPr>
          <w:rFonts w:ascii="Times New Roman" w:cs="Times New Roman" w:eastAsia="Times New Roman" w:hAnsi="Times New Roman"/>
          <w:sz w:val="18"/>
          <w:szCs w:val="18"/>
          <w:color w:val="auto"/>
        </w:rPr>
        <w:t>: This Phase 1 trial was a double-blind, placebo-controlled study to assess the safety, tolerability, pharmacokinetics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pharmacodynamic effects in healthy male and female Japanese subjects. Doses up to 180 mg for 7 consecutive days of tenapanor were administered. Trial results are under evaluation and have not yet been released.</w:t>
      </w:r>
    </w:p>
    <w:p>
      <w:pPr>
        <w:spacing w:after="0" w:line="46" w:lineRule="exact"/>
        <w:rPr>
          <w:rFonts w:ascii="Times New Roman" w:cs="Times New Roman" w:eastAsia="Times New Roman" w:hAnsi="Times New Roman"/>
          <w:sz w:val="18"/>
          <w:szCs w:val="18"/>
          <w:color w:val="auto"/>
        </w:rPr>
      </w:pPr>
    </w:p>
    <w:p>
      <w:pPr>
        <w:ind w:left="900" w:right="40" w:hanging="325"/>
        <w:spacing w:after="0" w:line="25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D5611C00006 (completed)</w:t>
      </w:r>
      <w:r>
        <w:rPr>
          <w:rFonts w:ascii="Times New Roman" w:cs="Times New Roman" w:eastAsia="Times New Roman" w:hAnsi="Times New Roman"/>
          <w:sz w:val="18"/>
          <w:szCs w:val="18"/>
          <w:color w:val="auto"/>
        </w:rPr>
        <w:t>: This Phase 1 trial was a single-center, randomized, open-label study to evaluate the effect of Renvela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pharmacological activity of tenapanor administered twice a day for 4 days in healthy male and female subjects. The effect on stool and urine sodium was comparable for the two treatments (tenapanor alone and tenapanor with Renvela). The effect on stool and urine phosphorus, and urine potassium and creatinine was similar for the two treatments (tenapanor alone and tenapanor with Renvela). No tenapanor was detected in blood plasma (i.e., all samples were below the limit of quantification). Tenapanor administered with or without Renvela was generally safe and well-tolerated in this study. Since Renvela is the most commonly used phosphate binder and it could have potentially interfered with the activity of tenapanor, this study was performed to support the Phase 2a study in ESRD patients. The results demonstrated that Renvela had no effect on the pharmacological activity of tenapanor.</w:t>
      </w:r>
    </w:p>
    <w:p>
      <w:pPr>
        <w:spacing w:after="0" w:line="57" w:lineRule="exact"/>
        <w:rPr>
          <w:rFonts w:ascii="Times New Roman" w:cs="Times New Roman" w:eastAsia="Times New Roman" w:hAnsi="Times New Roman"/>
          <w:sz w:val="18"/>
          <w:szCs w:val="18"/>
          <w:color w:val="auto"/>
        </w:rPr>
      </w:pPr>
    </w:p>
    <w:p>
      <w:pPr>
        <w:ind w:left="900" w:right="60" w:hanging="325"/>
        <w:spacing w:after="0" w:line="25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D5611C00007, ClinicalTrials.gov Identifier NCT02063386 (ongoing)</w:t>
      </w:r>
      <w:r>
        <w:rPr>
          <w:rFonts w:ascii="Times New Roman" w:cs="Times New Roman" w:eastAsia="Times New Roman" w:hAnsi="Times New Roman"/>
          <w:sz w:val="18"/>
          <w:szCs w:val="18"/>
          <w:color w:val="auto"/>
        </w:rPr>
        <w:t>: This is an open-label, single dose study in 8 healthy male subjects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characterize the metabolism, excretion and pharmacokinetics of a single oral dose of 15 mg (</w:t>
      </w:r>
      <w:r>
        <w:rPr>
          <w:rFonts w:ascii="Times New Roman" w:cs="Times New Roman" w:eastAsia="Times New Roman" w:hAnsi="Times New Roman"/>
          <w:sz w:val="11"/>
          <w:szCs w:val="11"/>
          <w:color w:val="auto"/>
        </w:rPr>
        <w:t>14</w:t>
      </w:r>
      <w:r>
        <w:rPr>
          <w:rFonts w:ascii="Times New Roman" w:cs="Times New Roman" w:eastAsia="Times New Roman" w:hAnsi="Times New Roman"/>
          <w:sz w:val="18"/>
          <w:szCs w:val="18"/>
          <w:color w:val="auto"/>
        </w:rPr>
        <w:t>C)-tenapanor in healthy male subjects. The study is designed to measure the concentration of total radioactivity in blood and its ratio to the concentration of total radioactivity in plasma. The percentage of the administered radioactivity recovered in urine and feces and the percentage of radioactive dose recovered overall will be measured. Determination of the presence of metabolites in plasma, urine and feces will also be measured, if possible. This study is being performed to support the regulatory dossier of tenapanor as a minimally absorbed drug; we expect to receive results during the first half of 2015.</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Phase 2a trials</w:t>
      </w:r>
    </w:p>
    <w:p>
      <w:pPr>
        <w:spacing w:after="0" w:line="90" w:lineRule="exact"/>
        <w:rPr>
          <w:sz w:val="20"/>
          <w:szCs w:val="20"/>
          <w:color w:val="auto"/>
        </w:rPr>
      </w:pPr>
    </w:p>
    <w:p>
      <w:pPr>
        <w:ind w:left="900" w:hanging="325"/>
        <w:spacing w:after="0" w:line="255"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IBS-C Phase 2a, RDX5791-201, ClinicalTrials.gov Identifier NCT01340053 (completed)</w:t>
      </w:r>
      <w:r>
        <w:rPr>
          <w:rFonts w:ascii="Times New Roman" w:cs="Times New Roman" w:eastAsia="Times New Roman" w:hAnsi="Times New Roman"/>
          <w:sz w:val="18"/>
          <w:szCs w:val="18"/>
          <w:color w:val="auto"/>
        </w:rPr>
        <w:t>: This was a multi-center, randomized, double-blind,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placebo-controlled Phase 2a study in subjects with IBS-C. 186 subjects were randomized, including 46 subjects in both the 10 mg and 100 mg groups and 47 subjects in both the 30 mg and placebo groups. This 8-week study included a 2-week treatment-free screening period, a 4-week blinded treatment period, and a 2-week treatment-free follow-up period. Subjects reported information about their abdominal pain, stool frequency, completeness of evacuation, stool consistency, straining, bloating, rescue medication usage, IBS severity, adequate relief of IBS symptoms, and global relief of IBS symptoms.</w:t>
      </w:r>
    </w:p>
    <w:p>
      <w:pPr>
        <w:spacing w:after="0" w:line="141"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18"/>
          <w:szCs w:val="18"/>
          <w:color w:val="auto"/>
        </w:rPr>
        <w:t>Mean weekly changes from baseline complete spontaneous bowel movements, or CSBM, frequency in the 30 mg and 100 mg tenapanor groups were greater than in the placebo group and returned to levels similar to placebo after treatment was removed; however, while the magnitude of improvement exhibited strong trends, this endpoint did not reach statistical significance (p&lt;0.05). The proportion of subjects with weekly CSBM frequency &gt;1 was higher in the active treatment groups compared with the placebo group for all on-treatment assessments, although the differences did not reach statistical significance. Subjects receiving tenapanor, particularly subjects in the 30 mg and 100 mg groups, reported an increase in the frequency of SBMs starting at week 1 that remained increased throughout the dosing period and returned to levels similar to placebo after treatment was removed. Improvements in the degree of bloating, average degree of abdominal pain, relief of IBS symptoms, IBS severity, and IBS quality of life surveys were noted for subjects who received tenapanor; however, the differences between active treatment and placebo were not significant. These endpoints were not powered to show statistical significance; however, they were included to help design the Phase 2b and Phase 3 trials. Tenapanor was also safe and well-tolerated.</w:t>
      </w:r>
    </w:p>
    <w:p>
      <w:pPr>
        <w:spacing w:after="0" w:line="141"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18"/>
          <w:szCs w:val="18"/>
          <w:color w:val="auto"/>
        </w:rPr>
        <w:t>In order to plan for our Phase 2b and Phase 3 trials, we examined the current approvable endpoint for IBS-C. Although we were under-powered (too few subjects) to demonstrate statistical significance, in general, for subjects receiving 100 mg tenapanor, the proportion of subjects reporting a &gt;30% decrease from baseline in average weekly degree of abdominal pain score and &gt;1 increase from baseline in weekly CSBM frequency was higher compared to frequencies reported by subjects in the other treatment groups. There was a statistically significant difference at week 2 with subjects in the tenapanor 100 mg group who were more likely to have a &gt;30% decrease from baseline in average weekly degree of abdominal pain and &gt;1 increase from baseline in weekly CSBM frequency as compared with subjects in the placebo group. These data demonstrated consistent effects of tenapanor in multiple endpoints and supported the design of a Phase 2b clinical trial in IBS-C patients.</w:t>
      </w:r>
    </w:p>
    <w:p>
      <w:pPr>
        <w:spacing w:after="0" w:line="139"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18"/>
          <w:szCs w:val="18"/>
          <w:b w:val="1"/>
          <w:bCs w:val="1"/>
          <w:color w:val="auto"/>
        </w:rPr>
        <w:t>ESRD-Fluid Phase 2a, D5611C00001 ClinicalTrials.gov Identifier, NCT01764854 (completed)</w:t>
      </w:r>
      <w:r>
        <w:rPr>
          <w:rFonts w:ascii="Times New Roman" w:cs="Times New Roman" w:eastAsia="Times New Roman" w:hAnsi="Times New Roman"/>
          <w:sz w:val="18"/>
          <w:szCs w:val="18"/>
          <w:color w:val="auto"/>
        </w:rPr>
        <w:t>: This Phase 2a study was a randomized, double-blind, placebo-controlled, parallel design study to evaluate the pharmacodynamics, safety, and tolerability of tenapanor in ESRD patients with fluid overload. The primary objective of this study was to compare the effect of tenapanor versus placebo on the reduction in interdialytic weight gain, or IDWG, which is the increase in body weight between dialysis sessions, in patients with ESRD on hemodialysis. The study was also designed to evaluate the safety and tolerability of tenapanor and to evaluate plasma concentrations of tenapanor administered at doses between 5 and 90 mg BID after 4 weeks of treatment.</w:t>
      </w:r>
    </w:p>
    <w:p>
      <w:pPr>
        <w:spacing w:after="0" w:line="60"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18"/>
          <w:szCs w:val="18"/>
          <w:color w:val="auto"/>
        </w:rPr>
        <w:t>There was no significant difference between tenapanor and placebo in change of IDWG from baseline to week 4, the primary endpoint. We used this endpoint because interdialytic weight gain is driven by fluid intake which is usually driven by sodium intake; however, we believe that this result was due to dialysis practice in the US, where patients are dialyzed with and administered intravenous sodium concentrations higher than an individual patient’s serum sodium level, thus offsetting the therapeutic benefit every 2 to 3 days. Additionally, we and AstraZeneca are evaluating the possibility, consistent with recent reports in the literature, that sodium may be stored short-term at high levels in the skin, muscles and vasculature, before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80"/>
        <w:spacing w:after="0" w:line="275" w:lineRule="auto"/>
        <w:rPr>
          <w:sz w:val="20"/>
          <w:szCs w:val="20"/>
          <w:color w:val="auto"/>
        </w:rPr>
      </w:pPr>
      <w:r>
        <w:rPr>
          <w:rFonts w:ascii="Times New Roman" w:cs="Times New Roman" w:eastAsia="Times New Roman" w:hAnsi="Times New Roman"/>
          <w:sz w:val="18"/>
          <w:szCs w:val="18"/>
          <w:color w:val="auto"/>
        </w:rPr>
        <w:t>affecting thirst and fluid retention. The pharmacological activity of tenapanor was confirmed by the increase in fecal sodium in the tenapanor group versus placebo. Tenapanor was safe and well-tolerated and continued to display the non-systemic properties seen in previous studies.</w:t>
      </w:r>
    </w:p>
    <w:p>
      <w:pPr>
        <w:spacing w:after="0" w:line="37" w:lineRule="exact"/>
        <w:rPr>
          <w:sz w:val="20"/>
          <w:szCs w:val="20"/>
          <w:color w:val="auto"/>
        </w:rPr>
      </w:pPr>
    </w:p>
    <w:p>
      <w:pPr>
        <w:ind w:left="900" w:right="80" w:hanging="325"/>
        <w:spacing w:after="0" w:line="259"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ESRD-CKD Phase 2a, D5610C00001, ClinicalTrials.gov Identifier NCT01847092 (ongoing)</w:t>
      </w:r>
      <w:r>
        <w:rPr>
          <w:rFonts w:ascii="Times New Roman" w:cs="Times New Roman" w:eastAsia="Times New Roman" w:hAnsi="Times New Roman"/>
          <w:sz w:val="18"/>
          <w:szCs w:val="18"/>
          <w:color w:val="auto"/>
        </w:rPr>
        <w:t>: This is an exploratory Phase 2a, randomized,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double-blind, placebo- controlled study to evaluate pharmacodynamics of tenapanor in 140 patients with stage 3 CKD, type 2 diabetes mellitus with albuminuria and elevated systolic blood pressure. The study consists of a 4-week run-in period, 12 weeks of blinded treatment with tenapanor 5, 15, 30, or 60 mg BID or placebo, and a 2-week follow-up period.</w:t>
      </w:r>
    </w:p>
    <w:p>
      <w:pPr>
        <w:spacing w:after="0" w:line="135"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Pharmacodynamic assessments, or assessments of biological effects of tenapanor, include the following measures: Urine albumin-to-creatinine ratio (UACR) and eGFR (s-creatinine, and s-cystatin-c) which are indications of kidney function, blood pressure, bioimpedance a measure of excess body fluid, mean weekly stool consistency and stool frequency and urinary and blood markers associated with kidney disease. Safety assessments are performed at regular intervals and include physical examinations, vital signs, body weights, electrocardiograms, and laboratory results from blood and urine tests. We expect to receive results from this study during the first half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122555</wp:posOffset>
            </wp:positionV>
            <wp:extent cx="3533140" cy="1895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3314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455" w:right="27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Phase 2b trials</w:t>
      </w:r>
    </w:p>
    <w:p>
      <w:pPr>
        <w:spacing w:after="0" w:line="90" w:lineRule="exact"/>
        <w:rPr>
          <w:sz w:val="20"/>
          <w:szCs w:val="20"/>
          <w:color w:val="auto"/>
        </w:rPr>
      </w:pPr>
    </w:p>
    <w:p>
      <w:pPr>
        <w:ind w:left="900" w:right="20" w:hanging="325"/>
        <w:spacing w:after="0" w:line="254"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ESRD-Phosphorus Phase 2b, D5613C00001, ClinicalTrials.gov Identifier NCT02081534 (ongoing)</w:t>
      </w:r>
      <w:r>
        <w:rPr>
          <w:rFonts w:ascii="Times New Roman" w:cs="Times New Roman" w:eastAsia="Times New Roman" w:hAnsi="Times New Roman"/>
          <w:sz w:val="18"/>
          <w:szCs w:val="18"/>
          <w:color w:val="auto"/>
        </w:rPr>
        <w:t>: This is a randomized, double blind,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placebo-controlled, parallel group, multicenter dose finding study to evaluate the efficacy, safety and tolerability of tenapanor to treat hyperphosphatemia in ESRD patients on hemodialysis. The study consists of a wash out period of up to 3 weeks where existing phosphorus lowering medication is withheld, a 4-week treatment period, and a follow-up period of 2 weeks. A total of 150 patients (20-25/group) are given tenapanor doses of either 1 mg, 3 mg, 10 mg or 30 mg twice a day or 3 mg and 30 mg once a day or matching placebo. To be randomized, patients must have a serum phosphorus level of at least 6.0 mg/dL (1.94 mmol/L) and have had an increase of at least 1.5 mg/dL (0.48 mmol/L) vs. pre wash out level. The primary objective of this study is to show effect of tenapanor versus placebo on the change in serum phosphorus levels from the end of wash out to end of treatment in hyperphosphatemic ESRD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123825</wp:posOffset>
            </wp:positionV>
            <wp:extent cx="3687445" cy="19640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874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0" w:hanging="325"/>
        <w:spacing w:after="0" w:line="259"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IBS-C Phase 2b, D5612C00001, ClinicalTrials.gov Identifier NCT01923428 (ongoing)</w:t>
      </w:r>
      <w:r>
        <w:rPr>
          <w:rFonts w:ascii="Times New Roman" w:cs="Times New Roman" w:eastAsia="Times New Roman" w:hAnsi="Times New Roman"/>
          <w:sz w:val="18"/>
          <w:szCs w:val="18"/>
          <w:color w:val="auto"/>
        </w:rPr>
        <w:t>: This is a multi-center, Phase 2b, randomized, double-blind, placebo controlled study of tenapanor in subjects with IBS-C. The study consists of a 2-week screening period, a 12-week treatment period, and a 4-week follow-up period. Eligible subjects have been randomized 1:1 into one of four treatment groups (approximately 93 patients/group) for a total of 371 patients) at doses of 5 mg, 20 mg, or 50 mg of tenapanor or placebo, twice a day.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20" w:right="20" w:firstLine="420"/>
        <w:spacing w:after="0" w:line="262" w:lineRule="auto"/>
        <w:rPr>
          <w:sz w:val="20"/>
          <w:szCs w:val="20"/>
          <w:color w:val="auto"/>
        </w:rPr>
      </w:pPr>
      <w:r>
        <w:rPr>
          <w:rFonts w:ascii="Times New Roman" w:cs="Times New Roman" w:eastAsia="Times New Roman" w:hAnsi="Times New Roman"/>
          <w:sz w:val="18"/>
          <w:szCs w:val="18"/>
          <w:color w:val="auto"/>
        </w:rPr>
        <w:t>The primary endpoint for this study is the percent complete spontaneous bowel movement (CSBM) responders; a CSBM is a bowel movement that feels complete and is not aided by the use of any other medication, like a laxative. In order to be a responder a patient needs to have an increase of at least one CSBM from baseline for 6 of the 12 treatment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118745</wp:posOffset>
            </wp:positionV>
            <wp:extent cx="3395980" cy="1869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959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RDX002 NaP2b Inhibitor for Hyperphosphatemia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RDX002 refers to our program aimed at discovering and evaluating small molecule inhibitors of the intestinal phosphate transporter NaP2b (also known as NaPi2b, Npt2b and SLC34A2). Our RDX002 program includes a portfolio of non-systemic NaP2b inhibitors in the discovery and preclinical stage of development. We have licensed this program to Sanofi, and under the terms of the agreement, Sanofi is responsible for completing discovery and preclinical work and, if it exercises its option, developing and commercializing at least one NaP2b inhibitor resulting from the program.</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NaP2b is an intestinal phosphate transporter whose activity is believed to account for a significant portion of dietary phosphate absorption in humans. We believe the inhibition of NaP2b would provide utility for the treatment of hyperphosphatemia in ESRD patients.</w:t>
      </w:r>
    </w:p>
    <w:p>
      <w:pPr>
        <w:spacing w:after="0" w:line="11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have identified several NaP2b inhibitors that showed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 models. In rats with normal renal function certain NaP2b compounds were able to reduce urinary excretion of phosphorus better than commercial phosphate binders such as sevelamer or colestilan, even when these compounds were dosed at approximately 1/8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the dose of the commercial binders. In addition, our NaP2b compounds had additive effects when administered with sevelamer or colestilan. In a rat model designed to emulate CKD (5/6</w:t>
      </w:r>
      <w:r>
        <w:rPr>
          <w:rFonts w:ascii="Times New Roman" w:cs="Times New Roman" w:eastAsia="Times New Roman" w:hAnsi="Times New Roman"/>
          <w:sz w:val="11"/>
          <w:szCs w:val="11"/>
          <w:color w:val="auto"/>
        </w:rPr>
        <w:t>ths</w:t>
      </w:r>
      <w:r>
        <w:rPr>
          <w:rFonts w:ascii="Times New Roman" w:cs="Times New Roman" w:eastAsia="Times New Roman" w:hAnsi="Times New Roman"/>
          <w:sz w:val="18"/>
          <w:szCs w:val="18"/>
          <w:color w:val="auto"/>
        </w:rPr>
        <w:t xml:space="preserve"> nephrectomized rats where one full kidney and 2/3</w:t>
      </w:r>
      <w:r>
        <w:rPr>
          <w:rFonts w:ascii="Times New Roman" w:cs="Times New Roman" w:eastAsia="Times New Roman" w:hAnsi="Times New Roman"/>
          <w:sz w:val="11"/>
          <w:szCs w:val="11"/>
          <w:color w:val="auto"/>
        </w:rPr>
        <w:t>rds</w:t>
      </w:r>
      <w:r>
        <w:rPr>
          <w:rFonts w:ascii="Times New Roman" w:cs="Times New Roman" w:eastAsia="Times New Roman" w:hAnsi="Times New Roman"/>
          <w:sz w:val="18"/>
          <w:szCs w:val="18"/>
          <w:color w:val="auto"/>
        </w:rPr>
        <w:t xml:space="preserve"> of the second kidney are removed) one of our NaP2b inhibitors significantly reduced serum phosphorus and was additive or synergistic with sevelamer. This agent also significantly improved animal survival in the same model.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product differentiation</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identified NaP2b inhibitors work through a mechanism distinct from those employed by binders. Our NaP2b inhibitors are designed to inhibit NaP2b, one of the primary phosphate transporters in the gut. We have shown that our inhibitors are able to inhibit phosphate regardless of the amount of phosphate in the diet. We believe this mechanism would have a significant advantage over phosphate binders, and may allow us to significantly decrease pill burden while retaining a similar phosphorus effect. Additionally, we believe that the use of a NaP2b inhibitor in combination with a phosphate binder may allow the dose of the phosphate binder to be reduced. We cannot predict whether or not these effects will be seen until the appropriate clinical trials are conducted.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 Programs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RDX009 TGR5 agonists for IBD</w:t>
      </w:r>
    </w:p>
    <w:p>
      <w:pPr>
        <w:spacing w:after="0" w:line="94"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Our RDX009 program is aimed at discovering and evaluating small molecule, orally-administered drug candidates that stimulate TGR5. We are initially focused on the treatment of IBD for proof-of-concept, but believe the stimulation of TGR5 may have utility in several other conditions, including short bowel syndrome.</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TGR5 is a receptor present on the membrane of certain cells within the GI tract that responds to bile acids secreted in response to food. In the normal physiological response, binding of bile acids to TGR5 stimulates the production of hormones such as glucagon-like peptides 1 and 2 (GLP-1 and GLP-2). GLP-2 is involved in maintenance of the structural integrity of the gut as well as its growth. GLP-2 also communicates with immune cells including macrophages and is believed to serve a role in the reduction of the inflammation response.</w:t>
      </w:r>
    </w:p>
    <w:p>
      <w:pPr>
        <w:spacing w:after="0" w:line="13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believe that endogenous and local secretion of GLP-2 triggered by the stimulation of TGR5 receptors may have significant therapeutic potential for the treatment of IBD. An injectable, stabilized form of GLP-2, called teduglutide (Gattex), is marketed for short bowel syndrome and has been studied in Crohn’s disease. GLP-2 is hypothesized to work in IBD such as Crohn’s disease and ulcerative colitis, or UC, by stimulating the repair of the gut and improving the structural integrity of gut wall that is damaged in patients with IBD. Additionally, the anti-inflammatory effects of GLP-2 may help reduce the inflammation present in IBD. Together these properties would represent a unique approach to treating IBD. We are therefore working to identify and optimize TGR5 agonists that can stimulate GLP-2 in rodent models of IBD.</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Historically one of the limitations for the development of TGR5 agonists has been the observation with systemic compounds that stimulation of TGR5 in the gallbladder results in excess gallbladder filling, potentially increasing the risk of gallstones. Utilizing our approach to design small molecules, we have created novel TGR5 agonist candidates that have extremely low systemic exposure and we have shown that these agents do not result in excess gallbladder filling in preclinical animal models.</w:t>
      </w:r>
    </w:p>
    <w:p>
      <w:pPr>
        <w:spacing w:after="0" w:line="136" w:lineRule="exact"/>
        <w:rPr>
          <w:sz w:val="20"/>
          <w:szCs w:val="20"/>
          <w:color w:val="auto"/>
        </w:rPr>
      </w:pPr>
    </w:p>
    <w:p>
      <w:pPr>
        <w:ind w:right="260" w:firstLine="456"/>
        <w:spacing w:after="0" w:line="296" w:lineRule="auto"/>
        <w:rPr>
          <w:sz w:val="20"/>
          <w:szCs w:val="20"/>
          <w:color w:val="auto"/>
        </w:rPr>
      </w:pPr>
      <w:r>
        <w:rPr>
          <w:rFonts w:ascii="Times New Roman" w:cs="Times New Roman" w:eastAsia="Times New Roman" w:hAnsi="Times New Roman"/>
          <w:sz w:val="16"/>
          <w:szCs w:val="16"/>
          <w:color w:val="auto"/>
        </w:rPr>
        <w:t>Recently, we have demonstrated that our TGR5 agonists are significantly more active in animal models of IBD if they are combined with an inhibitor of DPP4. This effect may be due to the mechanisms of DPP4 inhibitors, which prevent the degradation of GLP-2 in the body. Without a DPP4 inhibitor present, GLP-2 would rapidly degrade and disappear from the blood. DPP4 inhibitors lengthen the half-life of GLP-2. In animal models of colonic inflammation, the combination of our TGR5 agonists and a DPP4 inhibitor, both orally administered, have been able to significantly reduce various measures of disease severity. We continue to test our TGR5 agonists to determine a lead product that would be appropriate for beginning IND-enabling studies.</w:t>
      </w:r>
    </w:p>
    <w:p>
      <w:pPr>
        <w:spacing w:after="0" w:line="108"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Inflammatory bowel disease primarily comprises UC and Crohn’s disease. In UC, the first line of treatment involves mesalamine and related drugs, followed by corticosteroids and finally immune modulators such as cyclosporine and TNF inhibitors that are injectable. A last approach would be removal of the colon, or colectomy, which requires use of a removable bag to collect solid waste. About 30-50% of patients are treatment failures at each therapeutic stage. There are about 31,000 hospitalizations in the United States per year due to UC as a first-listed diagnosis and about 15% of UC patients progress to colectomy over a period of 20 years. There are about 400,000 patients in the United States with UC. In Crohn’s disease, similar therapeutic agents are used; however, about 60% of Crohn’s patients will progress over time and eventually require surgery to remove a portion of the most affected segment of the intestine. There are about 435,000 patients in the United States with Crohn’s disease and about 73,000 hospitalizations in the United States per year due to Crohn’s as a first-listed diagnosis.</w:t>
      </w:r>
    </w:p>
    <w:p>
      <w:pPr>
        <w:spacing w:after="0" w:line="11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goal of therapies in IBD is to induce full healing of the intestinal tissue. Most agents do not focus on tissue healing, but instead focus on anti-inflammatory effects. TNF inhibitors, for example, are believed to work by reducing the inflammation associated with IBD to reduce progression and pain. We believe our oral TGR5 agonists may have the potential to induce healing of intestinal tissue in IBD as a result of the dual anti-inflammatory and tissue rebuilding properties of GLP-2. We believe a significant opportunity may exist in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IBD market for a safe and effective, orally administered, disease modifying agent that offers a dual effect of anti-inflammation and tissue healing.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RDX013 for hyperkalemia</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Our RDX013 program is aimed at discovering and evaluating small molecule, orally-administered drug candidates that modulate the transport of potassium in the GI tract.</w:t>
      </w:r>
    </w:p>
    <w:p>
      <w:pPr>
        <w:spacing w:after="0" w:line="120"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Our agents will be designed to enhance potassium secretion in the colon and correct hyperkalemia disorders in CKD patients. We believe that specific potassium transporters in the intestines may serve as useful targets for our program. We are also using our APECCS platform to identify novel pathways to activate potassium flux from the interior of the GI epithelium cells to the GI lumen. We believe that such agents may be used as stand-alone agents or used in combination with potassium binders boost efficacy or to reduce the pill burden of the potassium binders.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RDX020 for inhibition of chloride channels</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Our RDX020 program is aimed at discovering and evaluating small molecule, orally administered drug candidates that modulate the transport of chloride in the GI tract.</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targeting transporters responsible for the movement of chloride from the lumen of the gut to within the mucosa while secreting bicarbonate ions in the opposite direction. Our discovery platform is designed to find transporters and targets on the surface of the intestines and to identify small molecules that interfere with the activity of such targets. The objective of this program is to obtain non-systemic agents that would limit dietary chloride uptake and limit the loss of bicarbonate (or enhance fecal acid excretion).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an agent that prevents the absorption of dietary chloride could reduce fluid overload and improve acidosis in CKD patients.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partnership with AstraZeneca</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October 2012, we entered into a collaboration partnership with AstraZeneca for the development and commercialization of our small molecule NHE3 inhibitors, including tenapanor as well as to back-up compounds. Additionally, as part of the collaboration partnership, we agreed to provide development support related to the licensed compounds subject to reimbursement by AstraZeneca for our internal and external expenses incurred in providing such efforts, subject to an agreed upon cap on AstraZeneca’s obligation to reimburse our costs for development of tenapanor for IBS-C.</w:t>
      </w:r>
    </w:p>
    <w:p>
      <w:pPr>
        <w:spacing w:after="0" w:line="13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we received a $35.0 million upfront payment and we are eligible to receive up to $237.5 million in development milestones, of which we have received $15.0 million. We expect to receive a payment of $25.0 million in the second quarter of 2014 as a result of the dosing of the first patient in the Phase 2b ESRD clinical trial in hyperphosphatemia, which occurred in April 2014. In addition to the $237.5 million in total development milestones, we are also eligible to receive up to $597.5 million in sales and launch milestones which, when combined with the $35.0 million upfront payment, provides for potential payments of up to $870.0 million. Through March 31, 2014, we also received $24.5 million in reimbursement for our development efforts provided under the agreement. We are also eligible to receive incremental tiered royalties based on aggregate annual net sales of each licensed product starting in the high single digits and increasing to high teen percentages as annual net sales increase. If we exercise our right to co-fund the first Phase 3 development program for tenapanor, we could acquire an increase in our royalties by 1%, 2% or 3%, as described below under the heading “—Right to co-fund/royalty buy-up.”</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AstraZeneca solely funds all development and commercialization costs for licensed compounds and licensed products, except for costs that we elect to undertake if we exercise our right to co-fund certain development efforts in exchange for an increase in the royalty percentage, as described below under the heading “—Right to co-fund/royalty buy-up.”</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AstraZeneca may choose to develop tenapanor for any indication. Provided that it is pursuing development for at least one indication, AstraZeneca may choose not to develop tenapanor for any other indications. AstraZeneca must use commercially reasonable efforts to develop, manufacture, seek regulatory approval for and commercialize a licensed product in each of certain specified major markets.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Right to co-fund/royalty buy-up</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elect to participate in the funding of the first Phase 3 development program for the first indication for the first licensed product by paying a co-funding amount of $20.0 million, $30.0 million or $40.0 million. We may exercise this right within a specified time period after the decision to proceed to Phase 3 clinical development for the first indication for the first licensed product. If we elect to co-fund the Phase 3 development program for the specific indication for the relevant licensed product, we will receive either a 1%, 2% or 3% increase in the royalty payable on net sales of the licensed product for all indications, depending upon the level of co-funding that we elect. We may exercise this right only for a period of 60 days following AstraZeneca’s determination to proceed to the first Phase 3 clinical development program for tenapanor for a specific indication. An election to participate in the co-fund will be based, in part, on our analysis as to the likelihood of success of the Phase 3 clinical development program and the potential for regulatory approval to commercialize tenapanor. The selected co-funding amount would be paid quarterly over the estimated period of the Phase 3 clinical development program.</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Right to co-promote in the United States</w:t>
      </w:r>
    </w:p>
    <w:p>
      <w:pPr>
        <w:spacing w:after="0" w:line="9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may elect to co-promote in the United States the first licensed product for the first indication for which Phase 3 clinical development is completed. If we make such an election, we may also elect to co-promote the same licensed product for additional indications for which Phase 3 clinical development is completed in the specified period. After we make a co-promotion election, we must enter into a separate co-promotion agreement on terms and conditions set out in our agreement with AstraZeneca, which includes, among other rights and obligations, a requirement for Ardelyx to provide a trained sales force for promoting the licensed product, which may not also promote products that compete with the licensed product or other products then promoted by AstraZeneca or its affiliates and AstraZeneca must reimburse us for our agreed-upon co-promotion efforts other than for general training of our sales force.</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terms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are initially responsible for supplying tenapanor for use in development. AstraZeneca must reimburse our costs of providing such supply. AstraZeneca must use commercially reasonable efforts to assume responsibility for manufacturing and supplying all licensed compounds and licensed products for development and commercialization beginning with supplies required for Phase 2b and Phase 3 clinical trials, although AstraZeneca may choose to assume such supply responsibilities earlier.</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For periods specified in the agreement, neither we nor AstraZeneca can research, develop or commercialize NHE3 inhibitors, other than pursuant to the agreement.</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agreement will expire in its entirety upon the expiration of all applicable royalty terms for all licensed products in all countries, and the satisfaction or expiration of all other payment obligations under the agreement. The royalty term for each licensed product in each country is the period commencing with the first commercial sale of the applicable licensed product in the applicable country and ending on the later of expiration of specified patent coverage or a specified period of years. AstraZeneca has the right to terminate the agreement at any time in its entirety, upon specified prior written notice to us, and is deemed to have so terminated the agreement if it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ceases all exploitation of licensed products for a specified continuous time period and does not provide a plan to recommence such exploitation within a particular time period thereafter. AstraZeneca may also terminate the agreement on a country by country basis upon a specified prior written notice if there are third party patents that may be infringed in particular countries by the development, manufacture or commercialization of licensed products, subject to certain conditions. The agreement may also be terminated by us in the event that AstraZeneca actively assists in a legal challenge of any of the patents exclusively licensed to AstraZeneca under the agreement, and it may be terminated by us or by AstraZeneca for a material breach by or insolvency of the other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partnership with Sanofi</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February 2014, we entered into a license option and license agreement with Sanofi under which we granted Sanofi an exclusive worldwide license to conduct research utilizing our small molecule NaP2b inhibitors solely for the purpose of completing activities under a preclinical development plan. Under the terms of this agreement, Sanofi has the option to obtain an exclusive license to develop, manufacture and commercialize our NaP2b inhibitors. Sanofi may exercise this option at any time following the effective date of the agreement and ending upon expiration of a specified period of time after the filing of an IND, subject to certain exceptions, and if Sanofi does not exercise the option during a defined time period, the agreement will terminate. Sanofi is responsible for conducting and funding all research, development and commercialization of licensed products under the agreement. If Sanofi exercises its option, it must use commercially reasonable efforts to develop, seek regulatory approval for, manufacture and commercialize a licensed product for any indication in each of certain specified major markets.</w:t>
      </w:r>
    </w:p>
    <w:p>
      <w:pPr>
        <w:spacing w:after="0" w:line="138"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received a $1.25 million upfront payment, and we are eligible to receive up to $196.75 in development and regulatory milestone payments. We are also eligible to receive incremental tiered royalties based on aggregate annual net sales of any licensed product starting in the mid-single digits and increasing to low teen percentages as annual net sales increase, subject to reduction in specified circumstances.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Right to co-promote in the United States</w:t>
      </w:r>
    </w:p>
    <w:p>
      <w:pPr>
        <w:spacing w:after="0" w:line="92"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may elect to co-promote in the United States for each licensed product for which Phase 3 clinical development is completed. We may elect to provide a level of co-promotion support within a range specified in our agreement with Sanofi. If we make such an election to co-promote, we have additional rights to elect to co-promote other licensed products under this agreement. After we make a co-promotion election, we must enter into a separate co-promotion agreement on terms and conditions set out in our agreement with Sanofi. Such co-promotion agreement must provide reasonable terms and conditions under which we will co-promote the relevant licensed products, and will require Sanofi to compensate us for performing our co-promotion obligations.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terms</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During the term of the agreement, and in certain circumstances for a specified period following termination of the agreement, neither we nor Sanofi can, subject to certain exceptions described in the agreement, research, develop or commercialize a NaP2b inhibitor other than pursuant to the agreement.</w:t>
      </w:r>
    </w:p>
    <w:p>
      <w:pPr>
        <w:spacing w:after="0" w:line="12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agreement will expire if Sanofi does not exercise its option within a specified time period, or if Sanofi does exercise its option, the agreement will expire in its entirety upon the expiration of all applicable royalty terms for all licensed products in all countries, and the satisfaction or expiration of all other payment obligations under the agreement. The royalty term for each licensed product in each country is the period commencing with the first commercial sale of the applicable licensed product in the applicable country and ending on the later of expiration of specified patent coverage or a specified period of years. Sanofi has the right to terminate the agreement at any time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in its entirety or on a country-by-country basis upon specified prior written notice to us, and is deemed to have so terminated the agreement if it has not filed an IND for a licensed compound within a specified period of time, if it fails to exercise its option within a specified period of time, or if, after exercising its option, it ceases all exploitation of licensed products for a specified continuous time period and does not provide a plan to recommence such exploitation within a particular time period thereafter. The agreement may also be terminated by us in the event that Sanofi actively assists in a legal challenge of one of the patents exclusively licensed to Sanofi under the agreement, and it may be terminated by us or by Sanofi for a material breach by or insolvency of the other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of our Products</w:t>
      </w:r>
    </w:p>
    <w:p>
      <w:pPr>
        <w:spacing w:after="0" w:line="9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retain co-promotion rights with our collaboration partners, AstraZeneca and Sanofi, in the United States, and under the terms of our agreements, our commercialization costs will be funded by the collaboration partner. We expect, subject to certain conditions set forth in the AstraZeneca agreement, to take advantage of these opportunities to co-promote our licensed products. We intend to build a focused, specialized sales force in the United States to effectively support the commercialization of these and future products. If we co-promote our licensed products, we would develop a sales capability to target key prescribing physicians in nephrology, endocrinology and cardiology. We currently do not have any sales or marketing activities or personnel. Within the time required under our agreements with AstraZeneca and Sanofi, if we exercise our co-promotion right we will establish the required capabilities in advance of any product approval and commencement of commercialization to prepare for product launch. If we are not able to establish these sales and marketing capabilities, either on our own or through collaboration with AstraZeneca and Sanofi, any revenue from our future products that we commercialize may be materially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hyperphosphatemia</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Phosphate binders are the only pharmacologic interventions currently marketed for the treatment of hyperphosphatemia. Calcium-based binders are the least expensive option to treat hyperphosphatemia. In hemodialysis patients, sevelamer has a 36% patient share versus 51% for calcium-based binders and 18% for lanthanum. The various types of phosphate binders commercialized in the United States include the following:</w:t>
      </w:r>
    </w:p>
    <w:p>
      <w:pPr>
        <w:spacing w:after="0" w:line="51" w:lineRule="exact"/>
        <w:rPr>
          <w:sz w:val="20"/>
          <w:szCs w:val="20"/>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carbonate (many over-the-counter brands including Tums and Caltrate)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acetate (several prescription brands including PhosLo and Phoslyra)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Lanthanum carbonate (Fosrenol marketed by Shire)</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hydrochloride (Renagel, marketed by Sanofi; new generic competition is also expected to enter the market in early 2014 after expiration of Sanofi’s patent)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carbonate (Renvela, marketed by Sanofi)</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Sucroferric oxyhydroxide (Velphoro, marketed by Vifor Fresenius)</w:t>
      </w:r>
    </w:p>
    <w:p>
      <w:pPr>
        <w:spacing w:after="0" w:line="17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Each of these agents has certain limitations. Calcium carbonate and calcium acetate can cause long term vascular calcification. Lanthanum carbonate (Fosrenol) entered the market in 2004 as an alternative to calcium and aluminum based agents, but nephrologists’ concerns about the long term toxicity from the absorption of metals such as lanthanum and its GI side effect profile have limited its market penetration. Sevelamer hydrochloride (Renagel) is an acidic formulation of sevelamer that has been linked with worsening of metabolic acidosis in patients. Sevelamer carbonate (Renvela) was developed as an improved formulation of sevelamer to reduce incidence of acidosis. The active ingredient of both products, sevelamer, is associated long-term with vomiting (22%), nausea (20%), diarrhea (19%), dyspepsia (16%), abdominal pain (9%), and flatulence (8%). When nephrologists have been asked to name the most important feature of a new phosphate management drug, they have mentioned tolerability more than any other attribute including safety and efficacy.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hydrochloride form of sevelamer, Renagel, was launched in the United States by Genzyme Corporation in 1998 prior to its acquisition by Sanofi, and the carbonate form, Renvela, was launched in 2008. Renvela is currently priced in the United States at a cost of approximately $7,600 per patient per course of therapy, Fosrenol (lanthanum carbonate) is comparably priced at about $7,500 and calcium-based binders are approximately $900. Despite its higher price, sevelamer has become the leading phosphate binder product in the hemodialysis market with 36% patient share (versus 51% split among several calcium-based binders). Sanofi booked €750 million ($1.0 billion) in worldwide sales of sevelamer during 2013. The U.S. patents for sevelamer expired in February 2014 and generic launch was allowed in March 2014. We are aware of at least one company, Impax Laboratories, Inc., who is expected to launch a generic version of sevelamer carbonate in April 2014 and sevelamer hydrochloride in September 2014.</w:t>
      </w:r>
    </w:p>
    <w:p>
      <w:pPr>
        <w:spacing w:after="0" w:line="14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currently marketed phosphate binders, we are aware of several other binders in development such as ferric citrate (Zerenex), an iron-based binder in Phase 3 being developed in the United States by Keryx Biopharmaceuticals Inc. and approved in Japan, fermagate (Alpharen), an iron-based binder in Phase 2 being developed by Opko Health, Inc., and sucroferric oxyhydroxide (Velphoro), an iron-based binder with an average dose of one 500 mg pill per meal (versus three or more pills for other binders).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long-term management of CKD</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There are no treatments for CKD that have been proven to reverse the disease. Additionally, various interventions, such as improved diet, blood pressure control, and blood glucose control have had only moderate success in delaying the progression of the disease. CKD patients are currently treated with a combination of diuretics and inhibitors of the renin-angiotensin aldosterone system, or RAAS, to decrease fluid retention and improve hypertension.</w:t>
      </w:r>
    </w:p>
    <w:p>
      <w:pPr>
        <w:spacing w:after="0" w:line="132"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We are aware of one agent, CLP-1001, being developed by Sorbent Therapeutics, Inc. which is an orally administered, non-absorbed exchange resin that binds both sodium and potassium ions as well as protons that showed positive effects in CKD patients with heart failure in a Phase 2a clinical trial and which demonstrated the ability to increase fecal sodium at doses of up to 15g/day. We believe this agent may be competitive with tenapanor to treat CKD patients.</w:t>
      </w:r>
    </w:p>
    <w:p>
      <w:pPr>
        <w:spacing w:after="0" w:line="9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There are several dozen generic and branded products that interfere with the RAAS pathway, or act as diuretics. Some of these agents, such as furosemide and thiazide diuretics, were first used in the late 1950s. We are aware of a few new products being developed for treatment of hypertension such as Novartis AG’s LCZ696, a dual inhibitor of angiotensin ll receptor and neutral endopeptidase that is in Phase 3, and Palatin Technology, Inc.’s PL-3994, a long-acting natriuretic peptide receptor A agonist in Phase 2.</w:t>
      </w:r>
    </w:p>
    <w:p>
      <w:pPr>
        <w:spacing w:after="0" w:line="136"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We are aware of certain investigational drugs that were being developed for delaying kidney decline as measured by eGFR. Among other products, Concert Pharmaceuticals, Inc. is developing CTP-499 which showed a significant improvement in markers of kidney disease in a Phase 2 clinical trial in patients with CKD and type 2 diabetes. Bardoxolone, an anti-inflammation drug, was being developed by Reata Pharmaceuticals, Inc. and Abbott Laboratories and was examined in CKD patients with type 2 diabetes for its ability to reduce progression to ESRD and cardiovascular death rates, as well as delay the decline of eGFR; however, the Phase 3 clinical trial of bardoxolone was stopped in 2012 because of safety issues, and we are unaware of any additional development of the molecule in CKD. We are aware of several drugs in Phase 2 clinical trials being evaluated for diabetic nephropathy (excluding drugs for blood pressure) including ChemoCentrix, Inc.’s CCR antagonist CCX140, Eli Lilly and Company’s TGF-beta monoclonal antibody LY2382770, Genkyotex S.A.’s dual NOX1/NOX4 inhibitor GKT137831, Fibrogen, Inc.’s CTGF inhibitor FG-3019, Pfizer, Inc.’s long-acting PDE5 inhibitor PF-489791, and Noxxon Pharma AG’s aptamer inhibitor of MCP-1/CCR2 NOX-E36. None of these drugs to our knowledge has clinical data showing a delay in the progression of CKD.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management of IBS-C</w:t>
      </w:r>
    </w:p>
    <w:p>
      <w:pPr>
        <w:spacing w:after="0" w:line="9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relieve temporary constipation.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aware of two prescription drugs currently on the U.S. market that are approved to treat IBS-C:</w:t>
      </w:r>
    </w:p>
    <w:p>
      <w:pPr>
        <w:spacing w:after="0" w:line="90" w:lineRule="exact"/>
        <w:rPr>
          <w:sz w:val="20"/>
          <w:szCs w:val="20"/>
          <w:color w:val="auto"/>
        </w:rPr>
      </w:pPr>
    </w:p>
    <w:p>
      <w:pPr>
        <w:ind w:left="900" w:hanging="325"/>
        <w:spacing w:after="0" w:line="254"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Linzess (linaclotide)</w:t>
      </w:r>
      <w:r>
        <w:rPr>
          <w:rFonts w:ascii="Times New Roman" w:cs="Times New Roman" w:eastAsia="Times New Roman" w:hAnsi="Times New Roman"/>
          <w:sz w:val="18"/>
          <w:szCs w:val="18"/>
          <w:color w:val="auto"/>
        </w:rPr>
        <w:t xml:space="preserve">: Linzess is a drug developed by Ironwood Pharmaceuticals, Inc., approved in 2012 and 2013 for IBS-C and chronic constipation in both the United States and in Europe. Linzess is based on the heat stable enterotoxin produced in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that causes traveler’s diarrhea. Linzess targets guanylate cyclase C in the intestines and, by doing so, induces intestinal chloride and fluid secretion, which results in the outpouring of water into the intestine. Linzess in a meta-analysis was deemed “moderately effective compared with placebo for improving typical symptoms of IBS-C” and had a risk-adjusted effect on 13% to 21% of patients in various measures of IBS-C compared to the placebo effect. The most common side effect was diarrhea (mostly during the first two weeks of treatment), reported in about 11% to 17% more patients than placebo, and requiring discontinuation in about 4% of patients more than placebo.</w:t>
      </w:r>
    </w:p>
    <w:p>
      <w:pPr>
        <w:spacing w:after="0" w:line="60"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Amitiza (lubiprostone)</w:t>
      </w:r>
      <w:r>
        <w:rPr>
          <w:rFonts w:ascii="Times New Roman" w:cs="Times New Roman" w:eastAsia="Times New Roman" w:hAnsi="Times New Roman"/>
          <w:sz w:val="18"/>
          <w:szCs w:val="18"/>
          <w:color w:val="auto"/>
        </w:rPr>
        <w:t>: Amitiza was first approved in the United States in 2006 and is currently marketed by Sucampo Pharmaceuticals, Inc. and Takeda Pharmaceutical Company Limited for treatment of chronic idiopathic constipation, or CIC, IBS-C and OIC. Amitiza binds selectively to and activates the type-2 chloride channel in the intestine releasing chloride and water into the intestine. Amitiza overall responders were about 6% greater than placebo. The primary adverse events are nausea and/or diarrhea which occur in about 7% to as many as 37% of patients.</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Relistor (methylnaltrexone) is approved to treat OIC and is marketed by Salix Pharmaceuticals, Inc. Resolor (prucalopride), also a 5-HT4 receptor agonist has not been launched in the United States but is marketed in Europe by Shire plc.</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are aware of several products in development targeting IBS-C and/or CIC. These include Ferring Pharmaceuticals, Inc./Albireo AB’s elobixibat, an IBAT inhibitor in Phase 3 for CIC and in Phase 2 for IBS-C and Synergy Pharmaceuticals, Inc.’s plecanatide, a GC-C agonist similar to linaclotide in Phase 3 for CIC and in Phase 2 for CIC and OIC (as well, Synergy Pharmaceuticals, Inc. has SP-333 in Phase 2 for OIC).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and careful monitoring of our proprietary information to protect aspects of our business that are not amenable to, or that we do not consider appropriate for, patent protection.</w:t>
      </w:r>
    </w:p>
    <w:p>
      <w:pPr>
        <w:spacing w:after="0" w:line="10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a normal course of business, we pursue composition-of-matter and method-of-use patents for our product candidates in key therapeutic areas. We also seek patent protection for broader structural and functional attributes of our product candidates that enable a non-or-minimally systemic profile.</w:t>
      </w:r>
    </w:p>
    <w:p>
      <w:pPr>
        <w:spacing w:after="0" w:line="120"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or our collaboration partners, may have to participate in interference proceedings in the U.S. Patent and Trademark Office, or USPTO, to determine priority of invention, which would result in substantial costs to us or our collaboration partners, even if the eventual outcome is favorable to us.</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 With respect to tenapanor, our collaboration partner, AstraZeneca, and with respect to our NaP2b portfolio, under certain circumstances, our collaboration partner, Sanofi, will be responsible for and have the right to control, with input from us, the selection of the appropriate issued patent for filing to obtain any patent term extension that may be available under applicable laws.</w:t>
      </w:r>
    </w:p>
    <w:p>
      <w:pPr>
        <w:spacing w:after="0" w:line="138"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NHE3 patents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NHE3 patent portfolio is wholly owned by us and exclusively licensed to AstraZeneca. This portfolio includes one issued U.S. patent, U.S. Patent No. 8,541,448, covering the composition of tenapanor, and one patent allowed, but not issued in Japan, Japanese patent application, number 2011-543730, covering the composition of tenapanor. The issued U.S. patent, and the allowed Japanese patent are predicted to expire in 2029. Two additional patent applications are pending in the United States covering the composition of or methods of using tenapanor. Related national patent applications filed in a number of other countries are pending. Any patents issuing from these patent applications are also predicted to expire in 2029. Additional pending composition of matter and method of use patent applications in this portfolio include two PCT applications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U.S. provisional applications that are eligible for worldwide filing and that may be used to establish non-provisional applications.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NaP2b</w:t>
      </w:r>
    </w:p>
    <w:p>
      <w:pPr>
        <w:spacing w:after="0" w:line="9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Our NaP2b portfolio is wholly owned by us, exclusively licensed to Sanofi, and includes five pending U.S. patent applications covering the composition of or methods of using our NaP2b inhibitor compounds. If issued, these pending applications are predicted to expire in 2031. Related national patent applications filed in several other countries are pending. Any patents resulting from these patent applications, if issued, are also predicted to expire in 2031.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TGR5 agonists</w:t>
      </w:r>
    </w:p>
    <w:p>
      <w:pPr>
        <w:spacing w:after="0" w:line="9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TGR5 agonist portfolio is wholly owned by us, and includes one PCT application covering the composition and methods of using our TGR5 agonist compounds that is eligible for worldwide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To date, we have relied upon third-party contract manufacturing organizations, or CMOs, to manufacture both the active pharmaceutical ingredient and final drug product dosage forms of tenapanor used as clinical trial material. Under our agreement with AstraZeneca, we are in the final stages of transferring the process for the manufacture of tenapanor drug substance and drug product to AstraZeneca. The clinical trial material being utilized in the ongoing clinical trials with tenapanor has been manufactured by our CMOs, but AstraZeneca will be responsible for the manufacture of all future clinical trial and commercial supplies of tenapanor.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Regulation/FDA</w:t>
      </w:r>
    </w:p>
    <w:p>
      <w:pPr>
        <w:spacing w:after="0" w:line="9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w:t>
      </w:r>
    </w:p>
    <w:p>
      <w:pPr>
        <w:spacing w:after="0" w:line="90" w:lineRule="exact"/>
        <w:rPr>
          <w:sz w:val="20"/>
          <w:szCs w:val="20"/>
          <w:color w:val="auto"/>
        </w:rPr>
      </w:pPr>
    </w:p>
    <w:p>
      <w:pPr>
        <w:ind w:left="900" w:right="480" w:hanging="325"/>
        <w:spacing w:after="0" w:line="275"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some performed in accordance with the FDA’s current Good Laboratory Practice, or GLP, regulations;</w:t>
      </w:r>
    </w:p>
    <w:p>
      <w:pPr>
        <w:spacing w:after="0" w:line="38"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human clinical trials in the United States may begin;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trial site before each trial may be initiated;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80" w:hanging="325"/>
        <w:spacing w:after="0" w:line="275"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regulations to establish the safety and efficacy of the drug candidate for each proposed indication;</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or cGMP, regulations;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review by an FDA advisory committee, if applicable;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commercial shipment of the drug.</w:t>
      </w:r>
    </w:p>
    <w:p>
      <w:pPr>
        <w:spacing w:after="0" w:line="17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30-day time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112"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136"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All clinical research performed in the United States in support of an NDA must be authorized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the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clinical investigation of a new drug is typically conducted in three or four phases, which may overlap or be combined.</w:t>
      </w:r>
    </w:p>
    <w:p>
      <w:pPr>
        <w:spacing w:after="0" w:line="88" w:lineRule="exact"/>
        <w:rPr>
          <w:sz w:val="20"/>
          <w:szCs w:val="20"/>
          <w:color w:val="auto"/>
        </w:rPr>
      </w:pPr>
    </w:p>
    <w:p>
      <w:pPr>
        <w:jc w:val="both"/>
        <w:ind w:left="900" w:right="340" w:hanging="325"/>
        <w:spacing w:after="0" w:line="26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Clinical trials are initially conducted in a limited population of subjects to test the drug candidate for safety, dose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healthy humans or, on occasion, in patients with severe problems or life-threatening diseases to gain an early indication of its effectiveness.</w:t>
      </w:r>
    </w:p>
    <w:p>
      <w:pPr>
        <w:spacing w:after="0" w:line="46" w:lineRule="exact"/>
        <w:rPr>
          <w:rFonts w:ascii="Times New Roman" w:cs="Times New Roman" w:eastAsia="Times New Roman" w:hAnsi="Times New Roman"/>
          <w:sz w:val="18"/>
          <w:szCs w:val="18"/>
          <w:color w:val="auto"/>
        </w:rPr>
      </w:pPr>
    </w:p>
    <w:p>
      <w:pPr>
        <w:ind w:left="900" w:right="80" w:hanging="325"/>
        <w:spacing w:after="0" w:line="26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Clinical trials are generally conducted in a limited patient population to evaluate dosage tolerance and appropriate dosage, identify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effects and safety risks, and evaluate preliminarily the efficacy of the drug for specific targeted indications in patients with the disease or condition under study.</w:t>
      </w:r>
    </w:p>
    <w:p>
      <w:pPr>
        <w:spacing w:after="0" w:line="46"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typically conducted when Phase 2 clinical trials demonstrate that a dose range of the product candidate is effective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geographically-dispersed clinical trial sites.</w:t>
      </w:r>
    </w:p>
    <w:p>
      <w:pPr>
        <w:spacing w:after="0" w:line="58" w:lineRule="exact"/>
        <w:rPr>
          <w:rFonts w:ascii="Times New Roman" w:cs="Times New Roman" w:eastAsia="Times New Roman" w:hAnsi="Times New Roman"/>
          <w:sz w:val="18"/>
          <w:szCs w:val="18"/>
          <w:color w:val="auto"/>
        </w:rPr>
      </w:pPr>
    </w:p>
    <w:p>
      <w:pPr>
        <w:jc w:val="both"/>
        <w:ind w:left="900" w:right="200" w:hanging="325"/>
        <w:spacing w:after="0" w:line="26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In some cases, FDA may condition approval of an NDA for a product candidate on the sponsor’s agreement to conduct additional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trials after NDA approval. In other cases, a sponsor may voluntarily conduct additional clinical trials post approval to gain more information about the drug. Such post approval trials are typically referred to as Phase 4 clinical trials.</w:t>
      </w:r>
    </w:p>
    <w:p>
      <w:pPr>
        <w:spacing w:after="0" w:line="12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preclinical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0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applications</w:t>
      </w:r>
    </w:p>
    <w:p>
      <w:pPr>
        <w:spacing w:after="0" w:line="94"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Under the Prescription Drug User Fee Act, the FDA has a goal of responding to standard review NDAs of new molecular entities within ten months after the 60 day filing review period, or six months after the 60 day filing review period for priority review NDAs, but this timeframe is often extended by FDA requests for additional information or clarification. The FDA may refer the application to an advisory committee for review,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evaluation and recommendation as to whether the application should be approved. The FDA is not bound by the recommendation of an advisory committee, but it generally follows such recommendations.</w:t>
      </w:r>
    </w:p>
    <w:p>
      <w:pPr>
        <w:spacing w:after="0" w:line="120"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Before approving an application, the FDA will inspect the facility or the facilities at which the finished drug product, and sometimes the active pharmaceutical ingredient, or API, is manufactured, and will not approve the drug unless cGMP compliance is satisfactory. The FDA may also inspect the sites at which the clinical trials were conducted to assess their compliance, and will not approve the drug unless compliance with GCP requirements is satisfactory.</w:t>
      </w:r>
    </w:p>
    <w:p>
      <w:pPr>
        <w:spacing w:after="0" w:line="97"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spacing w:after="0" w:line="33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 For many proposed post-approval changes to an NDA, but excluding efficacy supplements to an NDA, the FDA has up to 180 days to review the application. As with new NDAs, the review process is often significantly extended by the FDA requests for additional information or clarification.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94" w:lineRule="exact"/>
        <w:rPr>
          <w:sz w:val="20"/>
          <w:szCs w:val="20"/>
          <w:color w:val="auto"/>
        </w:rPr>
      </w:pPr>
    </w:p>
    <w:p>
      <w:pPr>
        <w:jc w:val="both"/>
        <w:ind w:right="340" w:firstLine="456"/>
        <w:spacing w:after="0" w:line="310" w:lineRule="auto"/>
        <w:rPr>
          <w:sz w:val="20"/>
          <w:szCs w:val="20"/>
          <w:color w:val="auto"/>
        </w:rPr>
      </w:pPr>
      <w:r>
        <w:rPr>
          <w:rFonts w:ascii="Times New Roman" w:cs="Times New Roman" w:eastAsia="Times New Roman" w:hAnsi="Times New Roman"/>
          <w:sz w:val="16"/>
          <w:szCs w:val="16"/>
          <w:color w:val="auto"/>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inspections by the FDA and certain state agencies for compliance with ongoing regulatory requirements, including cGMP, which impose certain procedural and documentation requirements upon us and our third 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 party manufacturers or suppliers will be able to comply with the cGMP regulations and other ongoing FDA regulatory requirements. If we or our present or future third party manufacturers or suppliers are not able to comply with these requirements, the FDA may, among other things, halt our clinical trials, require us to recall a drug from distribution or withdraw approval of the NDA for that drug.</w:t>
      </w:r>
    </w:p>
    <w:p>
      <w:pPr>
        <w:spacing w:after="0" w:line="111"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among other things, adverse publicity, warning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or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Sunshine Payment Act, and other state and federal laws and regulations.</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Affordable Care Act, among other things, amends the intent requirement of the federal Anti-Kickback Statute and federal criminal healthcare fraud statutes. A person or entity no longer needs to have actual knowledge of the statute or specific intent to violate it.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38"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Claims Act in connection with their off-label promotion of drugs.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39"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In addition to the laws described above, the Patient Protection and Affordable Care Act, as amended by the Health Care and Education Reconciliation Act, collectively known as the Affordable Care Act, also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The period between August 1, 2013 and December 31, 2013 was the first reporting period and manufacturers were required to report aggregate payment data by March 31, 2014, and will be required to report detailed payment data and submit legal attestation to the accuracy of such data during Phase 2 of the program (which begins in May 2014 and extends for at least 30 days). Thereafter, manufacturers must submit reports by the 90th day of each subsequent calendar year.</w:t>
      </w:r>
    </w:p>
    <w:p>
      <w:pPr>
        <w:spacing w:after="0" w:line="11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 Although compliance programs can mitigate the risk of investigation and prosecution for violations of these laws, the risks cannot be entirely eliminated. Due to the breadth of these laws, the absence of guidance in the form of regulations or court decisions, and the potential for additional legal or regulatory change in this area, it is possible that our future sales and marketing practices and/or our future relationships with physicians and other healthcare providers might be challenged under such laws. Any action against us for violation of these laws, even if we successfully defend against it, could cause us to incur significant legal expenses and divert our management’s attention from the operation of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coverage and reimbursement</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11"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In addition, in July 2010, CMS released its final rule to implement a bundled prospective payment system for the treatment of ESRD patients as required by the Medicare Improvements for Patients and Providers Act, or MIPPA. The bundled payment includes all renal dialysis services furnished for outpatient maintenance dialysis, including ESRD-related drugs and biologicals. The final rule delayed the inclusion of oral medications without intravenous equivalents in the bundled payment until January 1, 2014 and in April 2014, President Obama signed the Protecting Access to Medicare Act of 2014, which further extends this implementation date to January 1, 2024. As a result of the recent legislation, beginning in 2024, ESRD-related drugs will be included in the bundle and separate Medicare reimbursement will no longer be available for such drugs, as it is today under Medicare Part D. While it is too early to project the full impact bundling may have on the phosphate binder industry, the impact could potentially cause dramatic price reductions for tenapanor, if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94"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In March 2010, President Obama signed one of the most significant healthcare reform measures in decades. The Affordable Care Act substantially changes the way healthcare will be financed by both governmental and private insurers, and significantly impacts the pharmaceutical industry.</w:t>
      </w:r>
    </w:p>
    <w:p>
      <w:pPr>
        <w:spacing w:after="0" w:line="120"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The Affordable Care Act contains a number of provisions, including those governing enrollment in federal healthcare programs, reimbursement changes and fraud and abuse, which will impact existing government healthcare programs and will result in the development of new programs, including Medicare payment for performance initiatives and improvements to the physician quality reporting system and feedback program. Additionally, the Affordable Care Act:</w:t>
      </w:r>
    </w:p>
    <w:p>
      <w:pPr>
        <w:spacing w:after="0" w:line="16" w:lineRule="exact"/>
        <w:rPr>
          <w:sz w:val="20"/>
          <w:szCs w:val="20"/>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minimum level of Medicaid rebates payable by manufacturers of brand-name drugs from 15.1% to 23.1%;</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w:t>
      </w:r>
    </w:p>
    <w:p>
      <w:pPr>
        <w:spacing w:after="0" w:line="90"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access to commercial health insurance coverage through new state-based health insurance marketplaces, or exchanges;</w:t>
      </w:r>
    </w:p>
    <w:p>
      <w:pPr>
        <w:spacing w:after="0" w:line="90" w:lineRule="exact"/>
        <w:rPr>
          <w:rFonts w:ascii="Times New Roman" w:cs="Times New Roman" w:eastAsia="Times New Roman" w:hAnsi="Times New Roman"/>
          <w:sz w:val="18"/>
          <w:szCs w:val="18"/>
          <w:color w:val="auto"/>
        </w:rPr>
      </w:pPr>
    </w:p>
    <w:p>
      <w:pPr>
        <w:jc w:val="both"/>
        <w:ind w:left="900" w:right="20" w:hanging="325"/>
        <w:spacing w:after="0" w:line="262"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51" w:lineRule="exact"/>
        <w:rPr>
          <w:rFonts w:ascii="Times New Roman" w:cs="Times New Roman" w:eastAsia="Times New Roman" w:hAnsi="Times New Roman"/>
          <w:sz w:val="18"/>
          <w:szCs w:val="18"/>
          <w:color w:val="auto"/>
        </w:rPr>
      </w:pPr>
    </w:p>
    <w:p>
      <w:pPr>
        <w:ind w:left="900" w:right="540" w:hanging="325"/>
        <w:spacing w:after="0" w:line="275"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 non-deductible annual fee on pharmaceutical manufacturers or importers who sell “branded prescription drugs” to specified federal government programs.</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In August 2011, the Budget Control Act of 2011 among other things, created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Joint Select Committee on Deficit Reduction to recommend proposals in spending reductions to Congress. The Joint Select Committee did not achieve its targeted deficit reduction of at least $1.2 trillion for the years 2013 through 2021, triggering the legislation’s automatic reduction to several government programs. This includes aggregate reductions to Medicare payments to providers of 2 percent per fiscal year, which went into effect on April 1, 2013. In January 2013, the ATRA was enacted, which, among other things, further reduced Medicare payments to several providers, including hospitals, imaging centers and cancer treatment centers.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2014, we had 37 full-time employees, including a total of 14 employees with Ph.D. degrees. Within our workforce, 30 employees are engaged in research and development and the remaining 7 in general management and administration, including finance, legal, and business development. None of our employees are represented by labor unions or covered by collective bargaining agreements. We believe that we maintain good relations with our employees.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Facilities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Our headquarters is currently located in Fremont, California, and consists of approximately 27,620 square feet of leased office and laboratory space under a lease that expires on September 2016. We have the option to extend the termination date to September 2019. We believe that our existing facilities are adequate for our current needs; however, we may require additional space and facilities as our business expands.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March 31,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Age</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Dominique Charmot, Ph.D.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5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Scientific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Kaufmann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Chief Business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Jacobs, Ph.D.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5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Vice President, Chemistry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Jue.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Vice President, Finance and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 Ph.D.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5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Vice President, Drug Development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Vice President, Legal</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Mott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5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Schultz, Ph.D.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0" w:lineRule="exact"/>
        <w:rPr>
          <w:sz w:val="20"/>
          <w:szCs w:val="20"/>
          <w:color w:val="auto"/>
        </w:rPr>
      </w:pPr>
    </w:p>
    <w:p>
      <w:pPr>
        <w:ind w:right="280" w:firstLine="456"/>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Michael Raab </w:t>
      </w:r>
      <w:r>
        <w:rPr>
          <w:rFonts w:ascii="Times New Roman" w:cs="Times New Roman" w:eastAsia="Times New Roman" w:hAnsi="Times New Roman"/>
          <w:sz w:val="16"/>
          <w:szCs w:val="16"/>
          <w:color w:val="auto"/>
        </w:rPr>
        <w:t>has served as our President and Chief Executive Officer and a director since March 2009. From 2002 to 2009, Mr. Raab was a partner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 Enterprise Associates, or NEA, a venture capital firm, specializing in healthcare investments focusing on the biotechnology and pharmaceutical sectors. Prior to joining NEA, Mr. Raab spent 15 years in commercial and operating leadership roles in the biotech and pharmaceutical industries. He was Senior Vice President, Therapeutics and General Manager of the Renal Division at Genzyme Corporation, a biotechnology company. Mr. Raab also spent two years with Genzyme’s Diagnostic products and services division. Before Genzyme, Mr. Raab held business development and sales and marketing positions at Repligen Corporation, a life sciences company, and Bristol-Myers Squibb Company, a biopharmaceutical company. Mr. Raab received a B.A. from DePauw University.</w:t>
      </w:r>
    </w:p>
    <w:p>
      <w:pPr>
        <w:spacing w:after="0" w:line="111"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Dominique Charmot, Ph.D., </w:t>
      </w:r>
      <w:r>
        <w:rPr>
          <w:rFonts w:ascii="Times New Roman" w:cs="Times New Roman" w:eastAsia="Times New Roman" w:hAnsi="Times New Roman"/>
          <w:sz w:val="16"/>
          <w:szCs w:val="16"/>
          <w:color w:val="auto"/>
        </w:rPr>
        <w:t>is our co-founder and has served as our Chief Scientific Officer and a director since October 2007. Dr. Charmot started 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career in 1982 at Rhone-Poulenc SA, a chemical company. In 2000, Dr. Charmot joined Symyx Technologies Inc., a life sciences-based software company, where he was in charge of the development of integrated workflows in high throughput discovery targeted to specialty polymers. In 2003, Dr. Charmot co-founded Ilypsa Inc., a company developing polymeric drugs, and worked there until the acquisition of Ilypsa by Amgen Inc., a biopharmaceutical company, in 2007.</w:t>
      </w:r>
    </w:p>
    <w:p>
      <w:pPr>
        <w:spacing w:after="0" w:line="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Dr. Charmot received a M.S. in Chemical Engineering from Ecole Nationale Supérieure de Chimie de Paris and a Ph.D. in Polymer Chemistry from the Ecole Supérieure de Physique et Chimie Industrielle de Paris.</w:t>
      </w:r>
    </w:p>
    <w:p>
      <w:pPr>
        <w:spacing w:after="0" w:line="13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Mark Kaufmann </w:t>
      </w:r>
      <w:r>
        <w:rPr>
          <w:rFonts w:ascii="Times New Roman" w:cs="Times New Roman" w:eastAsia="Times New Roman" w:hAnsi="Times New Roman"/>
          <w:sz w:val="18"/>
          <w:szCs w:val="18"/>
          <w:color w:val="auto"/>
        </w:rPr>
        <w:t>has served as our Chief Business Officer since August 2011. Mr. Kaufmann has over twenty years of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industry in both the U.S. and Canada in business and corporate development roles. From 2008 to 2010, Mr. Kaufmann was President and Chief Executive Officer of Allostera Pharma Inc., a preclinical company focused on autoimmune diseases. Prior to joining Allostera, Mr. Kaufmann was President and Chief Executive Officer of Celmed BioSciences, Inc., a biopharmaceutical company, and he started his career as Director of Strategic Planning and Investor Relations at MedImmune in 1994. Mr. Kaufmann received a B.A. in Biochemical Sciences from Harvard University and a M.B.A. from the University of Michigan School of Business.</w:t>
      </w:r>
    </w:p>
    <w:p>
      <w:pPr>
        <w:spacing w:after="0" w:line="139"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Jeffrey Jacobs, Ph.D., </w:t>
      </w:r>
      <w:r>
        <w:rPr>
          <w:rFonts w:ascii="Times New Roman" w:cs="Times New Roman" w:eastAsia="Times New Roman" w:hAnsi="Times New Roman"/>
          <w:sz w:val="18"/>
          <w:szCs w:val="18"/>
          <w:color w:val="auto"/>
        </w:rPr>
        <w:t>has served as our Vice President, Chemistry since January 2011. Dr. Jacobs has spent his career in the discovery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chemical entities for the treatment of unmet medical</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needs. Dr. Jacobs has held positions of increasing responsibility at Affymax, Inc., a biopharmaceutical company, Vicuron Pharmaceuticals, Inc., a biopharmaceutical company, and Sunesis Pharmaceuticals, Inc., a biopharmaceutical company, where he was most recently Senior Director of Development Chemistry. Dr. Jacobs received a B.S. in Chemistry, magna cum laude, from Gonzaga University and a Ph.D. in Bioorganic Chemistry at the University of California, Berkeley.</w:t>
      </w:r>
    </w:p>
    <w:p>
      <w:pPr>
        <w:spacing w:after="0" w:line="134" w:lineRule="exact"/>
        <w:rPr>
          <w:sz w:val="20"/>
          <w:szCs w:val="20"/>
          <w:color w:val="auto"/>
        </w:rPr>
      </w:pPr>
    </w:p>
    <w:p>
      <w:pPr>
        <w:ind w:right="300" w:firstLine="45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George Jue </w:t>
      </w:r>
      <w:r>
        <w:rPr>
          <w:rFonts w:ascii="Times New Roman" w:cs="Times New Roman" w:eastAsia="Times New Roman" w:hAnsi="Times New Roman"/>
          <w:sz w:val="16"/>
          <w:szCs w:val="16"/>
          <w:color w:val="auto"/>
        </w:rPr>
        <w:t>has served as our Vice President, Finance and Operations since June 2008. Prior to Ardelyx, Mr. Jue was Vice President of Finance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Controller at Hyperion Therapeutics, Inc., a biopharmaceutical company. Before Hyperion Therapeutics, Mr. Jue worked at VaxGen Inc., a biopharmaceutical company, as the Vice President of Finance. In addition, Mr. Jue previously served as Vice President of Finance and Principal Accounting Officer at PDL BioPharma, a biopharmaceutical company. Mr. Jue received a B.S. in Accounting from Bentley College and a M.B.A. from Golden Gate University.</w:t>
      </w:r>
    </w:p>
    <w:p>
      <w:pPr>
        <w:spacing w:after="0" w:line="10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Rosenbaum, Ph.D., </w:t>
      </w:r>
      <w:r>
        <w:rPr>
          <w:rFonts w:ascii="Times New Roman" w:cs="Times New Roman" w:eastAsia="Times New Roman" w:hAnsi="Times New Roman"/>
          <w:sz w:val="18"/>
          <w:szCs w:val="18"/>
          <w:color w:val="auto"/>
        </w:rPr>
        <w:t>has served as our Vice President of Drug Development since January 2010. Dr. Rosenbaum has spent the past 20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novel drugs for global registration. From 2003 to 2008, 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139"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Elizabeth Grammer, Esq., </w:t>
      </w:r>
      <w:r>
        <w:rPr>
          <w:rFonts w:ascii="Times New Roman" w:cs="Times New Roman" w:eastAsia="Times New Roman" w:hAnsi="Times New Roman"/>
          <w:sz w:val="18"/>
          <w:szCs w:val="18"/>
          <w:color w:val="auto"/>
        </w:rPr>
        <w:t>has served as our Vice President, Legal since December 2012, after serving as an independent outside corporate counsel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Ardelyx for three years. Ms. Grammer has over 20 years of experience representing privately held and publicly traded life sciences companies in structuring and negotiating strategic transactions, such as collaborations, joint ventures, and intellectual property licensing transactions. Prior to joining Ardelyx, from 2001 to 2006, Ms. Grammer served as Vice President and General Counsel of Trine Pharmaceuticals, Inc., a biopharmaceutical company. Ms. Grammer received a B.A. from Boston University and a J.D. from Stanford Law School.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90"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David Mott </w:t>
      </w:r>
      <w:r>
        <w:rPr>
          <w:rFonts w:ascii="Times New Roman" w:cs="Times New Roman" w:eastAsia="Times New Roman" w:hAnsi="Times New Roman"/>
          <w:sz w:val="16"/>
          <w:szCs w:val="16"/>
          <w:color w:val="auto"/>
        </w:rPr>
        <w:t>has served on our board of directors since March 2009 and as chairman of the board of directors since March 2014. Mr. Mott joined NEA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September 2008 as a General Partner primarily focused on biopharmaceutical investments. Prior to joining NEA, he was President and Chief Executive Officer of MedImmune, LLC, a subsidiary of AstraZeneca Plc, and Executive Vice President of AstraZeneca. Mr. Mott joined MedImmune in 1992 and served in roles of increasing responsibility including Chief Operating Officer, Chief Financial Officer, President and from 2000, Chief Executive Officer. In 2002, Mr. Mott founded MedImmune Ventures and chaired its investment committee through his departure from MedImmune. Prior to joining MedImmune, he was a Vice President in the Health Care Investment Banking Group at Smith Barney, Harris Upham &amp; Co. Inc. where he focused on public and private equity and debt financings as well as merger and acquisition work for biotechnology, healthcare services, and medical product and device companies. Mr. Mott is currently Chairman of TESARO, Inc., a biopharmaceutical company, and Prosensa Holding N.V., a biopharmaceutical company, and is a director of Epizyme, Inc., a biopharmaceutical company. Mr. Mott received a B.A. in Economics and Government from Dartmouth College. We believe that Mr. Mott is qualified to serve on our board of directors due to his investment experience, strategic leadership track record and service on other boards of directors of life sciences companies.</w:t>
      </w:r>
    </w:p>
    <w:p>
      <w:pPr>
        <w:spacing w:after="0" w:line="329"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Richard Rodgers </w:t>
      </w:r>
      <w:r>
        <w:rPr>
          <w:rFonts w:ascii="Times New Roman" w:cs="Times New Roman" w:eastAsia="Times New Roman" w:hAnsi="Times New Roman"/>
          <w:sz w:val="18"/>
          <w:szCs w:val="18"/>
          <w:color w:val="auto"/>
        </w:rPr>
        <w:t>has served on our board of directors since March 2014. Mr. Rodgers previously served as the Executive Vice President,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Secretary and Treasurer of TESARO, Inc., a biopharmaceutical company, Mr. Rodgers previously served as the senior vice president of finance and administration of Abraxis BioScience, Inc., a biotechnology company, from June 2009 to February 2010 and as its chief financial officer from</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6"/>
          <w:szCs w:val="16"/>
          <w:color w:val="auto"/>
        </w:rPr>
        <w:t>July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 Mr. Rodgers received a B.S. in Financial Accounting from St. Cloud State University and his M.B.A. in Finance from the University of Minnesota, Carlson School of Business. Mr. Rodgers is a Certified Public Accountant (inactive). We believe that Mr. Rodgers is qualified to serve on our board of directors due to his financial background and deep industry experience.</w:t>
      </w:r>
    </w:p>
    <w:p>
      <w:pPr>
        <w:spacing w:after="0" w:line="106"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Peter G. Schultz, Ph.D., </w:t>
      </w:r>
      <w:r>
        <w:rPr>
          <w:rFonts w:ascii="Times New Roman" w:cs="Times New Roman" w:eastAsia="Times New Roman" w:hAnsi="Times New Roman"/>
          <w:sz w:val="16"/>
          <w:szCs w:val="16"/>
          <w:color w:val="auto"/>
        </w:rPr>
        <w:t>is our co-founder and has served on our board of directors since April 2010. In 1985, after postdoctoral studies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Massachusetts Institute of Technology, he joined the faculty of the University of California, Berkeley, where he was Professor of Chemistry, Principal Investigator at Lawrence Berkeley National Laboratory and an Investigator of the Howard Hughes Medical Institute. Dr. Schultz joined the faculty of Scripps in 1999, where he is currently the Scripps Professor of Chemistry. He founded and was the Institute Director of the Genomics Institute of the Novartis Research Foundation in San Diego, CA from 1999 to 2010. His awards include the Waterman Award of the National Science Foundation, membership in the National Academy of Sciences and National Institute of Medicine, the 1994 Wolf Prize in Chemistry, the 2003 Paul Ehrlich Prize, and the 2005 Arthur C. Cope Award of the American Chemical Society. Dr. Schultz received a B.S. in Chemistry and a Ph.D. in Organic Chemistry, both from the California Institute of Technology. We believe that Dr. Schultz is qualified to serve on our board of directors due to his extensive scientific background and deep industry experience.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currently consists of five members. Our board of directors has determined that all of our directors, other than Mr. Raab and</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Charmot, qualify as “independent” directors in accordance with the NASDAQ listing requirements. Mr. Raab and Dr. Charmot are not considered independent because they are both employees of Ardelyx.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consummation of this offering, our directors will be divided among the three classes as follows: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 directors will be</w:t>
            </w:r>
          </w:p>
        </w:tc>
        <w:tc>
          <w:tcPr>
            <w:tcW w:w="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w:t>
            </w:r>
          </w:p>
        </w:tc>
        <w:tc>
          <w:tcPr>
            <w:tcW w:w="65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and their terms will expire at the annual meeting of stockholders to be held in 2015;</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II directors will be</w:t>
            </w: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and their terms will expire at the annual meeting of stockholders to be held in 2016; and</w:t>
            </w:r>
          </w:p>
        </w:tc>
      </w:tr>
      <w:tr>
        <w:trPr>
          <w:trHeight w:val="29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Class III directors will be</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w:t>
            </w:r>
          </w:p>
        </w:tc>
        <w:tc>
          <w:tcPr>
            <w:tcW w:w="65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and their terms will expire at the annual meeting of stockholders to be held in 2017.</w:t>
            </w:r>
          </w:p>
        </w:tc>
      </w:tr>
      <w:tr>
        <w:trPr>
          <w:trHeight w:val="365"/>
        </w:trPr>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40" w:type="dxa"/>
            <w:vAlign w:val="bottom"/>
          </w:tcPr>
          <w:p>
            <w:pPr>
              <w:jc w:val="right"/>
              <w:ind w:right="5272"/>
              <w:spacing w:after="0"/>
              <w:rPr>
                <w:sz w:val="20"/>
                <w:szCs w:val="20"/>
                <w:color w:val="auto"/>
              </w:rPr>
            </w:pPr>
            <w:r>
              <w:rPr>
                <w:rFonts w:ascii="Times New Roman" w:cs="Times New Roman" w:eastAsia="Times New Roman" w:hAnsi="Times New Roman"/>
                <w:sz w:val="18"/>
                <w:szCs w:val="18"/>
                <w:color w:val="auto"/>
              </w:rPr>
              <w:t>109</w:t>
            </w:r>
          </w:p>
        </w:tc>
      </w:tr>
    </w:tbl>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Arrangements</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election of the members of our board of directors is governed by the second amended and restated voting agreement that we entered into with certain holders of our common stock and certain holders of our convertible preferred stock and the related provisions of our amended and restated certificate of incorporation. Pursuant to the voting agreement and these provisions:</w:t>
      </w:r>
    </w:p>
    <w:p>
      <w:pPr>
        <w:spacing w:after="0" w:line="51" w:lineRule="exact"/>
        <w:rPr>
          <w:sz w:val="20"/>
          <w:szCs w:val="20"/>
          <w:color w:val="auto"/>
        </w:rPr>
      </w:pPr>
    </w:p>
    <w:p>
      <w:pPr>
        <w:ind w:left="900" w:right="260" w:hanging="325"/>
        <w:spacing w:after="0" w:line="275"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convertible preferred stock, voting separately as a single class, have the right to elect two (2) directors to our board of directors, which are designated as follows:</w:t>
      </w:r>
    </w:p>
    <w:p>
      <w:pPr>
        <w:spacing w:after="0" w:line="38" w:lineRule="exact"/>
        <w:rPr>
          <w:rFonts w:ascii="Times New Roman" w:cs="Times New Roman" w:eastAsia="Times New Roman" w:hAnsi="Times New Roman"/>
          <w:sz w:val="18"/>
          <w:szCs w:val="18"/>
          <w:color w:val="auto"/>
        </w:rPr>
      </w:pPr>
    </w:p>
    <w:p>
      <w:pPr>
        <w:ind w:left="1480" w:right="160" w:hanging="446"/>
        <w:spacing w:after="0" w:line="275" w:lineRule="auto"/>
        <w:tabs>
          <w:tab w:leader="none" w:pos="14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individual designated by New Enterprise Associates 12, Limited Partnership (together with its affiliated funds), for which Mr. Mott has been designated; and</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individual designated by CMEA Ventures VII, L.P. (together with its affiliated funds), which seat is currently vacant;</w:t>
      </w:r>
    </w:p>
    <w:p>
      <w:pPr>
        <w:spacing w:after="0" w:line="90"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common stock, voting separately as a single class, have the right to elect two (2) directors, for which Drs. Charmot and Schultz have been designated;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convertible preferred stock and common stock, voting together as a single class, have the right to elect the remaining two</w:t>
      </w:r>
    </w:p>
    <w:p>
      <w:pPr>
        <w:spacing w:after="0" w:line="2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directors, for which Messrs. Raab and Rodgers have been designated.</w:t>
      </w:r>
    </w:p>
    <w:p>
      <w:pPr>
        <w:spacing w:after="0" w:line="15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and convertible preferred stock who are parties to our voting agreement are obligated to vote for such designees indicated above. The provisions of this voting agreement will terminate upon the consummation of this offering and our certificate of incorporation will be amended and restated, after which there will be no further contractual obligations or charter provisions regarding the election of our directors. Our directors hold office until their successors have been elected and qualified or appointed, or the earlier of their death, resignation or removal.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of directors with flexibility to combine or separate the positions of chairman of the board of directors and Chief Executive Officer and/or the implementation of a lead director in accordance with its determination that utilizing one or the other structure would be in the best interests of our company. Mr. Mott currently serves as the Chairman of our board of directors. In that role, Mr. Mott presides over the executive sessions of the board of directors in which Mr. Raab does not participate and serves as a liaison to Mr. Raab and management on behalf of the board of directors.</w:t>
      </w:r>
    </w:p>
    <w:p>
      <w:pPr>
        <w:spacing w:after="0" w:line="139"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92" w:lineRule="exact"/>
        <w:rPr>
          <w:sz w:val="20"/>
          <w:szCs w:val="20"/>
          <w:color w:val="auto"/>
        </w:rPr>
      </w:pPr>
    </w:p>
    <w:p>
      <w:pPr>
        <w:jc w:val="both"/>
        <w:ind w:right="540" w:firstLine="456"/>
        <w:spacing w:after="0" w:line="310"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Our nominating and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90" w:lineRule="exact"/>
        <w:rPr>
          <w:sz w:val="20"/>
          <w:szCs w:val="20"/>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90" w:lineRule="exact"/>
        <w:rPr>
          <w:rFonts w:ascii="Times New Roman" w:cs="Times New Roman" w:eastAsia="Times New Roman" w:hAnsi="Times New Roman"/>
          <w:sz w:val="18"/>
          <w:szCs w:val="18"/>
          <w:color w:val="auto"/>
        </w:rPr>
      </w:pPr>
    </w:p>
    <w:p>
      <w:pPr>
        <w:ind w:left="900" w:right="400" w:hanging="325"/>
        <w:spacing w:after="0" w:line="275"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as required by law;</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the audit committee charter and the committee’s performance.</w:t>
      </w:r>
    </w:p>
    <w:p>
      <w:pPr>
        <w:spacing w:after="0" w:line="171"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The current members of our audit committee are Messrs. and . Mr. serves as the chairperson of the committee. All members of our audit committee meet the requirements for financial literacy under the applicable rules and regulations of the SEC and NASDAQ. Our board of directors has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determined that Mr.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However, a minority of the members of the audit committee may be exempt from the heightened audit committee independence standards for one year from the date of effectiveness of the registration statement of which this prospectus forms a part. Our board of directors has determined that</w:t>
      </w:r>
    </w:p>
    <w:p>
      <w:pPr>
        <w:spacing w:after="0" w:line="3" w:lineRule="exact"/>
        <w:rPr>
          <w:sz w:val="20"/>
          <w:szCs w:val="20"/>
          <w:color w:val="auto"/>
        </w:rPr>
      </w:pPr>
    </w:p>
    <w:p>
      <w:pPr>
        <w:spacing w:after="0"/>
        <w:tabs>
          <w:tab w:leader="none" w:pos="1700" w:val="left"/>
          <w:tab w:leader="none" w:pos="2560" w:val="left"/>
        </w:tabs>
        <w:rPr>
          <w:sz w:val="20"/>
          <w:szCs w:val="20"/>
          <w:color w:val="auto"/>
        </w:rPr>
      </w:pPr>
      <w:r>
        <w:rPr>
          <w:rFonts w:ascii="Times New Roman" w:cs="Times New Roman" w:eastAsia="Times New Roman" w:hAnsi="Times New Roman"/>
          <w:sz w:val="18"/>
          <w:szCs w:val="18"/>
          <w:color w:val="auto"/>
        </w:rPr>
        <w:t>each of Messrs.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are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independent under the applicable rules of NASDAQ. The audit committee operates under a written charter that satisfies the applicable standards of the SEC and NASDAQ.</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94"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Our compensation committee reviews and recommends policies relating to compensation and benefits of our officers and employees. The compensation committee reviews and recommends corporate goals and objectives relevant to compensation of our Chief Executive Officer and other executive officers, evaluates the performance of these officers in light of those goals and objectives and recommends to our board of directors the compensation of these officers based on such evaluations. The compensation committee also recommends to our board of directors the issuance of stock options and other awards under our stock plans. The compensation committee will review and evaluate, at least annually, the performance of the compensation committee and its members, including</w:t>
      </w:r>
    </w:p>
    <w:p>
      <w:pPr>
        <w:spacing w:after="0"/>
        <w:tabs>
          <w:tab w:leader="none" w:pos="9440" w:val="left"/>
          <w:tab w:leader="none" w:pos="10220" w:val="left"/>
        </w:tabs>
        <w:rPr>
          <w:sz w:val="20"/>
          <w:szCs w:val="20"/>
          <w:color w:val="auto"/>
        </w:rPr>
      </w:pPr>
      <w:r>
        <w:rPr>
          <w:rFonts w:ascii="Times New Roman" w:cs="Times New Roman" w:eastAsia="Times New Roman" w:hAnsi="Times New Roman"/>
          <w:sz w:val="18"/>
          <w:szCs w:val="18"/>
          <w:color w:val="auto"/>
        </w:rPr>
        <w:t>compliance by the compensation committee with its charter. The current members of our compensation committee are Messrs.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6"/>
          <w:szCs w:val="16"/>
          <w:color w:val="auto"/>
        </w:rPr>
        <w:t>. Mr.</w:t>
      </w:r>
    </w:p>
    <w:p>
      <w:pPr>
        <w:spacing w:after="0" w:line="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serves as the chairman of the committee. Each of the members of our compensation committee is independent under the applicable rules and regulations of The NASDAQ Global Market, is a “non-employee director” as defined in Rule 16b-3 promulgated under the Exchange Act and is an “outside director” as that term is defined in Section 162(m) of the U.S. Internal Revenue Code of 1986, as amended, or Section 162(m). The compensation committee operates under a written charter that satisfies the applicable standards of the SEC and NASDAQ.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94" w:lineRule="exact"/>
        <w:rPr>
          <w:sz w:val="20"/>
          <w:szCs w:val="20"/>
          <w:color w:val="auto"/>
        </w:rPr>
      </w:pPr>
    </w:p>
    <w:p>
      <w:pPr>
        <w:ind w:right="180" w:firstLine="456"/>
        <w:spacing w:after="0" w:line="287" w:lineRule="auto"/>
        <w:rPr>
          <w:sz w:val="20"/>
          <w:szCs w:val="20"/>
          <w:color w:val="auto"/>
        </w:rPr>
      </w:pPr>
      <w:r>
        <w:rPr>
          <w:rFonts w:ascii="Times New Roman" w:cs="Times New Roman" w:eastAsia="Times New Roman" w:hAnsi="Times New Roman"/>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members of our nominating and corporate governance committee are Messrs. and . Mr. serves as the chairman of the committee. Each of the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During 2013, our compensation committee consisted of Drs. David Collier, Jean Frechet and Peter Schultz and Mr. Mott. Mr. Mott served as chairman of the compensation committee. In March 2014, Drs. Collier and Frechet resigned from our board of directors. 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58" w:lineRule="exact"/>
        <w:rPr>
          <w:sz w:val="20"/>
          <w:szCs w:val="20"/>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industries in which we compete;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 held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Currently, our board of directors evaluates, and following the consummation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Following the consummation of this offering, the code of business conduct and ethics will be available on our website at www.ardelyx.com. We expect that any amendments to the code, or any waivers of its requirements, will be disclosed on our website. The reference to our web address does not constitute incorporation by reference of the information contained at or available through our website.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consummation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51" w:lineRule="exact"/>
        <w:rPr>
          <w:sz w:val="20"/>
          <w:szCs w:val="20"/>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which will become effective immediately prior to the consummation of this offering,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80"/>
          </w:cols>
          <w:pgMar w:left="240" w:top="455" w:right="2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indemnification agreements are necessary to attract and retain qualified persons as directors and officers. We also maintain directors’ and officers’ liability insurance.</w:t>
      </w:r>
    </w:p>
    <w:p>
      <w:pPr>
        <w:spacing w:after="0" w:line="12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2013, we did not pay any compensation, make any equity awards or non-equity awards to, or pay any other compensation to any of our non-employee members of our board of directors. We do not pay director fees to our directors who are employees. We reimburse our non-employee directors for travel and other necessary business expenses incurred in the performance of their services for us.</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this offering, we intend to approve and implement a compensation program for our non-employee directors that consists of annual retainer fees and initial and annual long-term equity awards.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right="400" w:firstLine="456"/>
        <w:spacing w:after="0" w:line="256"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39"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NEOs for fiscal year 2013 were as follows:</w:t>
      </w:r>
    </w:p>
    <w:p>
      <w:pPr>
        <w:spacing w:after="0" w:line="90"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Raab, President and Chief Executive Officer;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Dominique Charmot, Ph.D., Chief Scientific Officer;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Rosenbaum, Ph.D., Vice President, Drug Development.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Summary Compensation Table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NEOs for services performed in the year ended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840" w:type="dxa"/>
            <w:vAlign w:val="bottom"/>
          </w:tcPr>
          <w:p>
            <w:pPr>
              <w:jc w:val="center"/>
              <w:spacing w:after="0" w:line="162" w:lineRule="exact"/>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8"/>
                <w:szCs w:val="18"/>
                <w:b w:val="1"/>
                <w:bCs w:val="1"/>
                <w:color w:val="auto"/>
                <w:w w:val="99"/>
                <w:vertAlign w:val="superscript"/>
              </w:rPr>
              <w:t>(1)</w:t>
            </w:r>
          </w:p>
        </w:tc>
        <w:tc>
          <w:tcPr>
            <w:tcW w:w="3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Raab</w:t>
            </w:r>
          </w:p>
        </w:tc>
        <w:tc>
          <w:tcPr>
            <w:tcW w:w="5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2013</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416,300</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57,449</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473,749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Dominique Charmot, Ph.D.</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310,000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3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343,325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 Ph.D.</w:t>
            </w:r>
          </w:p>
        </w:tc>
        <w:tc>
          <w:tcPr>
            <w:tcW w:w="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277,500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317,620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 Drug Development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240" w:hanging="332"/>
        <w:spacing w:after="0" w:line="258"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represent the annual cash performance-based bonuses earned by our NEOs pursuant to the achievement of certain company and individual performance objectives. These amounts were paid to the named executive officers in February 2014. See the descriptions of the annual performance bonuses paid to our NEOs in “—Narrative to 2013 Summary Compensation Table and Outstanding Equity Awards at 2013 Fiscal Year End—Terms and Conditions of Annual Bonuses”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2013 Fiscal Year End</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all outstanding equity awards held by each of the named executive officers as of December 31,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gridSpan w:val="2"/>
          </w:tcPr>
          <w:p>
            <w:pPr>
              <w:jc w:val="center"/>
              <w:ind w:right="6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720" w:type="dxa"/>
            <w:vAlign w:val="bottom"/>
            <w:gridSpan w:val="2"/>
          </w:tcPr>
          <w:p>
            <w:pPr>
              <w:jc w:val="center"/>
              <w:ind w:right="684"/>
              <w:spacing w:after="0" w:line="152"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420" w:type="dxa"/>
            <w:vAlign w:val="bottom"/>
            <w:gridSpan w:val="2"/>
          </w:tcPr>
          <w:p>
            <w:pPr>
              <w:jc w:val="center"/>
              <w:ind w:right="6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8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60" w:type="dxa"/>
            <w:vAlign w:val="bottom"/>
          </w:tcPr>
          <w:p>
            <w:pPr>
              <w:spacing w:after="0"/>
              <w:rPr>
                <w:sz w:val="13"/>
                <w:szCs w:val="13"/>
                <w:color w:val="auto"/>
              </w:rPr>
            </w:pPr>
          </w:p>
        </w:tc>
        <w:tc>
          <w:tcPr>
            <w:tcW w:w="1500" w:type="dxa"/>
            <w:vAlign w:val="bottom"/>
            <w:gridSpan w:val="3"/>
          </w:tcPr>
          <w:p>
            <w:pPr>
              <w:ind w:left="220"/>
              <w:spacing w:after="0" w:line="152" w:lineRule="exact"/>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724"/>
              <w:spacing w:after="0"/>
              <w:rPr>
                <w:sz w:val="20"/>
                <w:szCs w:val="20"/>
                <w:color w:val="auto"/>
              </w:rPr>
            </w:pPr>
            <w:r>
              <w:rPr>
                <w:rFonts w:ascii="Times New Roman" w:cs="Times New Roman" w:eastAsia="Times New Roman" w:hAnsi="Times New Roman"/>
                <w:sz w:val="14"/>
                <w:szCs w:val="14"/>
                <w:b w:val="1"/>
                <w:bCs w:val="1"/>
                <w:color w:val="auto"/>
                <w:w w:val="96"/>
              </w:rPr>
              <w:t>Commencement</w:t>
            </w:r>
          </w:p>
        </w:tc>
        <w:tc>
          <w:tcPr>
            <w:tcW w:w="14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Options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Options (#)</w:t>
            </w:r>
          </w:p>
        </w:tc>
        <w:tc>
          <w:tcPr>
            <w:tcW w:w="66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15"/>
        </w:trPr>
        <w:tc>
          <w:tcPr>
            <w:tcW w:w="4300" w:type="dxa"/>
            <w:vAlign w:val="bottom"/>
            <w:gridSpan w:val="2"/>
            <w:vMerge w:val="continue"/>
          </w:tcPr>
          <w:p>
            <w:pPr>
              <w:spacing w:after="0"/>
              <w:rPr>
                <w:sz w:val="10"/>
                <w:szCs w:val="10"/>
                <w:color w:val="auto"/>
              </w:rPr>
            </w:pPr>
          </w:p>
        </w:tc>
        <w:tc>
          <w:tcPr>
            <w:tcW w:w="1720" w:type="dxa"/>
            <w:vAlign w:val="bottom"/>
            <w:gridSpan w:val="2"/>
          </w:tcPr>
          <w:p>
            <w:pPr>
              <w:jc w:val="center"/>
              <w:ind w:right="684"/>
              <w:spacing w:after="0" w:line="95" w:lineRule="exact"/>
              <w:rPr>
                <w:sz w:val="20"/>
                <w:szCs w:val="20"/>
                <w:color w:val="auto"/>
              </w:rPr>
            </w:pPr>
            <w:r>
              <w:rPr>
                <w:rFonts w:ascii="Times New Roman" w:cs="Times New Roman" w:eastAsia="Times New Roman" w:hAnsi="Times New Roman"/>
                <w:sz w:val="11"/>
                <w:szCs w:val="11"/>
                <w:b w:val="1"/>
                <w:bCs w:val="1"/>
                <w:color w:val="auto"/>
              </w:rPr>
              <w:t>Date</w:t>
            </w:r>
          </w:p>
        </w:tc>
        <w:tc>
          <w:tcPr>
            <w:tcW w:w="7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660" w:type="dxa"/>
            <w:vAlign w:val="bottom"/>
          </w:tcPr>
          <w:p>
            <w:pPr>
              <w:spacing w:after="0"/>
              <w:rPr>
                <w:sz w:val="10"/>
                <w:szCs w:val="10"/>
                <w:color w:val="auto"/>
              </w:rPr>
            </w:pPr>
          </w:p>
        </w:tc>
        <w:tc>
          <w:tcPr>
            <w:tcW w:w="8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11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60" w:type="dxa"/>
            <w:vAlign w:val="bottom"/>
          </w:tcPr>
          <w:p>
            <w:pPr>
              <w:spacing w:after="0"/>
              <w:rPr>
                <w:sz w:val="10"/>
                <w:szCs w:val="10"/>
                <w:color w:val="auto"/>
              </w:rPr>
            </w:pPr>
          </w:p>
        </w:tc>
        <w:tc>
          <w:tcPr>
            <w:tcW w:w="1020" w:type="dxa"/>
            <w:vAlign w:val="bottom"/>
            <w:gridSpan w:val="2"/>
          </w:tcPr>
          <w:p>
            <w:pPr>
              <w:jc w:val="right"/>
              <w:ind w:right="100"/>
              <w:spacing w:after="0" w:line="95" w:lineRule="exact"/>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Michael Raab</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9/15/2010</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1"/>
                <w:szCs w:val="11"/>
                <w:color w:val="auto"/>
                <w:w w:val="77"/>
              </w:rPr>
              <w:t>(1)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325,110</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10/26/2020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7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7/1/2011</w:t>
            </w:r>
            <w:r>
              <w:rPr>
                <w:rFonts w:ascii="Times New Roman" w:cs="Times New Roman" w:eastAsia="Times New Roman" w:hAnsi="Times New Roman"/>
                <w:sz w:val="11"/>
                <w:szCs w:val="11"/>
                <w:color w:val="auto"/>
              </w:rPr>
              <w:t>(2)</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2,411,035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340" w:right="180" w:hanging="332"/>
        <w:spacing w:after="0" w:line="254"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exercisable immediately, in whole or in part, conditioned upon the NEO entering into a restricted stock purchase agreement with respect to any unvested shares. The shares subject to the options vest and/or are released from the company’s repurchase option, as to 1/48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the shares subject to such option on each monthly anniversary of the vesting commencement date, such that all shares will be vested on the fourth anniversary of the vesting commencement date, subject to the holder continuing to provide services to the company through such vesting date.</w:t>
      </w:r>
    </w:p>
    <w:p>
      <w:pPr>
        <w:ind w:left="340" w:hanging="332"/>
        <w:spacing w:after="0" w:line="253"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exercisable immediately, in whole or in part, conditioned upon the NEO entering into a restricted stock purchase agreement with respect to any unvested shares. The shares subject to the options vest and/or are released from the company’s repurchase option, as to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the shares subject to the option on the first anniversary of the vesting commencement date, and thereafter as to 1/48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of the shares subject to such option on each monthly anniversary of the vesting commencement date, such that all shares subject to the option will be vested on the four year anniversary of the vesting commencement date, subject to the holder continuing to provide services to us through such vesting date.</w:t>
      </w:r>
    </w:p>
    <w:p>
      <w:pPr>
        <w:spacing w:after="0" w:line="218" w:lineRule="exact"/>
        <w:rPr>
          <w:sz w:val="20"/>
          <w:szCs w:val="20"/>
          <w:color w:val="auto"/>
        </w:rPr>
      </w:pPr>
    </w:p>
    <w:p>
      <w:pPr>
        <w:ind w:right="3440"/>
        <w:spacing w:after="0" w:line="345" w:lineRule="auto"/>
        <w:rPr>
          <w:sz w:val="20"/>
          <w:szCs w:val="20"/>
          <w:color w:val="auto"/>
        </w:rPr>
      </w:pPr>
      <w:r>
        <w:rPr>
          <w:rFonts w:ascii="Times New Roman" w:cs="Times New Roman" w:eastAsia="Times New Roman" w:hAnsi="Times New Roman"/>
          <w:sz w:val="18"/>
          <w:szCs w:val="18"/>
          <w:b w:val="1"/>
          <w:bCs w:val="1"/>
          <w:color w:val="auto"/>
        </w:rPr>
        <w:t xml:space="preserve">Narrative to 2013 Summary Compensation Table and Outstanding Equity Awards at 2013 Fiscal Year End </w:t>
      </w:r>
      <w:r>
        <w:rPr>
          <w:rFonts w:ascii="Times New Roman" w:cs="Times New Roman" w:eastAsia="Times New Roman" w:hAnsi="Times New Roman"/>
          <w:sz w:val="18"/>
          <w:szCs w:val="18"/>
          <w:b w:val="1"/>
          <w:bCs w:val="1"/>
          <w:i w:val="1"/>
          <w:iCs w:val="1"/>
          <w:color w:val="auto"/>
        </w:rPr>
        <w:t>Terms and Conditions of Employee Arrangements with our NEOs</w:t>
      </w:r>
    </w:p>
    <w:p>
      <w:pPr>
        <w:spacing w:after="0" w:line="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each of the NEOs in connection with his employment with us. These agreements set forth the terms and conditions of employment of each named executive officer, including base salary, initial equity award grants, and standard employee benefit plan participation. Our board of directors or the compensation committee reviews each NEO’s base salary from time to time to ensure compensation adequately reflects the NEO’s qualifications, experience, role and responsibilities. For fiscal year 2013, Mr. Raab’s annual base salary was $416,300, Dr. Charmot’s annual base salary was $310,000, and Dr. Rosenbaum’s annual base salary was $265,000 through July 2013, and was increased to $295,000 effective August 1, 2013. In addition, for 2013, Mr. Raab, Dr. Charmot and Dr. Rosenbaum each had an annual bonus target of 30%, 25% and 20%, respectively, of base salary awarded based on the achievement of certain corporate and individual performance goals set by the board of directors.</w:t>
      </w:r>
    </w:p>
    <w:p>
      <w:pPr>
        <w:spacing w:after="0" w:line="14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Under Mr. Raab’s employment agreement, in the event Mr. Raab’s employment with us is terminated for reason other than “cause” (as defined below), disability or death, or Mr. Raab resigns his employment for “good reason” (as defined below), in each case more than 60 days prior to or more than 12 months after a “change in control” (as defined below), then Mr. Raab will receive: (i) continued payment of his annual base salary as in effect immediately prior to such termination for a period of 12 months; (ii) payment of healthcare continuation costs for him and his eligible dependents during such 12 month period; and (iii) 12 months of accelerated vesting of any outstanding options, which options will remain exercisable until 12 months following the date of termination or their original expiration date, if earlier. In the event Mr. Raab’s employment with us is terminated for reason other than cause, disability or death, or Mr. Raab resigns his employment for good reason, in each case within 60 days prior to or during the 12 month period after a change in control, Mr. Raab will receive: (i) a lump sum payment equal to the sum of his annual base salary as in effect immediately prior to such termination and his target bonus for the year in which the termination occurred, provided that if such termination occurs in the 60-day period prior to a change in control, the base salary severance shall be paid over a 12 month period following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date of termination; (ii) payment of healthcare continuation costs for him and his eligible dependents for up to 12 months following the date of termination; and (iii) full accelerated vesting of any outstanding options, which options will remain exercisable until 12 months following the date of termination or their original expiration date, if earlier. All such severance payments and benefits are subject to Mr. Raab’s execution of and failure to revoke a general release of claims against the company.</w:t>
      </w:r>
    </w:p>
    <w:p>
      <w:pPr>
        <w:spacing w:after="0" w:line="13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Under Dr. Charmot’s employment agreement, in the event Dr. Charmot’s employment with us is terminated for reason other than “cause”, “disability” (each as defined below) or death, or Dr. Charmot resigns his employment for “good reason” (as defined below), then he will receive: (i) an amount equal to six months of his then-current base salary and the then maximum target bonus prorated for six months, payable as salary continuation; (ii) payment of healthcare continuation costs for him and his eligible dependents during for 12 months following such termination; and (iii) accelerated vesting of 50% of his unvested options and restricted stock. Notwithstanding the foregoing, in the event Dr. Charmot’s employment with us is terminated for reason other than cause, disability or death or Dr. Charmot resigns his employment for good reason, in each case within three months prior to or 12 months following a “change in control” (as defined below), then he will receive: (i) an amount equal to 12 months of his then-current base salary and then maximum target bonus, payable as salary continuation; (ii) payment of healthcare continuation costs for him and his eligible dependents for 12 months following such termination; and (iii) full accelerated vesting of his unvested options and restricted stock. All such severance payments and benefits are subject to Dr. Charmot’s execution of and failure to revoke a general release of claims against the company.</w:t>
      </w:r>
    </w:p>
    <w:p>
      <w:pPr>
        <w:spacing w:after="0" w:line="14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have also entered into a Change in Control Severance Agreement with Dr. Rosenbaum. Pursuant to this agreement, in the event Dr. Rosenbaum’s employment with us is terminated for reason other than “cause” (as defined below), disability or death, or Dr. Rosenbaum resigns his employment for “good reason” (as defined below), in each case within 12 months following a “change in control” (as defined below), then he will receive: (i) an amount equal to six months of his then-current base salary payable in a cash lump sum; (ii) payment or reimbursement of healthcare continuation costs for him and his eligible dependents for up to six months following such termination; and (iii) accelerated vesting of 50% of his unvested options and restricted stock. All such severance payments and benefits are subject to Dr. Rosenbaum’s execution of and failure to revoke a general release of claims against the company.</w:t>
      </w:r>
    </w:p>
    <w:p>
      <w:pPr>
        <w:spacing w:after="0" w:line="139"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For purposes of Mr. Raab’s employment agreement and Dr. Rosenbaum’s Change in Control Severance Agreement, “cause” means: (i) the NEO’s theft, dishonesty or falsification of any employment or company records that is non-trivial in nature; (ii) malicious or reckless disclosure of the company’s confidential or proprietary information or any material breach by the NEO of his obligations under his Confidential Information Agreement; (iii) the conviction of the NEO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of the company to entrust him with important matters or otherwise work effectively with him, (B) substantially contributed to the company’s loss of significant revenues or business opportunities, or (C) significantly and detrimentally affected the business or reputation of the company or any of its subsidiaries; and/or (iv) the willful failure or refusal by the NEO to follow the reasonable and lawful directives of the board of directors, provided such willful failure or refusal continues after his receipt of reasonable notice in writing of such failure or refusal and a reasonable opportunity of not less than 30 days to correct the problem.</w:t>
      </w:r>
    </w:p>
    <w:p>
      <w:pPr>
        <w:spacing w:after="0" w:line="113"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For purposes of Dr. Charmot’s employment agreement, “cause” means, unless cured by Dr. Charmot within a period of twenty (20) calendar days after receipt of notice from the company (if capable of being cured): (i) Dr. Charmot’s conviction of a crime involving dishonesty, breach of trust, or physical harm to any person; (ii) Dr. Charmot’s conviction of, or plea of nolo contendere to, a felony, a crime of moral turpitude or a crime involving a violation of securities laws;</w:t>
      </w:r>
    </w:p>
    <w:p>
      <w:pPr>
        <w:spacing w:after="0" w:line="1" w:lineRule="exact"/>
        <w:rPr>
          <w:sz w:val="20"/>
          <w:szCs w:val="20"/>
          <w:color w:val="auto"/>
        </w:rPr>
      </w:pPr>
    </w:p>
    <w:p>
      <w:pPr>
        <w:ind w:right="220" w:firstLine="8"/>
        <w:spacing w:after="0" w:line="261" w:lineRule="auto"/>
        <w:tabs>
          <w:tab w:leader="none" w:pos="3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Charmot willfully engages in misconduct that is, or reasonably can be expected to be, materially injurious to the company, including but not limited to, misappropriation of trade secrets, fraud, gross negligence, embezzlement or aiding or abetting a competitor, supplier or customer of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company; (iv) Dr. Charmot commits a material breach of his employment agreement or his Proprietary Information Agreement; (v) Dr. Charmot willfully refuses to implement or follow a lawful policy or directive of the company; or (vi) Dr. Charmot engages in misfeasance or malfeasance demonstrated by a pattern of failure to perform job duties diligently and professionally.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purposes of Mr. Raab’s employment agreement and Dr. Rosenbaum’s Change in Control Severance Agreement, “good reason” means the occurrence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 a material diminution in the NEO’s authority, duties, or responsibilities, which substantially reduces the nature or character of his position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(ii) a reduction by the company of his base salary as in effect immediately prior to such reduction; (iii) a relocation of his principal office to a location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 than 50 miles from the location of the company’s principal office (in the case of Mr. Raab, as of Mr. Raab’s start date and in the case of Dr. Rosenbaum,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immediately prior to such relocation), except for required travel by him on the company’s business; or (iv) any material breach by the company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of the NEO’s employment agreement or offer letter which the company does not cure within 30 days following written notice from the NEO, provided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in order for “good reason” to exist, each of the following conditions must be met: (i) the foregoing good reason conditions must have occurred without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NEO’s express written consent; (ii) the NEO must provide written notice to us of such condition within 30 days of the initial existence of the condition; (iii)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specified in such notice must remain uncorrected for 30 days after receipt of such notice; and (iv) the date of the NEO’s resignation of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occur within 60 days after the initial existence of the condition specified in such notice.</w:t>
      </w:r>
    </w:p>
    <w:p>
      <w:pPr>
        <w:spacing w:after="0" w:line="159"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For purposes of Dr. Charmot’s employment agreement, “good reason” means: (i) a significant reduction of Dr. Charmot’s duties, position or responsibilities relative to his duties, title, position or responsibilities in effect immediately prior to such reduction; (ii) a significant reduction of Dr. Charmot’s base salary, target bonus or aggregate compensation in effect immediately prior to such reduction, unless such reduction is part of an across-the-board reduction in the salary level of all other executive officers of the company by the same percentage amount; or (iii) the relocation of Dr. Charmot to a facility or a location more than 40 miles from the company’s principal executive office (excluding regular travel in the ordinary course of business), provided that in order for “good reason” to exist, each of the following conditions must be met: (i) the foregoing good reason conditions must have occurred without the Dr. Charmot’s express written consent;</w:t>
      </w:r>
    </w:p>
    <w:p>
      <w:pPr>
        <w:spacing w:after="0" w:line="3" w:lineRule="exact"/>
        <w:rPr>
          <w:sz w:val="20"/>
          <w:szCs w:val="20"/>
          <w:color w:val="auto"/>
        </w:rPr>
      </w:pPr>
    </w:p>
    <w:p>
      <w:pPr>
        <w:ind w:right="160" w:firstLine="8"/>
        <w:spacing w:after="0" w:line="261" w:lineRule="auto"/>
        <w:tabs>
          <w:tab w:leader="none" w:pos="2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Charmot must provide written notice to us of such condition within three months of the initial existence of the condition; and (iii) the condition specified in such notice must remain uncorrected for 20 calendar days after receipt of such notice.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purposes of Dr. Charmot’s employment agreement, “disability” means: (i) Dr. Charmot’s eligibility for the company’s long term disability benefits or</w:t>
      </w:r>
    </w:p>
    <w:p>
      <w:pPr>
        <w:spacing w:after="0" w:line="44" w:lineRule="exact"/>
        <w:rPr>
          <w:sz w:val="20"/>
          <w:szCs w:val="20"/>
          <w:color w:val="auto"/>
        </w:rPr>
      </w:pPr>
    </w:p>
    <w:p>
      <w:pPr>
        <w:ind w:right="100" w:firstLine="8"/>
        <w:spacing w:after="0" w:line="261" w:lineRule="auto"/>
        <w:tabs>
          <w:tab w:leader="none" w:pos="2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sole opinion of the company, his inability to carry out the responsibilities and functions of the position held by him by reason of any physical or mental impairment for more than 90 consecutive days or more than 120 days in any 12-month period.</w:t>
      </w:r>
    </w:p>
    <w:p>
      <w:pPr>
        <w:spacing w:after="0" w:line="13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For purposes of Mr. Raab’s employment agreement and Dr. Rosenbaum’s Change in Control Severance Agreement, “change in control” means: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“Exchange Act”))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For purposes of Dr. Charmot’s employment agreement, “change in control” means a change in ownership or control of the company effected through a merger, consolidation or acquisition by any person or related group of persons (other than an acquisition by the company or by a company-sponsored employee benefit plan or by a person or persons that directly or indirectly controls, is controlled by, or is under common control with, the company) of beneficial ownership (within the meaning of Rule 13d-3 of the Exchange Act of securities possessing more than fifty percent (50%) of the total combined voting power of the outstanding securities of the company; provided, that an equity financing in which the company is the surviving corporation, or any reorganization, merger or consolidation effected exclusively for the purpose of changing the domicile of the company, shall not constitute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 of Annual Bonuses</w:t>
      </w:r>
    </w:p>
    <w:p>
      <w:pPr>
        <w:spacing w:after="0" w:line="94"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For 2013, our NEOs were eligible for performance-based cash incentives pursuant to the achievement of certain corporate and individual performance objectives. The performance goals for these annual performance cash bonuses were reviewed and approved by the board of directors. The determination of the amount of bonuses paid to our NEOs generally reflects a number of considerations, including individual performance and financing and research goals.</w:t>
      </w:r>
    </w:p>
    <w:p>
      <w:pPr>
        <w:spacing w:after="0" w:line="9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Each NEO’s target bonus opportunity is expressed as a percentage of base salary which can be achieved by meeting corporate and individual performance goals. Our board of directors or our compensation committee has historically reviewed these target percentages to ensure they are adequate, but does not follow a formula. Instead, our board of directors or our compensation committee has set these rates based on each participating executive’s experience in her or his role with the company and the level of responsibility held by each executive, which the board of directors or our compensation committee believe directly correlates to her or his ability to influence corporate results. For fiscal year 2013, our board of directors used a guideline target bonus opportunity of 30% of base salary for Mr. Raab, 25% of base salary for Dr. Charmot, and 20% of base salary for Dr. Rosenbaum.</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 determining performance bonus amounts for our NEOs for 2013, our board of directors set certain corporate performance goals. In setting these goals, our board of directors considered the status of our discovery programs, our financial status, and our role in certain critical activities being conducted under the collaboration partnership with AstraZeneca. Of the ten corporate goals, six were tied to the achievement of specific development milestones for tenapanor, two were aimed at advancing our internal discovery programs, and the remaining two addressed financing and business development objectives. While the board of directors did not specify specific goals for individuals, each individual’s participation in the achievement of the corporate goals was assessed, as well as the executive’s handling of unplanned events and opportunities. For 2013, the corporate and individual components of the annual bonus were weighted at 80% and 20%, respectively, for Mr. Raab, 70% and 30%, respectively, for Dr. Charmot, and 60% and 40% for Dr. Rosenbaum. The board of directors determined that 40% of the corporate goals had been achieved, and that Mr. Raab, Dr. Charmot and Dr. Rosenbaum achieved 70%, 50% and 110% of their individual goals, respectively.</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its review and determinations of corporate and individual achievements for 2013, the board of directors awarded cash bonuses to Mr. Raab,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 Charmot and Dr. Rosenbaum in amounts equal to 14%, 11% and 14% of each of their base salaries, respectively. The NEOs’ 2013 bonuses are set forth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Summary Compensation Table” above.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 of Equity Award Grants</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None of our NEOs received grants of equity awards in 2013. The table above entitled “Outstanding Equity Awards at 2013 Fiscal Year End” describes the material terms of other option awards made in past fiscal years to our NEOs.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80"/>
          </w:cols>
          <w:pgMar w:left="240" w:top="455"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 of 401(k) Plan</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U.S. eligible employees, including our NEOs, participate in our 401(k) plan. Enrollment in the 401(k) plan is automatic for employees who meet eligibility requirements unless they decline participation. The 401(k) plan is intended to qualify under Section 401(k) of the Internal Revenue Service Code of 1986, as amended, so that contributions to the 401(k) plan by employees or by us, and the investment earnings thereon, are not taxable to the employees until withdrawn from the 401(k) plan, and so that contributions by us, if any, will be deductible by us when made. Under the 401(k) plan, employees may elect to reduce their current compensation by between 1% and 90% of eligible pay, up to the statutorily prescribed annual limit and to have the amount of such reduction contributed to the 401(k) plan. We do not provide any matching contributions under the 401(k)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Award Plan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adopted the 2014 Equity Incentive Award Plan, or 2014 Plan, which will be effective on the closing of this offering. The principal purpose of the 2014 Plan is to attract, retain and motivate selected employees, consultants and directors through the granting of stock-based compensation awards and cash-based performance bonus awards. The material terms of the 2014 Plan, as it is currently contemplated, are summarized below. Our board of directors is still in the process of developing, approving and implementing the 2014 Plan and, accordingly, this summary is subject to change.</w:t>
      </w:r>
    </w:p>
    <w:p>
      <w:pPr>
        <w:spacing w:after="0" w:line="132"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 Reserve. </w:t>
      </w:r>
      <w:r>
        <w:rPr>
          <w:rFonts w:ascii="Times New Roman" w:cs="Times New Roman" w:eastAsia="Times New Roman" w:hAnsi="Times New Roman"/>
          <w:sz w:val="16"/>
          <w:szCs w:val="16"/>
          <w:color w:val="auto"/>
        </w:rPr>
        <w:t>Under the 2014 Plan, shares of our common stock will be initially reserved for issuance pursuant to a variety of stock-based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awards, including stock options, stock appreciation rights, or SARs, restricted stock awards, restricted stock unit awards, deferred stock awards, dividend equivalent awards, stock payment awards, performance awards and other stock-based awards, plus the number of shares remaining available for future awards under the 2008 Stock Incentive Plan, as amended, or 2008 Stock Plan, as of the consummation of this offering. The number of shares initially reserved for issuance or transfer pursuant to awards under the 2014 Plan will be increased by (i) the number of shares represented by awards outstanding under our 2008 Stock Incentive Plan, as amended, that are forfeited or lapse unexercised and which following the effective date are not issued under our 2008 Stock Incentive Plan, as amended, and (ii), if approved by our board of directors or the compensation committee of our board of directors, an annual increase on the first day of each fiscal</w:t>
      </w:r>
    </w:p>
    <w:p>
      <w:pPr>
        <w:spacing w:after="0" w:line="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year beginning in 2015 and ending in 2024, equal to the least of (A) shares, (B) percent ( %) of the shares of stock outstanding (on an as converted basis) on the last day of the immediately preceding fiscal year and (C) such smaller number of shares of stock as determined by our board of directors; provided,</w:t>
      </w:r>
    </w:p>
    <w:p>
      <w:pPr>
        <w:spacing w:after="0" w:line="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however, that no more than</w:t>
      </w:r>
      <w:r>
        <w:rPr>
          <w:sz w:val="20"/>
          <w:szCs w:val="20"/>
          <w:color w:val="auto"/>
        </w:rPr>
        <w:tab/>
      </w:r>
      <w:r>
        <w:rPr>
          <w:rFonts w:ascii="Times New Roman" w:cs="Times New Roman" w:eastAsia="Times New Roman" w:hAnsi="Times New Roman"/>
          <w:sz w:val="16"/>
          <w:szCs w:val="16"/>
          <w:color w:val="auto"/>
        </w:rPr>
        <w:t>shares of stock may be issued upon the exercise of incentive stock options.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counting provisions will be in effect for the share reserve under the 2014 Plan:</w:t>
      </w:r>
    </w:p>
    <w:p>
      <w:pPr>
        <w:spacing w:after="0" w:line="90" w:lineRule="exact"/>
        <w:rPr>
          <w:sz w:val="20"/>
          <w:szCs w:val="20"/>
          <w:color w:val="auto"/>
        </w:rPr>
      </w:pPr>
    </w:p>
    <w:p>
      <w:pPr>
        <w:ind w:left="90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terminates, expires or lapses for any reason or an award is settled in cash without the delivery of shares, any shares subject to the award at such time will be available for future grants under the 2014 Plan;</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2014 Plan, such tendered or withheld shares will be available for future grants under the 2014 Plan;</w:t>
      </w:r>
    </w:p>
    <w:p>
      <w:pPr>
        <w:spacing w:after="0" w:line="38"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are repurchased by us prior to vesting so that shares are returned to us, such shares will be available for future grants under the 2014 Plan;</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will not be counted against the shares available for issuance under the 2014 Plan; and</w:t>
      </w:r>
    </w:p>
    <w:p>
      <w:pPr>
        <w:spacing w:after="0" w:line="38" w:lineRule="exact"/>
        <w:rPr>
          <w:rFonts w:ascii="Times New Roman" w:cs="Times New Roman" w:eastAsia="Times New Roman" w:hAnsi="Times New Roman"/>
          <w:sz w:val="18"/>
          <w:szCs w:val="18"/>
          <w:color w:val="auto"/>
        </w:rPr>
      </w:pPr>
    </w:p>
    <w:p>
      <w:pPr>
        <w:ind w:left="900" w:right="140" w:hanging="325"/>
        <w:spacing w:after="0" w:line="26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2014 Plan.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compensation committee of our board of directors is expected to administer the 2014 Plan unless our board of directors assumes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for administration. The compensation committee must consist of at least three members of our board of directors, each of whom is intended to qualify as an “outside director,” within the meaning of Section 162(m) of the Code, a “non-employee director” for purposes of Rule 16b-3 under the Exchange Act and an “independent director” within the meaning of the rules of the applicable stock exchange, or other principal securities market on which shares of our common stock are traded. The 2014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2014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2014 Plan. The administrator is also authorized to adopt, amend or rescind rules relating to administration of the 2014 Plan. Our board of directors may at any time remove the compensation committee as the administrator and revest in itself the authority to administer the 2014 Plan. The full board of directors will administer the 2014 Plan with respect to awards to non-employee directors.</w:t>
      </w:r>
    </w:p>
    <w:p>
      <w:pPr>
        <w:spacing w:after="0" w:line="135" w:lineRule="exact"/>
        <w:rPr>
          <w:sz w:val="20"/>
          <w:szCs w:val="20"/>
          <w:color w:val="auto"/>
        </w:rPr>
      </w:pPr>
    </w:p>
    <w:p>
      <w:pPr>
        <w:jc w:val="both"/>
        <w:ind w:right="2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Options, SARs, restricted stock and all other stock-based and cash-based awards under the 2014 Plan may be granted to individuals who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our officers, employees or 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125" w:lineRule="exact"/>
        <w:rPr>
          <w:sz w:val="20"/>
          <w:szCs w:val="20"/>
          <w:color w:val="auto"/>
        </w:rPr>
      </w:pPr>
    </w:p>
    <w:p>
      <w:pPr>
        <w:ind w:right="3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Awards. </w:t>
      </w:r>
      <w:r>
        <w:rPr>
          <w:rFonts w:ascii="Times New Roman" w:cs="Times New Roman" w:eastAsia="Times New Roman" w:hAnsi="Times New Roman"/>
          <w:sz w:val="18"/>
          <w:szCs w:val="18"/>
          <w:color w:val="auto"/>
        </w:rPr>
        <w:t>The 2014 Plan provides that the administrator may grant or issue stock options, SARs, restricted stock, restricted stock units, deferred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equivalents, performance awards, stock payments and other stock-based and cash-based awards, or any combination thereof. Each award will be set forth in a separate agreement with the person receiving the award and will indicate the type, terms and conditions of the award.</w:t>
      </w:r>
    </w:p>
    <w:p>
      <w:pPr>
        <w:spacing w:after="0" w:line="46" w:lineRule="exact"/>
        <w:rPr>
          <w:sz w:val="20"/>
          <w:szCs w:val="20"/>
          <w:color w:val="auto"/>
        </w:rPr>
      </w:pPr>
    </w:p>
    <w:p>
      <w:pPr>
        <w:ind w:left="900" w:right="160" w:hanging="325"/>
        <w:spacing w:after="0" w:line="257"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or NSOs, will provide for the right to purchase shares of our common stock at a specified price which may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53" w:lineRule="exact"/>
        <w:rPr>
          <w:rFonts w:ascii="Times New Roman" w:cs="Times New Roman" w:eastAsia="Times New Roman" w:hAnsi="Times New Roman"/>
          <w:sz w:val="18"/>
          <w:szCs w:val="18"/>
          <w:color w:val="auto"/>
        </w:rPr>
      </w:pPr>
    </w:p>
    <w:p>
      <w:pPr>
        <w:ind w:left="900" w:hanging="325"/>
        <w:spacing w:after="0" w:line="293" w:lineRule="auto"/>
        <w:tabs>
          <w:tab w:leader="none" w:pos="9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Incentive Stock Options</w:t>
      </w:r>
      <w:r>
        <w:rPr>
          <w:rFonts w:ascii="Times New Roman" w:cs="Times New Roman" w:eastAsia="Times New Roman" w:hAnsi="Times New Roman"/>
          <w:sz w:val="16"/>
          <w:szCs w:val="16"/>
          <w:color w:val="auto"/>
        </w:rPr>
        <w:t>, or ISOs, will be designed in a manner intended to comply with the provisions of Section 422 of the Code and will be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2014 Plan provides that the exercise price must be at least 110% of the fair market value of a share of common stock on the date of grant and the ISO must not be exercisable after a period of five years measured from the date of grant.</w:t>
      </w:r>
    </w:p>
    <w:p>
      <w:pPr>
        <w:spacing w:after="0" w:line="29" w:lineRule="exact"/>
        <w:rPr>
          <w:rFonts w:ascii="Times New Roman" w:cs="Times New Roman" w:eastAsia="Times New Roman" w:hAnsi="Times New Roman"/>
          <w:sz w:val="16"/>
          <w:szCs w:val="16"/>
          <w:color w:val="auto"/>
        </w:rPr>
      </w:pPr>
    </w:p>
    <w:p>
      <w:pPr>
        <w:ind w:left="900" w:right="200" w:hanging="325"/>
        <w:spacing w:after="0" w:line="255"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may be granted to any eligible individual and made subject to such restrictions as may be determined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900" w:right="20" w:hanging="325"/>
        <w:spacing w:after="0" w:line="257"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53" w:lineRule="exact"/>
        <w:rPr>
          <w:rFonts w:ascii="Times New Roman" w:cs="Times New Roman" w:eastAsia="Times New Roman" w:hAnsi="Times New Roman"/>
          <w:sz w:val="18"/>
          <w:szCs w:val="18"/>
          <w:color w:val="auto"/>
        </w:rPr>
      </w:pPr>
    </w:p>
    <w:p>
      <w:pPr>
        <w:ind w:left="900" w:right="100" w:hanging="325"/>
        <w:spacing w:after="0" w:line="257"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Stock Awards </w:t>
      </w:r>
      <w:r>
        <w:rPr>
          <w:rFonts w:ascii="Times New Roman" w:cs="Times New Roman" w:eastAsia="Times New Roman" w:hAnsi="Times New Roman"/>
          <w:sz w:val="18"/>
          <w:szCs w:val="18"/>
          <w:color w:val="auto"/>
        </w:rPr>
        <w:t>represent the right to receive shares of our common stock on a future date. Deferred stock may not be sold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hypothecated or transferred until issued. Deferred stock will not be issued until the deferred stock award has vested, and recipients of deferred stock generally will have no voting or dividend rights prior to the time when the vesting conditions are satisfied and the shares are issued. Deferred stock awards generally will be forfeited, and the underlying shares of deferred stock will not be issued, if the applicable vesting conditions and other restrictions are not met.</w:t>
      </w:r>
    </w:p>
    <w:p>
      <w:pPr>
        <w:spacing w:after="0" w:line="53"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or SARs, may be granted in connection with stock options or other awards, or separately. SARs granted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stock options or other awards typically will provide for payments to the holder based upon increases in the price of our common stock over a set exercise price. The exercise price of any SAR granted under the 2014 Plan must be at least 100% of the fair market value of a share of our common stock on the date of grant. Except as required by Section 162(m) of the Code with respect to a SAR intended to qualify as performance-based compensation as described in Section 162(m) of the Code, there are no restrictions specified in the 2014 Plan on the exercise of SARs or the amount of gain realizable therefrom, although restrictions may be imposed by the administrator in the SAR agreements. SARs under the 2014 Plan will be settled in cash or shares of our common stock, or in a combination of both, at the election of the administrator.</w:t>
      </w:r>
    </w:p>
    <w:p>
      <w:pPr>
        <w:spacing w:after="0" w:line="54" w:lineRule="exact"/>
        <w:rPr>
          <w:rFonts w:ascii="Times New Roman" w:cs="Times New Roman" w:eastAsia="Times New Roman" w:hAnsi="Times New Roman"/>
          <w:sz w:val="18"/>
          <w:szCs w:val="18"/>
          <w:color w:val="auto"/>
        </w:rPr>
      </w:pPr>
    </w:p>
    <w:p>
      <w:pPr>
        <w:ind w:left="900" w:right="100" w:hanging="325"/>
        <w:spacing w:after="0" w:line="264"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value of the dividends, if any, per share paid by us, calculated with reference to the number of shares covered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Dividend equivalents may be settled in cash or shares and at such times as determined by the compensation committee or board of directors, as applicable.</w:t>
      </w:r>
    </w:p>
    <w:p>
      <w:pPr>
        <w:spacing w:after="0" w:line="46" w:lineRule="exact"/>
        <w:rPr>
          <w:rFonts w:ascii="Times New Roman" w:cs="Times New Roman" w:eastAsia="Times New Roman" w:hAnsi="Times New Roman"/>
          <w:sz w:val="18"/>
          <w:szCs w:val="18"/>
          <w:color w:val="auto"/>
        </w:rPr>
      </w:pPr>
    </w:p>
    <w:p>
      <w:pPr>
        <w:ind w:left="900" w:right="60" w:hanging="325"/>
        <w:spacing w:after="0" w:line="259"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may be granted by the administrator on an individual or group basis. Generally, these awards will be based upon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targets and may be paid in cash or in common stock or in a combination of both. Performance awards may include “phantom” stock awards that provide for payments based upon the value of our common stock. Performance awards may also include bonuses that may be granted by the administrator on an individual or group basis and which may be payable in cash or in common stock or in a combination of both.</w:t>
      </w:r>
    </w:p>
    <w:p>
      <w:pPr>
        <w:spacing w:after="0" w:line="51" w:lineRule="exact"/>
        <w:rPr>
          <w:rFonts w:ascii="Times New Roman" w:cs="Times New Roman" w:eastAsia="Times New Roman" w:hAnsi="Times New Roman"/>
          <w:sz w:val="18"/>
          <w:szCs w:val="18"/>
          <w:color w:val="auto"/>
        </w:rPr>
      </w:pPr>
    </w:p>
    <w:p>
      <w:pPr>
        <w:ind w:left="900" w:right="20" w:hanging="325"/>
        <w:spacing w:after="0" w:line="264"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Payments </w:t>
      </w:r>
      <w:r>
        <w:rPr>
          <w:rFonts w:ascii="Times New Roman" w:cs="Times New Roman" w:eastAsia="Times New Roman" w:hAnsi="Times New Roman"/>
          <w:sz w:val="18"/>
          <w:szCs w:val="18"/>
          <w:color w:val="auto"/>
        </w:rPr>
        <w:t>may be authorized by the administrator in the form of common stock or an option or other right to purchase common stock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deferred compensation or other arrangement in lieu of all or any part of compensation, including bonuses, that would otherwise be payable in cash to the employee, consultant or non-employee director.</w:t>
      </w:r>
    </w:p>
    <w:p>
      <w:pPr>
        <w:spacing w:after="0" w:line="1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In the event of a change in control where the acquiror does not assume or replace awards granted, prior to the consummation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awards issued under the 2014 Plan will be subject to accelerated vesting such that 100% of such awards will become vested and exercisable or payable, as applicable. In addition, the administrator will also have complete discretion to structure one or more awards under the 2014 Plan to provide that such awards will become vested and exercisable or payable on an accelerated basis in the event such awards are assumed or replaced with equivalent awards but the individual’s service with us or the acquiring entity is subsequently terminated within a designated period following the change in control event. The administrator may also make appropriate adjustments to awards under the 2014 Plan and is authorized to provide for the acceleration, cash-out, termination, assumption, substitution or conversion of such awards in the event of a change in control or certain other unusual or nonrecurring events or transactions. Under the 2014 Plan, a change in control is generally defined as:</w:t>
      </w:r>
    </w:p>
    <w:p>
      <w:pPr>
        <w:spacing w:after="0" w:line="61" w:lineRule="exact"/>
        <w:rPr>
          <w:sz w:val="20"/>
          <w:szCs w:val="20"/>
          <w:color w:val="auto"/>
        </w:rPr>
      </w:pPr>
    </w:p>
    <w:p>
      <w:pPr>
        <w:ind w:left="900" w:right="80" w:hanging="325"/>
        <w:spacing w:after="0" w:line="275"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in a single transaction or series of related transactions by our stockholders of more than 50% of our voting stock to a person or group;</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60" w:hanging="325"/>
        <w:spacing w:after="0" w:line="275"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of directors over a two-year period such that 50% or more of the members of the board of directors were elected through one or more contested elections;</w:t>
      </w:r>
    </w:p>
    <w:p>
      <w:pPr>
        <w:spacing w:after="0" w:line="38"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reorganization or business combination in which we are involved, directly or indirectly, other than a merger, consolidation, reorganization or business combination which results in our outstanding voting securities immediately before the transaction continuing to represent a majority of the voting power of the acquiring company’s outstanding voting securities and after which no person or group beneficially owns 50% or more of the outstanding voting securities of the surviving entity immediately after the transaction;</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exchange, or transfer of all or substantially all of our assets;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of our liquidation or dissolution.</w:t>
      </w:r>
    </w:p>
    <w:p>
      <w:pPr>
        <w:spacing w:after="0" w:line="167" w:lineRule="exact"/>
        <w:rPr>
          <w:sz w:val="20"/>
          <w:szCs w:val="20"/>
          <w:color w:val="auto"/>
        </w:rPr>
      </w:pPr>
    </w:p>
    <w:p>
      <w:pPr>
        <w:ind w:right="2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Adjustments of Awards. </w:t>
      </w:r>
      <w:r>
        <w:rPr>
          <w:rFonts w:ascii="Times New Roman" w:cs="Times New Roman" w:eastAsia="Times New Roman" w:hAnsi="Times New Roman"/>
          <w:sz w:val="16"/>
          <w:szCs w:val="16"/>
          <w:color w:val="auto"/>
        </w:rPr>
        <w:t>In the event of any stock dividend, stock split, combination or exchange of shares, merger, consolidation, spin-off, recapitalization,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 of our assets to stockholders (other than normal cash dividends) or any other corporate event affecting the number of outstanding shares of our common stock or the share price of our common stock that would require adjustments to the 2014 Plan or any awards under the 2014 Plan in order to prevent the dilution or enlargement of the potential benefits intended to be made available thereunder, the administrator will make appropriate, proportionate adjustments to:</w:t>
      </w:r>
    </w:p>
    <w:p>
      <w:pPr>
        <w:spacing w:after="0" w:line="23" w:lineRule="exact"/>
        <w:rPr>
          <w:sz w:val="20"/>
          <w:szCs w:val="20"/>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type of shares subject to the 2014 Plan;</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price per share of any outstanding awards under the 2014 Plan.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w:t>
      </w:r>
      <w:r>
        <w:rPr>
          <w:rFonts w:ascii="Times New Roman" w:cs="Times New Roman" w:eastAsia="Times New Roman" w:hAnsi="Times New Roman"/>
          <w:sz w:val="18"/>
          <w:szCs w:val="18"/>
          <w:color w:val="auto"/>
        </w:rPr>
        <w:t>Our board of directors or the compensation committee (with board approval) may terminate, amend or modify the 2014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at any time and from time to time. However, we must generally obtain stockholder approval:</w:t>
      </w:r>
    </w:p>
    <w:p>
      <w:pPr>
        <w:spacing w:after="0" w:line="78" w:lineRule="exact"/>
        <w:rPr>
          <w:sz w:val="20"/>
          <w:szCs w:val="20"/>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number of shares available under the 2014 Plan (other than in connection with certain corporate events, as described above);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options with an exercise price that is below 100% of the fair market value of shares of our common stock on the grant 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the exercise period for an option beyond ten years from the date of grant;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 rule or regulation (including any applicable stock exchange rule).</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28"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w:t>
      </w:r>
      <w:r>
        <w:rPr>
          <w:rFonts w:ascii="Times New Roman" w:cs="Times New Roman" w:eastAsia="Times New Roman" w:hAnsi="Times New Roman"/>
          <w:sz w:val="18"/>
          <w:szCs w:val="18"/>
          <w:color w:val="auto"/>
        </w:rPr>
        <w:t>The board of directors may terminate the 2014 Plan at any time. No incentive stock options may be granted pursuant to the 2014 Plan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tenth anniversary of the effective date of the 2014 Plan, and no additional annual share increases to the 2014 Plan’s aggregate share limit will occur from and after such anniversary. Any award that is outstanding on the termination date of the 2014 Plan will remain in force according to the terms of the 2014 Plan and the applicable award agreement.</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file with the SEC a registration statement on Form S-8 covering the shares of our common stock issuable under the 2014 Plan.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the 2008 Stock Incentive Plan, or 2008 Stock Plan, effective as of February 12, 2008, which was subsequently amended on May 27, 2008, June 22, 2011 and December 6, 2012 to increase the number of shares available under the 2008 Stock Plan. The 2008 Stock Plan provided for the grant of ISOs, NSOs, SARs, restricted stock, restricted stock units, dividend equivalents and any other rights or benefits not inconsistent with the 2008 Stock Plan. As of March 31, 2014, options to purchase 7,924,604 shares of our common stock at a weighted-average exercise price per share of $0.14 remained outstanding under the 2008 Stock Plan. No other equity awards have been granted under the 2008 Stock Plan. As of March 31, 2014, 238 shares of our common stock were available for future issuance pursuant to awards granted under the 2008 Stock Plan. Following this offering and in connection with the effectiveness of our 2014 Plan, the 2008 Stock Plan will terminate and no further awards will be granted under the 2008 Stock Plan. However, all outstanding awards will continue to be governed by their existing terms.</w:t>
      </w:r>
    </w:p>
    <w:p>
      <w:pPr>
        <w:spacing w:after="0" w:line="1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Our board of directors, or a committee thereof appointed by our board of directors, has the authority to administer the 2008 Stock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awards granted under it, provided that after our common stock is sold to the public pursuant to a registration statement filed with the Securities and Exchange Commission, the 2008 Stock Plan will be administered by the board or a committee constituted in a manner to permit grants to be exempt from Section 16(b) of the Exchange Act with respect to grants of awards to directors. In addition, grants of awards to “covered employees” within the meaning of Section 162(m) of the Code may only be made by a committee comprised solely of two or more directors eligible to serve on a committee granting awards qualifying as “performance-based compensation” within the meaning of Section 162(m) of the Code. The administrator has the authority to select the employees to whom awards will be granted under the 2008 Stock Plan, the number of shares to be subject to those awards under the 2008 Stock Plan, and the terms and conditions of the awards granted. In addition, the administrator has the authority to construe and interpret the 2008 Stock Plan and to adopt rules for the administration, interpretation and application of the 2008 Stock Plan that are consistent with the terms of the 2008 Stock Plan.</w:t>
      </w:r>
    </w:p>
    <w:p>
      <w:pPr>
        <w:spacing w:after="0" w:line="135" w:lineRule="exact"/>
        <w:rPr>
          <w:sz w:val="20"/>
          <w:szCs w:val="20"/>
          <w:color w:val="auto"/>
        </w:rPr>
      </w:pPr>
    </w:p>
    <w:p>
      <w:pPr>
        <w:ind w:right="6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Eligibility. </w:t>
      </w:r>
      <w:r>
        <w:rPr>
          <w:rFonts w:ascii="Times New Roman" w:cs="Times New Roman" w:eastAsia="Times New Roman" w:hAnsi="Times New Roman"/>
          <w:sz w:val="16"/>
          <w:szCs w:val="16"/>
          <w:color w:val="auto"/>
        </w:rPr>
        <w:t>Awards other than ISOs may be granted to any of our employees, consultants or directors or any employees, consultants or directors of a parent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subsidiary of our company. Only employees of our company and a parent or subsidiary of our company may be granted incentive stock options, or ISOs.</w:t>
      </w:r>
    </w:p>
    <w:p>
      <w:pPr>
        <w:spacing w:after="0" w:line="65" w:lineRule="exact"/>
        <w:rPr>
          <w:sz w:val="20"/>
          <w:szCs w:val="20"/>
          <w:color w:val="auto"/>
        </w:rPr>
      </w:pPr>
    </w:p>
    <w:p>
      <w:pPr>
        <w:jc w:val="both"/>
        <w:ind w:right="40" w:firstLine="456"/>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Awards</w:t>
      </w:r>
      <w:r>
        <w:rPr>
          <w:rFonts w:ascii="Times New Roman" w:cs="Times New Roman" w:eastAsia="Times New Roman" w:hAnsi="Times New Roman"/>
          <w:sz w:val="16"/>
          <w:szCs w:val="16"/>
          <w:color w:val="auto"/>
        </w:rPr>
        <w:t>. The 2008 Stock Plan provides that the administrator may grant or issue options, including ISOs and NSOs, SARs, restricted stock, restricted stock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units, dividend equivalents and any other rights or benefits not inconsistent with the 2008 Stock Plan to eligible participants. Each award will be designated in an award agreement and in the case of an option, will be designated as either an ISO or NSO. The administrator will determine the provisions, terms and conditions of each award, including the vesting schedule, repurchase provisions, right of first refusal, forfeiture provisions, form of payment and any performance criteria.</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the administrator may also establish one or more separate programs under the 2008 Stock Plan for the purpose of issuing particular forms of awards to one or more classes of grantees. No award may have a term of more than ten years from the date of grant, except that in the case of an ISO granted to an individual who owns stock representing more than 10% of the voting power of all classes of stock of the company or any parent or subsidiary of the company, the term of the ISO will be no more than five years from the date of grant.</w:t>
      </w:r>
    </w:p>
    <w:p>
      <w:pPr>
        <w:spacing w:after="0" w:line="55" w:lineRule="exact"/>
        <w:rPr>
          <w:sz w:val="20"/>
          <w:szCs w:val="20"/>
          <w:color w:val="auto"/>
        </w:rPr>
      </w:pPr>
    </w:p>
    <w:p>
      <w:pPr>
        <w:ind w:left="900" w:right="80" w:hanging="325"/>
        <w:spacing w:after="0" w:line="255"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2008 Stock Plan provides for the grant of ISOs under the federal tax laws or NSOs. ISOs may be granted only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NSOs may be granted to employees, directors or consultants. The exercise price of options may not be less than 100% of the fair market value per share of our common stock on the date of grant, provided that the exercise price of ISOs granted to employees who at the time of grant own stock representing more than 10% of the voting power of all classes of our common stock may not be less than 110% of the fair market value per share of our common stock on the date of grant. Shares subject to options under the 2008 Stock Plan generally vest in a series of installments over an optionee’s period of service.</w:t>
      </w:r>
    </w:p>
    <w:p>
      <w:pPr>
        <w:spacing w:after="0" w:line="58" w:lineRule="exact"/>
        <w:rPr>
          <w:rFonts w:ascii="Times New Roman" w:cs="Times New Roman" w:eastAsia="Times New Roman" w:hAnsi="Times New Roman"/>
          <w:sz w:val="18"/>
          <w:szCs w:val="18"/>
          <w:color w:val="auto"/>
        </w:rPr>
      </w:pPr>
    </w:p>
    <w:p>
      <w:pPr>
        <w:ind w:left="900" w:right="440" w:hanging="325"/>
        <w:spacing w:after="0" w:line="264"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2008 Stock Plan provides that we may issue SARs. Each SAR will be governed by a 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may be granted in connection with stock options or other awards, or separately. SARs typically will provide for payments to the holder based upon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80"/>
        <w:spacing w:after="0" w:line="275" w:lineRule="auto"/>
        <w:rPr>
          <w:sz w:val="20"/>
          <w:szCs w:val="20"/>
          <w:color w:val="auto"/>
        </w:rPr>
      </w:pPr>
      <w:r>
        <w:rPr>
          <w:rFonts w:ascii="Times New Roman" w:cs="Times New Roman" w:eastAsia="Times New Roman" w:hAnsi="Times New Roman"/>
          <w:sz w:val="18"/>
          <w:szCs w:val="18"/>
          <w:color w:val="auto"/>
        </w:rPr>
        <w:t>increases in the price of our common stock over a set exercise price. The base appreciation amount of each SAR may not be less than 100% of the fair market value per share of our common stock on the date of grant.</w:t>
      </w:r>
    </w:p>
    <w:p>
      <w:pPr>
        <w:spacing w:after="0" w:line="37" w:lineRule="exact"/>
        <w:rPr>
          <w:sz w:val="20"/>
          <w:szCs w:val="20"/>
          <w:color w:val="auto"/>
        </w:rPr>
      </w:pPr>
    </w:p>
    <w:p>
      <w:pPr>
        <w:ind w:left="900" w:right="20" w:hanging="325"/>
        <w:spacing w:after="0" w:line="257"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The 2008 Stock Plan provides that we may issue restricted stock awards. Each restricted stock award will be governed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agreement, which will detail the restrictions on transferability, risk of forfeiture and other restrictions the administrator approves. In general, restricted stock may not be sold, transferred, pledged, hypothecated, margined or otherwise encumbered until restrictions are removed or expire. Holders of restricted stock, unlike recipients of other equity awards, will have voting rights and will have the right to receive dividends, if any, prior to the time when the restrictions lapse.</w:t>
      </w:r>
    </w:p>
    <w:p>
      <w:pPr>
        <w:spacing w:after="0" w:line="53"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2008 Stock Plan provides that we may issue restricted stock unit awards which may be settled in cash,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securities or a combination thereof. Each restricted stock unit award will be governed by a restricted stock unit award agreement and may be awarded to any eligible individual, subject to vesting conditions based on continued employment or service or on performance criteria established by the administrator.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unless otherwise determined by the administrator, dividend rights prior to the time when vesting conditions are satisfied, except dividend equivalents may be credited in respect of shares of common stock.</w:t>
      </w:r>
    </w:p>
    <w:p>
      <w:pPr>
        <w:spacing w:after="0" w:line="54"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The 2008 Stock Plan provides that dividend equivalents may be awarded to employees, consultants or directors.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represent the value of the dividends, if any, per share paid by us, calculated with reference to the number of shares covered by the award. Dividend equivalents may be settled in cash, shares, other awards or other property equal in value to dividends paid and at such times as determined by the administrator.</w:t>
      </w:r>
    </w:p>
    <w:p>
      <w:pPr>
        <w:spacing w:after="0" w:line="51"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2008 Stock Plan also authorizes the administrator to award any type of arrangement to an employee, director or consultant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inconsistent with the provisions of the 2008 Stock Plan and by its terms involves or might involve the issuance of shares, cash, or right similar to an option or SAR, with an exercise or conversion privilege related to the passage of time, occurrence of one or more events or satisfaction of performance criteria or other conditions.</w:t>
      </w:r>
    </w:p>
    <w:p>
      <w:pPr>
        <w:spacing w:after="0" w:line="131" w:lineRule="exact"/>
        <w:rPr>
          <w:sz w:val="20"/>
          <w:szCs w:val="20"/>
          <w:color w:val="auto"/>
        </w:rPr>
      </w:pPr>
    </w:p>
    <w:p>
      <w:pPr>
        <w:ind w:right="2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Exercisability. </w:t>
      </w:r>
      <w:r>
        <w:rPr>
          <w:rFonts w:ascii="Times New Roman" w:cs="Times New Roman" w:eastAsia="Times New Roman" w:hAnsi="Times New Roman"/>
          <w:sz w:val="16"/>
          <w:szCs w:val="16"/>
          <w:color w:val="auto"/>
        </w:rPr>
        <w:t>In the event of a termination of a participant’s continuous service other than for disability or death, the participant may exercise the portion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participant’s award that was vested at the date of termination (or such other portion as may be determined by the administrator) during such period of time as determined by the administrator. In the event of a termination of a participant’s continuous service as a result of disability, the participant may exercise the vested portion of his or her award as of termination within 12 months from the date of termination (or such longer period specified in the award agreement, but in no event later than the original expiration date). In the event of a termination of a participant’s continuous service as a result of death or in the event of participant’s death during any post-termination exercise period, the participant’s estate may exercise the vested portion of his or her award as of termination within 12 months from the date of termination (or such longer period specified in the award agreement, but in no event later than the original expiration date).</w:t>
      </w:r>
    </w:p>
    <w:p>
      <w:pPr>
        <w:spacing w:after="0" w:line="10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ISOs may not be sold or otherwise transferred in any manner other than by will or the laws of descent and distribution and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exercised only by the participant during the lifetime of the participant. Awards other than ISOs are transferable only by will and the laws of descent and distribution and during the lifetime of the participant, to the extent authorized by the administrator by gift or pursuant to a domestic relations order to members of the participant’s immediate family. The participant may also designate one or more beneficiaries in the event of death on a designated form provided by the administrator.</w:t>
      </w:r>
    </w:p>
    <w:p>
      <w:pPr>
        <w:spacing w:after="0" w:line="134" w:lineRule="exact"/>
        <w:rPr>
          <w:sz w:val="20"/>
          <w:szCs w:val="20"/>
          <w:color w:val="auto"/>
        </w:rPr>
      </w:pPr>
    </w:p>
    <w:p>
      <w:pPr>
        <w:ind w:right="4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Capitalization. </w:t>
      </w:r>
      <w:r>
        <w:rPr>
          <w:rFonts w:ascii="Times New Roman" w:cs="Times New Roman" w:eastAsia="Times New Roman" w:hAnsi="Times New Roman"/>
          <w:sz w:val="18"/>
          <w:szCs w:val="18"/>
          <w:color w:val="auto"/>
        </w:rPr>
        <w:t>In the event of certain corporate adjustments, including any stock split, stock dividend, combination or reclassification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any other increase or decrease in the number of shares</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60"/>
          </w:cols>
          <w:pgMar w:left="240" w:top="455" w:right="2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effected without receipt of consideration by the company, or any other transaction with respect to common stock including a merger, consolidation, reorganization or liquidation, the administrator will proportionately adjust the number of shares covered by each outstanding award, the number of shares authorized for issuance under the 2008 Stock Plan, the exercise or purchase price of each outstanding award, individual share limits under the 2008 Stock Plan, as well as any other terms the administrator determines requires adjustment. In connection with such adjustments, the administrator may, in its discretion, prohibit the exercise of awards or other issuance of shares, cash or other consideration pursuant to awards during certain periods of time.</w:t>
      </w:r>
    </w:p>
    <w:p>
      <w:pPr>
        <w:spacing w:after="0" w:line="135"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In the event of certain mergers, sales of all or substantially all of the company’s assets and the complete liquidation or dissolution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or Corporate Transaction, outstanding awards may be assumed or substituted and to the extent not assumed or substituted, will termination upon the consummation of the Corporate Transaction. Except as otherwise provided in an individual award agreement, in the event of a Corporate Transaction or a change in control of the company, the vesting or exercisability of awards will not be accelerated.</w:t>
      </w:r>
    </w:p>
    <w:p>
      <w:pPr>
        <w:spacing w:after="0" w:line="129"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Termination. </w:t>
      </w:r>
      <w:r>
        <w:rPr>
          <w:rFonts w:ascii="Times New Roman" w:cs="Times New Roman" w:eastAsia="Times New Roman" w:hAnsi="Times New Roman"/>
          <w:sz w:val="18"/>
          <w:szCs w:val="18"/>
          <w:color w:val="auto"/>
        </w:rPr>
        <w:t>Our board of directors may amend or terminate the 2008 Stock Plan. The company will obtain stockholder approval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to the extent necessary to comply with applicable law. No suspension or termination of the 2008 Stock Plan may adversely affect any rights under awards already granted to a participant. Following this offering and in connection with the effectiveness of our 2014 Plan, the 2008 Stock Plan will terminate and no further awards will be granted under the 2008 Stock Plan.</w:t>
      </w:r>
    </w:p>
    <w:p>
      <w:pPr>
        <w:spacing w:after="0" w:line="133" w:lineRule="exact"/>
        <w:rPr>
          <w:sz w:val="20"/>
          <w:szCs w:val="20"/>
          <w:color w:val="auto"/>
        </w:rPr>
      </w:pPr>
    </w:p>
    <w:p>
      <w:pPr>
        <w:jc w:val="center"/>
        <w:ind w:right="480"/>
        <w:spacing w:after="0" w:line="447" w:lineRule="auto"/>
        <w:rPr>
          <w:sz w:val="20"/>
          <w:szCs w:val="20"/>
          <w:color w:val="auto"/>
        </w:rPr>
      </w:pPr>
      <w:r>
        <w:rPr>
          <w:rFonts w:ascii="Times New Roman" w:cs="Times New Roman" w:eastAsia="Times New Roman" w:hAnsi="Times New Roman"/>
          <w:sz w:val="18"/>
          <w:szCs w:val="18"/>
          <w:color w:val="auto"/>
        </w:rPr>
        <w:t>We intend to file with the SEC a registration statement on Form S-8 covering our shares of common stock issuable under the 2008 Stock Plan. 126</w:t>
      </w:r>
    </w:p>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2011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Purchases of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Financing</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June and August 2011, we issued an aggregate of 78,423,902 shares of our Series B convertible preferred stock at $0.3865 per share. 13,551,890 of those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were issued in exchange for conversion of our notes payable on November 16, 2010 and 13,129,413 of those shares were issued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our notes payable on April 14, 2011, in both cases pursuant to our Secured Convertible Note and Warrant Purchase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16, 2010. Additionally, in connection with such issuances, we issued warrants to purchase an aggregate of 5,174,633 shares of our Series B convertible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at a price per share of $0.01, which we refer to as our Series B Financing Warrants. The Series B Financing Warrants automatically exercise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this offering. The aggregate gross consideration received for these issuances was $30.3 million.</w:t>
      </w:r>
    </w:p>
    <w:p>
      <w:pPr>
        <w:spacing w:after="0" w:line="15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table below sets forth the number of shares of Series B convertible preferred stock, the number of shares of Series B convertible preferred stock in exchange for conversion of notes payable, and the number of shares underlying the Series B Financing Warrants sold to our directors, executive officers or owners of more than 5% of a class of our capital stock, or an affiliate or immediate family member thereof: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Series B</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Series B</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 in</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exchange for</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 in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conversion</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exchange for</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notes</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conversion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payable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of notes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Convertible</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Series B</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payable</w:t>
            </w: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80" w:type="dxa"/>
            <w:vAlign w:val="bottom"/>
            <w:vMerge w:val="restart"/>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Financing</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November</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April</w:t>
            </w: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110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2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8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200" w:type="dxa"/>
            <w:vAlign w:val="bottom"/>
          </w:tcPr>
          <w:p>
            <w:pPr>
              <w:spacing w:after="0"/>
              <w:rPr>
                <w:sz w:val="14"/>
                <w:szCs w:val="14"/>
                <w:color w:val="auto"/>
              </w:rPr>
            </w:pPr>
          </w:p>
        </w:tc>
        <w:tc>
          <w:tcPr>
            <w:tcW w:w="8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220" w:type="dxa"/>
            <w:vAlign w:val="bottom"/>
          </w:tcPr>
          <w:p>
            <w:pPr>
              <w:spacing w:after="0"/>
              <w:rPr>
                <w:sz w:val="14"/>
                <w:szCs w:val="14"/>
                <w:color w:val="auto"/>
              </w:rPr>
            </w:pPr>
          </w:p>
        </w:tc>
        <w:tc>
          <w:tcPr>
            <w:tcW w:w="110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Price ($)</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New Enterprise Associates 12, Limited Partnership</w:t>
            </w:r>
            <w:r>
              <w:rPr>
                <w:rFonts w:ascii="Times New Roman" w:cs="Times New Roman" w:eastAsia="Times New Roman" w:hAnsi="Times New Roman"/>
                <w:sz w:val="11"/>
                <w:szCs w:val="11"/>
                <w:color w:val="auto"/>
              </w:rPr>
              <w:t>(1)</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26,157,008</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2,615,700</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6,850,269</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6,636,713</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15,322,402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CMEA Ventures VII, L.P.</w:t>
            </w:r>
            <w:r>
              <w:rPr>
                <w:rFonts w:ascii="Times New Roman" w:cs="Times New Roman" w:eastAsia="Times New Roman" w:hAnsi="Times New Roman"/>
                <w:sz w:val="11"/>
                <w:szCs w:val="11"/>
                <w:color w:val="auto"/>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15,829,500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1,582,949</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4,145,594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4,016,355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9,272,695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CMEA Ventures VII (Parallel), L.P.</w:t>
            </w:r>
            <w:r>
              <w:rPr>
                <w:rFonts w:ascii="Times New Roman" w:cs="Times New Roman" w:eastAsia="Times New Roman" w:hAnsi="Times New Roman"/>
                <w:sz w:val="11"/>
                <w:szCs w:val="11"/>
                <w:color w:val="auto"/>
              </w:rPr>
              <w:t>(2)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405,886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106,297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102,983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237,762</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Amgen Ventures, LLC</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7,069,025</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2,732,178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 Schultz, Ph.D.</w:t>
            </w:r>
            <w:r>
              <w:rPr>
                <w:rFonts w:ascii="Times New Roman" w:cs="Times New Roman" w:eastAsia="Times New Roman" w:hAnsi="Times New Roman"/>
                <w:sz w:val="11"/>
                <w:szCs w:val="11"/>
                <w:color w:val="auto"/>
              </w:rPr>
              <w:t>(3)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1,293,662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547,225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1,433,132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1,388,454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1,590,543</w:t>
            </w: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Frechet, Ph.D.</w:t>
            </w:r>
            <w:r>
              <w:rPr>
                <w:rFonts w:ascii="Times New Roman" w:cs="Times New Roman" w:eastAsia="Times New Roman" w:hAnsi="Times New Roman"/>
                <w:sz w:val="11"/>
                <w:szCs w:val="11"/>
                <w:color w:val="auto"/>
              </w:rPr>
              <w:t>(4)</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163,589</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428,426</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415,070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Mott, the Chairman of our board of directors, is a partner of New Enterprise Associates.</w:t>
      </w:r>
    </w:p>
    <w:p>
      <w:pPr>
        <w:spacing w:after="0" w:line="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Collier, M.D., was a member of our board of directors until his resignation in March 2014, and is a managing director of CMEA Ventures.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Schultz is a member of our board of directors.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Frechet was a member of our board of directors until his resignation in March 2014.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92"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fines and settlement amounts incurred by the director or executive officer in any action or proceeding, including any action or proceeding by or in right of us, arising out of the person’s services as a director or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investor rights agreement with the purchasers of our outstanding convertible preferred stock and certain holders of common stock and warrants to purchase our convertible preferred stock, including entities with which certain of our directors are affiliated. As of March 31, 2014, the holders of approximately 111.6 million shares of our common stock, including the shares of common stock issuable upon the conversion of our convertible preferred stock and shares of common stock issued upon exercise of warrants, are entitled to rights with respect to the registration of their shares under the Securities Act. For a more detailed description of these registration rights, see “Description of Capital Stock—Registration Rights.” The investor rights agreement also provides for a right of first refusal in favor of certain holders of convertible preferred stock with regard to certain issuances of our capital stock. The rights of first refusal will not apply to, and will terminate upon the closing of, this offering.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 entered into an amended and restated voting agreement with certain holders of our common stock and convertible preferred stock. Upon the consummation of this offering, the amended and restated voting agreement will terminate. For a description of the amended and restated voting agreement, see “Management—Board Composition—Voting Arrangements.”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9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entered into an amended and restated right of first refusal and co-sale agreement with certain holders of our common stock and convertible preferred stock. This agreement provides for rights of first refusal and co-sale relating to the shares of our common stock held by the parties thereto. Upon the closing of this offering, the amended and restated right of first refusal and co-sale agreement will terminate.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92"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In November 2012, we entered into a consulting agreement with Susan Rosenbaum, Ph.D. the wife of Dr. David Rosenbaum, our Vice President, Drug Development. Dr. Susan Rosenbaum provides clinical operation services to us, and she is compensated at a rate of $125 per hour for her services. In 2013, Dr. Susan Rosenbaum was a paid a total of $242,500 for her services pursuant to the consulting agreement. The consulting agreement is in effect until December 31, 2014, although it can be terminated by us with 14 days’ written notice.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92"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to be effective upon the consummation of this offering, setting forth the policies and procedures for the review and approval or ratification of related person transactions. This policy will cover,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March 31, 2014, by:</w:t>
      </w:r>
    </w:p>
    <w:p>
      <w:pPr>
        <w:spacing w:after="0" w:line="90" w:lineRule="exact"/>
        <w:rPr>
          <w:sz w:val="20"/>
          <w:szCs w:val="20"/>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31, 2014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117,260,646 shares of our common stock outstanding as of March 31, 2014, which reflects the assumed conversion of all of our outstanding shares of convertible preferred stock into an aggregate of 103,655,115 shares of common stock. Shares of our common stock that a person has the right to acquire within 60 days of March 31, 2014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34175 Ardenwood Blvd., Fremont, CA 94555.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Beneficial Ownership Prior to this Offering</w:t>
            </w: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After this Offering</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3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3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2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080" w:type="dxa"/>
            <w:vAlign w:val="bottom"/>
            <w:vMerge w:val="restart"/>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3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Exercisable</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Beneficial</w:t>
            </w: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Beneficially</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Beneficial</w:t>
            </w:r>
          </w:p>
        </w:tc>
        <w:tc>
          <w:tcPr>
            <w:tcW w:w="0" w:type="dxa"/>
            <w:vAlign w:val="bottom"/>
          </w:tcPr>
          <w:p>
            <w:pPr>
              <w:spacing w:after="0"/>
              <w:rPr>
                <w:sz w:val="1"/>
                <w:szCs w:val="1"/>
                <w:color w:val="auto"/>
              </w:rPr>
            </w:pPr>
          </w:p>
        </w:tc>
      </w:tr>
      <w:tr>
        <w:trPr>
          <w:trHeight w:val="172"/>
        </w:trPr>
        <w:tc>
          <w:tcPr>
            <w:tcW w:w="2420" w:type="dxa"/>
            <w:vAlign w:val="bottom"/>
            <w:tcBorders>
              <w:bottom w:val="single" w:sz="8" w:color="auto"/>
            </w:tcBorders>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98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320" w:type="dxa"/>
            <w:vAlign w:val="bottom"/>
          </w:tcPr>
          <w:p>
            <w:pPr>
              <w:spacing w:after="0"/>
              <w:rPr>
                <w:sz w:val="14"/>
                <w:szCs w:val="14"/>
                <w:color w:val="auto"/>
              </w:rPr>
            </w:pPr>
          </w:p>
        </w:tc>
        <w:tc>
          <w:tcPr>
            <w:tcW w:w="134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Within 60 Days</w:t>
            </w:r>
          </w:p>
        </w:tc>
        <w:tc>
          <w:tcPr>
            <w:tcW w:w="130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108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220" w:type="dxa"/>
            <w:vAlign w:val="bottom"/>
          </w:tcPr>
          <w:p>
            <w:pPr>
              <w:spacing w:after="0"/>
              <w:rPr>
                <w:sz w:val="14"/>
                <w:szCs w:val="14"/>
                <w:color w:val="auto"/>
              </w:rPr>
            </w:pPr>
          </w:p>
        </w:tc>
        <w:tc>
          <w:tcPr>
            <w:tcW w:w="104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6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Associated with New Enterprise Associates</w:t>
            </w:r>
            <w:r>
              <w:rPr>
                <w:rFonts w:ascii="Times New Roman" w:cs="Times New Roman" w:eastAsia="Times New Roman" w:hAnsi="Times New Roman"/>
                <w:sz w:val="11"/>
                <w:szCs w:val="11"/>
                <w:color w:val="auto"/>
              </w:rPr>
              <w:t>(1)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52,397,969</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2,615,700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55,013,669</w:t>
            </w: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45.89%</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CMEA</w:t>
            </w:r>
            <w:r>
              <w:rPr>
                <w:rFonts w:ascii="Times New Roman" w:cs="Times New Roman" w:eastAsia="Times New Roman" w:hAnsi="Times New Roman"/>
                <w:sz w:val="11"/>
                <w:szCs w:val="11"/>
                <w:color w:val="auto"/>
              </w:rPr>
              <w:t>(2)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32,522,878</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1,623,537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34,146,415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Amgen Ventures</w:t>
            </w:r>
            <w:r>
              <w:rPr>
                <w:rFonts w:ascii="Times New Roman" w:cs="Times New Roman" w:eastAsia="Times New Roman" w:hAnsi="Times New Roman"/>
                <w:sz w:val="11"/>
                <w:szCs w:val="11"/>
                <w:color w:val="auto"/>
              </w:rPr>
              <w:t>(3)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7,069,025</w:t>
            </w:r>
          </w:p>
        </w:tc>
        <w:tc>
          <w:tcPr>
            <w:tcW w:w="32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7,069,025</w:t>
            </w: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Raab</w:t>
            </w:r>
            <w:r>
              <w:rPr>
                <w:rFonts w:ascii="Times New Roman" w:cs="Times New Roman" w:eastAsia="Times New Roman" w:hAnsi="Times New Roman"/>
                <w:sz w:val="11"/>
                <w:szCs w:val="11"/>
                <w:color w:val="auto"/>
              </w:rPr>
              <w:t>(4)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752,927</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2,736,145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3,489,072</w:t>
            </w: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 Ph.D.</w:t>
            </w:r>
            <w:r>
              <w:rPr>
                <w:rFonts w:ascii="Times New Roman" w:cs="Times New Roman" w:eastAsia="Times New Roman" w:hAnsi="Times New Roman"/>
                <w:sz w:val="11"/>
                <w:szCs w:val="11"/>
                <w:color w:val="auto"/>
              </w:rPr>
              <w:t>(5)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1,006,250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1,006,250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Dominique Charmot, Ph.D.</w:t>
            </w:r>
            <w:r>
              <w:rPr>
                <w:rFonts w:ascii="Times New Roman" w:cs="Times New Roman" w:eastAsia="Times New Roman" w:hAnsi="Times New Roman"/>
                <w:sz w:val="11"/>
                <w:szCs w:val="11"/>
                <w:color w:val="auto"/>
              </w:rPr>
              <w:t>(6)</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5,174,405</w:t>
            </w:r>
          </w:p>
        </w:tc>
        <w:tc>
          <w:tcPr>
            <w:tcW w:w="32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5,174,405</w:t>
            </w:r>
          </w:p>
        </w:tc>
        <w:tc>
          <w:tcPr>
            <w:tcW w:w="4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Mott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Schultz, Ph.D.</w:t>
            </w:r>
            <w:r>
              <w:rPr>
                <w:rFonts w:ascii="Times New Roman" w:cs="Times New Roman" w:eastAsia="Times New Roman" w:hAnsi="Times New Roman"/>
                <w:sz w:val="11"/>
                <w:szCs w:val="11"/>
                <w:color w:val="auto"/>
              </w:rPr>
              <w:t>(7)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7,687,718</w:t>
            </w:r>
          </w:p>
        </w:tc>
        <w:tc>
          <w:tcPr>
            <w:tcW w:w="16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547,225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8,234,943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persons)</w:t>
            </w:r>
            <w:r>
              <w:rPr>
                <w:rFonts w:ascii="Times New Roman" w:cs="Times New Roman" w:eastAsia="Times New Roman" w:hAnsi="Times New Roman"/>
                <w:sz w:val="11"/>
                <w:szCs w:val="11"/>
                <w:color w:val="auto"/>
              </w:rPr>
              <w:t>(8)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16,001,199</w:t>
            </w:r>
          </w:p>
        </w:tc>
        <w:tc>
          <w:tcPr>
            <w:tcW w:w="16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6,021,340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20,988,170</w:t>
            </w:r>
          </w:p>
        </w:tc>
        <w:tc>
          <w:tcPr>
            <w:tcW w:w="4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common stock.</w:t>
      </w:r>
    </w:p>
    <w:p>
      <w:pPr>
        <w:spacing w:after="0" w:line="21" w:lineRule="exact"/>
        <w:rPr>
          <w:sz w:val="20"/>
          <w:szCs w:val="20"/>
          <w:color w:val="auto"/>
        </w:rPr>
      </w:pPr>
    </w:p>
    <w:p>
      <w:pPr>
        <w:ind w:left="340" w:right="160" w:hanging="332"/>
        <w:spacing w:after="0" w:line="261"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52,384,776 shares and 2,615,700 shares that may be acquired pursuant to the exercise of warrants within 60 days of March 31, 2014 held by New Enterprise Associates 12, Limited Partnership (“NEA 12”)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firstLine="6"/>
        <w:spacing w:after="0" w:line="252" w:lineRule="auto"/>
        <w:tabs>
          <w:tab w:leader="none" w:pos="58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13,193 shares held by NEA Ventures 2008, L.P, or Ven 2008. NEA 12 GP, LLC, or NEA 12 LLC, is the sole general partner of NEA Partners 12, Limited Partnership NEA Partners 12, which is the sole general partner of NEA 12. The individual managers of NEA 12 LLC are M. James Barrett, Peter J. Barris, Forest Baskett, Ryan D. Drant, Patrick J. Kerins, Krishna ‘Kittu’ Kolluri, and Scott D. Sandell. NEA Partners 12, NEA 12 LLC, and the individual managers of NEA 12 LLC share voting and dispositive power with regard to the shares directly held by NEA 12. The shares directly held by Ven 2008 are indirectly held by Karen P. Welsh, the general partner of Ven 2008. Karen P. Welsh shares voting and dispositive power with regard to the shares directly held by Ven 2008. Each individual identified in this footnote disclaims beneficial ownership of such shares except to the extent of any respective pecuniary interest therein. The address of NEA 12 and Ven 2008 is 1954 Greenspring Drive, Suite 600, Timonium, MD 21903.</w:t>
      </w:r>
    </w:p>
    <w:p>
      <w:pPr>
        <w:spacing w:after="0" w:line="3"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31,709,805 shares and 1,582,949 shares that may be acquired pursuant to the exercise of warrants within 60 days of March 31, 2014 held by CMEA Ventures VII, L.P. and (b) 813,073 shares and 40,588 shares that may be acquired pursuant to the exercise of warrants within 60 days of March 31, 2014 held by CMEA Ventures VII (Parallel), L.P. David Collier is Managing Director of CMEA Ventures VII GP, L.P. and has voting and dispositive power with respect to the shares. The address of CMEA Ventures VII, L.P., and CMEA Ventures VII (Parallel) is 1 Letterman Drive, Building C, Suite CM500, San Francisco, CA 94129.</w:t>
      </w:r>
    </w:p>
    <w:p>
      <w:pPr>
        <w:spacing w:after="0" w:line="2"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owned directly by Amgen Ventures LLC, a wholly-owned subsidiary of Amgen Inc., or Amgen, and Amgen has the power to vote, acquire, hold and dispose of all shares. Amgen disclaims beneficial ownership of the securities except to the extent of its pecuniary interest therein. The address of Amgen Ventures LLC is One Amgen Center Drive, Thousand Oaks, CA 91320.</w:t>
      </w:r>
    </w:p>
    <w:p>
      <w:pPr>
        <w:spacing w:after="0" w:line="1"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752,927 shares directly owned by Mr. Raab and (ii) 2,736,145 shares that may be acquired pursuant to the exercise of stock options within 60 days of March 31, 2014 by Mr. Raab.</w:t>
      </w: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232,922 shares directly owned by Dr. Rosenbaum, (ii) 698,328 shares owned directly by the David Paul Rosenbaum Family Trust and</w:t>
      </w:r>
    </w:p>
    <w:p>
      <w:pPr>
        <w:spacing w:after="0" w:line="9" w:lineRule="exact"/>
        <w:rPr>
          <w:rFonts w:ascii="Times New Roman" w:cs="Times New Roman" w:eastAsia="Times New Roman" w:hAnsi="Times New Roman"/>
          <w:sz w:val="18"/>
          <w:szCs w:val="18"/>
          <w:color w:val="auto"/>
        </w:rPr>
      </w:pPr>
    </w:p>
    <w:p>
      <w:pPr>
        <w:ind w:left="660" w:hanging="314"/>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shares owned directly by Dr. Rosenbaum’s children.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4,724,405 shares directly owned by Dr. Charmot and (ii) 450,000 shares directly owned by Dominique Charmot and Sylvie Charmot, Trustees of the Charmot 2012 Irrevocable Trust.</w:t>
      </w:r>
    </w:p>
    <w:p>
      <w:pPr>
        <w:ind w:left="340" w:right="240" w:hanging="332"/>
        <w:spacing w:after="0" w:line="250"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7,424,956 shares directly owned by Dr. Schultz (ii) 262,762 shares held by certain trusts for the benefit of members of Dr. Schultz’s family and (iii) 547,225 shares that may be acquired pursuant to the exercise of warrants within 60 days of March 31, 2014 by Dr. Schultz.</w:t>
      </w:r>
    </w:p>
    <w:p>
      <w:pPr>
        <w:ind w:left="340" w:right="560" w:hanging="332"/>
        <w:spacing w:after="0" w:line="261"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16,001,199 shares, 5,474,115 shares that may be acquired pursuant to the exercise of stock options within 60 days of March 31, 2014 and 547,225 shares that may be acquired pursuant to the exercise of warrants within 60 days of March 31, 2014.</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80"/>
          </w:cols>
          <w:pgMar w:left="240" w:top="455" w:right="2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describes our capital stock and the material provisions of our amended and restated certificate of incorporation and our amended and restated bylaws, which will become effective immediately prior to the consummation of this offering, the investor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 rights agreement, copies of which have been filed as exhibits to the registration statement of which this prospectus is part.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Immediately prior to the consummation of this offering, we will file our amended and restated certificate of incorporation that authorizes 300,000,000 shares of common stock, $0.0001 par value per share, and 5,000,000 shares of preferred stock, $0.0001 par value per share. As of March 31, 2014, there were outstanding:</w:t>
      </w:r>
    </w:p>
    <w:p>
      <w:pPr>
        <w:spacing w:after="0" w:line="51" w:lineRule="exact"/>
        <w:rPr>
          <w:sz w:val="20"/>
          <w:szCs w:val="20"/>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117,260,646 shares of our common stock, on an as-converted basis, held by approximately 64 stockholders of record;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5,174,633 shares of our common stock issuable upon exercise of outstanding warrants;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7,924,604 shares of our common stock issuable upon exercise of outstanding stock options.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this offering, we will consummate a reverse stock split of our outstanding capital stock at a ratio to be determined.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The terms of our credit facility currently prohibit us from paying cash dividends on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94"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our outstanding shares of common stock are, and the shares of common stock to be issued in this offering will be, fully paid and nonassessable.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Immediately prior to the consummation of this offering, all outstanding shares of our convertible preferred stock will be converted into shares of our common stock. See Note 7 to our audited financial statements for a description of our currently outstanding convertible preferred stock. Immediately prior to the consummation of this offering, our amended and restated certificate of incorporation will be amended and restated to delete all references to such shares of convertible preferred stock. Upon the consummation of this offering, our board of directors will have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about outstanding warrants to purchase shares of our stock as of March 31, 2014. All of our warrants will expire upon completion of this offering if not exercised.</w:t>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of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3633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ind w:right="1860"/>
        <w:spacing w:after="0" w:line="339" w:lineRule="auto"/>
        <w:rPr>
          <w:sz w:val="20"/>
          <w:szCs w:val="20"/>
          <w:color w:val="auto"/>
        </w:rPr>
      </w:pPr>
      <w:r>
        <w:rPr>
          <w:rFonts w:ascii="Times New Roman" w:cs="Times New Roman" w:eastAsia="Times New Roman" w:hAnsi="Times New Roman"/>
          <w:sz w:val="16"/>
          <w:szCs w:val="16"/>
          <w:color w:val="auto"/>
        </w:rPr>
        <w:t>Series B convertible preferred stock, par value $0.0001 Series B convertible preferred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2"/>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2"/>
          </w:tcPr>
          <w:p>
            <w:pPr>
              <w:jc w:val="center"/>
              <w:ind w:right="6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2"/>
                <w:szCs w:val="12"/>
                <w:color w:val="auto"/>
              </w:rPr>
            </w:pPr>
          </w:p>
        </w:tc>
        <w:tc>
          <w:tcPr>
            <w:tcW w:w="1460" w:type="dxa"/>
            <w:vAlign w:val="bottom"/>
            <w:gridSpan w:val="2"/>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600" w:type="dxa"/>
            <w:vAlign w:val="bottom"/>
          </w:tcPr>
          <w:p>
            <w:pPr>
              <w:spacing w:after="0"/>
              <w:rPr>
                <w:sz w:val="12"/>
                <w:szCs w:val="12"/>
                <w:color w:val="auto"/>
              </w:rPr>
            </w:pPr>
          </w:p>
        </w:tc>
        <w:tc>
          <w:tcPr>
            <w:tcW w:w="1460" w:type="dxa"/>
            <w:vAlign w:val="bottom"/>
            <w:gridSpan w:val="2"/>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600" w:type="dxa"/>
            <w:vAlign w:val="bottom"/>
          </w:tcPr>
          <w:p>
            <w:pPr>
              <w:spacing w:after="0"/>
              <w:rPr>
                <w:sz w:val="12"/>
                <w:szCs w:val="12"/>
                <w:color w:val="auto"/>
              </w:rPr>
            </w:pPr>
          </w:p>
        </w:tc>
        <w:tc>
          <w:tcPr>
            <w:tcW w:w="1460" w:type="dxa"/>
            <w:vAlign w:val="bottom"/>
            <w:gridSpan w:val="2"/>
          </w:tcPr>
          <w:p>
            <w:pPr>
              <w:jc w:val="center"/>
              <w:ind w:right="6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exercisable</w:t>
            </w: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prior to</w:t>
            </w:r>
          </w:p>
        </w:tc>
        <w:tc>
          <w:tcPr>
            <w:tcW w:w="600" w:type="dxa"/>
            <w:vAlign w:val="bottom"/>
          </w:tcPr>
          <w:p>
            <w:pPr>
              <w:spacing w:after="0"/>
              <w:rPr>
                <w:sz w:val="12"/>
                <w:szCs w:val="12"/>
                <w:color w:val="auto"/>
              </w:rPr>
            </w:pPr>
          </w:p>
        </w:tc>
        <w:tc>
          <w:tcPr>
            <w:tcW w:w="1460" w:type="dxa"/>
            <w:vAlign w:val="bottom"/>
            <w:gridSpan w:val="2"/>
          </w:tcPr>
          <w:p>
            <w:pPr>
              <w:jc w:val="center"/>
              <w:ind w:right="6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following</w:t>
            </w:r>
          </w:p>
        </w:tc>
        <w:tc>
          <w:tcPr>
            <w:tcW w:w="11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price per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this offering</w:t>
            </w:r>
          </w:p>
        </w:tc>
        <w:tc>
          <w:tcPr>
            <w:tcW w:w="600" w:type="dxa"/>
            <w:vAlign w:val="bottom"/>
          </w:tcPr>
          <w:p>
            <w:pPr>
              <w:spacing w:after="0"/>
              <w:rPr>
                <w:sz w:val="14"/>
                <w:szCs w:val="14"/>
                <w:color w:val="auto"/>
              </w:rPr>
            </w:pPr>
          </w:p>
        </w:tc>
        <w:tc>
          <w:tcPr>
            <w:tcW w:w="1460" w:type="dxa"/>
            <w:vAlign w:val="bottom"/>
            <w:gridSpan w:val="2"/>
          </w:tcPr>
          <w:p>
            <w:pPr>
              <w:jc w:val="center"/>
              <w:ind w:right="672"/>
              <w:spacing w:after="0"/>
              <w:rPr>
                <w:sz w:val="20"/>
                <w:szCs w:val="20"/>
                <w:color w:val="auto"/>
              </w:rPr>
            </w:pPr>
            <w:r>
              <w:rPr>
                <w:rFonts w:ascii="Times New Roman" w:cs="Times New Roman" w:eastAsia="Times New Roman" w:hAnsi="Times New Roman"/>
                <w:sz w:val="14"/>
                <w:szCs w:val="14"/>
                <w:b w:val="1"/>
                <w:bCs w:val="1"/>
                <w:color w:val="auto"/>
                <w:w w:val="96"/>
              </w:rPr>
              <w:t>this offering</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1"/>
              </w:rPr>
              <w:t xml:space="preserve">share </w:t>
            </w:r>
            <w:r>
              <w:rPr>
                <w:rFonts w:ascii="Times New Roman" w:cs="Times New Roman" w:eastAsia="Times New Roman" w:hAnsi="Times New Roman"/>
                <w:sz w:val="14"/>
                <w:szCs w:val="14"/>
                <w:b w:val="1"/>
                <w:bCs w:val="1"/>
                <w:u w:val="single" w:color="auto"/>
                <w:color w:val="auto"/>
                <w:w w:val="91"/>
              </w:rPr>
              <w:t>($</w:t>
            </w:r>
            <w:r>
              <w:rPr>
                <w:rFonts w:ascii="Times New Roman" w:cs="Times New Roman" w:eastAsia="Times New Roman" w:hAnsi="Times New Roman"/>
                <w:sz w:val="14"/>
                <w:szCs w:val="14"/>
                <w:b w:val="1"/>
                <w:bCs w:val="1"/>
                <w:color w:val="auto"/>
                <w:w w:val="91"/>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Expiration Date</w:t>
            </w:r>
          </w:p>
        </w:tc>
      </w:tr>
      <w:tr>
        <w:trPr>
          <w:trHeight w:val="195"/>
        </w:trPr>
        <w:tc>
          <w:tcPr>
            <w:tcW w:w="760" w:type="dxa"/>
            <w:vAlign w:val="bottom"/>
            <w:tcBorders>
              <w:top w:val="single" w:sz="8" w:color="auto"/>
            </w:tcBorders>
          </w:tcPr>
          <w:p>
            <w:pPr>
              <w:ind w:left="60"/>
              <w:spacing w:after="0" w:line="195" w:lineRule="exact"/>
              <w:rPr>
                <w:sz w:val="20"/>
                <w:szCs w:val="20"/>
                <w:color w:val="auto"/>
              </w:rPr>
            </w:pPr>
            <w:r>
              <w:rPr>
                <w:rFonts w:ascii="Times New Roman" w:cs="Times New Roman" w:eastAsia="Times New Roman" w:hAnsi="Times New Roman"/>
                <w:sz w:val="18"/>
                <w:szCs w:val="18"/>
                <w:color w:val="auto"/>
                <w:w w:val="94"/>
              </w:rPr>
              <w:t>3,880,977</w:t>
            </w:r>
          </w:p>
        </w:tc>
        <w:tc>
          <w:tcPr>
            <w:tcW w:w="600" w:type="dxa"/>
            <w:vAlign w:val="bottom"/>
          </w:tcPr>
          <w:p>
            <w:pPr>
              <w:spacing w:after="0"/>
              <w:rPr>
                <w:sz w:val="16"/>
                <w:szCs w:val="16"/>
                <w:color w:val="auto"/>
              </w:rPr>
            </w:pPr>
          </w:p>
        </w:tc>
        <w:tc>
          <w:tcPr>
            <w:tcW w:w="700" w:type="dxa"/>
            <w:vAlign w:val="bottom"/>
            <w:tcBorders>
              <w:top w:val="single" w:sz="8" w:color="auto"/>
            </w:tcBorders>
          </w:tcPr>
          <w:p>
            <w:pPr>
              <w:ind w:left="4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472"/>
              <w:spacing w:after="0" w:line="195" w:lineRule="exact"/>
              <w:rPr>
                <w:sz w:val="20"/>
                <w:szCs w:val="20"/>
                <w:color w:val="auto"/>
              </w:rPr>
            </w:pPr>
            <w:r>
              <w:rPr>
                <w:rFonts w:ascii="Times New Roman" w:cs="Times New Roman" w:eastAsia="Times New Roman" w:hAnsi="Times New Roman"/>
                <w:sz w:val="18"/>
                <w:szCs w:val="18"/>
                <w:color w:val="auto"/>
                <w:w w:val="85"/>
              </w:rPr>
              <w:t>(1)</w:t>
            </w:r>
          </w:p>
        </w:tc>
        <w:tc>
          <w:tcPr>
            <w:tcW w:w="5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0.01</w:t>
            </w:r>
          </w:p>
        </w:tc>
        <w:tc>
          <w:tcPr>
            <w:tcW w:w="6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11/16/2020</w:t>
            </w:r>
          </w:p>
        </w:tc>
        <w:tc>
          <w:tcPr>
            <w:tcW w:w="20" w:type="dxa"/>
            <w:vAlign w:val="bottom"/>
          </w:tcPr>
          <w:p>
            <w:pPr>
              <w:spacing w:after="0"/>
              <w:rPr>
                <w:sz w:val="16"/>
                <w:szCs w:val="16"/>
                <w:color w:val="auto"/>
              </w:rPr>
            </w:pPr>
          </w:p>
        </w:tc>
      </w:tr>
      <w:tr>
        <w:trPr>
          <w:trHeight w:val="229"/>
        </w:trPr>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1,293,656</w:t>
            </w:r>
          </w:p>
        </w:tc>
        <w:tc>
          <w:tcPr>
            <w:tcW w:w="600" w:type="dxa"/>
            <w:vAlign w:val="bottom"/>
          </w:tcPr>
          <w:p>
            <w:pPr>
              <w:spacing w:after="0"/>
              <w:rPr>
                <w:sz w:val="19"/>
                <w:szCs w:val="19"/>
                <w:color w:val="auto"/>
              </w:rPr>
            </w:pP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(2)</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4/14/2021</w:t>
            </w:r>
          </w:p>
        </w:tc>
      </w:tr>
      <w:tr>
        <w:trPr>
          <w:trHeight w:val="224"/>
        </w:trPr>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5,174,633</w:t>
            </w: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-462280</wp:posOffset>
            </wp:positionV>
            <wp:extent cx="72466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-162560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740" w:space="720"/>
            <w:col w:w="4940"/>
          </w:cols>
          <w:pgMar w:left="240" w:top="455"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Automatically net exercises into</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shares of common stock at the consummation of this offering based on the assumed initial public offering price per</w:t>
            </w:r>
          </w:p>
        </w:tc>
      </w:tr>
      <w:tr>
        <w:trPr>
          <w:trHeight w:val="216"/>
        </w:trPr>
        <w:tc>
          <w:tcPr>
            <w:tcW w:w="280" w:type="dxa"/>
            <w:vAlign w:val="bottom"/>
          </w:tcPr>
          <w:p>
            <w:pPr>
              <w:spacing w:after="0"/>
              <w:rPr>
                <w:sz w:val="18"/>
                <w:szCs w:val="18"/>
                <w:color w:val="auto"/>
              </w:rPr>
            </w:pPr>
          </w:p>
        </w:tc>
        <w:tc>
          <w:tcPr>
            <w:tcW w:w="1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 (the midpoint of the price range set forth on the cover page of this prospectus).</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Automatically net exercises into</w:t>
            </w:r>
          </w:p>
        </w:tc>
        <w:tc>
          <w:tcPr>
            <w:tcW w:w="83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shares of common stock at the consummation of this offering based on the assumed initial public offering price per</w:t>
            </w:r>
          </w:p>
        </w:tc>
      </w:tr>
      <w:tr>
        <w:trPr>
          <w:trHeight w:val="228"/>
        </w:trPr>
        <w:tc>
          <w:tcPr>
            <w:tcW w:w="280" w:type="dxa"/>
            <w:vAlign w:val="bottom"/>
          </w:tcPr>
          <w:p>
            <w:pPr>
              <w:spacing w:after="0"/>
              <w:rPr>
                <w:sz w:val="19"/>
                <w:szCs w:val="19"/>
                <w:color w:val="auto"/>
              </w:rPr>
            </w:pPr>
          </w:p>
        </w:tc>
        <w:tc>
          <w:tcPr>
            <w:tcW w:w="1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 (the midpoint of the price range set forth on the cover page of this prospectus).</w:t>
            </w:r>
          </w:p>
        </w:tc>
      </w:tr>
      <w:tr>
        <w:trPr>
          <w:trHeight w:val="365"/>
        </w:trPr>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380" w:type="dxa"/>
            <w:vAlign w:val="bottom"/>
          </w:tcPr>
          <w:p>
            <w:pPr>
              <w:jc w:val="right"/>
              <w:ind w:right="5372"/>
              <w:spacing w:after="0"/>
              <w:rPr>
                <w:sz w:val="20"/>
                <w:szCs w:val="20"/>
                <w:color w:val="auto"/>
              </w:rPr>
            </w:pPr>
            <w:r>
              <w:rPr>
                <w:rFonts w:ascii="Times New Roman" w:cs="Times New Roman" w:eastAsia="Times New Roman" w:hAnsi="Times New Roman"/>
                <w:sz w:val="18"/>
                <w:szCs w:val="18"/>
                <w:color w:val="auto"/>
              </w:rPr>
              <w:t>132</w:t>
            </w:r>
          </w:p>
        </w:tc>
      </w:tr>
    </w:tbl>
    <w:p>
      <w:pPr>
        <w:sectPr>
          <w:pgSz w:w="11900" w:h="16838" w:orient="portrait"/>
          <w:cols w:equalWidth="0" w:num="1">
            <w:col w:w="11400"/>
          </w:cols>
          <w:pgMar w:left="240" w:top="455" w:right="259" w:bottom="1440" w:gutter="0" w:footer="0" w:header="0"/>
          <w:type w:val="continuous"/>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92"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Under our amended and restated investor rights agreement, following the closing of this offering, the holders of approximately 111.6 million shares of common stock, including shares issuable upon exercise of warrants, or their transferees, have the right to require us to register their shares under the Securities Act of 1933, or Securities Act, so that those shares may be publicly resold, or to include their shares in any registration statement we file, in each case as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9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Based on the number of shares outstanding as of March 31, 2014, after the consummation of this offering, the holders of approximately 108.8 million shares of our common stock, including shares issuable upon exercise of warrants, or their transferees, will be entitled to certain demand registration rights. Beginning 180 days following the effectiveness of the registration statement of which this prospectus is a part, the holders of at least 25% of these shares can, on not more than two occasions, request that we register all or a portion of their shares. Additionally, we will not be required to effect a demand registration during the period beginning 60 days prior to the filing and ending 180 days following the effectiveness of a company-initiated registration statement relating to an initial public offering of our securities, provided that we have complied with certain notice requirements to the holders of these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Based on the number of shares outstanding as of March 31, 2014, after the consummation of this offering, in the event that we determine to register any of our securities under the Securities Act (subject to certain exceptions), either for our own account or for the account of other security holders, the holders of approximately 111.6 million shares of our common stock, including shares issuable upon exercise of warrants,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94"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Based on the number of shares outstanding as of March 31, 2014, after the consummation of this offering, the holders of approximately 108.8 million shares of our common stock, including shares issuable upon exercise of warrants, or their transferees, will be entitled to certain Form S-3 registration rights. The holders of at least 25%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but in no event shall we be required to file more than two registrations on Form S-3 in any six month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will pay the registration expenses of the holders of the shares registered pursuant to the demand, piggyback and Form S-3 registration rights described above, including the expenses of one counsel for the selling 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94" w:lineRule="exact"/>
        <w:rPr>
          <w:sz w:val="20"/>
          <w:szCs w:val="20"/>
          <w:color w:val="auto"/>
        </w:rPr>
      </w:pPr>
    </w:p>
    <w:p>
      <w:pPr>
        <w:jc w:val="both"/>
        <w:ind w:right="240" w:firstLine="456"/>
        <w:spacing w:after="0" w:line="339" w:lineRule="auto"/>
        <w:rPr>
          <w:sz w:val="20"/>
          <w:szCs w:val="20"/>
          <w:color w:val="auto"/>
        </w:rPr>
      </w:pPr>
      <w:r>
        <w:rPr>
          <w:rFonts w:ascii="Times New Roman" w:cs="Times New Roman" w:eastAsia="Times New Roman" w:hAnsi="Times New Roman"/>
          <w:sz w:val="16"/>
          <w:szCs w:val="16"/>
          <w:color w:val="auto"/>
        </w:rPr>
        <w:t>The demand, piggyback and Form S-3 registration rights described above will expire, with respect to any particular stockholder, upon the earlier of five years after the consummation of this offering or when that stockholder can sell all of its shares under Rule 144 of the Securities Act during any 90 day period.</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60"/>
          </w:cols>
          <w:pgMar w:left="240" w:top="455" w:right="2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 of Provisions of our Amended and Restated Certificate of Incorporation, our Amended and Restated Bylaws and Delaware Law</w:t>
      </w:r>
    </w:p>
    <w:p>
      <w:pPr>
        <w:spacing w:after="0" w:line="11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Some provisions of Delaware law and our amended and restated certificate of incorporation and our amended and restated bylaws that will be in effect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9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94"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94"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eliminates the right of stockholders to act by written consent without a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94" w:lineRule="exact"/>
        <w:rPr>
          <w:sz w:val="20"/>
          <w:szCs w:val="20"/>
          <w:color w:val="auto"/>
        </w:rPr>
      </w:pPr>
    </w:p>
    <w:p>
      <w:pPr>
        <w:ind w:right="40" w:firstLine="456"/>
        <w:spacing w:after="0" w:line="246" w:lineRule="auto"/>
        <w:rPr>
          <w:sz w:val="20"/>
          <w:szCs w:val="20"/>
          <w:color w:val="auto"/>
        </w:rPr>
      </w:pPr>
      <w:r>
        <w:rPr>
          <w:rFonts w:ascii="Times New Roman" w:cs="Times New Roman" w:eastAsia="Times New Roman" w:hAnsi="Times New Roman"/>
          <w:sz w:val="18"/>
          <w:szCs w:val="18"/>
          <w:color w:val="auto"/>
        </w:rPr>
        <w:t xml:space="preserve">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stockholder vote. For more information on the classified board, see “Management—Board Composition.”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94"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Although our amended and restated certificate of incorporation contain the choice of forum provision described above, it is possible that a court could find that such a provision is inapplicable for a particular claim or action or that such provision is unenforceable.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94" w:lineRule="exact"/>
        <w:rPr>
          <w:sz w:val="20"/>
          <w:szCs w:val="20"/>
          <w:color w:val="auto"/>
        </w:rPr>
      </w:pPr>
    </w:p>
    <w:p>
      <w:pPr>
        <w:ind w:right="520" w:firstLine="456"/>
        <w:spacing w:after="0" w:line="236" w:lineRule="auto"/>
        <w:rPr>
          <w:sz w:val="20"/>
          <w:szCs w:val="20"/>
          <w:color w:val="auto"/>
        </w:rPr>
      </w:pPr>
      <w:r>
        <w:rPr>
          <w:rFonts w:ascii="Times New Roman" w:cs="Times New Roman" w:eastAsia="Times New Roman" w:hAnsi="Times New Roman"/>
          <w:sz w:val="18"/>
          <w:szCs w:val="18"/>
          <w:color w:val="auto"/>
        </w:rPr>
        <w:t xml:space="preserve">The amendment of any of the above provisions, except for the provision making it possible for our board of directors to issue preferred stock, would require approval by holders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of the voting power of our then outstanding voting stock.</w:t>
      </w:r>
    </w:p>
    <w:p>
      <w:pPr>
        <w:spacing w:after="0" w:line="14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 discussion of liability and indemnification, see “Management—Limitation on Liability and Indemnification Matters.”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for the listing of our common stock on The NASDAQ Global Market under the symbol “ARDX.”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2" w:lineRule="exact"/>
        <w:rPr>
          <w:sz w:val="20"/>
          <w:szCs w:val="20"/>
          <w:color w:val="auto"/>
        </w:rPr>
      </w:pPr>
    </w:p>
    <w:p>
      <w:pPr>
        <w:ind w:left="460"/>
        <w:spacing w:after="0"/>
        <w:tabs>
          <w:tab w:leader="none" w:pos="4980" w:val="left"/>
          <w:tab w:leader="none" w:pos="8700" w:val="left"/>
        </w:tabs>
        <w:rPr>
          <w:sz w:val="20"/>
          <w:szCs w:val="20"/>
          <w:color w:val="auto"/>
        </w:rPr>
      </w:pPr>
      <w:r>
        <w:rPr>
          <w:rFonts w:ascii="Times New Roman" w:cs="Times New Roman" w:eastAsia="Times New Roman" w:hAnsi="Times New Roman"/>
          <w:sz w:val="18"/>
          <w:szCs w:val="18"/>
          <w:color w:val="auto"/>
        </w:rPr>
        <w:t>The transfer agent and registrar for our common stock is</w:t>
      </w:r>
      <w:r>
        <w:rPr>
          <w:sz w:val="20"/>
          <w:szCs w:val="20"/>
          <w:color w:val="auto"/>
        </w:rPr>
        <w:tab/>
      </w:r>
      <w:r>
        <w:rPr>
          <w:rFonts w:ascii="Times New Roman" w:cs="Times New Roman" w:eastAsia="Times New Roman" w:hAnsi="Times New Roman"/>
          <w:sz w:val="18"/>
          <w:szCs w:val="18"/>
          <w:color w:val="auto"/>
        </w:rPr>
        <w:t>. The transfer agent and registrar’s address is</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92" w:lineRule="exact"/>
        <w:rPr>
          <w:sz w:val="20"/>
          <w:szCs w:val="20"/>
          <w:color w:val="auto"/>
        </w:rPr>
      </w:pPr>
    </w:p>
    <w:p>
      <w:pPr>
        <w:ind w:left="460"/>
        <w:spacing w:after="0"/>
        <w:tabs>
          <w:tab w:leader="none" w:pos="10500" w:val="left"/>
        </w:tabs>
        <w:rPr>
          <w:sz w:val="20"/>
          <w:szCs w:val="20"/>
          <w:color w:val="auto"/>
        </w:rPr>
      </w:pPr>
      <w:r>
        <w:rPr>
          <w:rFonts w:ascii="Times New Roman" w:cs="Times New Roman" w:eastAsia="Times New Roman" w:hAnsi="Times New Roman"/>
          <w:sz w:val="18"/>
          <w:szCs w:val="18"/>
          <w:color w:val="auto"/>
        </w:rPr>
        <w:t>Based on the number of shares of our common stock outstanding as of March 31, 2014 and assuming an initial public offering price of</w:t>
      </w:r>
      <w:r>
        <w:rPr>
          <w:sz w:val="20"/>
          <w:szCs w:val="20"/>
          <w:color w:val="auto"/>
        </w:rPr>
        <w:tab/>
      </w:r>
      <w:r>
        <w:rPr>
          <w:rFonts w:ascii="Times New Roman" w:cs="Times New Roman" w:eastAsia="Times New Roman" w:hAnsi="Times New Roman"/>
          <w:sz w:val="16"/>
          <w:szCs w:val="16"/>
          <w:color w:val="auto"/>
        </w:rPr>
        <w:t>per share</w:t>
      </w:r>
    </w:p>
    <w:p>
      <w:pPr>
        <w:spacing w:after="0" w:line="21"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11"/>
          <w:szCs w:val="11"/>
          <w:color w:val="auto"/>
        </w:rPr>
        <w:t>(the midpoint of the price range set forth on the cover page of this prospectus), upon the closing of this offering and assuming (1) the conversion of our outstanding convertible preferred stock into 103,655,115 shares of common stock, (2) no exercise of the underwriters’ option to purchase additional shares of common stock to cover over-allotments, (3) the net exercise of outstanding warrants that will expire or automatically exercise upon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into an aggregate of shares of common stock and (4) no exercise of any of our other outstanding options, we will have outstanding an aggregate of approximately shares of common stock. Of these shares, all of the shares of common stock to be sold in this offering, and any shares sold upon exercise</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of the underwriters’ option to purchase additional shares to cover over-allotments,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4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As a result of the lock-up agreements referred to below and the provisions of Rule 144 and Rule 701 under the Securities Act, based on the number of shares of our common stock outstanding as of March 31, 2014 and assumptions (1) – (4) described above, the shares of our common stock (excluding the shares sold in this offering) that will be available for sale in the public market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Approximate Number of Shares</w:t>
            </w:r>
          </w:p>
        </w:tc>
        <w:tc>
          <w:tcPr>
            <w:tcW w:w="2160" w:type="dxa"/>
            <w:vAlign w:val="bottom"/>
          </w:tcPr>
          <w:p>
            <w:pPr>
              <w:spacing w:after="0"/>
              <w:rPr>
                <w:sz w:val="16"/>
                <w:szCs w:val="16"/>
                <w:color w:val="auto"/>
              </w:rPr>
            </w:pPr>
          </w:p>
        </w:tc>
        <w:tc>
          <w:tcPr>
            <w:tcW w:w="63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First Date Available for Sale into Public Market</w:t>
            </w:r>
          </w:p>
        </w:tc>
      </w:tr>
      <w:tr>
        <w:trPr>
          <w:trHeight w:val="189"/>
        </w:trPr>
        <w:tc>
          <w:tcPr>
            <w:tcW w:w="1960" w:type="dxa"/>
            <w:vAlign w:val="bottom"/>
          </w:tcPr>
          <w:p>
            <w:pPr>
              <w:ind w:left="540"/>
              <w:spacing w:after="0" w:line="189" w:lineRule="exact"/>
              <w:rPr>
                <w:sz w:val="20"/>
                <w:szCs w:val="20"/>
                <w:color w:val="auto"/>
              </w:rPr>
            </w:pPr>
            <w:r>
              <w:rPr>
                <w:rFonts w:ascii="Times New Roman" w:cs="Times New Roman" w:eastAsia="Times New Roman" w:hAnsi="Times New Roman"/>
                <w:sz w:val="18"/>
                <w:szCs w:val="18"/>
                <w:color w:val="auto"/>
              </w:rPr>
              <w:t>shares</w:t>
            </w:r>
          </w:p>
        </w:tc>
        <w:tc>
          <w:tcPr>
            <w:tcW w:w="2160" w:type="dxa"/>
            <w:vAlign w:val="bottom"/>
          </w:tcPr>
          <w:p>
            <w:pPr>
              <w:spacing w:after="0"/>
              <w:rPr>
                <w:sz w:val="16"/>
                <w:szCs w:val="16"/>
                <w:color w:val="auto"/>
              </w:rPr>
            </w:pPr>
          </w:p>
        </w:tc>
        <w:tc>
          <w:tcPr>
            <w:tcW w:w="6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180 days after the date of this prospectus upon expiration of the lock-up agreements</w:t>
            </w:r>
          </w:p>
        </w:tc>
      </w:tr>
      <w:tr>
        <w:trPr>
          <w:trHeight w:val="228"/>
        </w:trPr>
        <w:tc>
          <w:tcPr>
            <w:tcW w:w="1960" w:type="dxa"/>
            <w:vAlign w:val="bottom"/>
          </w:tcPr>
          <w:p>
            <w:pPr>
              <w:spacing w:after="0"/>
              <w:rPr>
                <w:sz w:val="19"/>
                <w:szCs w:val="19"/>
                <w:color w:val="auto"/>
              </w:rPr>
            </w:pPr>
          </w:p>
        </w:tc>
        <w:tc>
          <w:tcPr>
            <w:tcW w:w="854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w w:val="99"/>
              </w:rPr>
              <w:t>referred to below, subject in some cases to applicable volume limitations under Rule 144</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our directors, our executive officers and substantially all of our other stockholders and option 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Citigroup and Leerink.</w:t>
      </w:r>
    </w:p>
    <w:p>
      <w:pPr>
        <w:spacing w:after="0" w:line="136"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Prior to the completion of the offering, certain of our employees, including our executive officers, and/or directors may enter into written trading plans that are intended to comply with Rule 10b5-1 under the Exchange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00"/>
          </w:cols>
          <w:pgMar w:left="240" w:top="455"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Sales under these trading plans would not be permitted until the expiration of the lock-up agreements relating to the offering described above.</w:t>
      </w:r>
    </w:p>
    <w:p>
      <w:pPr>
        <w:spacing w:after="0" w:line="171"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9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the Securities Exchange Act of 1934, as amended, or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66" w:lineRule="exact"/>
        <w:rPr>
          <w:sz w:val="20"/>
          <w:szCs w:val="20"/>
          <w:color w:val="auto"/>
        </w:rPr>
      </w:pPr>
    </w:p>
    <w:p>
      <w:pPr>
        <w:ind w:left="900" w:right="480" w:hanging="319"/>
        <w:spacing w:after="0" w:line="275" w:lineRule="auto"/>
        <w:tabs>
          <w:tab w:leader="none" w:pos="880" w:val="left"/>
        </w:tabs>
        <w:rPr>
          <w:sz w:val="20"/>
          <w:szCs w:val="20"/>
          <w:color w:val="auto"/>
        </w:rPr>
      </w:pPr>
      <w:r>
        <w:rPr>
          <w:rFonts w:ascii="Times New Roman" w:cs="Times New Roman" w:eastAsia="Times New Roman" w:hAnsi="Times New Roman"/>
          <w:sz w:val="18"/>
          <w:szCs w:val="18"/>
          <w:color w:val="auto"/>
        </w:rPr>
        <w:t>•</w:t>
        <w:tab/>
        <w:t>1% of the number of common shares then outstanding, which will equal approximately shares of common stock immediately after this offering (calculated as of March 31, 2014 on the basis of the assumptions (1) – (4) described above ); or</w:t>
      </w:r>
    </w:p>
    <w:p>
      <w:pPr>
        <w:spacing w:after="0" w:line="39" w:lineRule="exact"/>
        <w:rPr>
          <w:sz w:val="20"/>
          <w:szCs w:val="20"/>
          <w:color w:val="auto"/>
        </w:rPr>
      </w:pPr>
    </w:p>
    <w:p>
      <w:pPr>
        <w:ind w:left="900" w:right="160" w:hanging="325"/>
        <w:spacing w:after="0" w:line="275"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12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455" w:right="2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persons who are our “affiliates” may resell those shares without compliance with Rule 144’s minimum holding period requirements (subject to the terms of the lock-up agreement referred to below, if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March 31, 2014, after the consummation of this offering, the holders of approximately 111.6 million shares of our common stock, including shares issuable upon exercise of warrants, or their transferees, will, subject to any lock-up agreements they have entered into,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intend to file with the SEC a registration statement under the Securities Act covering the shares of common stock that we may issue upon exercise of outstanding options reserved for issuance under our 2008 Stock Incentive Plan, as amended, and our 2014 Equity Incentive Award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73"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U.S. Internal Revenue Service (“IRS”), in each case in effect as of the date of this Registration Statement.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4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tax on net investment income imposed by Section 1411 of the Code. In addition, it does not address consequences relevant to Non-U.S. Holders subject to particular rules, including, without limitation:</w:t>
      </w:r>
    </w:p>
    <w:p>
      <w:pPr>
        <w:spacing w:after="0" w:line="55" w:lineRule="exact"/>
        <w:rPr>
          <w:sz w:val="20"/>
          <w:szCs w:val="20"/>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90" w:lineRule="exact"/>
        <w:rPr>
          <w:rFonts w:ascii="Times New Roman" w:cs="Times New Roman" w:eastAsia="Times New Roman" w:hAnsi="Times New Roman"/>
          <w:sz w:val="18"/>
          <w:szCs w:val="18"/>
          <w:color w:val="auto"/>
        </w:rPr>
      </w:pPr>
    </w:p>
    <w:p>
      <w:pPr>
        <w:ind w:left="900" w:right="600" w:hanging="325"/>
        <w:spacing w:after="0" w:line="275"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95"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6"/>
          <w:szCs w:val="16"/>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w:t>
      </w:r>
    </w:p>
    <w:p>
      <w:pPr>
        <w:spacing w:after="0" w:line="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240" w:top="455" w:right="31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DISPOSITION OF OUR COMMON STOCK ARISING UNDER THE U.S. FEDERAL ESTATE OR GIFT TAX LAWS OR UNDER THE LAWS OF ANY STATE, LOCAL OR NON-U.S. TAXING JURISDICTION OR UNDER ANY APPLICABLE INCOME TAX TREATY.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92" w:lineRule="exact"/>
        <w:rPr>
          <w:sz w:val="20"/>
          <w:szCs w:val="20"/>
          <w:color w:val="auto"/>
        </w:rPr>
      </w:pPr>
    </w:p>
    <w:p>
      <w:pPr>
        <w:ind w:right="80" w:firstLine="456"/>
        <w:spacing w:after="0" w:line="334" w:lineRule="auto"/>
        <w:rPr>
          <w:sz w:val="20"/>
          <w:szCs w:val="20"/>
          <w:color w:val="auto"/>
        </w:rPr>
      </w:pPr>
      <w:r>
        <w:rPr>
          <w:rFonts w:ascii="Times New Roman" w:cs="Times New Roman" w:eastAsia="Times New Roman" w:hAnsi="Times New Roman"/>
          <w:sz w:val="16"/>
          <w:szCs w:val="16"/>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 w:lineRule="exact"/>
        <w:rPr>
          <w:sz w:val="20"/>
          <w:szCs w:val="20"/>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auto"/>
        </w:rPr>
      </w:pPr>
    </w:p>
    <w:p>
      <w:pPr>
        <w:jc w:val="both"/>
        <w:ind w:left="900" w:right="320" w:hanging="325"/>
        <w:spacing w:after="0" w:line="339" w:lineRule="auto"/>
        <w:tabs>
          <w:tab w:leader="none" w:pos="9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92"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As described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8"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certifying qualification for the lower treaty rate). A Non-U.S. Holder that does not timely furnish the applicable withholding agent with the required certification,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39" w:lineRule="exact"/>
        <w:rPr>
          <w:sz w:val="20"/>
          <w:szCs w:val="20"/>
          <w:color w:val="auto"/>
        </w:rPr>
      </w:pPr>
    </w:p>
    <w:p>
      <w:pPr>
        <w:ind w:left="900" w:hanging="325"/>
        <w:spacing w:after="0" w:line="275"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38" w:lineRule="exact"/>
        <w:rPr>
          <w:rFonts w:ascii="Times New Roman" w:cs="Times New Roman" w:eastAsia="Times New Roman" w:hAnsi="Times New Roman"/>
          <w:sz w:val="18"/>
          <w:szCs w:val="18"/>
          <w:color w:val="auto"/>
        </w:rPr>
      </w:pPr>
    </w:p>
    <w:p>
      <w:pPr>
        <w:ind w:left="900" w:right="920" w:hanging="325"/>
        <w:spacing w:after="0" w:line="275"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(“USRPI”) by reason of our status as a U.S. real property holding corporation (“USRPHC”) for U.S. federal income tax purposes.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Gain described in the first bullet point above will generally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gain, as adjusted for certain items.</w:t>
      </w:r>
    </w:p>
    <w:p>
      <w:pPr>
        <w:spacing w:after="0" w:line="13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or constructively, 5% or less of our common stock throughout the shorter of the five-year period ending on the date of the sale or other taxable disposition or the Non-U.S. Holder’s holding period.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9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holder either certifies its non-U.S. status, such as by furnishing a valid IRS Form W-8BEN or W-8ECI, or otherwise establishes an exemption. However, information returns are required to be filed with the IRS in connection with any dividends on our common stock paid to the Non-U.S. Holder, regardless of whether any tax was actually withheld.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generally will not be subject to backup withholding or information reporting.</w:t>
      </w:r>
    </w:p>
    <w:p>
      <w:pPr>
        <w:spacing w:after="0" w:line="14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92" w:lineRule="exact"/>
        <w:rPr>
          <w:sz w:val="20"/>
          <w:szCs w:val="20"/>
          <w:color w:val="auto"/>
        </w:rPr>
      </w:pPr>
    </w:p>
    <w:p>
      <w:pPr>
        <w:ind w:firstLine="456"/>
        <w:spacing w:after="0" w:line="285" w:lineRule="auto"/>
        <w:rPr>
          <w:sz w:val="20"/>
          <w:szCs w:val="20"/>
          <w:color w:val="auto"/>
        </w:rPr>
      </w:pPr>
      <w:r>
        <w:rPr>
          <w:rFonts w:ascii="Times New Roman" w:cs="Times New Roman" w:eastAsia="Times New Roman" w:hAnsi="Times New Roman"/>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paid on, or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3" w:lineRule="exact"/>
        <w:rPr>
          <w:sz w:val="20"/>
          <w:szCs w:val="20"/>
          <w:color w:val="auto"/>
        </w:rPr>
      </w:pPr>
    </w:p>
    <w:p>
      <w:pPr>
        <w:ind w:right="40" w:firstLine="8"/>
        <w:spacing w:after="0" w:line="252" w:lineRule="auto"/>
        <w:tabs>
          <w:tab w:leader="none" w:pos="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1" w:lineRule="exact"/>
        <w:rPr>
          <w:sz w:val="20"/>
          <w:szCs w:val="20"/>
          <w:color w:val="auto"/>
        </w:rPr>
      </w:pPr>
    </w:p>
    <w:p>
      <w:pPr>
        <w:ind w:right="240" w:firstLine="456"/>
        <w:spacing w:after="0" w:line="339" w:lineRule="auto"/>
        <w:rPr>
          <w:sz w:val="20"/>
          <w:szCs w:val="20"/>
          <w:color w:val="auto"/>
        </w:rPr>
      </w:pPr>
      <w:r>
        <w:rPr>
          <w:rFonts w:ascii="Times New Roman" w:cs="Times New Roman" w:eastAsia="Times New Roman" w:hAnsi="Times New Roman"/>
          <w:sz w:val="16"/>
          <w:szCs w:val="16"/>
          <w:color w:val="auto"/>
        </w:rPr>
        <w:t>Under the applicable Treasury Regulations and IRS guidance, withholding under FATCA generally will apply to payments of dividends on our common stock made on or after July 1, 2014, and to payments of gross proceeds from the sale or other disposition of such stock on or after January 1, 2017.</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Prospective investors should consult their tax advisors regarding the potential application of withholding under FATCA to their investment in our 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455" w:right="2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3"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Citigroup Global Markets Inc. and Leerink Partners LLC are acting as joint book-running managers of the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set forth opposite the underwriter’s name.</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620" w:type="dxa"/>
            <w:vAlign w:val="bottom"/>
          </w:tcPr>
          <w:p>
            <w:pPr>
              <w:jc w:val="center"/>
              <w:ind w:left="8992"/>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vMerge w:val="continue"/>
          </w:tcPr>
          <w:p>
            <w:pPr>
              <w:spacing w:after="0"/>
              <w:rPr>
                <w:sz w:val="13"/>
                <w:szCs w:val="13"/>
                <w:color w:val="auto"/>
              </w:rPr>
            </w:pPr>
          </w:p>
        </w:tc>
        <w:tc>
          <w:tcPr>
            <w:tcW w:w="9620" w:type="dxa"/>
            <w:vAlign w:val="bottom"/>
          </w:tcPr>
          <w:p>
            <w:pPr>
              <w:jc w:val="center"/>
              <w:ind w:left="9012"/>
              <w:spacing w:after="0" w:line="152"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6985</wp:posOffset>
            </wp:positionV>
            <wp:extent cx="4718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20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to purchase additional shares described below) if they purchase any of the shares.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Shares sold by the underwriters to the public will initially be offered at the public offering price set forth on the cover of this prospectus. Any shares sold</w:t>
      </w:r>
    </w:p>
    <w:p>
      <w:pPr>
        <w:spacing w:after="0" w:line="4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by the underwriters to securities dealers may be sold at a discount from the public offering price not to exceed $ per share. If all the shares are not sold at the initial offering price, the underwriters may change the offering price and the other selling terms. The representatives have advised us that the underwriters do not intend to make sales to discretionary accounts.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If the underwriters sell more shares than the total number set forth in the table above, we have granted to the underwriters an option, exercisable for 30 days</w:t>
      </w:r>
    </w:p>
    <w:p>
      <w:pPr>
        <w:spacing w:after="0" w:line="44"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18"/>
          <w:szCs w:val="18"/>
          <w:color w:val="auto"/>
        </w:rPr>
        <w:t>from the date of this prospectus, to purchase up to additional shares at the public offering price less the underwriting discount solely to cover over-allotments, if any.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38"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We, and our officers and directors have agreed that, for a period of 180 days from the date of this prospectus, we and they will not, without the prior written consent of Citigroup and Leerink, dispose of or hedge any shares or any securities convertible into or exchangeable for our common stock. Citigroup and Leerink in their sole discretion may release any of the securities subject to these lock-up agreements at any time, which, in the case of officers and directors, shall be with notice. We have applied to list our common stock on The NASDAQ Global Market under the symbol “ARDX.”</w:t>
      </w:r>
    </w:p>
    <w:p>
      <w:pPr>
        <w:spacing w:after="0" w:line="136"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 of common stock.</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 by Ardelyx</w:t>
            </w:r>
          </w:p>
        </w:tc>
      </w:tr>
      <w:tr>
        <w:trPr>
          <w:trHeight w:val="142"/>
        </w:trPr>
        <w:tc>
          <w:tcPr>
            <w:tcW w:w="46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No Exercise</w:t>
            </w:r>
          </w:p>
        </w:tc>
        <w:tc>
          <w:tcPr>
            <w:tcW w:w="9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Full Exercise</w:t>
            </w: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364"/>
        </w:trPr>
        <w:tc>
          <w:tcPr>
            <w:tcW w:w="64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97"/>
              </w:rPr>
              <w:t>We estimate that our portion of the total expenses of this offering will be approximately $</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6480" w:type="dxa"/>
            <w:vAlign w:val="bottom"/>
            <w:gridSpan w:val="2"/>
          </w:tcPr>
          <w:p>
            <w:pPr>
              <w:jc w:val="right"/>
              <w:ind w:right="1012"/>
              <w:spacing w:after="0"/>
              <w:rPr>
                <w:sz w:val="20"/>
                <w:szCs w:val="20"/>
                <w:color w:val="auto"/>
              </w:rPr>
            </w:pPr>
            <w:r>
              <w:rPr>
                <w:rFonts w:ascii="Times New Roman" w:cs="Times New Roman" w:eastAsia="Times New Roman" w:hAnsi="Times New Roman"/>
                <w:sz w:val="18"/>
                <w:szCs w:val="18"/>
                <w:color w:val="auto"/>
              </w:rPr>
              <w:t>143</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tabs>
          <w:tab w:leader="none" w:pos="7900" w:val="left"/>
        </w:tabs>
        <w:rPr>
          <w:sz w:val="20"/>
          <w:szCs w:val="20"/>
          <w:color w:val="auto"/>
        </w:rPr>
      </w:pPr>
      <w:r>
        <w:rPr>
          <w:rFonts w:ascii="Times New Roman" w:cs="Times New Roman" w:eastAsia="Times New Roman" w:hAnsi="Times New Roman"/>
          <w:sz w:val="18"/>
          <w:szCs w:val="18"/>
          <w:color w:val="auto"/>
        </w:rPr>
        <w:t>We have also agreed to reimburse the underwriters for certain of their expenses in an amount up to $</w:t>
      </w:r>
      <w:r>
        <w:rPr>
          <w:sz w:val="20"/>
          <w:szCs w:val="20"/>
          <w:color w:val="auto"/>
        </w:rPr>
        <w:tab/>
      </w:r>
      <w:r>
        <w:rPr>
          <w:rFonts w:ascii="Times New Roman" w:cs="Times New Roman" w:eastAsia="Times New Roman" w:hAnsi="Times New Roman"/>
          <w:sz w:val="16"/>
          <w:szCs w:val="16"/>
          <w:color w:val="auto"/>
        </w:rPr>
        <w:t>as set forth in the underwriting agreement.</w:t>
      </w:r>
    </w:p>
    <w:p>
      <w:pPr>
        <w:spacing w:after="0" w:line="171"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51" w:lineRule="exact"/>
        <w:rPr>
          <w:sz w:val="20"/>
          <w:szCs w:val="20"/>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shares than they are required to purchase in the offering.</w:t>
      </w:r>
    </w:p>
    <w:p>
      <w:pPr>
        <w:spacing w:after="0" w:line="90" w:lineRule="exact"/>
        <w:rPr>
          <w:rFonts w:ascii="Times New Roman" w:cs="Times New Roman" w:eastAsia="Times New Roman" w:hAnsi="Times New Roman"/>
          <w:sz w:val="18"/>
          <w:szCs w:val="18"/>
          <w:color w:val="auto"/>
        </w:rPr>
      </w:pPr>
    </w:p>
    <w:p>
      <w:pPr>
        <w:ind w:left="1480" w:right="560" w:hanging="446"/>
        <w:spacing w:after="0" w:line="275" w:lineRule="auto"/>
        <w:tabs>
          <w:tab w:leader="none" w:pos="14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shares in an amount up to the number of shares represented by the underwriters’ option to purchase additional shares.</w:t>
      </w:r>
    </w:p>
    <w:p>
      <w:pPr>
        <w:spacing w:after="0" w:line="38" w:lineRule="exact"/>
        <w:rPr>
          <w:rFonts w:ascii="Times New Roman" w:cs="Times New Roman" w:eastAsia="Times New Roman" w:hAnsi="Times New Roman"/>
          <w:sz w:val="18"/>
          <w:szCs w:val="18"/>
          <w:color w:val="auto"/>
        </w:rPr>
      </w:pPr>
    </w:p>
    <w:p>
      <w:pPr>
        <w:ind w:left="1480" w:right="220" w:hanging="446"/>
        <w:spacing w:after="0" w:line="275" w:lineRule="auto"/>
        <w:tabs>
          <w:tab w:leader="none" w:pos="14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shares in an amount in excess of the number of shares represented by the underwriters’ option to purchase additional shares.</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shares either pursuant to the underwriters’ option to purchase additional shares or in the open market in order to cover short positions.</w:t>
      </w:r>
    </w:p>
    <w:p>
      <w:pPr>
        <w:spacing w:after="0" w:line="38" w:lineRule="exact"/>
        <w:rPr>
          <w:rFonts w:ascii="Times New Roman" w:cs="Times New Roman" w:eastAsia="Times New Roman" w:hAnsi="Times New Roman"/>
          <w:sz w:val="18"/>
          <w:szCs w:val="18"/>
          <w:color w:val="auto"/>
        </w:rPr>
      </w:pPr>
    </w:p>
    <w:p>
      <w:pPr>
        <w:ind w:left="1480" w:hanging="446"/>
        <w:spacing w:after="0" w:line="262" w:lineRule="auto"/>
        <w:tabs>
          <w:tab w:leader="none" w:pos="14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51" w:lineRule="exact"/>
        <w:rPr>
          <w:rFonts w:ascii="Times New Roman" w:cs="Times New Roman" w:eastAsia="Times New Roman" w:hAnsi="Times New Roman"/>
          <w:sz w:val="18"/>
          <w:szCs w:val="18"/>
          <w:color w:val="auto"/>
        </w:rPr>
      </w:pPr>
    </w:p>
    <w:p>
      <w:pPr>
        <w:ind w:left="1480" w:right="80" w:hanging="446"/>
        <w:spacing w:after="0" w:line="258" w:lineRule="auto"/>
        <w:tabs>
          <w:tab w:leader="none" w:pos="14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5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shares so long as the stabilizing bids do not exceed a specified maximum.</w:t>
      </w:r>
    </w:p>
    <w:p>
      <w:pPr>
        <w:spacing w:after="0" w:line="17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9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Some of the underwriters and their affiliates have engaged in, and may in the future engage in, investment banking and other commercial dealings in the ordinary course of business with us or our affiliates for which they received, or may in the future receive, customary fees and commissions for these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9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6"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spacing w:after="0" w:line="51" w:lineRule="exact"/>
        <w:rPr>
          <w:sz w:val="20"/>
          <w:szCs w:val="20"/>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90" w:lineRule="exact"/>
        <w:rPr>
          <w:rFonts w:ascii="Times New Roman" w:cs="Times New Roman" w:eastAsia="Times New Roman" w:hAnsi="Times New Roman"/>
          <w:sz w:val="18"/>
          <w:szCs w:val="18"/>
          <w:color w:val="auto"/>
        </w:rPr>
      </w:pPr>
    </w:p>
    <w:p>
      <w:pPr>
        <w:jc w:val="both"/>
        <w:ind w:left="900" w:right="180" w:hanging="325"/>
        <w:spacing w:after="0" w:line="262"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shares shall require us or any underwriter to publish a prospectus pursuant to Article 3 of the Prospectus Directive.</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92"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Neither this prospectus nor any other offering material relating to the shares described in this prospectus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Marchés Financiers</w:t>
      </w:r>
      <w:r>
        <w:rPr>
          <w:rFonts w:ascii="Times New Roman" w:cs="Times New Roman" w:eastAsia="Times New Roman" w:hAnsi="Times New Roman"/>
          <w:sz w:val="18"/>
          <w:szCs w:val="18"/>
          <w:color w:val="auto"/>
        </w:rPr>
        <w:t>. The shares have not been offered or sold and will not be offered or sold, directly or indirectly, to the public in France. Neither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any other offering material relating to the shares has been or will be:</w:t>
      </w:r>
    </w:p>
    <w:p>
      <w:pPr>
        <w:spacing w:after="0" w:line="55" w:lineRule="exact"/>
        <w:rPr>
          <w:sz w:val="20"/>
          <w:szCs w:val="20"/>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shares to the public in France.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88" w:lineRule="exact"/>
        <w:rPr>
          <w:sz w:val="20"/>
          <w:szCs w:val="20"/>
          <w:color w:val="auto"/>
        </w:rPr>
      </w:pPr>
    </w:p>
    <w:p>
      <w:pPr>
        <w:ind w:left="900" w:hanging="325"/>
        <w:spacing w:after="0" w:line="264"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xml:space="preserve">), in each case investing for their own account, all as defined in, and in accordance with articles L.411-2, D.411-1, D.411-2, D.734-1, D.744-1, D.754-1 and D.764-1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4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88" w:lineRule="exact"/>
        <w:rPr>
          <w:rFonts w:ascii="Times New Roman" w:cs="Times New Roman" w:eastAsia="Times New Roman" w:hAnsi="Times New Roman"/>
          <w:sz w:val="18"/>
          <w:szCs w:val="18"/>
          <w:color w:val="auto"/>
        </w:rPr>
      </w:pPr>
    </w:p>
    <w:p>
      <w:pPr>
        <w:ind w:left="900" w:right="160" w:hanging="325"/>
        <w:spacing w:after="0" w:line="277"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L.411-2-II-1°-or-2°-or 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 xml:space="preserve">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 l’épargne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shares may be resold directly or indirectly, only in compliance with articles L.411-1, L.411-2, L.412-1 and L.621-8 through L.621-8-3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51" w:lineRule="exact"/>
        <w:rPr>
          <w:sz w:val="20"/>
          <w:szCs w:val="20"/>
          <w:color w:val="auto"/>
        </w:rPr>
      </w:pPr>
    </w:p>
    <w:p>
      <w:pPr>
        <w:ind w:left="1080" w:hanging="177"/>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90" w:lineRule="exact"/>
        <w:rPr>
          <w:rFonts w:ascii="Times New Roman" w:cs="Times New Roman" w:eastAsia="Times New Roman" w:hAnsi="Times New Roman"/>
          <w:sz w:val="18"/>
          <w:szCs w:val="18"/>
          <w:color w:val="auto"/>
        </w:rPr>
      </w:pPr>
    </w:p>
    <w:p>
      <w:pPr>
        <w:ind w:left="1500" w:hanging="159"/>
        <w:spacing w:after="0"/>
        <w:tabs>
          <w:tab w:leader="none" w:pos="15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90" w:lineRule="exact"/>
        <w:rPr>
          <w:rFonts w:ascii="Times New Roman" w:cs="Times New Roman" w:eastAsia="Times New Roman" w:hAnsi="Times New Roman"/>
          <w:sz w:val="18"/>
          <w:szCs w:val="18"/>
          <w:color w:val="auto"/>
        </w:rPr>
      </w:pPr>
    </w:p>
    <w:p>
      <w:pPr>
        <w:ind w:left="920" w:right="20" w:firstLine="421"/>
        <w:spacing w:after="0" w:line="334" w:lineRule="auto"/>
        <w:tabs>
          <w:tab w:leader="none" w:pos="15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6"/>
          <w:szCs w:val="16"/>
          <w:color w:val="auto"/>
        </w:rPr>
      </w:pPr>
    </w:p>
    <w:p>
      <w:pPr>
        <w:ind w:left="1580" w:hanging="239"/>
        <w:spacing w:after="0"/>
        <w:tabs>
          <w:tab w:leader="none" w:pos="15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0" w:lineRule="exact"/>
        <w:rPr>
          <w:rFonts w:ascii="Times New Roman" w:cs="Times New Roman" w:eastAsia="Times New Roman" w:hAnsi="Times New Roman"/>
          <w:sz w:val="18"/>
          <w:szCs w:val="18"/>
          <w:color w:val="auto"/>
        </w:rPr>
      </w:pPr>
    </w:p>
    <w:p>
      <w:pPr>
        <w:ind w:left="920" w:right="220" w:firstLine="421"/>
        <w:spacing w:after="0" w:line="262" w:lineRule="auto"/>
        <w:tabs>
          <w:tab w:leader="none" w:pos="157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51" w:lineRule="exact"/>
        <w:rPr>
          <w:rFonts w:ascii="Times New Roman" w:cs="Times New Roman" w:eastAsia="Times New Roman" w:hAnsi="Times New Roman"/>
          <w:sz w:val="18"/>
          <w:szCs w:val="18"/>
          <w:color w:val="auto"/>
        </w:rPr>
      </w:pPr>
    </w:p>
    <w:p>
      <w:pPr>
        <w:ind w:left="460" w:right="40" w:firstLine="443"/>
        <w:spacing w:after="0" w:line="275" w:lineRule="auto"/>
        <w:tabs>
          <w:tab w:leader="none" w:pos="10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Ordinance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shares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92" w:lineRule="exact"/>
        <w:rPr>
          <w:sz w:val="20"/>
          <w:szCs w:val="20"/>
          <w:color w:val="auto"/>
        </w:rPr>
      </w:pPr>
    </w:p>
    <w:p>
      <w:pPr>
        <w:ind w:right="40" w:firstLine="456"/>
        <w:spacing w:after="0" w:line="285"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ind w:right="120"/>
        <w:spacing w:after="0" w:line="323" w:lineRule="auto"/>
        <w:rPr>
          <w:sz w:val="20"/>
          <w:szCs w:val="20"/>
          <w:color w:val="auto"/>
        </w:rPr>
      </w:pPr>
      <w:r>
        <w:rPr>
          <w:rFonts w:ascii="Times New Roman" w:cs="Times New Roman" w:eastAsia="Times New Roman" w:hAnsi="Times New Roman"/>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90" w:lineRule="exact"/>
        <w:rPr>
          <w:sz w:val="20"/>
          <w:szCs w:val="20"/>
          <w:color w:val="auto"/>
        </w:rPr>
      </w:pPr>
    </w:p>
    <w:p>
      <w:pPr>
        <w:ind w:left="900" w:right="260" w:hanging="325"/>
        <w:spacing w:after="0" w:line="275"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8"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20" w:lineRule="exact"/>
        <w:rPr>
          <w:sz w:val="20"/>
          <w:szCs w:val="20"/>
          <w:color w:val="auto"/>
        </w:rPr>
      </w:pPr>
    </w:p>
    <w:p>
      <w:pPr>
        <w:ind w:right="220"/>
        <w:spacing w:after="0" w:line="334" w:lineRule="auto"/>
        <w:rPr>
          <w:sz w:val="20"/>
          <w:szCs w:val="20"/>
          <w:color w:val="auto"/>
        </w:rPr>
      </w:pPr>
      <w:r>
        <w:rPr>
          <w:rFonts w:ascii="Times New Roman" w:cs="Times New Roman" w:eastAsia="Times New Roman" w:hAnsi="Times New Roman"/>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900" w:right="240" w:hanging="325"/>
        <w:spacing w:after="0" w:line="256"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$0.2 million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5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00"/>
          </w:cols>
          <w:pgMar w:left="240" w:top="455"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validity of the issuance of our common stock offered in this prospectus will be passed upon for us by Latham &amp; Watkins LLP, Menlo Park, California.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Ropes &amp; Gray LLP is acting as counsel for the underwriters in connection with this offering.</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at December 31, 2012 and 2013, and for each of the two years in the period ended December 31, 2013, as set forth in their report. We have included our financial statements in the prospectus and elsewhere in the registration statement in reliance on Ernst &amp; Young LLP’s report, given on their authority as experts in accounting and auditing.</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Ardelyx,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A copy of the registration statement and the exhibits and schedules filed therewith may be inspected without charge at the public reference room maintained by the SEC, located at 100 F Street N.E., Room 1580, Washington,</w:t>
      </w:r>
    </w:p>
    <w:p>
      <w:pPr>
        <w:spacing w:after="0" w:line="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D.C. 20549, and copies of all or any part of the registration statement may be obtained from such offices upon the payment of the fees prescribed by the SEC. Please call the SEC at 1-800-SEC-0330 for further information about the public reference room. The SEC also maintains a website that contains reports, proxy and information statements and other information regarding registrants that file electronically with the SEC. The address is www.sec.gov.</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Upon consummation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www.ardelyx.com. Upon consummation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20" w:type="dxa"/>
            <w:vAlign w:val="bottom"/>
            <w:gridSpan w:val="7"/>
            <w:vMerge w:val="restart"/>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Report of Independent Registered Public Accounting Firm</w:t>
              </w:r>
            </w:hyperlink>
          </w:p>
        </w:tc>
        <w:tc>
          <w:tcPr>
            <w:tcW w:w="5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5220" w:type="dxa"/>
            <w:vAlign w:val="bottom"/>
            <w:gridSpan w:val="7"/>
            <w:vMerge w:val="continue"/>
          </w:tcPr>
          <w:p>
            <w:pPr>
              <w:spacing w:after="0"/>
              <w:rPr>
                <w:sz w:val="13"/>
                <w:szCs w:val="13"/>
                <w:color w:val="auto"/>
              </w:rPr>
            </w:pPr>
          </w:p>
        </w:tc>
        <w:tc>
          <w:tcPr>
            <w:tcW w:w="580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6"/>
                <w:szCs w:val="16"/>
                <w:color w:val="auto"/>
                <w:w w:val="98"/>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155">
              <w:r>
                <w:rPr>
                  <w:rFonts w:ascii="Times New Roman" w:cs="Times New Roman" w:eastAsia="Times New Roman" w:hAnsi="Times New Roman"/>
                  <w:sz w:val="18"/>
                  <w:szCs w:val="18"/>
                  <w:color w:val="0000EE"/>
                  <w:w w:val="96"/>
                </w:rPr>
                <w:t>Balance Sheets</w:t>
              </w:r>
            </w:hyperlink>
          </w:p>
        </w:tc>
        <w:tc>
          <w:tcPr>
            <w:tcW w:w="3040" w:type="dxa"/>
            <w:vAlign w:val="bottom"/>
            <w:tcBorders>
              <w:top w:val="single" w:sz="8" w:color="0000EE"/>
            </w:tcBorders>
            <w:gridSpan w:val="4"/>
          </w:tcPr>
          <w:p>
            <w:pPr>
              <w:spacing w:after="0"/>
              <w:rPr>
                <w:sz w:val="18"/>
                <w:szCs w:val="18"/>
                <w:color w:val="auto"/>
              </w:rPr>
            </w:pPr>
          </w:p>
        </w:tc>
        <w:tc>
          <w:tcPr>
            <w:tcW w:w="1100" w:type="dxa"/>
            <w:vAlign w:val="bottom"/>
            <w:gridSpan w:val="2"/>
          </w:tcPr>
          <w:p>
            <w:pPr>
              <w:spacing w:after="0"/>
              <w:rPr>
                <w:sz w:val="18"/>
                <w:szCs w:val="18"/>
                <w:color w:val="auto"/>
              </w:rPr>
            </w:pPr>
          </w:p>
        </w:tc>
        <w:tc>
          <w:tcPr>
            <w:tcW w:w="58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5220" w:type="dxa"/>
            <w:vAlign w:val="bottom"/>
            <w:gridSpan w:val="7"/>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Statements of Operations and Comprehensive Loss</w:t>
              </w:r>
            </w:hyperlink>
          </w:p>
        </w:tc>
        <w:tc>
          <w:tcPr>
            <w:tcW w:w="58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7"/>
          </w:tcPr>
          <w:p>
            <w:pPr>
              <w:spacing w:after="0" w:line="196" w:lineRule="exact"/>
              <w:rPr>
                <w:rFonts w:ascii="Times New Roman" w:cs="Times New Roman" w:eastAsia="Times New Roman" w:hAnsi="Times New Roman"/>
                <w:sz w:val="18"/>
                <w:szCs w:val="18"/>
                <w:color w:val="0000EE"/>
              </w:rPr>
            </w:pPr>
            <w:hyperlink w:anchor="page157">
              <w:r>
                <w:rPr>
                  <w:rFonts w:ascii="Times New Roman" w:cs="Times New Roman" w:eastAsia="Times New Roman" w:hAnsi="Times New Roman"/>
                  <w:sz w:val="18"/>
                  <w:szCs w:val="18"/>
                  <w:color w:val="0000EE"/>
                </w:rPr>
                <w:t>Statements of Convertible Preferred Stock and Stockholders’ Deficit</w:t>
              </w:r>
            </w:hyperlink>
          </w:p>
        </w:tc>
        <w:tc>
          <w:tcPr>
            <w:tcW w:w="58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58">
              <w:r>
                <w:rPr>
                  <w:rFonts w:ascii="Times New Roman" w:cs="Times New Roman" w:eastAsia="Times New Roman" w:hAnsi="Times New Roman"/>
                  <w:sz w:val="18"/>
                  <w:szCs w:val="18"/>
                  <w:color w:val="0000EE"/>
                  <w:w w:val="97"/>
                </w:rPr>
                <w:t>Statements of Cash Flows</w:t>
              </w:r>
            </w:hyperlink>
          </w:p>
        </w:tc>
        <w:tc>
          <w:tcPr>
            <w:tcW w:w="2980" w:type="dxa"/>
            <w:vAlign w:val="bottom"/>
            <w:tcBorders>
              <w:top w:val="single" w:sz="8" w:color="0000EE"/>
            </w:tcBorders>
            <w:gridSpan w:val="4"/>
          </w:tcPr>
          <w:p>
            <w:pPr>
              <w:spacing w:after="0"/>
              <w:rPr>
                <w:sz w:val="17"/>
                <w:szCs w:val="17"/>
                <w:color w:val="auto"/>
              </w:rPr>
            </w:pPr>
          </w:p>
        </w:tc>
        <w:tc>
          <w:tcPr>
            <w:tcW w:w="4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5220" w:type="dxa"/>
            <w:vAlign w:val="bottom"/>
            <w:gridSpan w:val="7"/>
          </w:tcPr>
          <w:p>
            <w:pPr>
              <w:spacing w:after="0" w:line="19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Notes to Financial Statements</w:t>
              </w:r>
            </w:hyperlink>
          </w:p>
        </w:tc>
        <w:tc>
          <w:tcPr>
            <w:tcW w:w="58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78"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We have audited the accompanying balance sheets of Ardelyx, Inc. (the Company) as of December 31, 2012 and 2013, and the related statements of operations and comprehensive loss, convertible preferred stock and stockholders’ deficit, and cash flows for each of the years then ended. These financial statements are the responsibility of the Company’s management. Our responsibility is to express an opinion on these financial statements based on our audits.</w:t>
      </w:r>
    </w:p>
    <w:p>
      <w:pPr>
        <w:spacing w:after="0" w:line="1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Ardelyx, Inc. at December 31, 2012 and 2013, and the results of its operations and its cash flows for each of the years then ended, in conformity with U.S. generally accepted accounting principles.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00"/>
          </w:cols>
          <w:pgMar w:left="240" w:top="456"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32,903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41,836</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4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warrant liability</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related to early exercise of options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Convertible preferred stock, $0.0001 par value per share—108,829,748 shares authorized; 103,655,115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as of December 31, 2012 and 2013, actual; aggregate liquidation</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preferences of $59,074 as of December 31, 2012 and 2013, actual; no shares issued and outstanding as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December 31, 2013, pro forma (unaudited)</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$0.0001 par value per share—129,360,120 and 130,360,121 shares authorized as of</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December 31, 2012 and 2013; 9,014,735 and 11,029,497 shares issued and outstanding as of</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 31, 2012 and 2013, actual;</w:t>
            </w: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as of December 31,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2013, pro forma (unaudited)</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4"/>
              </w:rPr>
              <w:t>(62,089)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7"/>
              </w:rPr>
              <w:t>(68,653)</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(57,392)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(63,479)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20,865</w:t>
            </w: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56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56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86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7,776,345</w:t>
            </w: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10,152,207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 (unaudited)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pro forma net loss per common share, basic and diluted (unaudited)</w:t>
            </w: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Deficit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0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4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80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260" w:type="dxa"/>
            <w:vAlign w:val="bottom"/>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0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0"/>
              </w:rPr>
              <w:t>Capital</w:t>
            </w:r>
          </w:p>
        </w:tc>
        <w:tc>
          <w:tcPr>
            <w:tcW w:w="1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2012</w:t>
            </w:r>
          </w:p>
        </w:tc>
        <w:tc>
          <w:tcPr>
            <w:tcW w:w="9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103,655,115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$56,155</w:t>
            </w:r>
          </w:p>
        </w:tc>
        <w:tc>
          <w:tcPr>
            <w:tcW w:w="4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5,935,553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Exercise of stock options and lapse of repurchase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rights related to common shares issued pursuant to</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early exercises</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3,079,182</w:t>
            </w:r>
          </w:p>
        </w:tc>
        <w:tc>
          <w:tcPr>
            <w:tcW w:w="16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2012</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103,655,115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w:t>
            </w:r>
          </w:p>
        </w:tc>
        <w:tc>
          <w:tcPr>
            <w:tcW w:w="40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9,014,735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(62,089)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Exercise of stock options and lapse of repurchase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rights related to common shares issued pursuant to</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early exercises</w:t>
            </w:r>
          </w:p>
        </w:tc>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2,014,762</w:t>
            </w:r>
          </w:p>
        </w:tc>
        <w:tc>
          <w:tcPr>
            <w:tcW w:w="16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(6,564)</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2013</w:t>
            </w:r>
          </w:p>
        </w:tc>
        <w:tc>
          <w:tcPr>
            <w:tcW w:w="1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103,655,115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56,155</w:t>
            </w:r>
          </w:p>
        </w:tc>
        <w:tc>
          <w:tcPr>
            <w:tcW w:w="40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11,029,497</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(9,785)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rent</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32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including early exercise of stock options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unvested common stock</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32,903</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9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Ardelyx, Inc. (the “Company”) a clinical stage biopharmaceutical company focused on the discovery, development and commercialization of innovative, non-systemic, small molecule therapeutics that work exclusively in the gastrointestinal tract to treat cardio-renal, gastrointestinal and metabolic diseases. The Company has developed a drug discovery and design platform enabling it, in a rapid and cost-efficient manner, to discover and design novel drug candidates. The Company was incorporated in Delaware on October 17, 2007, under the name Nteryx and changed its name to Ardelyx, Inc. in June 2008.</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operates in only one business segment, which is the development of biopharmaceutical products.</w:t>
      </w:r>
    </w:p>
    <w:p>
      <w:pPr>
        <w:spacing w:after="0" w:line="291" w:lineRule="exact"/>
        <w:rPr>
          <w:sz w:val="20"/>
          <w:szCs w:val="20"/>
          <w:color w:val="auto"/>
        </w:rPr>
      </w:pPr>
    </w:p>
    <w:p>
      <w:pPr>
        <w:ind w:right="7640" w:firstLine="8"/>
        <w:spacing w:after="0" w:line="345" w:lineRule="auto"/>
        <w:tabs>
          <w:tab w:leader="none" w:pos="446"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140" w:firstLine="456"/>
        <w:spacing w:after="0" w:line="29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judgments that affect the amounts reported in the financial statements and accompanying notes. On an ongoing basis, management evaluates its estimates, including those related to revenue recognition, clinical trial accruals, fair value of convertible preferred stock and related warrants, fair value of common stock, income taxes, and stock-based compensation. Management bases its estimates on historical experience and on various other market-specific and relevant assumptions that management believes to be reasonable under the circumstances. Actual results may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Stockholders’ Equity (Deficit)</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pro forma stockholders’ equity (deficit) as of December 31, 2013 presents the Company’s stockholders’ equity (deficit) as though all of the Company’s outstanding convertible preferred stock had automatically converted into shares of common stock upon the completion of an initial public offering (an “IPO”) of the Company’s common stock. In addition, the pro forma stockholders’ equity assumes the reclassification of the convertible preferred stock warrant liability in stockholders’ equity upon completion of an IPO of the Company’s common stock, as the warrants are net exercised for common stock upon an IPO.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2"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date of 90 days or less on the date of purchase to be cash equivalents. The Company invests its cash in bank deposits and money market accounts.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 is required to guarantee the credit limit on its corporate credit card with a certificate of deposit of $100,000. The collateral will be released upon the cancellation of the corporate credit card.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is required under its facility lease agreement to maintain a line of credit with a bank in the amount of $80,000 for the benefit of the lessor.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line of credit is secured by a cash deposit with the bank. The cash deposit will be released upon expiration of the line of credit.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cash equivalents, and certificates of deposit. Cash and cash equivalents, as well as certificates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of deposit held with financial institutions, may exceed the Federal Deposit Insurance Corporation insurance limits. The Company is exposed to credit risk in the event of default by the financial institutions holding its cash and cash equivalents to the extent of the amounts on its balance sheets. The Company has not experienced any losses on its cash, cash equivalents and certificates of deposit during the years ended December 31, 2012 and 2013.</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Accounts receivable are unsecured and are concentrated with one collaboration partner in the pharmaceutical industry, AstraZeneca AB (“AstraZeneca”). Accordingly, the Company may be exposed to credit risk generally associated with pharmaceutical companies or specific to the license and collaboration agreement with AstraZeneca. To date the Company has not experienced any losses related to its receivables.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and non-financial assets and liabilities that are recognized or disclosed at fair value in the financial statements on a recurring basis (at least annually).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generally three to five years. Leasehold improvements are amortized over the lesser of the estimated useful lives or the related remaining lease term.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for impairment whenever events or changes in business circumstances indicate that the carrying amount of the assets may not be fully recoverable. If indicators of impairment exist, an impairment loss would be recognized when estimated, undiscounted future cash flows expected to result from the use of the asset and its eventual disposition are less than its carrying amount. The impairment charge is determined based upon the excess of the carrying value of the asset over its fair value, with fair value determined based upon an estimate of discounted future cash flows or another appropriate measure of fair value. The Company has not recorded any impairment of long-lived assets during the years ended December 31, 2012 and 2013.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 from research activities made under collaboration partnership agreements are recognized as the services are provided and when there is persuasive evidence that an arrangement exists, delivery has occurred, the price is fixed or determinable, and collectability is reasonably assured. Revenue generated from research and licensing agreements typically includes up-front signing or license fees, cost reimbursements, research services, minimum sublicense fees, milestone payments, and royalties on future licensees’ product sales.</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its best estimate of selling price for that deliverable. Revenue allocated is then recognized when the four basic revenue recognition criteria are met for each element.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 recognizes revenue from upfront payments ratably over the term of its estimated period of performance under the agreement which is recorded as licensing revenue. Reimbursements for development costs incurred under the Company’s license agreement with AstraZeneca are classified as collaborative development revenue. The Company recognizes cost reimbursement revenue under collaboration partnership agreements as the related research and development costs for services are rendered. Deferred revenue represents the portion of research or license payments received which has not been earned.</w:t>
      </w:r>
    </w:p>
    <w:p>
      <w:pPr>
        <w:spacing w:after="0" w:line="10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Revenues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 The Company will recognize revenue associated with the non-substantive milestones upon achievement of the milestone if there are no undelivered elements and it has no remaining performance obligations. The Company will account for sales-based milestones as royalties that will be recognized as revenue upon achievement of the milestone.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measures its stock-based payment awards made to employees and directors based on the estimated fair values of the awards and recognizes the compensation expense over the requisite service period. The Company has selected the Black-Scholes option-pricing model to estimate the fair value of its stock-based awards. Stock-based compensation expense is recognized using the straight-line method.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39"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Company accounts for compensation expense related to stock options granted to non-employees based on the fair values estimated using the Black-Scholes model. Stock options granted to non-employees are remeasured at each reporting date until the award is vested.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9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Major components of research and development expenses consist of personnel costs, materials and supplies, and allocations of facilities-related costs, as well as fees paid to consultants and third parties that conduct certain research and development activities on the Company’s behalf. Payments made to other entities are under agreements that are generally cancelable by the Company. Nonrefundable advance payments for goods or services to be rendered in the future for use in research and development activities are deferred and capitalized. The capitalized amounts are expensed as the related goods are delivered or the services are performed.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Warrant Liability</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accounts for freestanding warrants to purchase shares of convertible preferred stock that are contingently redeemable as liabilities in the balance sheets at their estimated fair value. Convertible preferred stock warrants are subject to remeasurement at each balance sheet date, and any change in fair value is recognized as a component of other expense, net in the statements of operations and comprehensive loss.</w:t>
      </w:r>
    </w:p>
    <w:p>
      <w:pPr>
        <w:spacing w:after="0" w:line="13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 will continue to adjust the liability for changes in fair value until the earlier of: (1) the exercise or expiration of the warrants or (2) the completion of a liquidation event, including the completion of an IPO, at which time all convertible preferred stock warrants will be net exercised and the liability will be reclassified to additional paid-in capital in stockholders’ deficit.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456" w:right="2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2"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Comprehensive loss is composed of two components: net loss and other comprehensive income (loss). Other comprehensive income (loss) refers to gains and losses that under GAAP are recorded as an element of stockholders’ deficit, but are excluded from net loss. The Company did not record any transactions within other comprehensive income (loss) in the periods presented and, therefore, the net loss and comprehensive loss were the same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during the period, without consideration of common stock equivalents. Diluted net loss per common share is the same as basic net loss per common share, since the effects of potentially dilutive securities are antidilutive.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Net Loss per Common Share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Pro forma basic and diluted net loss per share attributable to common stockholders has been computed to give effect to the conversion of all outstanding shares of the convertible preferred stock and the net exercise of the preferred stock warrants upon the closing of the IPO. Also, the numerator in the pro forma basic and diluted net loss per share attributable to common stockholders calculation has been adjusted to remove gains or losses resulting from the remeasurement of the convertible preferred stock warrant liability related to warrants to purchase shares of convertible preferred stock, as it will be reclassified to additional paid-in capital upon a IPO of the Company’s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90" w:lineRule="exact"/>
        <w:rPr>
          <w:sz w:val="20"/>
          <w:szCs w:val="20"/>
          <w:color w:val="auto"/>
        </w:rPr>
      </w:pPr>
    </w:p>
    <w:p>
      <w:pPr>
        <w:jc w:val="both"/>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July 2013, the Financial Accounting Standards Board, or FASB, issued Accounting Standards Update (ASU) 2013-11, </w:t>
      </w:r>
      <w:r>
        <w:rPr>
          <w:rFonts w:ascii="Times New Roman" w:cs="Times New Roman" w:eastAsia="Times New Roman" w:hAnsi="Times New Roman"/>
          <w:sz w:val="18"/>
          <w:szCs w:val="18"/>
          <w:i w:val="1"/>
          <w:iCs w:val="1"/>
          <w:color w:val="auto"/>
        </w:rPr>
        <w:t>Presentation of an Unrecognized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Benefit When a Net Operating Loss Carryforward, a Similar Tax Loss, or a Tax Credit Carryforward Exists</w:t>
      </w:r>
      <w:r>
        <w:rPr>
          <w:rFonts w:ascii="Times New Roman" w:cs="Times New Roman" w:eastAsia="Times New Roman" w:hAnsi="Times New Roman"/>
          <w:sz w:val="18"/>
          <w:szCs w:val="18"/>
          <w:color w:val="auto"/>
        </w:rPr>
        <w:t>. The ASU concludes an unrecognized tax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presented as a reduction of a deferred tax asset when settlement in this manner is available under the law. The Company will adopt this amendment as of January 1, 2014. The result of adoption may be to reclassify certain long term tax liabilities to long term deferred tax assets, and the adoption will not result in a change to the tax provision. Management does not believe that the impact on the balance sheet will be significant.</w:t>
      </w:r>
    </w:p>
    <w:p>
      <w:pPr>
        <w:spacing w:after="0" w:line="256"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The carrying amounts of certain of the Company’s financial instruments, including cash equivalents, accounts receivable and accounts payable, are valued at cost, which approximates fair value due to their short maturities. The accounting guidance for fair value provides a framework for measuring fair value, and requires certain new disclosures about how fair value is determined.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00"/>
          </w:cols>
          <w:pgMar w:left="240" w:top="455" w:right="2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Level 1—Observable inputs such as quoted prices (unadjusted)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90"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Level 2—Observable inputs such as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or model-derived valuations whose significant inputs are observable.</w:t>
      </w: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3—Unobservable inputs that reflect the reporting entity’s own assumptions.</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on a recurring basis by level within the fair value hierarchy: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5"/>
              </w:rPr>
              <w:t>December 31, 2012</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2</w:t>
            </w: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market funds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30,844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30,844</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31,024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30,844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$ 180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2,950</w:t>
            </w: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2,950</w:t>
            </w:r>
          </w:p>
        </w:tc>
        <w:tc>
          <w:tcPr>
            <w:tcW w:w="10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5"/>
              </w:rPr>
              <w:t>December 31, 2013</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Level 2</w:t>
            </w: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Money market funds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32,472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32,472</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32,652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32,472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$ 180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9"/>
                <w:szCs w:val="19"/>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6,456</w:t>
            </w: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6,456</w:t>
            </w:r>
          </w:p>
        </w:tc>
        <w:tc>
          <w:tcPr>
            <w:tcW w:w="10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Where quoted prices are available in an active market, securities are classified as Level 1. The Company classifies money market funds as Level 1. When quoted market prices are not available for the specific security, then the Company estimates fair value by using benchmark yields, reported trades, broker/dealer quotes, and issuer spreads. The Company classifies certificates of deposit as Level 2. In certain cases where there is limited activity or less transparency around inputs to valuation, securities are classified as Level 3. Level 3 liabilities that are measured at fair value on a recurring basis consist of the preferred stock warrant liability, which was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measured in 2012 using its intrinsic value given the low exercise price of the warrants. In 2013, the Company estimated the fair value of the warrant liability using the probability weighted expected return method that calculated the probability of the Company going public or being acquired, and the option-pricing method for remaining private in the near to mid-term. The determination of the fair value of the preferred stock warrants is discussed in Note 8. Generally, increases or decreases in the fair value of the underlying convertible preferred stock would result in a directionally similar impact in the fair value measurement of the warrant liability. There were no transfers between Level 1 and Level 2 during the periods presented.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changes in liabilities measured at fair value on a recurring basis using Level 3 inputs: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Warrant Liability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fair value of warrant liabilities upon revaluation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in fair value of warrant liabilities upon revaluation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gridSpan w:val="2"/>
            <w:vMerge w:val="continue"/>
          </w:tcPr>
          <w:p>
            <w:pPr>
              <w:spacing w:after="0"/>
              <w:rPr>
                <w:sz w:val="24"/>
                <w:szCs w:val="24"/>
                <w:color w:val="auto"/>
              </w:rPr>
            </w:pPr>
          </w:p>
        </w:tc>
        <w:tc>
          <w:tcPr>
            <w:tcW w:w="9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(3,332)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and amortization expense totaled $675,000 and $592,000 for the years ended December 31, 2012 and 2013.</w:t>
      </w:r>
    </w:p>
    <w:p>
      <w:pPr>
        <w:spacing w:after="0" w:line="291" w:lineRule="exact"/>
        <w:rPr>
          <w:sz w:val="20"/>
          <w:szCs w:val="20"/>
          <w:color w:val="auto"/>
        </w:rPr>
      </w:pPr>
    </w:p>
    <w:p>
      <w:pPr>
        <w:ind w:left="460" w:hanging="452"/>
        <w:spacing w:after="0"/>
        <w:tabs>
          <w:tab w:leader="none" w:pos="4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 with AstraZeneca</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October 2012, the Company entered into a license agreement (the “License Agreement”) pursuant to which the Company and AstraZeneca collaborate to research, develop, and commercialize the Company’s small molecule NHE3 inhibitors program, which includes the Company’s lead product candidate, tenapanor, as well as back-up compounds. Pursuant to the agreement, the Company granted a worldwide exclusive right and license to exploit such licensed compounds solely for development and commercialization purposes.</w:t>
      </w:r>
    </w:p>
    <w:p>
      <w:pPr>
        <w:spacing w:after="0" w:line="13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 is responsible for certain development activities from the effective date of the agreement through completion of the Chronic Kidney Disease (“CKD”) Phase 2a clinical trial. AstraZeneca reimburses the Company for its internal and external development-related costs. The Company is also obligated to participate 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a Development Collaboration Committee through the completion of all Phase 2 clinical trials for tenapanor. The Company will initially be responsible for supplying the compound of the licensed product for use in the development. The License Agreement also provides for the Company to transfer the technology and other necessary information such that AstraZeneca will be able to assume the responsibility for the supply of the drug product for use in later-stage clinical trials. As part of the transaction, the Company has an option to co-promote the product in the United States, subject to agreed limitations.</w:t>
      </w:r>
    </w:p>
    <w:p>
      <w:pPr>
        <w:spacing w:after="0" w:line="10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the License Agreement, AstraZeneca paid the Company an up-front license fee of $35.0 million in October 2012. In December 2013, AstraZeneca and the Company entered into an amendment to the License Agreement to acknowledge the intention of AstraZeneca to commence development of tenapanor for the treatment of hyperphosphatemia in End-Stage Renal Disease (“ESRD”) patients, and to provide additional clarification for the payment of certain development milestones (the “License Amendment”). The License Amendment was not deemed to be a material modification to the arrangement since there were no changes in the total arrangement consideration or key provisions. AstraZeneca made a payment of $15.0 million in December 2013 pursuant to the amendment. The payment was combined with the unamortized upfront payment and is being recognized as revenue on a straight-line basis over the estimated period of performance.</w:t>
      </w:r>
    </w:p>
    <w:p>
      <w:pPr>
        <w:spacing w:after="0" w:line="14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Company may also receive future contingent payments up to a total of $820.0 million, which is comprised of development milestones up to an additional $222.5 million and launch, commercialization, and sales milestones up to an additional $597.5 million. The contingent payments are triggered upon the activities expected to be undertaken by AstraZeneca. Revenue from milestones, if they are nonrefundable and deemed substantive, are recognized upon successful accomplishment of the milestones. The Company will recognize revenue associated with the non-substantive milestones upon achievement of the milestones if there are no undelivered elements and it has no remaining performance obligations. To the extent that non-substantive milestones are achieved and the Company has remaining performance obligations, milestones are deferred and recognized as revenue over the estimated remaining period of performance.</w:t>
      </w:r>
    </w:p>
    <w:p>
      <w:pPr>
        <w:spacing w:after="0" w:line="11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Upon product sales, the Company is eligible to receive royalties that adjust depending on sales volume with royalty percentage ranges starting in the high single digits and moving into tiered double digits in mid-teens as net sales increase, subject to reductions in certain specified circumstances.</w:t>
      </w:r>
    </w:p>
    <w:p>
      <w:pPr>
        <w:spacing w:after="0" w:line="120"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The Company has identified the deliverables within the arrangement as a license to the technology, the initial supply of the compound of the licensed product for use in development, and ongoing development activities through completion of all Phase 2 clinical trials for tenapanor. The Company has concluded that the license is not a separate unit of accounting as it does not have stand-alone value to AstraZeneca, apart from the development services to be performed pursuant to the agreement. As a result, the Company will recognize revenue from the up-front payment on a straight-line basis over the period from the effective date of the agreement through the completion of all Phase 2 clinical trials for tenapanor (the estimated period of performance). The Company initially determined that the end of all Phase 2 clinical trials was June 2015. In 2013, in connection with its process for re-evaluating the progress of clinical activities, the Company revised its estimate for the completion of all Phase 2 clinical trials to December 2016. The $15.0 million payment received under the amendment was combined with the unamortized up-front payment and is being recognized as revenue on a straight-line basis over the estimated period of performance.</w:t>
      </w:r>
    </w:p>
    <w:p>
      <w:pPr>
        <w:spacing w:after="0" w:line="112"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2012 and 2013, the Company recognized revenue amounting $3.2 million and $8.1 million, respectively, related to amortization of the up-front and other license fees, and $2.2 million and $20.9 million for collaborative development services. As of December 31, 2013, the Company has total deferred revenue of $40.3 million related to the AstraZeneca license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Company entered into a lease agreement beginning in September 2008 for a facility in Fremont, California. The lease term was 60 months and ended in September 2013. The master lease agreement included scheduled rent increases over the term of the lease. Rent increases, including the impact of a rent holiday and a leasehold improvement allowance from the landlord, were recognized as deferred rent and amortized on a straight-line basis over the term of the original lease.</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20, 2012, the Company extended the lease agreement for 36 months. The extension period commenced in September 2013, and will end in September 2016. The extended lease agreement included scheduled rent increases, which are amortized on a straight-line basis over the term of the extension. The Company has the option to renew the lease for an additional three years. The future minimum payments under the noncancelable operating lease at December 31, 2013,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9"/>
        </w:trPr>
        <w:tc>
          <w:tcPr>
            <w:tcW w:w="1620" w:type="dxa"/>
            <w:vAlign w:val="bottom"/>
            <w:tcBorders>
              <w:top w:val="single" w:sz="8" w:color="auto"/>
            </w:tcBorders>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8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8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8"/>
                <w:szCs w:val="18"/>
                <w:color w:val="auto"/>
              </w:rPr>
            </w:pPr>
          </w:p>
        </w:tc>
      </w:tr>
      <w:tr>
        <w:trPr>
          <w:trHeight w:val="223"/>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under operating leases was $436,000 and $480,000 for the years ended December 31, 2012 and 2013,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permitted under Delaware law and in accordance with the Company’s bylaws, the Company indemnifies its officers and directors for certain events or occurrences while the officer or director is or was serving in such capacity. The maximum amount of potential future indemnification is unlimited; however, the Company currently holds director and officer liability insurance. This insurance allows the transfer of the risk associated with the Company’s exposure and may enable it to recover a portion of any future amounts paid. The Company may terminate the indemnification agreements with its officers and directors upon a 90-day written notification, but termination will not affect claims for indemnification related to events occurring prior to the effective date of termination. The Company believes the fair value of these indemnification agreements is minimal. Accordingly, the Company has not recorded any liabilities associated with these indemnification agreements as of December 31, 2012 or 2013.</w:t>
      </w:r>
    </w:p>
    <w:p>
      <w:pPr>
        <w:spacing w:after="0" w:line="261" w:lineRule="exact"/>
        <w:rPr>
          <w:sz w:val="20"/>
          <w:szCs w:val="20"/>
          <w:color w:val="auto"/>
        </w:rPr>
      </w:pPr>
    </w:p>
    <w:p>
      <w:pPr>
        <w:ind w:left="460" w:hanging="452"/>
        <w:spacing w:after="0"/>
        <w:tabs>
          <w:tab w:leader="none" w:pos="4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Convertible preferred stock as of December 31, 2012 and 2013 consisted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Shares Issued</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4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1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40" w:type="dxa"/>
            <w:vAlign w:val="bottom"/>
          </w:tcPr>
          <w:p>
            <w:pPr>
              <w:spacing w:after="0"/>
              <w:rPr>
                <w:sz w:val="12"/>
                <w:szCs w:val="12"/>
                <w:color w:val="auto"/>
              </w:rPr>
            </w:pPr>
          </w:p>
        </w:tc>
        <w:tc>
          <w:tcPr>
            <w:tcW w:w="7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Liquidation</w:t>
            </w:r>
          </w:p>
        </w:tc>
        <w:tc>
          <w:tcPr>
            <w:tcW w:w="0" w:type="dxa"/>
            <w:vAlign w:val="bottom"/>
          </w:tcPr>
          <w:p>
            <w:pPr>
              <w:spacing w:after="0"/>
              <w:rPr>
                <w:sz w:val="1"/>
                <w:szCs w:val="1"/>
                <w:color w:val="auto"/>
              </w:rPr>
            </w:pPr>
          </w:p>
        </w:tc>
      </w:tr>
      <w:tr>
        <w:trPr>
          <w:trHeight w:val="159"/>
        </w:trPr>
        <w:tc>
          <w:tcPr>
            <w:tcW w:w="6900" w:type="dxa"/>
            <w:vAlign w:val="bottom"/>
            <w:gridSpan w:val="2"/>
            <w:vMerge w:val="continue"/>
          </w:tcPr>
          <w:p>
            <w:pPr>
              <w:spacing w:after="0"/>
              <w:rPr>
                <w:sz w:val="13"/>
                <w:szCs w:val="13"/>
                <w:color w:val="auto"/>
              </w:rPr>
            </w:pPr>
          </w:p>
        </w:tc>
        <w:tc>
          <w:tcPr>
            <w:tcW w:w="1100" w:type="dxa"/>
            <w:vAlign w:val="bottom"/>
            <w:gridSpan w:val="2"/>
          </w:tcPr>
          <w:p>
            <w:pPr>
              <w:jc w:val="right"/>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260" w:type="dxa"/>
            <w:vAlign w:val="bottom"/>
          </w:tcPr>
          <w:p>
            <w:pPr>
              <w:spacing w:after="0"/>
              <w:rPr>
                <w:sz w:val="13"/>
                <w:szCs w:val="13"/>
                <w:color w:val="auto"/>
              </w:rPr>
            </w:pPr>
          </w:p>
        </w:tc>
        <w:tc>
          <w:tcPr>
            <w:tcW w:w="1360" w:type="dxa"/>
            <w:vAlign w:val="bottom"/>
            <w:gridSpan w:val="2"/>
          </w:tcPr>
          <w:p>
            <w:pPr>
              <w:jc w:val="center"/>
              <w:ind w:right="4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440" w:type="dxa"/>
            <w:vAlign w:val="bottom"/>
          </w:tcPr>
          <w:p>
            <w:pPr>
              <w:spacing w:after="0"/>
              <w:rPr>
                <w:sz w:val="13"/>
                <w:szCs w:val="13"/>
                <w:color w:val="auto"/>
              </w:rPr>
            </w:pPr>
          </w:p>
        </w:tc>
        <w:tc>
          <w:tcPr>
            <w:tcW w:w="780" w:type="dxa"/>
            <w:vAlign w:val="bottom"/>
            <w:gridSpan w:val="3"/>
          </w:tcPr>
          <w:p>
            <w:pPr>
              <w:jc w:val="right"/>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Preference</w:t>
            </w:r>
          </w:p>
        </w:tc>
        <w:tc>
          <w:tcPr>
            <w:tcW w:w="0" w:type="dxa"/>
            <w:vAlign w:val="bottom"/>
          </w:tcPr>
          <w:p>
            <w:pPr>
              <w:spacing w:after="0"/>
              <w:rPr>
                <w:sz w:val="1"/>
                <w:szCs w:val="1"/>
                <w:color w:val="auto"/>
              </w:rPr>
            </w:pPr>
          </w:p>
        </w:tc>
      </w:tr>
      <w:tr>
        <w:trPr>
          <w:trHeight w:val="149"/>
        </w:trPr>
        <w:tc>
          <w:tcPr>
            <w:tcW w:w="180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25,231,213</w:t>
            </w:r>
          </w:p>
        </w:tc>
        <w:tc>
          <w:tcPr>
            <w:tcW w:w="1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25,231,213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$25,957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83,598,535</w:t>
            </w:r>
          </w:p>
        </w:tc>
        <w:tc>
          <w:tcPr>
            <w:tcW w:w="16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78,423,902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108,829,748</w:t>
            </w:r>
          </w:p>
        </w:tc>
        <w:tc>
          <w:tcPr>
            <w:tcW w:w="16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103,655,115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56,155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Company recorded the Series A and Series B convertible preferred stock at fair value on the dates of issuance, net of issuance costs. Shares of the convertible preferred stock are not currently redeemable. 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redemption event will only occur upon liquidation or winding up of the Company, a greater than 50% change of control, or sale of substantially all of its assets. The Company classified the convertible preferred stock outside of stockholders’ deficit because, in the event of certain liquidation events that are not solely within its control, the shares would become redeemable at the option of the holders. The Company 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redemption amount of outstanding Series A is equal to its liquidation value, or $1.14 per share. The redemption amount of outstanding Series B is equal to its liquidation value, or $0.3865 per share.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rights, privileges, and preferences of convertible preferred stock are as follows:</w:t>
      </w:r>
    </w:p>
    <w:p>
      <w:pPr>
        <w:spacing w:after="0" w:line="169"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Each share of convertible preferred stock is convertible, at the option of the holder, into one fully paid non-assessable share of common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conversion formula is adjusted for such events as dilutive issuances, stock splits, or reclassification. Each and every series of preferred stock shall convert automatically into common stock at the earlier of (i) a firmly underwritten public offering meeting certain criteria, including an offering price per share of not less than $3.42, at least $30.0 million in gross proceeds, and pursuant to which the common stock shall be listed on the New York Stock Exchange or NASDAQ or</w:t>
      </w:r>
    </w:p>
    <w:p>
      <w:pPr>
        <w:spacing w:after="0" w:line="2" w:lineRule="exact"/>
        <w:rPr>
          <w:sz w:val="20"/>
          <w:szCs w:val="20"/>
          <w:color w:val="auto"/>
        </w:rPr>
      </w:pPr>
    </w:p>
    <w:p>
      <w:pPr>
        <w:ind w:right="20" w:firstLine="8"/>
        <w:spacing w:after="0" w:line="261" w:lineRule="auto"/>
        <w:tabs>
          <w:tab w:leader="none" w:pos="2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written request or agreement of holders of at least two-third of the then outstanding shares of convertible preferred stock (voting together as a separate class on an as-if converted to common stock basis).</w:t>
      </w:r>
    </w:p>
    <w:p>
      <w:pPr>
        <w:spacing w:after="0" w:line="130"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Series A and Series B are each entitled to non-cumulative dividends of $0.909 per share and $0.0309 per share, respectively,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annum, if and when declared by the Board of Directors. Dividends to Series A and Series B stockholders are to be paid in advance of any distributions to common stockholders. No dividends have been declared as of December 31, 2013.</w:t>
      </w:r>
    </w:p>
    <w:p>
      <w:pPr>
        <w:spacing w:after="0" w:line="127" w:lineRule="exact"/>
        <w:rPr>
          <w:sz w:val="20"/>
          <w:szCs w:val="20"/>
          <w:color w:val="auto"/>
        </w:rPr>
      </w:pPr>
    </w:p>
    <w:p>
      <w:pPr>
        <w:ind w:firstLine="456"/>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Voting: </w:t>
      </w:r>
      <w:r>
        <w:rPr>
          <w:rFonts w:ascii="Times New Roman" w:cs="Times New Roman" w:eastAsia="Times New Roman" w:hAnsi="Times New Roman"/>
          <w:sz w:val="16"/>
          <w:szCs w:val="16"/>
          <w:color w:val="auto"/>
        </w:rPr>
        <w:t>Each holder of shares of convertible preferred stock is entitled to voting rights equivalent to the number of shares of common stock into which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shares are convertible. Certain financing, acquisition, disposition, and recapitalization transactions require the vote of a majority of the shares of outstanding preferred stock, provided at least 25% of the aggregate number of shares of convertible preferred stock that have been issued and remain outstanding.</w:t>
      </w:r>
    </w:p>
    <w:p>
      <w:pPr>
        <w:spacing w:after="0" w:line="9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a liquidation or winding up of the Company, whether voluntary or involuntary, before payment is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any other series of preferred stock or to the holders of common stock, holders of the Series A are entitled to be paid a liquation preference of $1.14 per share and Series B a liquidation preference of $0.3865 per share, together with any declared but unpaid dividends on the stockholders’ preferred shares. If assets are insufficient to make payments in full to all holders of Series A and Series B, then the assets or consideration will be distributed ratably among the holders of convertible preferred stockholders. Remaining assets shall be distributed among the holders of the common stock on a pro rata basis based on the number of shares of common stock held.</w:t>
      </w:r>
    </w:p>
    <w:p>
      <w:pPr>
        <w:spacing w:after="0" w:line="139"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Election of Board of Directors: </w:t>
      </w:r>
      <w:r>
        <w:rPr>
          <w:rFonts w:ascii="Times New Roman" w:cs="Times New Roman" w:eastAsia="Times New Roman" w:hAnsi="Times New Roman"/>
          <w:sz w:val="18"/>
          <w:szCs w:val="18"/>
          <w:color w:val="auto"/>
        </w:rPr>
        <w:t>The holders of convertible preferred stock are entitled to elect two members of the Board of Directors, and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entitled to elect two members. Convertible preferred stockholders, together with common stockholders voting together as a single class, are entitled to elect all remaining members of the Board of Directors.</w:t>
      </w:r>
    </w:p>
    <w:p>
      <w:pPr>
        <w:spacing w:after="0" w:line="249" w:lineRule="exact"/>
        <w:rPr>
          <w:sz w:val="20"/>
          <w:szCs w:val="20"/>
          <w:color w:val="auto"/>
        </w:rPr>
      </w:pPr>
    </w:p>
    <w:p>
      <w:pPr>
        <w:ind w:left="460" w:hanging="452"/>
        <w:spacing w:after="0"/>
        <w:tabs>
          <w:tab w:leader="none" w:pos="4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 Warrants</w:t>
      </w:r>
    </w:p>
    <w:p>
      <w:pPr>
        <w:spacing w:after="0" w:line="9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the closing of the Series B financing in August 2011, the Company issued warrants for the purchase of 5,174,633 shares of Series B convertible preferred stock. The exercise price of the warrants is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$0.01 per share. The warrants will be exercisable through the earliest to occur of an IPO, a change in control, or November 16, 2020. The preferred stock warrant liability is measured at fair value on a recurring basis. Changes in fair value are recorded in change in fair value of preferred stock warrant liability in the Statements of Operations and Comprehensive Loss. As a result of the low exercise price for the warrants, the Company used the intrinsic value of the warrants as a proxy for the fair value for financial reporting purposes. The Company revalued the warrants as of December 31, 2012 using their intrinsic value given their low exercise price. As of December 31, 2013, the Company revalued the warrants using a hybrid of the option pricing method and the probability-weighted expected return method. The hybrid methodology was applied to reflect two exit scenarios, IPO and merger using a market approach and the income approach was used in the stay private scenario. The scenarios were weighted based on the Company’s estimate of the probability of each scenario: 20% for IPO; 10% for merger and 70% for stay private. As of December 31, 2012 and 2013, the fair value of this convertible preferred stock warrant liability amounted to $2.9 million and $6.5 million, respectively.</w:t>
      </w:r>
    </w:p>
    <w:p>
      <w:pPr>
        <w:spacing w:after="0" w:line="263" w:lineRule="exact"/>
        <w:rPr>
          <w:sz w:val="20"/>
          <w:szCs w:val="20"/>
          <w:color w:val="auto"/>
        </w:rPr>
      </w:pPr>
    </w:p>
    <w:p>
      <w:pPr>
        <w:ind w:right="9400" w:firstLine="8"/>
        <w:spacing w:after="0" w:line="388" w:lineRule="auto"/>
        <w:tabs>
          <w:tab w:leader="none" w:pos="446"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Deficit 2008 Stock Incentive Plan</w:t>
      </w:r>
    </w:p>
    <w:p>
      <w:pPr>
        <w:spacing w:after="0" w:line="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2008, the Board of Directors approved the 2008 Stock Incentive Plan (the Plan), which provides for the granting of incentive and non-statutory stock options and stock purchase rights to employees, directors, and consultants at the discretion of management and the Board of Directors. In May 2008, the Board of Directors authorized the number of shares available for grant under the Plan to be 7,090,000. In August 2011, the Board of Directors authorized an additional 10,921,351 shares available for grant under the Plan. In November 2012, the Board of Directors authorized an additional 1,029,855 shares available for grant under the Plan.</w:t>
      </w:r>
    </w:p>
    <w:p>
      <w:pPr>
        <w:spacing w:after="0" w:line="13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Incentive stock options are granted with exercise prices not less than the estimated fair value of common stock, and non-statutory stock options may be granted with an exercise price of not less than 100% of the estimated fair value of the common stock on the date of grant. Options granted under the Plan expire no later than 10 years from the date of grant. Incentive stock options granted under the Plan vest over periods determined by the Board of Directors, generally over four years. Non-statutory stock options vest based on the terms of the individual agreement, generally from six months to four years.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activities under the Plan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6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Options Issued and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89"/>
              </w:rPr>
              <w:t>Weighted-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13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 per</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for Grant</w:t>
            </w: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4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2011</w:t>
            </w:r>
          </w:p>
        </w:tc>
        <w:tc>
          <w:tcPr>
            <w:tcW w:w="34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178,211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14,386,754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Options authorized</w:t>
            </w:r>
          </w:p>
        </w:tc>
        <w:tc>
          <w:tcPr>
            <w:tcW w:w="34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1,029,855</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granted</w:t>
            </w:r>
          </w:p>
        </w:tc>
        <w:tc>
          <w:tcPr>
            <w:tcW w:w="3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(731,095)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Options exercised</w:t>
            </w:r>
          </w:p>
        </w:tc>
        <w:tc>
          <w:tcPr>
            <w:tcW w:w="2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(3,079,182)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canceled</w:t>
            </w:r>
          </w:p>
        </w:tc>
        <w:tc>
          <w:tcPr>
            <w:tcW w:w="34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394,645</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(394,645)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2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871,616</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11,644,022</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granted</w:t>
            </w:r>
          </w:p>
        </w:tc>
        <w:tc>
          <w:tcPr>
            <w:tcW w:w="3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(896,000)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Options exercised</w:t>
            </w:r>
          </w:p>
        </w:tc>
        <w:tc>
          <w:tcPr>
            <w:tcW w:w="2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(2,014,762)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Options canceled</w:t>
            </w:r>
          </w:p>
        </w:tc>
        <w:tc>
          <w:tcPr>
            <w:tcW w:w="34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59,622</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(59,622)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w:t>
            </w:r>
          </w:p>
        </w:tc>
        <w:tc>
          <w:tcPr>
            <w:tcW w:w="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10,465,638</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2013</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10,465,638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at December 31, 2013</w:t>
            </w: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8,540,334</w:t>
            </w:r>
          </w:p>
        </w:tc>
        <w:tc>
          <w:tcPr>
            <w:tcW w:w="5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80" w:type="dxa"/>
            <w:vAlign w:val="bottom"/>
            <w:gridSpan w:val="3"/>
            <w:vMerge w:val="restart"/>
          </w:tcPr>
          <w:p>
            <w:pPr>
              <w:jc w:val="right"/>
              <w:ind w:right="2140"/>
              <w:spacing w:after="0"/>
              <w:rPr>
                <w:sz w:val="20"/>
                <w:szCs w:val="20"/>
                <w:color w:val="auto"/>
              </w:rPr>
            </w:pPr>
            <w:r>
              <w:rPr>
                <w:rFonts w:ascii="Times New Roman" w:cs="Times New Roman" w:eastAsia="Times New Roman" w:hAnsi="Times New Roman"/>
                <w:sz w:val="18"/>
                <w:szCs w:val="18"/>
                <w:color w:val="auto"/>
              </w:rPr>
              <w:t>F-16</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intrinsic value of options exercised was $3.1 million and $2.0 million for the years ended December 31, 2012 and 2013, respectively. The intrinsic value was calculated as the difference between the exercise price of the options and the estimated fair value of the Company’s common stock of $1.06 per share as of December 31, 2013.</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total estimated grant date fair value of options vested during the years ended December 31, 2012 and 2013 was $271,000 and $289,000, respectively.</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concerning outstanding and exercisable options under the Plan as of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180" w:type="dxa"/>
            <w:vAlign w:val="bottom"/>
            <w:gridSpan w:val="5"/>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180" w:type="dxa"/>
            <w:vAlign w:val="bottom"/>
            <w:gridSpan w:val="5"/>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and Exercisable</w:t>
            </w:r>
          </w:p>
        </w:tc>
        <w:tc>
          <w:tcPr>
            <w:tcW w:w="760" w:type="dxa"/>
            <w:vAlign w:val="bottom"/>
          </w:tcPr>
          <w:p>
            <w:pPr>
              <w:spacing w:after="0"/>
              <w:rPr>
                <w:sz w:val="14"/>
                <w:szCs w:val="14"/>
                <w:color w:val="auto"/>
              </w:rPr>
            </w:pPr>
          </w:p>
        </w:tc>
        <w:tc>
          <w:tcPr>
            <w:tcW w:w="17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4"/>
              </w:rPr>
              <w:t>Options Vested</w:t>
            </w:r>
          </w:p>
        </w:tc>
        <w:tc>
          <w:tcPr>
            <w:tcW w:w="0" w:type="dxa"/>
            <w:vAlign w:val="bottom"/>
          </w:tcPr>
          <w:p>
            <w:pPr>
              <w:spacing w:after="0"/>
              <w:rPr>
                <w:sz w:val="1"/>
                <w:szCs w:val="1"/>
                <w:color w:val="auto"/>
              </w:rPr>
            </w:pPr>
          </w:p>
        </w:tc>
      </w:tr>
      <w:tr>
        <w:trPr>
          <w:trHeight w:val="125"/>
        </w:trPr>
        <w:tc>
          <w:tcPr>
            <w:tcW w:w="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87"/>
              <w:spacing w:after="0" w:line="12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87"/>
              <w:spacing w:after="0" w:line="12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86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64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Contractual Life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Contractual Life</w:t>
            </w:r>
          </w:p>
        </w:tc>
        <w:tc>
          <w:tcPr>
            <w:tcW w:w="0" w:type="dxa"/>
            <w:vAlign w:val="bottom"/>
          </w:tcPr>
          <w:p>
            <w:pPr>
              <w:spacing w:after="0"/>
              <w:rPr>
                <w:sz w:val="1"/>
                <w:szCs w:val="1"/>
                <w:color w:val="auto"/>
              </w:rPr>
            </w:pPr>
          </w:p>
        </w:tc>
      </w:tr>
      <w:tr>
        <w:trPr>
          <w:trHeight w:val="172"/>
        </w:trPr>
        <w:tc>
          <w:tcPr>
            <w:tcW w:w="880" w:type="dxa"/>
            <w:vAlign w:val="bottom"/>
            <w:tcBorders>
              <w:bottom w:val="single" w:sz="8" w:color="auto"/>
            </w:tcBorders>
            <w:vMerge w:val="continue"/>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gridSpan w:val="2"/>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60" w:type="dxa"/>
            <w:vAlign w:val="bottom"/>
          </w:tcPr>
          <w:p>
            <w:pPr>
              <w:spacing w:after="0"/>
              <w:rPr>
                <w:sz w:val="14"/>
                <w:szCs w:val="14"/>
                <w:color w:val="auto"/>
              </w:rPr>
            </w:pPr>
          </w:p>
        </w:tc>
        <w:tc>
          <w:tcPr>
            <w:tcW w:w="1640" w:type="dxa"/>
            <w:vAlign w:val="bottom"/>
            <w:gridSpan w:val="2"/>
          </w:tcPr>
          <w:p>
            <w:pPr>
              <w:jc w:val="right"/>
              <w:ind w:right="880"/>
              <w:spacing w:after="0" w:line="15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760" w:type="dxa"/>
            <w:vAlign w:val="bottom"/>
          </w:tcPr>
          <w:p>
            <w:pPr>
              <w:jc w:val="right"/>
              <w:ind w:right="97"/>
              <w:spacing w:after="0" w:line="15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4"/>
                <w:szCs w:val="14"/>
                <w:color w:val="auto"/>
              </w:rPr>
            </w:pPr>
          </w:p>
        </w:tc>
        <w:tc>
          <w:tcPr>
            <w:tcW w:w="106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8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4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117,292</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5.03</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4,280,792</w:t>
            </w: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5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7,733,991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3,445,220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$0.11</w:t>
            </w:r>
          </w:p>
        </w:tc>
        <w:tc>
          <w:tcPr>
            <w:tcW w:w="5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$0.12</w:t>
            </w:r>
          </w:p>
        </w:tc>
        <w:tc>
          <w:tcPr>
            <w:tcW w:w="5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1,008,355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$0.38</w:t>
            </w:r>
          </w:p>
        </w:tc>
        <w:tc>
          <w:tcPr>
            <w:tcW w:w="5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1,591,000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10,465,638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8,540,334</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Exercise of Stock Options</w:t>
      </w:r>
    </w:p>
    <w:p>
      <w:pPr>
        <w:spacing w:after="0" w:line="9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accompanying balance sheets and will be reclassified into common stock and additional paid-in-capital as the shares vest. The Company’s right to repurchase these shares generally lapses 1/48 of the original grant date per month over four years.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2012 and 2013, there were 4,614,348 and 2,576,034 shares of common stock outstanding, respectively, subject to the Company’s right of repurchase at prices ranging from $0.03 to $0.12 per share. At December 31, 2012 and 2013, the Company recorded $289,000 and $163,000, respectively, as liabilities associated with shares issued with repurchase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stock-based compensation recognized was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65"/>
        </w:trPr>
        <w:tc>
          <w:tcPr>
            <w:tcW w:w="36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36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5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7"/>
        </w:trPr>
        <w:tc>
          <w:tcPr>
            <w:tcW w:w="3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473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60" w:type="dxa"/>
            <w:vAlign w:val="bottom"/>
          </w:tcPr>
          <w:p>
            <w:pPr>
              <w:spacing w:after="0"/>
              <w:rPr>
                <w:sz w:val="24"/>
                <w:szCs w:val="24"/>
                <w:color w:val="auto"/>
              </w:rPr>
            </w:pPr>
          </w:p>
        </w:tc>
        <w:tc>
          <w:tcPr>
            <w:tcW w:w="5180" w:type="dxa"/>
            <w:vAlign w:val="bottom"/>
            <w:gridSpan w:val="3"/>
          </w:tcPr>
          <w:p>
            <w:pPr>
              <w:jc w:val="right"/>
              <w:ind w:right="3880"/>
              <w:spacing w:after="0"/>
              <w:rPr>
                <w:sz w:val="20"/>
                <w:szCs w:val="20"/>
                <w:color w:val="auto"/>
              </w:rPr>
            </w:pPr>
            <w:r>
              <w:rPr>
                <w:rFonts w:ascii="Times New Roman" w:cs="Times New Roman" w:eastAsia="Times New Roman" w:hAnsi="Times New Roman"/>
                <w:sz w:val="18"/>
                <w:szCs w:val="18"/>
                <w:color w:val="auto"/>
              </w:rPr>
              <w:t>F-17</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2013, there was $549,000 of unrecognized stock-based compensation expense, net of estimated forfeitures, related to unvested share options with a weighted-average remaining recognition period of 1.8 years.</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37" w:lineRule="exact"/>
        <w:rPr>
          <w:sz w:val="20"/>
          <w:szCs w:val="20"/>
          <w:color w:val="auto"/>
        </w:rPr>
      </w:pPr>
    </w:p>
    <w:p>
      <w:pPr>
        <w:ind w:left="460" w:right="200"/>
        <w:spacing w:after="0" w:line="26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Company’s expected term represents the period that the Company’s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the simplified method to determine the expected term, which is calculated as the average of the time-to-vesting and the contractual life of the options.</w:t>
      </w:r>
    </w:p>
    <w:p>
      <w:pPr>
        <w:spacing w:after="0" w:line="46" w:lineRule="exact"/>
        <w:rPr>
          <w:sz w:val="20"/>
          <w:szCs w:val="20"/>
          <w:color w:val="auto"/>
        </w:rPr>
      </w:pPr>
    </w:p>
    <w:p>
      <w:pPr>
        <w:ind w:left="460"/>
        <w:spacing w:after="0" w:line="291" w:lineRule="auto"/>
        <w:rPr>
          <w:sz w:val="20"/>
          <w:szCs w:val="20"/>
          <w:color w:val="auto"/>
        </w:rPr>
      </w:pPr>
      <w:r>
        <w:rPr>
          <w:rFonts w:ascii="Times New Roman" w:cs="Times New Roman" w:eastAsia="Times New Roman" w:hAnsi="Times New Roman"/>
          <w:sz w:val="16"/>
          <w:szCs w:val="16"/>
          <w:i w:val="1"/>
          <w:iCs w:val="1"/>
          <w:color w:val="auto"/>
        </w:rPr>
        <w:t>Expected Volatility</w:t>
      </w:r>
      <w:r>
        <w:rPr>
          <w:rFonts w:ascii="Times New Roman" w:cs="Times New Roman" w:eastAsia="Times New Roman" w:hAnsi="Times New Roman"/>
          <w:sz w:val="16"/>
          <w:szCs w:val="16"/>
          <w:color w:val="auto"/>
        </w:rPr>
        <w:t>—Since the Company is privately held and does not have any trading history for its common stock, the expected volatility was estimated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w:t>
      </w:r>
    </w:p>
    <w:p>
      <w:pPr>
        <w:spacing w:after="0" w:line="32" w:lineRule="exact"/>
        <w:rPr>
          <w:sz w:val="20"/>
          <w:szCs w:val="20"/>
          <w:color w:val="auto"/>
        </w:rPr>
      </w:pPr>
    </w:p>
    <w:p>
      <w:pPr>
        <w:ind w:left="460" w:right="20"/>
        <w:spacing w:after="0" w:line="277"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zero coupon issues in effect at the time of grant for periods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expected term of option.</w:t>
      </w:r>
    </w:p>
    <w:p>
      <w:pPr>
        <w:spacing w:after="0" w:line="35" w:lineRule="exact"/>
        <w:rPr>
          <w:sz w:val="20"/>
          <w:szCs w:val="20"/>
          <w:color w:val="auto"/>
        </w:rPr>
      </w:pPr>
    </w:p>
    <w:p>
      <w:pPr>
        <w:ind w:left="460" w:right="140"/>
        <w:spacing w:after="0" w:line="277" w:lineRule="auto"/>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Company has never paid dividends on its common stock and has no plans to pay dividends on its common stock. Therefore,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an expected dividend yield of zero.</w:t>
      </w:r>
    </w:p>
    <w:p>
      <w:pPr>
        <w:spacing w:after="0" w:line="118"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stock option awards to employees was estimated at the date of grant using a Black-Scholes option-pricing model with the following weighted-average assumptions: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1"/>
              </w:rPr>
              <w:t>Year Ended</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8000" w:type="dxa"/>
            <w:vAlign w:val="bottom"/>
          </w:tcPr>
          <w:p>
            <w:pPr>
              <w:spacing w:after="0"/>
              <w:rPr>
                <w:sz w:val="14"/>
                <w:szCs w:val="14"/>
                <w:color w:val="auto"/>
              </w:rPr>
            </w:pPr>
          </w:p>
        </w:tc>
        <w:tc>
          <w:tcPr>
            <w:tcW w:w="15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0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0.79%</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1.35%</w:t>
            </w: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3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weighted-average, estimated grant-date fair value of employee stock options granted during the years ended December 31, 2012 and 2013 was $0.28 and $0.38 per share, respectively.</w:t>
      </w:r>
    </w:p>
    <w:p>
      <w:pPr>
        <w:spacing w:after="0" w:line="239"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Plan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sponsors a 401(k) Plan that stipulates that eligible employees can elect to contribute to the 401(k) Plan, subject to certain limitations, on a pretax basis. Pursuant to the 401(k) Plan, the Company does not match any employee contributions.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5" w:right="2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2" w:lineRule="exact"/>
        <w:rPr>
          <w:sz w:val="20"/>
          <w:szCs w:val="20"/>
          <w:color w:val="auto"/>
        </w:rPr>
      </w:pPr>
    </w:p>
    <w:p>
      <w:pPr>
        <w:ind w:left="460" w:hanging="452"/>
        <w:spacing w:after="0"/>
        <w:tabs>
          <w:tab w:leader="none" w:pos="4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2013, the Company recorded an income tax provision of $141,000 due primarily to the recognition of the upfront payment received for the license agreement with AstraZeneca for alternative minimum tax purposes that could not be fully offset by tax attributes. For the year ended December 31, 2012, the Company did not record an income tax provision on pre-tax income because the Company incurred taxable losses for both state and federal income tax purposes.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Company’s effective tax rate: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520" w:type="dxa"/>
            <w:vAlign w:val="bottom"/>
            <w:gridSpan w:val="10"/>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provision at the federal statutory rate</w:t>
            </w:r>
          </w:p>
        </w:tc>
        <w:tc>
          <w:tcPr>
            <w:tcW w:w="1160" w:type="dxa"/>
            <w:vAlign w:val="bottom"/>
            <w:gridSpan w:val="4"/>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(35.0)%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60" w:type="dxa"/>
            <w:vAlign w:val="bottom"/>
            <w:gridSpan w:val="5"/>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9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21,891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23,520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(25,001)</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Realization of deferred tax assets is dependent on future earnings, if any, the timing and amount of which are uncertain. Accordingly, the deferred tax assets have been fully offset by a valuation allowance. The valuation allowance increased by $3.8 million and $1.5 million for the years ended December 31, 2012 and 2013, respectively. At December 31, 2013, deferred tax assets do not include any benefits associated with stock option activities. If future events occur that result in stock option deductions in excess of previously recognized expense for book purposes, such difference will be recorded directly to additional paid-in capital as part of stockholders’ deficit.</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At December 31, 2013, the Company had net operating loss carryforwards for federal income tax purposes of approximately $32.1 million that expire beginning in 2024 if not utilized, and federal research and development tax credit carryforwards of approximately $1.7 million that expire beginning in 2024 if not utilized. In addition, the Company had net operating loss carryforwards for state income tax purposes of approximately $31.5 million that expire beginning in 2014 if not utilized, and state research and development tax credit carryforwards of approximately $1.8 million, which do not expire. Utilization of the net operating loss and tax</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credit carryforwards may be subject to substantial annual limitation due to the ownership change limitations provided by the Internal Revenue Code and similar state provisions. Such an annual limitation could result in the expiration of the net operating loss and tax credits before their utilization.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5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807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3"/>
              </w:rPr>
              <w:t>1,064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$ 1,411</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unrecognized tax benefits, if recognized and in absence of full valuation allowance, would impact the income tax provision by $1.1 million and $1.4 million as of December 31, 2012 and 2013, respectively.</w:t>
      </w:r>
    </w:p>
    <w:p>
      <w:pPr>
        <w:spacing w:after="0" w:line="120"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Company has elected to include interest and penalties as a component of tax expense. During the years ended December 31, 2012 and 2013, the Company did not recognize accrued interest and penalties related to unrecognized tax benefits. The Company does not anticipate that the amount of existing unrecognized tax benefits will significantly change during the next 12 months.</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California tax jurisdictions. The federal and state income tax returns all remain open to U.S. federal and California state tax examinations.</w:t>
      </w:r>
    </w:p>
    <w:p>
      <w:pPr>
        <w:spacing w:after="0" w:line="239" w:lineRule="exact"/>
        <w:rPr>
          <w:sz w:val="20"/>
          <w:szCs w:val="20"/>
          <w:color w:val="auto"/>
        </w:rPr>
      </w:pPr>
    </w:p>
    <w:p>
      <w:pPr>
        <w:ind w:left="460" w:hanging="452"/>
        <w:spacing w:after="0"/>
        <w:tabs>
          <w:tab w:leader="none" w:pos="4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 and Unaudited Pro Forma Net Loss per Common Share</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less shares subject to repurchase, and excludes any dilutive effects of share-based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2012 and 2013, all potential common shares were determined to be anti-dilutive.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common share (in thousands, except per share amounts):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 average number of shares outstanding—basic and diluted</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7,776,345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10,152,207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F-20</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103,655,115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103,655,115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11,644,022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10,465,638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 stock</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5,174,633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4,614,348</w:t>
            </w:r>
          </w:p>
        </w:tc>
        <w:tc>
          <w:tcPr>
            <w:tcW w:w="3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2,576,034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125,088,118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121,871,420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has presented unaudited pro forma basic and diluted net loss per common share, which has been computed to give effect to the conversion of all shares of convertible preferred stock into shares of common stock as if such conversion had occurred as of the beginning of the period presented, and the automatic net exercise of preferred stock warrants into shares of common stock upon an initial public offering. The following table sets forth the computation of the Company’s pro forma basic and diluted net loss per common share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5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used in computing net loss per common share, basic and diluted</w:t>
            </w:r>
          </w:p>
        </w:tc>
        <w:tc>
          <w:tcPr>
            <w:tcW w:w="80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preferred stock warrants liability</w:t>
            </w: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used in computing pro forma net loss per common share, basic and diluted</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common share, basic and diluted</w:t>
            </w: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reflect assumed conversion of convertible preferred stock</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to reflect assumed net exercise of warrants</w:t>
            </w:r>
          </w:p>
        </w:tc>
        <w:tc>
          <w:tcPr>
            <w:tcW w:w="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used in computing pro forma net loss per common share, basic and diluted</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common share, basic and diluted</w:t>
            </w: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92"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The Company entered into a consulting agreement with the spouse of an executive of the Company to provide research and development services related to clinical operations. The Company incurred expenses of $138,000 and $245,000 for services rendered during the years ended December 31, 2012 and 2013, respectively. As of December 31, 2012 and 2013, the Company owed $16,000 and $18,000, respectively, to the individual, which is recorded in accounts payable. The consulting agreement is in effect until December 31, 2014, unless terminated earlier by the Company with at least 14 days’ advance notice.</w:t>
      </w:r>
    </w:p>
    <w:p>
      <w:pPr>
        <w:spacing w:after="0" w:line="223"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92"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In February 2014, the Company entered into a license agreement with Sanofi S.A. (“Sanofi”) for the development rights to its NaP2b inhibitor program. Under the terms of the agreement, Sanofi provided the Company with an upfront and nonrefundable fee of $1.25 million, and may pay up to $196.75 million in future milestones if the program delivers an appropriate therapy that can be used to treat hyperphosphatemia.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808355</wp:posOffset>
            </wp:positionV>
            <wp:extent cx="1534795" cy="257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34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Prospectus</w:t>
      </w:r>
    </w:p>
    <w:p>
      <w:pPr>
        <w:sectPr>
          <w:pgSz w:w="11900" w:h="16838" w:orient="portrait"/>
          <w:cols w:equalWidth="0" w:num="1">
            <w:col w:w="11420"/>
          </w:cols>
          <w:pgMar w:left="240" w:top="4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Leerink Partners</w:t>
      </w:r>
    </w:p>
    <w:p>
      <w:pPr>
        <w:spacing w:after="0" w:line="200" w:lineRule="exact"/>
        <w:rPr>
          <w:sz w:val="20"/>
          <w:szCs w:val="20"/>
          <w:color w:val="auto"/>
        </w:rPr>
      </w:pPr>
    </w:p>
    <w:p>
      <w:pPr>
        <w:sectPr>
          <w:pgSz w:w="11900" w:h="16838" w:orient="portrait"/>
          <w:cols w:equalWidth="0" w:num="2">
            <w:col w:w="8320" w:space="720"/>
            <w:col w:w="2380"/>
          </w:cols>
          <w:pgMar w:left="240" w:top="456"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JMP Securities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Wedbush PacGrow Life Sciences</w:t>
      </w:r>
    </w:p>
    <w:p>
      <w:pPr>
        <w:spacing w:after="0" w:line="200" w:lineRule="exact"/>
        <w:rPr>
          <w:sz w:val="20"/>
          <w:szCs w:val="20"/>
          <w:color w:val="auto"/>
        </w:rPr>
      </w:pPr>
    </w:p>
    <w:p>
      <w:pPr>
        <w:sectPr>
          <w:pgSz w:w="11900" w:h="16838" w:orient="portrait"/>
          <w:cols w:equalWidth="0" w:num="2">
            <w:col w:w="7300" w:space="720"/>
            <w:col w:w="3400"/>
          </w:cols>
          <w:pgMar w:left="240" w:top="4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b w:val="1"/>
          <w:bCs w:val="1"/>
          <w:color w:val="auto"/>
        </w:rPr>
        <w:t>, 2014</w:t>
      </w:r>
    </w:p>
    <w:p>
      <w:pPr>
        <w:sectPr>
          <w:pgSz w:w="11900" w:h="16838" w:orient="portrait"/>
          <w:cols w:equalWidth="0" w:num="1">
            <w:col w:w="11420"/>
          </w:cols>
          <w:pgMar w:left="240" w:top="456" w:right="239" w:bottom="1440" w:gutter="0" w:footer="0" w:header="0"/>
          <w:type w:val="continuous"/>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9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7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Item</w:t>
            </w:r>
          </w:p>
        </w:tc>
        <w:tc>
          <w:tcPr>
            <w:tcW w:w="6300" w:type="dxa"/>
            <w:vAlign w:val="bottom"/>
          </w:tcPr>
          <w:p>
            <w:pPr>
              <w:spacing w:after="0"/>
              <w:rPr>
                <w:sz w:val="16"/>
                <w:szCs w:val="16"/>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Amount to be paid</w:t>
            </w: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Market Listing fee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completed by amendment.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58" w:lineRule="exact"/>
        <w:rPr>
          <w:sz w:val="20"/>
          <w:szCs w:val="20"/>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90" w:lineRule="exact"/>
        <w:rPr>
          <w:sz w:val="20"/>
          <w:szCs w:val="20"/>
          <w:color w:val="auto"/>
        </w:rPr>
      </w:pPr>
    </w:p>
    <w:p>
      <w:pPr>
        <w:ind w:left="900" w:hanging="325"/>
        <w:spacing w:after="0" w:line="275"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38"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60"/>
          </w:cols>
          <w:pgMar w:left="240" w:top="456" w:right="2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17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attached as Exhibit 3.3 hereto, and our amended and restated bylaws, to be attached as Exhibit 3.5 hereto, provide for the indemnification provisions described above and elsewhere herein. We intend to enter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 sets forth information as to all securities we have sold since January 1, 2011, which were not registered under the Securities Act.</w:t>
      </w:r>
    </w:p>
    <w:p>
      <w:pPr>
        <w:spacing w:after="0" w:line="90" w:lineRule="exact"/>
        <w:rPr>
          <w:sz w:val="20"/>
          <w:szCs w:val="20"/>
          <w:color w:val="auto"/>
        </w:rPr>
      </w:pPr>
    </w:p>
    <w:p>
      <w:pPr>
        <w:ind w:left="900" w:right="160" w:hanging="446"/>
        <w:spacing w:after="0" w:line="301" w:lineRule="auto"/>
        <w:tabs>
          <w:tab w:leader="none" w:pos="9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and August 2011, we issued an aggregate of 78,423,902 shares of our Series B convertible preferred stock at a price per share of $0.3865, including 26,681,303 shares in exchange for conversion of our notes payable pursuant to our Secured Convertible Note and Warrant Purchase Agreement, dated November 16, 2010. In connection with such issuances, we issued warrants to purchase an aggregate of 5,174,633 shares of our Series B convertible preferred stock at a price per share of $0.01. The aggregate gross consideration received for these issuances was $30.3 million.</w:t>
      </w:r>
    </w:p>
    <w:p>
      <w:pPr>
        <w:spacing w:after="0" w:line="22" w:lineRule="exact"/>
        <w:rPr>
          <w:rFonts w:ascii="Times New Roman" w:cs="Times New Roman" w:eastAsia="Times New Roman" w:hAnsi="Times New Roman"/>
          <w:sz w:val="16"/>
          <w:szCs w:val="16"/>
          <w:color w:val="auto"/>
        </w:rPr>
      </w:pPr>
    </w:p>
    <w:p>
      <w:pPr>
        <w:ind w:left="900" w:right="240" w:hanging="446"/>
        <w:spacing w:after="0" w:line="26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and stock awards to employees, directors and consultants under our 2008 Stock Incentive Plan, as amended, covering an aggregate of 14,402,734 shares of common stock, at a weighted-average average exercise price of $0.10 per share. Of these, options covering an aggregate of 328,172 shares were cancelled without being exercised.</w:t>
      </w:r>
    </w:p>
    <w:p>
      <w:pPr>
        <w:spacing w:after="0" w:line="51"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an aggregate of 6,396,004 shares of common stock to employees, directors and consultants for cash consideration in the aggregate amount of $397,000 upon the exercise of stock options and stock awards.</w:t>
      </w:r>
    </w:p>
    <w:p>
      <w:pPr>
        <w:spacing w:after="0" w:line="12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claimed exemption from registration under the Securities Act for the sale and issuance of securities in the transactions described in paragraph (1)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claimed exemption from registration under the Securities Act for the sales and issuances of securities in the transactions described in paragraphs (2)-(3) above under Section 4(a)(2) of the Securities Act in that such</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90" w:lineRule="exact"/>
        <w:rPr>
          <w:sz w:val="20"/>
          <w:szCs w:val="20"/>
          <w:color w:val="auto"/>
        </w:rPr>
      </w:pPr>
    </w:p>
    <w:p>
      <w:pPr>
        <w:ind w:left="720" w:hanging="256"/>
        <w:spacing w:after="0"/>
        <w:tabs>
          <w:tab w:leader="none" w:pos="7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the Exhibit Index attached to this registration statement, which is incorporated by reference herein.</w:t>
      </w:r>
    </w:p>
    <w:p>
      <w:pPr>
        <w:spacing w:after="0" w:line="171" w:lineRule="exact"/>
        <w:rPr>
          <w:rFonts w:ascii="Times New Roman" w:cs="Times New Roman" w:eastAsia="Times New Roman" w:hAnsi="Times New Roman"/>
          <w:sz w:val="18"/>
          <w:szCs w:val="18"/>
          <w:b w:val="1"/>
          <w:bCs w:val="1"/>
          <w:color w:val="auto"/>
        </w:rPr>
      </w:pPr>
    </w:p>
    <w:p>
      <w:pPr>
        <w:ind w:firstLine="464"/>
        <w:spacing w:after="0" w:line="277" w:lineRule="auto"/>
        <w:tabs>
          <w:tab w:leader="none" w:pos="715"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Schedules not listed above have been omitted because the information required to be set forth therein is not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 shown in the financial statements or notes thereto.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90" w:lineRule="exact"/>
        <w:rPr>
          <w:sz w:val="20"/>
          <w:szCs w:val="20"/>
          <w:color w:val="auto"/>
        </w:rPr>
      </w:pPr>
    </w:p>
    <w:p>
      <w:pPr>
        <w:ind w:left="900" w:right="60" w:hanging="446"/>
        <w:spacing w:after="0" w:line="26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1" w:lineRule="exact"/>
        <w:rPr>
          <w:rFonts w:ascii="Times New Roman" w:cs="Times New Roman" w:eastAsia="Times New Roman" w:hAnsi="Times New Roman"/>
          <w:sz w:val="18"/>
          <w:szCs w:val="18"/>
          <w:color w:val="auto"/>
        </w:rPr>
      </w:pPr>
    </w:p>
    <w:p>
      <w:pPr>
        <w:ind w:left="900" w:right="80" w:hanging="446"/>
        <w:spacing w:after="0" w:line="26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455" w:right="2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Fremont, California, on April 11, 2014.</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7" w:lineRule="exact"/>
        <w:rPr>
          <w:sz w:val="20"/>
          <w:szCs w:val="20"/>
          <w:color w:val="auto"/>
        </w:rPr>
      </w:pPr>
    </w:p>
    <w:p>
      <w:pPr>
        <w:ind w:left="6860"/>
        <w:spacing w:after="0"/>
        <w:tabs>
          <w:tab w:leader="none" w:pos="8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w:t>
      </w: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Michael Raab and George Jue, and each of them acting individually, as his true and lawful attorneys-in-fact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38"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Michael Raab</w:t>
            </w:r>
          </w:p>
        </w:tc>
        <w:tc>
          <w:tcPr>
            <w:tcW w:w="548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1940" w:type="dxa"/>
            <w:vAlign w:val="bottom"/>
            <w:gridSpan w:val="3"/>
          </w:tcPr>
          <w:p>
            <w:pPr>
              <w:jc w:val="center"/>
              <w:ind w:left="832"/>
              <w:spacing w:after="0"/>
              <w:rPr>
                <w:sz w:val="20"/>
                <w:szCs w:val="20"/>
                <w:color w:val="auto"/>
              </w:rPr>
            </w:pPr>
            <w:r>
              <w:rPr>
                <w:rFonts w:ascii="Times New Roman" w:cs="Times New Roman" w:eastAsia="Times New Roman" w:hAnsi="Times New Roman"/>
                <w:sz w:val="18"/>
                <w:szCs w:val="18"/>
                <w:color w:val="auto"/>
                <w:w w:val="96"/>
              </w:rPr>
              <w:t>April 11, 2014</w:t>
            </w:r>
          </w:p>
        </w:tc>
        <w:tc>
          <w:tcPr>
            <w:tcW w:w="0" w:type="dxa"/>
            <w:vAlign w:val="bottom"/>
          </w:tcPr>
          <w:p>
            <w:pPr>
              <w:spacing w:after="0"/>
              <w:rPr>
                <w:sz w:val="1"/>
                <w:szCs w:val="1"/>
                <w:color w:val="auto"/>
              </w:rPr>
            </w:pPr>
          </w:p>
        </w:tc>
      </w:tr>
      <w:tr>
        <w:trPr>
          <w:trHeight w:val="224"/>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Michael Raab</w:t>
            </w:r>
          </w:p>
        </w:tc>
        <w:tc>
          <w:tcPr>
            <w:tcW w:w="548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George Jue</w:t>
            </w:r>
          </w:p>
        </w:tc>
        <w:tc>
          <w:tcPr>
            <w:tcW w:w="548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6"/>
              </w:rPr>
              <w:t>Vice President, Finance and Operations</w:t>
            </w:r>
          </w:p>
        </w:tc>
        <w:tc>
          <w:tcPr>
            <w:tcW w:w="1940" w:type="dxa"/>
            <w:vAlign w:val="bottom"/>
            <w:gridSpan w:val="3"/>
          </w:tcPr>
          <w:p>
            <w:pPr>
              <w:jc w:val="center"/>
              <w:ind w:left="832"/>
              <w:spacing w:after="0"/>
              <w:rPr>
                <w:sz w:val="20"/>
                <w:szCs w:val="20"/>
                <w:color w:val="auto"/>
              </w:rPr>
            </w:pPr>
            <w:r>
              <w:rPr>
                <w:rFonts w:ascii="Times New Roman" w:cs="Times New Roman" w:eastAsia="Times New Roman" w:hAnsi="Times New Roman"/>
                <w:sz w:val="18"/>
                <w:szCs w:val="18"/>
                <w:color w:val="auto"/>
                <w:w w:val="96"/>
              </w:rPr>
              <w:t>April 11, 2014</w:t>
            </w:r>
          </w:p>
        </w:tc>
        <w:tc>
          <w:tcPr>
            <w:tcW w:w="0" w:type="dxa"/>
            <w:vAlign w:val="bottom"/>
          </w:tcPr>
          <w:p>
            <w:pPr>
              <w:spacing w:after="0"/>
              <w:rPr>
                <w:sz w:val="1"/>
                <w:szCs w:val="1"/>
                <w:color w:val="auto"/>
              </w:rPr>
            </w:pPr>
          </w:p>
        </w:tc>
      </w:tr>
      <w:tr>
        <w:trPr>
          <w:trHeight w:val="224"/>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George Jue</w:t>
            </w:r>
          </w:p>
        </w:tc>
        <w:tc>
          <w:tcPr>
            <w:tcW w:w="548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60" w:type="dxa"/>
            <w:vAlign w:val="bottom"/>
            <w:tcBorders>
              <w:bottom w:val="single" w:sz="8" w:color="auto"/>
            </w:tcBorders>
            <w:gridSpan w:val="3"/>
          </w:tcPr>
          <w:p>
            <w:pPr>
              <w:spacing w:after="0"/>
              <w:rPr>
                <w:sz w:val="24"/>
                <w:szCs w:val="24"/>
                <w:color w:val="auto"/>
              </w:rPr>
            </w:pPr>
          </w:p>
        </w:tc>
        <w:tc>
          <w:tcPr>
            <w:tcW w:w="5480" w:type="dxa"/>
            <w:vAlign w:val="bottom"/>
            <w:gridSpan w:val="3"/>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Dominique Charmot, Ph.D.</w:t>
            </w:r>
          </w:p>
        </w:tc>
        <w:tc>
          <w:tcPr>
            <w:tcW w:w="548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60" w:type="dxa"/>
            <w:vAlign w:val="bottom"/>
            <w:tcBorders>
              <w:bottom w:val="single" w:sz="8" w:color="auto"/>
            </w:tcBorders>
            <w:gridSpan w:val="3"/>
          </w:tcPr>
          <w:p>
            <w:pPr>
              <w:spacing w:after="0"/>
              <w:rPr>
                <w:sz w:val="24"/>
                <w:szCs w:val="24"/>
                <w:color w:val="auto"/>
              </w:rPr>
            </w:pPr>
          </w:p>
        </w:tc>
        <w:tc>
          <w:tcPr>
            <w:tcW w:w="5480" w:type="dxa"/>
            <w:vAlign w:val="bottom"/>
            <w:gridSpan w:val="3"/>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7"/>
              </w:rPr>
              <w:t>Chairman of the Board of Directors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David Mott</w:t>
            </w:r>
          </w:p>
        </w:tc>
        <w:tc>
          <w:tcPr>
            <w:tcW w:w="548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60" w:type="dxa"/>
            <w:vAlign w:val="bottom"/>
            <w:tcBorders>
              <w:bottom w:val="single" w:sz="8" w:color="auto"/>
            </w:tcBorders>
            <w:gridSpan w:val="3"/>
          </w:tcPr>
          <w:p>
            <w:pPr>
              <w:spacing w:after="0"/>
              <w:rPr>
                <w:sz w:val="24"/>
                <w:szCs w:val="24"/>
                <w:color w:val="auto"/>
              </w:rPr>
            </w:pPr>
          </w:p>
        </w:tc>
        <w:tc>
          <w:tcPr>
            <w:tcW w:w="5480" w:type="dxa"/>
            <w:vAlign w:val="bottom"/>
            <w:gridSpan w:val="3"/>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Richard Rodgers</w:t>
            </w:r>
          </w:p>
        </w:tc>
        <w:tc>
          <w:tcPr>
            <w:tcW w:w="548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60" w:type="dxa"/>
            <w:vAlign w:val="bottom"/>
            <w:tcBorders>
              <w:bottom w:val="single" w:sz="8" w:color="auto"/>
            </w:tcBorders>
            <w:gridSpan w:val="3"/>
          </w:tcPr>
          <w:p>
            <w:pPr>
              <w:spacing w:after="0"/>
              <w:rPr>
                <w:sz w:val="24"/>
                <w:szCs w:val="24"/>
                <w:color w:val="auto"/>
              </w:rPr>
            </w:pPr>
          </w:p>
        </w:tc>
        <w:tc>
          <w:tcPr>
            <w:tcW w:w="5480" w:type="dxa"/>
            <w:vAlign w:val="bottom"/>
            <w:gridSpan w:val="3"/>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99"/>
              </w:rPr>
              <w:t>Director</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Peter Schultz, Ph.D.</w:t>
            </w:r>
          </w:p>
        </w:tc>
        <w:tc>
          <w:tcPr>
            <w:tcW w:w="548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II-4</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98"/>
        </w:trPr>
        <w:tc>
          <w:tcPr>
            <w:tcW w:w="10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8"/>
                <w:szCs w:val="18"/>
                <w:color w:val="auto"/>
                <w:w w:val="88"/>
              </w:rPr>
              <w:t>1.1*</w:t>
            </w:r>
          </w:p>
        </w:tc>
        <w:tc>
          <w:tcPr>
            <w:tcW w:w="36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Amended and Restated Certificate of Incorporation, currently in effect.</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Form of Amended and Restated Certificate of Incorporation, effecting a stock split, to be</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 effect prior to the consummation of this offering.</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8"/>
              </w:rPr>
              <w:t>Form of Amended and Restated Certificate of Incorporation, to be in effect immediately</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prior to the consummation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Bylaws, currently in effect.</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Amended and Restated Bylaws, to be in effect immediately prior to the</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consummation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Reference is made to exhibits 3.1 through 3.5.</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5"/>
              </w:rPr>
              <w:t>10.1(a)†</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License Agreement, dated as of October 4, 2012, by and among AstraZeneca AB and</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4"/>
              </w:rPr>
              <w:t>10.1(b)†</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Amendment Number One to License Agreement, dated as of December 23, 2013, by and</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between AstraZeneca AB and Ardelyx, Inc.</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w w:val="93"/>
              </w:rPr>
              <w:t>10.2*</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Manufacturing and Supply Agreement, dated as of October 4, 2012, by and between</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AstraZeneca AB and Ardelyx, Inc.</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w w:val="93"/>
              </w:rPr>
              <w:t>10.3*</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Agreement Authorizing Ardelyx Research, dated February 5, 2013, by and between</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AstraZeneca AB and Ardelyx, Inc.</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3"/>
              </w:rPr>
              <w:t>10.4†</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License Option and License Agreement, dated February 21, 2014, by and between Sanofi</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and Ardelyx, Inc.</w:t>
            </w:r>
          </w:p>
        </w:tc>
        <w:tc>
          <w:tcPr>
            <w:tcW w:w="0" w:type="dxa"/>
            <w:vAlign w:val="bottom"/>
          </w:tcPr>
          <w:p>
            <w:pPr>
              <w:spacing w:after="0"/>
              <w:rPr>
                <w:sz w:val="1"/>
                <w:szCs w:val="1"/>
                <w:color w:val="auto"/>
              </w:rPr>
            </w:pPr>
          </w:p>
        </w:tc>
      </w:tr>
      <w:tr>
        <w:trPr>
          <w:trHeight w:val="312"/>
        </w:trPr>
        <w:tc>
          <w:tcPr>
            <w:tcW w:w="600" w:type="dxa"/>
            <w:vAlign w:val="bottom"/>
            <w:gridSpan w:val="2"/>
          </w:tcPr>
          <w:p>
            <w:pPr>
              <w:jc w:val="right"/>
              <w:ind w:right="206"/>
              <w:spacing w:after="0"/>
              <w:rPr>
                <w:sz w:val="20"/>
                <w:szCs w:val="20"/>
                <w:color w:val="auto"/>
              </w:rPr>
            </w:pPr>
            <w:r>
              <w:rPr>
                <w:rFonts w:ascii="Times New Roman" w:cs="Times New Roman" w:eastAsia="Times New Roman" w:hAnsi="Times New Roman"/>
                <w:sz w:val="18"/>
                <w:szCs w:val="18"/>
                <w:color w:val="auto"/>
                <w:w w:val="95"/>
              </w:rPr>
              <w:t>10.5</w:t>
            </w:r>
          </w:p>
        </w:tc>
        <w:tc>
          <w:tcPr>
            <w:tcW w:w="360" w:type="dxa"/>
            <w:vAlign w:val="bottom"/>
          </w:tcPr>
          <w:p>
            <w:pPr>
              <w:spacing w:after="0"/>
              <w:rPr>
                <w:sz w:val="24"/>
                <w:szCs w:val="24"/>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Amended and Restated Investors’ Rights Agreement, dated June 23, 2011, by and among</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the investors listed therein.</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7"/>
              </w:rPr>
              <w:t>10.6(a)</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Lease, dated August 8, 2008, by and between 34175 Ardenwood Venture, LLC and</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5"/>
              </w:rPr>
              <w:t>10.6(b)</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Amendment to Lease, dated December 20, 2012, by and between 34175 Ardenwood</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Venture, LLC and Ardelyx, Inc.</w:t>
            </w:r>
          </w:p>
        </w:tc>
        <w:tc>
          <w:tcPr>
            <w:tcW w:w="0" w:type="dxa"/>
            <w:vAlign w:val="bottom"/>
          </w:tcPr>
          <w:p>
            <w:pPr>
              <w:spacing w:after="0"/>
              <w:rPr>
                <w:sz w:val="1"/>
                <w:szCs w:val="1"/>
                <w:color w:val="auto"/>
              </w:rPr>
            </w:pPr>
          </w:p>
        </w:tc>
      </w:tr>
      <w:tr>
        <w:trPr>
          <w:trHeight w:val="324"/>
        </w:trPr>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5"/>
              </w:rPr>
              <w:t>10.7(a)#</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2008 Stock Incentive Plan, as amended.</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4"/>
              </w:rPr>
              <w:t>10.7(b)#</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Form of Stock Option Grant Notice and Stock Option Agreement under the 2008 Stock</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Incentive Plan, as amended.</w:t>
            </w:r>
          </w:p>
        </w:tc>
        <w:tc>
          <w:tcPr>
            <w:tcW w:w="0" w:type="dxa"/>
            <w:vAlign w:val="bottom"/>
          </w:tcPr>
          <w:p>
            <w:pPr>
              <w:spacing w:after="0"/>
              <w:rPr>
                <w:sz w:val="1"/>
                <w:szCs w:val="1"/>
                <w:color w:val="auto"/>
              </w:rPr>
            </w:pPr>
          </w:p>
        </w:tc>
      </w:tr>
      <w:tr>
        <w:trPr>
          <w:trHeight w:val="312"/>
        </w:trPr>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5"/>
              </w:rPr>
              <w:t>10.7(c)#</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Restricted Stock Purchase Grant Notice and Restricted Stock Purchase</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Agreement under the 2008 Stock Incentive Plan, as amended.</w:t>
            </w:r>
          </w:p>
        </w:tc>
        <w:tc>
          <w:tcPr>
            <w:tcW w:w="0" w:type="dxa"/>
            <w:vAlign w:val="bottom"/>
          </w:tcPr>
          <w:p>
            <w:pPr>
              <w:spacing w:after="0"/>
              <w:rPr>
                <w:sz w:val="1"/>
                <w:szCs w:val="1"/>
                <w:color w:val="auto"/>
              </w:rPr>
            </w:pPr>
          </w:p>
        </w:tc>
      </w:tr>
      <w:tr>
        <w:trPr>
          <w:trHeight w:val="324"/>
        </w:trPr>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4"/>
              </w:rPr>
              <w:t>10.8(a)#*</w:t>
            </w:r>
          </w:p>
        </w:tc>
        <w:tc>
          <w:tcPr>
            <w:tcW w:w="6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2014 Equity Incentive Award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2540</wp:posOffset>
            </wp:positionV>
            <wp:extent cx="21355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ind w:left="29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tabs>
          <w:tab w:leader="none" w:pos="860" w:val="left"/>
          <w:tab w:leader="none" w:pos="1700" w:val="left"/>
          <w:tab w:leader="none" w:pos="27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Date</w:t>
      </w:r>
      <w:r>
        <w:rPr>
          <w:sz w:val="20"/>
          <w:szCs w:val="20"/>
          <w:color w:val="auto"/>
        </w:rPr>
        <w:tab/>
      </w: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500" w:space="580"/>
            <w:col w:w="3320"/>
          </w:cols>
          <w:pgMar w:left="240" w:top="456" w:right="2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2"/>
              </w:rPr>
              <w:t>Filed</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Exhibit Description</w:t>
            </w:r>
          </w:p>
        </w:tc>
        <w:tc>
          <w:tcPr>
            <w:tcW w:w="3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Form</w:t>
            </w:r>
          </w:p>
        </w:tc>
        <w:tc>
          <w:tcPr>
            <w:tcW w:w="5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54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303"/>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10.8(b)#*</w:t>
            </w: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Stock Option Grant Notice and Stock Option Agreement under the 2014 Equity</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Incentive Award Plan.</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10.8(c)#*</w:t>
            </w: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Restricted Stock Award Agreement and Restricted Stock Unit Award Grant</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Notice under the 2014 Equity Incentive Award Plan.</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Form of Indemnification Agreement for directors and officers.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Employment Agreement, dated February 17, 2009, by and between Ardelyx,</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Inc. and Michael Raab.</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Employment Agreement, dated as of May 29, 2008, by and between Ardelyx, Inc. and</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Dominique Charmot, Ph.D.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Offer Letter, dated August 11, 2011, by and between Ardelyx, Inc. and Mark Kaufmann.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Offer Letter, dated May 21, 2008, by and between Ardelyx, Inc. and George Jue.</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Offer Letter, dated May 2, 2008, by and between Ardelyx, Inc. and Jeff Jacobs, Ph.D.</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Offer Letter, dated December 28, 2009, by and between Ardelyx, Inc. and David</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Rosenbaum, Ph.D.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Offer Letter, dated November 21, 2012, by and between Ardelyx, Inc. and Elizabeth</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Grammer, Esq.</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Change in Control Severance Agreement, dated August 16, 2011, by and between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Mark Kaufmann.</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Change in Control and Severance Agreement, dated March 4, 2013, by and between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Elizabeth Grammer, Esq.</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Change in Control and Severance Agreement, dated April 15, 2010, by and between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Jeffrey Jacobs, Ph.D.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Change in Control and Severance Agreement, dated April 15, 2010, by and between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George Jue.</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Change in Control and Severance Agreement, dated April 15, 2010, by and between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Ardelyx, Inc. and David Rosenbaum, Ph.D.</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Power of Attorney. Reference is made to the signature page to the Registration</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Statement.</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1" w:lineRule="exact"/>
        <w:rPr>
          <w:sz w:val="20"/>
          <w:szCs w:val="20"/>
          <w:color w:val="auto"/>
        </w:rPr>
      </w:pPr>
    </w:p>
    <w:p>
      <w:pPr>
        <w:ind w:left="460" w:right="120" w:hanging="452"/>
        <w:spacing w:after="0" w:line="250"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confidential treatment and this exhibit has been filed separately with the SEC.</w:t>
      </w:r>
    </w:p>
    <w:p>
      <w:pPr>
        <w:spacing w:after="0" w:line="1"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1420"/>
          </w:cols>
          <w:pgMar w:left="240" w:top="456"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NTERYX,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 The registered office shall be located at c/o Paracorp Incorporated, 40 East Division Street, Suite A, Dover, Delaware, 19901.</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Section 1. All meetings of the stockholders for the election of directors shall be held within or without the State of Delaware at such place as may be fixed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Section 2. Annual meetings of stockholders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Section 3. Written notice of the annual meeting stating the place, date and hour of the meeting shall be given to each stockholder entitled to vote at such meeting not less than ten (10) nor more than sixty (60) days before the date of the meeting.</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Section 4.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81" w:name="page182"/>
    <w:bookmarkEnd w:id="181"/>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Section 6. Written notice of a special meeting stating the place, date and hour of the meeting and the purpose or purposes for which the meeting is called shall be given not less than 10 nor more than 60 days before the date of the meeting to each stockholder entitled to vote at such meeting.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Business transacted at any special meeting of stockholders shall be limited to the purposes stated in the notice.</w:t>
      </w:r>
    </w:p>
    <w:p>
      <w:pPr>
        <w:spacing w:after="0" w:line="225"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Section 8. The holders of 50%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11.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0" w:right="319" w:bottom="1440" w:gutter="0" w:footer="0" w:header="0"/>
        </w:sectPr>
      </w:pPr>
    </w:p>
    <w:bookmarkStart w:id="182" w:name="page183"/>
    <w:bookmarkEnd w:id="182"/>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Section 1.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Section 2. The number of directors of the corporation shall be not less than three (3) and not more than seven (7). The initial number of directors shall be three (3). The number of directors may be increased or decreased from time to time by vote of the stockholders. No reduction of the authorized number of directors shall have the effect of removing any director before that director’s term of office expires. The directors shall serve for terms of one year and be elected at the annual meeting of stockholders. Each director elected shall hold office until his successor is elected and qualified. Directors need not be stockholders.</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3. Vacancies and newly created directorships resulting from any increase in the authorized number of directors may be filled by a majority of the directors then in office, although less than a quorum, or by a sole remaining director, and the directors so chosen shall hold office for the remainder of the term of the directors whom they replaced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MEETINGS OF THE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The board of directors of the corporation may hold meetings, both regular and special, either within or without the State of Delaware.</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5.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Section 6. Regular meetings of the board of directors may be held without notice at such time and at such place as shall from time to time be determined by the board.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70" w:right="319" w:bottom="1440" w:gutter="0" w:footer="0" w:header="0"/>
        </w:sectPr>
      </w:pPr>
    </w:p>
    <w:bookmarkStart w:id="183" w:name="page184"/>
    <w:bookmarkEnd w:id="183"/>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Special meetings of the board may be called by the president on three days written notice to each director and such notice must be provided personally, by mail, by telegram, telex, or facsimile transmission; special meetings shall be called by the president or secretary in like manner and on like notice on the written request of two directors unless the board consists of only one director, in which case special meetings shall be called by the president or secretary in like manner and on like notice on the written request of the sole director.</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Section 8. At all meetings of the board, 50% of the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80"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Section 9.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6"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Section 10.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11.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this chapter to be submitted to the stockholders for approval, or, (ii) adopting, amending or repealing any bylaw of the corporation. Such committee or committees shall have such name or names as may be determined from time to time by resolutions adopted by the board of directors.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12. Each committee shall keep regular minutes of its meetings and report the same to the board of directors when required.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184" w:name="page185"/>
    <w:bookmarkEnd w:id="184"/>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w:t>
      </w:r>
    </w:p>
    <w:p>
      <w:pPr>
        <w:spacing w:after="0" w:line="2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Section 13.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REMOVAL OF DIRECTORS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14. One or more or all of the Directors of the Corporation may be removed with or without cause at any time by the shareholders, at a special meeting of the shareholders called for that purpose, unless the Certificate of Incorporation provide that Directors may only be removed for cause, provided however, such Director shall not be removed if the Corporation’s states in its Certificate of Incorporation that its directors shall be elected by cumulative voting and there are a sufficient number of shares cast against his or her removal, which if cumulatively voted at an election of Directors would be sufficient to elect him or her. If a Director was elected by a voting group of shareholders, only the shareholders of that voting group may participate in the vote to remove that Director.</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NOTICES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telex or facsimile transmission.</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Section 2.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Section 1. The officers of the corporation shall be chosen by the board of directors and shall be a president, a secretary and a treasurer. The board of directors may also choose vice-presidents and one or more assistant secretaries and assistant treasurers. Any number of offices may be held by the same person, unless the certificate of incorporation or these bylaws otherwise provide.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240" w:top="270" w:right="379"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 The board of directors at its first meeting after each annual meeting of stockholders shall choose a president, a secretary and a treasurer.</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The salaries of all officers and agents of the corporation shall be fixed by the board of directors.</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Section 5. The officers of the corporation shall hold office until their successors are chosen and qualified.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PRESIDENT</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Section 6. The president shall be the chief executive officer of the corporation, shall preside at all meetings of the stockholders and the board of directors, shall have general and active management of the business of the corporation and shall see that all orders and resolutions of the board of directors are carried into effect.</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VICE-PRESIDENTS</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Section 8.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SECRETARY AND ASSISTANT SECRETARY</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9. The secretary shall attend all meetings of the board of directors and all meetings of the stockholders. The secretary shall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186" w:name="page187"/>
    <w:bookmarkEnd w:id="186"/>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TREASURER AND ASSISTANT TREASURER</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Section 11.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Section 12.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Section 13.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Section 14.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CERTIFICATES FOR SHARES</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Section 1. The shares of the corporation shall be represented by a certificate or shall be uncertificated. Certificates shall be signed by, or in the name of the corporation by, the chairman or vice-chairman of the board of directors, or the president or a vice-president and the treasurer or an assistant treasurer, or the secretary or an assistant secretary of the corporation. Upon the face or back of each stock certificate issued to represent any partly paid shares, or upon the books and records of the corporation in the case of uncertificated partly paid shares, shall be set forth the total amount of the consideration to be paid therefor and the amount paid thereon shall be stated. If the corporation shall be authorized to issue more than one class of stock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187" w:name="page188"/>
    <w:bookmarkEnd w:id="18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who makes a request therefore a written notice containing the information required to be set forth or stated on certificates pursuant to the Delaware General Corporation Law.</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Section 2. Any of or all the signatures on a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LOST OR DESTROYED CERTIFICATES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Section 3. The board of directors may direct a new certificate or certificates or uncertificated shares to be issued in place of any certificate or certificates theretofore issued by the corporation alleged to have been lost, stolen or destroyed. When authorizing such issue of a new certificate or certificates or uncertificated shares, the board of directors may require the owner, or his legal representative, to give the corporation a bond in such sum as it may direct as indemnity against the corporation with respect to the certificate alleged to have been lost, stolen or destroyed.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TRANSFER OF STOCK</w:t>
      </w:r>
    </w:p>
    <w:p>
      <w:pPr>
        <w:spacing w:after="0" w:line="2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instruments from the registered owner of uncertificated shares, such uncertificated shares shall be cancelled and issuance of new equivalent uncertificated shares or certificated shares shall be made to the person entitled thereto and the transaction shall be recorded upon the books of the corporation.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FIXING RECORD DATE</w:t>
      </w:r>
    </w:p>
    <w:p>
      <w:pPr>
        <w:spacing w:after="0" w:line="225"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Section 5. (a) The Board of Directors may fix, in advance, which shall not be more than sixty (60), nor less than ten (10) days before the meeting or action requiring a determination of shareholders, as the record date for the determination of shareholders entitled to receive notice of, or to vote at, any meeting of shareholders, or to consent to any proposal without a meeting, or for the purpose of determining shareholders entitled to receive payment of any dividends, or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88" w:name="page189"/>
    <w:bookmarkEnd w:id="18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allotment of any rights, or for the purpose of any other action. If no record date is fixed, the record date for shareholders entitled to notice of meeting shall be at the close of business on the day preceding the day on which notice is given, or, if no notice is given, the day on which the meeting is held, or if notice is waived, at the close of business on the day before the day on which the meeting is held.</w:t>
      </w:r>
    </w:p>
    <w:p>
      <w:pPr>
        <w:spacing w:after="0" w:line="176" w:lineRule="exact"/>
        <w:rPr>
          <w:sz w:val="20"/>
          <w:szCs w:val="20"/>
          <w:color w:val="auto"/>
        </w:rPr>
      </w:pPr>
    </w:p>
    <w:p>
      <w:pPr>
        <w:ind w:right="220" w:firstLine="464"/>
        <w:spacing w:after="0" w:line="258" w:lineRule="auto"/>
        <w:tabs>
          <w:tab w:leader="none" w:pos="7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fix a record date, which shall not precede the date upon which the resolution fixing the record date is adopted for shareholders entitled to receive payment of any dividend or other distribution or allotment of any rights of shareholders entitled to exercise any rights in respect of any change, conversion or exchange of stock, or for the purpose of any other lawful action, provided that such record date shall not be more than sixty (60) days before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rFonts w:ascii="Times New Roman" w:cs="Times New Roman" w:eastAsia="Times New Roman" w:hAnsi="Times New Roman"/>
          <w:sz w:val="18"/>
          <w:szCs w:val="18"/>
          <w:color w:val="auto"/>
        </w:rPr>
      </w:pPr>
    </w:p>
    <w:p>
      <w:pPr>
        <w:ind w:right="40" w:firstLine="464"/>
        <w:spacing w:after="0" w:line="255" w:lineRule="auto"/>
        <w:tabs>
          <w:tab w:leader="none" w:pos="7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fix, in advance, a date which shall not precede the date upon which the resolution fixing the record date is adopted by the Board of Directors, and which date shall not be more than ten (10) days after the date upon which the resolution fixing the record date is adopted by the Board of Directors. If no record date is fixed and no prior action is required by the Board, the record date for determining shareholders entitled to consent to corporate action in writing without a meeting, shall be the first date on which a signed written consent setting forth the action taken or proposed to be taken is delivered to the corporation by delivery by hand or by certified or registered mail, return receipt requested, to its registered office in this State, its principal place of business, or an officer or agent of the corporation having custody of the book in which proceedings of meetings of shareholders are recorded. If no record date is fixed by the Board of Directors and prior action is required by law, the record date for determining shareholders entitled to consent to corporate action in writing without a meeting shall be at the close of business on the day on which the Board of Directors adopts the resolution taking such prior action.</w:t>
      </w:r>
    </w:p>
    <w:p>
      <w:pPr>
        <w:spacing w:after="0" w:line="185" w:lineRule="exact"/>
        <w:rPr>
          <w:rFonts w:ascii="Times New Roman" w:cs="Times New Roman" w:eastAsia="Times New Roman" w:hAnsi="Times New Roman"/>
          <w:sz w:val="18"/>
          <w:szCs w:val="18"/>
          <w:color w:val="auto"/>
        </w:rPr>
      </w:pPr>
    </w:p>
    <w:p>
      <w:pPr>
        <w:ind w:firstLine="464"/>
        <w:spacing w:after="0" w:line="282" w:lineRule="auto"/>
        <w:tabs>
          <w:tab w:leader="none" w:pos="7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of shareholders entitled to notice of, or to vote at a shareholder’s meeting is effective for any adjournment of the meeting unless the Board of Directors fixes as new record date for the adjourned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REGISTERED STOCKHOLDERS</w:t>
      </w:r>
    </w:p>
    <w:p>
      <w:pPr>
        <w:spacing w:after="0" w:line="22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189" w:name="page190"/>
    <w:bookmarkEnd w:id="18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INTERESTED DIRECTORS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 contract or transaction shall be void or voidable if such contract or transaction is between the corporation and one or more of its Directors or officers, or between the Corporation and any other corporation, partnership, association, or other organization in which one or more of its Directors or officers, are directors or officers, or have a financial interest, when such Director or officer is present at or participates in the meeting of the Board or committee which authorizes the contract or transaction or his, her or their votes are counted for such purpose, if:</w:t>
      </w:r>
    </w:p>
    <w:p>
      <w:pPr>
        <w:spacing w:after="0" w:line="180" w:lineRule="exact"/>
        <w:rPr>
          <w:sz w:val="20"/>
          <w:szCs w:val="20"/>
          <w:color w:val="auto"/>
        </w:rPr>
      </w:pPr>
    </w:p>
    <w:p>
      <w:pPr>
        <w:jc w:val="both"/>
        <w:ind w:right="480" w:firstLine="464"/>
        <w:spacing w:after="0" w:line="266" w:lineRule="auto"/>
        <w:tabs>
          <w:tab w:leader="none" w:pos="70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76"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relationships or interest or interests and as to the contract or transaction are disclosed or are known to the shareholders entitled to vote thereon, and the contract or transaction is specifically approved in good faith by vote of the shareholders; or</w:t>
      </w:r>
    </w:p>
    <w:p>
      <w:pPr>
        <w:spacing w:after="0" w:line="161" w:lineRule="exact"/>
        <w:rPr>
          <w:rFonts w:ascii="Times New Roman" w:cs="Times New Roman" w:eastAsia="Times New Roman" w:hAnsi="Times New Roman"/>
          <w:sz w:val="18"/>
          <w:szCs w:val="18"/>
          <w:color w:val="auto"/>
        </w:rPr>
      </w:pPr>
    </w:p>
    <w:p>
      <w:pPr>
        <w:ind w:right="20" w:firstLine="464"/>
        <w:spacing w:after="0" w:line="282" w:lineRule="auto"/>
        <w:tabs>
          <w:tab w:leader="none" w:pos="70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or the shareholders.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Such interested Directors may be counted when determining the presence of a quorum at the Board of Directors’ or committee meeting authorizing the contract or transaction.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0" w:right="279" w:bottom="1440" w:gutter="0" w:footer="0" w:header="0"/>
        </w:sectPr>
      </w:pPr>
    </w:p>
    <w:bookmarkStart w:id="190" w:name="page191"/>
    <w:bookmarkEnd w:id="190"/>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STATEMENT</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Section 3. The board of directors shall present at each annual meeting, and at any special meeting of the stockholders when called for by vote of the stockholders, a full and clear statement of the business and condition of the corporation.</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CHECKS</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Section 4. All checks or demands for money and notes of the corporation shall be signed by such officer or officers or such other person or persons as the board of directors may from time to time designate.</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FISCAL YEAR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Section 6. The corporation shall indemnify its officers and directors to the extent permitted by the General Corporation Law of Delaware. The Corporation may indemnify employees and agents of the corporation in accordance with Delaware law as the board of directors shall determine in its sole discretion.</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Section 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80"/>
          </w:cols>
          <w:pgMar w:left="240" w:top="270" w:right="379"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SECRETARY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certify that I am the duly appointed, qualified and acting Secretary of NTERYX, INC. (the “Corporation”), and that the foregoing document consisting of 11 pages was duly adopted as the Bylaws of the Corporation by the board of directors of the corporation at a meeting held on October 19, 2007.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19, 2007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G. Schinner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G. Schinner, Secretary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192" w:name="page193"/>
    <w:bookmarkEnd w:id="192"/>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NTERYX,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Paul (Chip) L. Lion, hereby certifies that:</w:t>
      </w:r>
    </w:p>
    <w:p>
      <w:pPr>
        <w:spacing w:after="0" w:line="225" w:lineRule="exact"/>
        <w:rPr>
          <w:sz w:val="20"/>
          <w:szCs w:val="20"/>
          <w:color w:val="auto"/>
        </w:rPr>
      </w:pPr>
    </w:p>
    <w:p>
      <w:pPr>
        <w:ind w:left="180" w:hanging="176"/>
        <w:spacing w:after="0"/>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duly elected and acting Secretary of Nteryx, Inc., a Delaware corporation (the “Corporation”).</w:t>
      </w:r>
    </w:p>
    <w:p>
      <w:pPr>
        <w:spacing w:after="0" w:line="225"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18, 2008, the Bylaws of the Corporation were amended to include the following Article 10:</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RIGHT OF FIRST REFUSAL</w:t>
      </w:r>
    </w:p>
    <w:p>
      <w:pPr>
        <w:spacing w:after="0" w:line="117" w:lineRule="exact"/>
        <w:rPr>
          <w:sz w:val="20"/>
          <w:szCs w:val="20"/>
          <w:color w:val="auto"/>
        </w:rPr>
      </w:pPr>
    </w:p>
    <w:p>
      <w:pPr>
        <w:jc w:val="both"/>
        <w:ind w:right="60" w:firstLine="438"/>
        <w:spacing w:after="0" w:line="266" w:lineRule="auto"/>
        <w:rPr>
          <w:sz w:val="20"/>
          <w:szCs w:val="20"/>
          <w:color w:val="auto"/>
        </w:rPr>
      </w:pPr>
      <w:r>
        <w:rPr>
          <w:rFonts w:ascii="Times New Roman" w:cs="Times New Roman" w:eastAsia="Times New Roman" w:hAnsi="Times New Roman"/>
          <w:sz w:val="18"/>
          <w:szCs w:val="18"/>
          <w:color w:val="auto"/>
        </w:rPr>
        <w:t>Section 10. No stockholder shall sell, assign, pledge, or in any manner transfer any of the shares of common stock of the corporation or any right or interest therein, whether voluntarily or by operation of law, or by gift or otherwise, except by a transfer which meets the requirements hereinafter set forth in this bylaw:</w:t>
      </w:r>
    </w:p>
    <w:p>
      <w:pPr>
        <w:spacing w:after="0" w:line="68" w:lineRule="exact"/>
        <w:rPr>
          <w:sz w:val="20"/>
          <w:szCs w:val="20"/>
          <w:color w:val="auto"/>
        </w:rPr>
      </w:pPr>
    </w:p>
    <w:p>
      <w:pPr>
        <w:ind w:left="460" w:right="20" w:firstLine="421"/>
        <w:spacing w:after="0" w:line="255" w:lineRule="auto"/>
        <w:tabs>
          <w:tab w:leader="none" w:pos="11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a stockholder receives from anyone a bona fide offer acceptable to the stockholder to purchase any of his shares of common stock or (ii) in the event of a restricted transfer (as defined below) by a stockholder, such stockholder shall give written notice thereof to the corporation. The notice shall name the proposed transferee and state the number of shares, right or interest to be transferred, the price per share and all other terms and conditions of the offer or restricted transfer, as applicable. As used herein, “restricted transfer” shall mean: (A) the filing of a petition in bankruptcy by or against a stockholder; (B) an adjudication that a stockholder is an insane or incompetent person; (C) any assignment by a stockholder for the benefit of his, her or its creditors; and (D) any transfer, award, or confirmation of any common stock to a stockholder’s spouse pursuant to a decree of divorce, dissolution, or separate maintenance, or pursuant to a property settlement or separation agreement.</w:t>
      </w:r>
    </w:p>
    <w:p>
      <w:pPr>
        <w:spacing w:after="0" w:line="77" w:lineRule="exact"/>
        <w:rPr>
          <w:rFonts w:ascii="Times New Roman" w:cs="Times New Roman" w:eastAsia="Times New Roman" w:hAnsi="Times New Roman"/>
          <w:sz w:val="18"/>
          <w:szCs w:val="18"/>
          <w:color w:val="auto"/>
        </w:rPr>
      </w:pPr>
    </w:p>
    <w:p>
      <w:pPr>
        <w:ind w:left="460" w:firstLine="421"/>
        <w:spacing w:after="0" w:line="256" w:lineRule="auto"/>
        <w:tabs>
          <w:tab w:leader="none" w:pos="113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thirty (30) days following receipt of such notice, the corporation or its assigns shall have the option to purchase all or any lesser part of the shares specified in the notice at the price and upon the terms set forth in such bona fide offer; provided, however, that in the event of a restricted transfer, the purchase price per share shall equal the net book value per share of the common stock of the corporation determined on a fully diluted, fully converted basis as of the last day of the preceding fiscal year, as determined by the independent accountants of the corporation (or, in the event that the corporation has not engaged an independent accountant, the board of directors of the corporation) based on their review, but not necessarily an audit, of the corporation’s financial statements. Net book value shall be calculated using the historical cost of the</w:t>
      </w:r>
    </w:p>
    <w:p>
      <w:pPr>
        <w:sectPr>
          <w:pgSz w:w="11900" w:h="16838" w:orient="portrait"/>
          <w:cols w:equalWidth="0" w:num="1">
            <w:col w:w="10940"/>
          </w:cols>
          <w:pgMar w:left="700" w:top="266" w:right="259" w:bottom="1440" w:gutter="0" w:footer="0" w:header="0"/>
        </w:sectPr>
      </w:pPr>
    </w:p>
    <w:bookmarkStart w:id="193" w:name="page194"/>
    <w:bookmarkEnd w:id="19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corporation’s assets as reflected on its financial statements decreased by any depreciation, amortization or other cost recover method consistently applied for financial accounting purposes. Net book value shall not include any unrealized gain or loss on the corporation’s assets or the value, if any, of the corporation’s goodwill or other assets that are not reflected on the corporation’s financial statements</w:t>
      </w:r>
    </w:p>
    <w:p>
      <w:pPr>
        <w:spacing w:after="0" w:line="68" w:lineRule="exact"/>
        <w:rPr>
          <w:sz w:val="20"/>
          <w:szCs w:val="20"/>
          <w:color w:val="auto"/>
        </w:rPr>
      </w:pPr>
    </w:p>
    <w:p>
      <w:pPr>
        <w:ind w:right="140" w:firstLine="421"/>
        <w:spacing w:after="0" w:line="266" w:lineRule="auto"/>
        <w:tabs>
          <w:tab w:leader="none" w:pos="6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corporation elects to purchase all or any part of the shares, the secretary of the corporation shall give written notice to the selling stockholder of such election and the corporation shall, within thirty (30) days after the secretary of the corporation mails such notice, deliver to the selling stockholder the consideration set forth in the selling stockholder’s notice of sale.</w:t>
      </w:r>
    </w:p>
    <w:p>
      <w:pPr>
        <w:spacing w:after="0" w:line="68" w:lineRule="exact"/>
        <w:rPr>
          <w:rFonts w:ascii="Times New Roman" w:cs="Times New Roman" w:eastAsia="Times New Roman" w:hAnsi="Times New Roman"/>
          <w:sz w:val="18"/>
          <w:szCs w:val="18"/>
          <w:color w:val="auto"/>
        </w:rPr>
      </w:pPr>
    </w:p>
    <w:p>
      <w:pPr>
        <w:ind w:right="120" w:firstLine="421"/>
        <w:spacing w:after="0" w:line="256" w:lineRule="auto"/>
        <w:tabs>
          <w:tab w:leader="none" w:pos="6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of the shares are not purchased by the corporation, the selling stockholder may, within the sixty (60) day period following the expiration of the option rights granted to the corporation, sell elsewhere the shares specified in said selling stockholder’s notice which were not acquired by the corporation in accordance with the provisions of paragraph (e) of this bylaw, provided that said sale shall not be on terms and conditions more favorable to the purchaser than those contained in the bona fide offer set forth in said selling stockholder’s notice. All shares so sold by said selling stockholder shall continue to be subject to the provisions of this bylaw in the same manner as before said transfer.</w:t>
      </w:r>
    </w:p>
    <w:p>
      <w:pPr>
        <w:spacing w:after="0" w:line="79"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to the contrary contained herein notwithstanding, the following transactions shall be exempt from the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w:t>
      </w:r>
    </w:p>
    <w:p>
      <w:pPr>
        <w:spacing w:after="0" w:line="98" w:lineRule="exact"/>
        <w:rPr>
          <w:rFonts w:ascii="Times New Roman" w:cs="Times New Roman" w:eastAsia="Times New Roman" w:hAnsi="Times New Roman"/>
          <w:sz w:val="18"/>
          <w:szCs w:val="18"/>
          <w:color w:val="auto"/>
        </w:rPr>
      </w:pPr>
    </w:p>
    <w:p>
      <w:pPr>
        <w:ind w:left="580" w:firstLine="389"/>
        <w:spacing w:after="0" w:line="266" w:lineRule="auto"/>
        <w:tabs>
          <w:tab w:leader="none" w:pos="119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shares held either during such stockholder’s lifetime or on death by will or intestacy to such stockholder’s immediate family. “Immediate family” as used herein shall mean spouse (subject to limitations in the event of a restricted transfer), lineal descendent, father, mother, brother, or sister of the stockholder making such transfer.</w:t>
      </w:r>
    </w:p>
    <w:p>
      <w:pPr>
        <w:spacing w:after="0" w:line="68" w:lineRule="exact"/>
        <w:rPr>
          <w:rFonts w:ascii="Times New Roman" w:cs="Times New Roman" w:eastAsia="Times New Roman" w:hAnsi="Times New Roman"/>
          <w:sz w:val="18"/>
          <w:szCs w:val="18"/>
          <w:color w:val="auto"/>
        </w:rPr>
      </w:pPr>
    </w:p>
    <w:p>
      <w:pPr>
        <w:ind w:left="580" w:right="200" w:firstLine="389"/>
        <w:spacing w:after="0" w:line="282" w:lineRule="auto"/>
        <w:tabs>
          <w:tab w:leader="none" w:pos="124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bona fide pledge or mortgage of any shares of common stock with a commercial lending institution, provided that any subsequent transfer of said shares by said institution shall be conducted in the manner set forth in this bylaw.</w:t>
      </w:r>
    </w:p>
    <w:p>
      <w:pPr>
        <w:spacing w:after="0" w:line="53"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of such stockholder’s shares of common stock to any other stockholder of the corporation.</w:t>
      </w:r>
    </w:p>
    <w:p>
      <w:pPr>
        <w:spacing w:after="0" w:line="117" w:lineRule="exact"/>
        <w:rPr>
          <w:rFonts w:ascii="Times New Roman" w:cs="Times New Roman" w:eastAsia="Times New Roman" w:hAnsi="Times New Roman"/>
          <w:sz w:val="18"/>
          <w:szCs w:val="18"/>
          <w:color w:val="auto"/>
        </w:rPr>
      </w:pPr>
    </w:p>
    <w:p>
      <w:pPr>
        <w:ind w:left="580" w:right="20" w:firstLine="389"/>
        <w:spacing w:after="0" w:line="282" w:lineRule="auto"/>
        <w:tabs>
          <w:tab w:leader="none" w:pos="128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transfer of any or all of such stockholders shares of common stock to a person who, at the time of such transfer, is an officer or director of the corporation.</w:t>
      </w:r>
    </w:p>
    <w:p>
      <w:pPr>
        <w:spacing w:after="0" w:line="53" w:lineRule="exact"/>
        <w:rPr>
          <w:rFonts w:ascii="Times New Roman" w:cs="Times New Roman" w:eastAsia="Times New Roman" w:hAnsi="Times New Roman"/>
          <w:sz w:val="18"/>
          <w:szCs w:val="18"/>
          <w:color w:val="auto"/>
        </w:rPr>
      </w:pPr>
    </w:p>
    <w:p>
      <w:pPr>
        <w:jc w:val="both"/>
        <w:ind w:left="580" w:right="180" w:firstLine="389"/>
        <w:spacing w:after="0" w:line="266" w:lineRule="auto"/>
        <w:tabs>
          <w:tab w:leader="none" w:pos="123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stockholder’s transfer of any or all of its shares of common stock pursuant to and in accordance with the terms of any merger, consolidation, reclassification of shares or capital reorganization of the corporate stockholder, or pursuant to a sale of all or substantially all of the stock or assets of a corporate stockholder.</w:t>
      </w:r>
    </w:p>
    <w:p>
      <w:pPr>
        <w:sectPr>
          <w:pgSz w:w="11900" w:h="16838" w:orient="portrait"/>
          <w:cols w:equalWidth="0" w:num="1">
            <w:col w:w="10500"/>
          </w:cols>
          <w:pgMar w:left="1160" w:top="270" w:right="239" w:bottom="1440" w:gutter="0" w:footer="0" w:header="0"/>
        </w:sectPr>
      </w:pPr>
    </w:p>
    <w:bookmarkStart w:id="194" w:name="page195"/>
    <w:bookmarkEnd w:id="194"/>
    <w:p>
      <w:pPr>
        <w:ind w:left="1280" w:hanging="311"/>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corporate stockholder’s transfer of any or all of its shares of common stock to any or all of its stockholders.</w:t>
      </w:r>
    </w:p>
    <w:p>
      <w:pPr>
        <w:spacing w:after="0" w:line="117" w:lineRule="exact"/>
        <w:rPr>
          <w:rFonts w:ascii="Times New Roman" w:cs="Times New Roman" w:eastAsia="Times New Roman" w:hAnsi="Times New Roman"/>
          <w:sz w:val="18"/>
          <w:szCs w:val="18"/>
          <w:color w:val="auto"/>
        </w:rPr>
      </w:pPr>
    </w:p>
    <w:p>
      <w:pPr>
        <w:ind w:left="1320" w:hanging="351"/>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a stockholder which is a limited or general partnership to any or all of its partners</w:t>
      </w:r>
    </w:p>
    <w:p>
      <w:pPr>
        <w:spacing w:after="0" w:line="117" w:lineRule="exact"/>
        <w:rPr>
          <w:sz w:val="20"/>
          <w:szCs w:val="20"/>
          <w:color w:val="auto"/>
        </w:rPr>
      </w:pPr>
    </w:p>
    <w:p>
      <w:pPr>
        <w:ind w:right="180" w:firstLine="420"/>
        <w:spacing w:after="0" w:line="282" w:lineRule="auto"/>
        <w:rPr>
          <w:sz w:val="20"/>
          <w:szCs w:val="20"/>
          <w:color w:val="auto"/>
        </w:rPr>
      </w:pPr>
      <w:r>
        <w:rPr>
          <w:rFonts w:ascii="Times New Roman" w:cs="Times New Roman" w:eastAsia="Times New Roman" w:hAnsi="Times New Roman"/>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54" w:lineRule="exact"/>
        <w:rPr>
          <w:sz w:val="20"/>
          <w:szCs w:val="20"/>
          <w:color w:val="auto"/>
        </w:rPr>
      </w:pPr>
    </w:p>
    <w:p>
      <w:pPr>
        <w:ind w:right="60" w:firstLine="421"/>
        <w:spacing w:after="0" w:line="258" w:lineRule="auto"/>
        <w:tabs>
          <w:tab w:leader="none" w:pos="6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sold by the selling stockholder). This bylaw may be amended or repealed either by a duly authorized action of the board of directors or by the stockholders, upon the express written consent of the owners of a majority of the voting power of the corporation.</w:t>
      </w:r>
    </w:p>
    <w:p>
      <w:pPr>
        <w:spacing w:after="0" w:line="75" w:lineRule="exact"/>
        <w:rPr>
          <w:rFonts w:ascii="Times New Roman" w:cs="Times New Roman" w:eastAsia="Times New Roman" w:hAnsi="Times New Roman"/>
          <w:sz w:val="18"/>
          <w:szCs w:val="18"/>
          <w:color w:val="auto"/>
        </w:rPr>
      </w:pPr>
    </w:p>
    <w:p>
      <w:pPr>
        <w:ind w:right="400" w:firstLine="421"/>
        <w:spacing w:after="0" w:line="282" w:lineRule="auto"/>
        <w:tabs>
          <w:tab w:leader="none" w:pos="6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transfer, or purported sale or transfer, of securities of the corporation by stockholders shall be null and void unless the terms, conditions, and provisions of this bylaw are strictly observed and followed.</w:t>
      </w:r>
    </w:p>
    <w:p>
      <w:pPr>
        <w:spacing w:after="0" w:line="53" w:lineRule="exact"/>
        <w:rPr>
          <w:rFonts w:ascii="Times New Roman" w:cs="Times New Roman" w:eastAsia="Times New Roman" w:hAnsi="Times New Roman"/>
          <w:sz w:val="18"/>
          <w:szCs w:val="18"/>
          <w:color w:val="auto"/>
        </w:rPr>
      </w:pPr>
    </w:p>
    <w:p>
      <w:pPr>
        <w:ind w:firstLine="421"/>
        <w:spacing w:after="0" w:line="266" w:lineRule="auto"/>
        <w:tabs>
          <w:tab w:leader="none" w:pos="6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right of first refusal shall terminate upon the date securities of the corporation are first offered to the public pursuant to a registration statement filed with, and declared effective by, the Securities and Exchange Commission under the Securities Act of 1933, as amended.</w:t>
      </w:r>
    </w:p>
    <w:p>
      <w:pPr>
        <w:spacing w:after="0" w:line="68" w:lineRule="exact"/>
        <w:rPr>
          <w:rFonts w:ascii="Times New Roman" w:cs="Times New Roman" w:eastAsia="Times New Roman" w:hAnsi="Times New Roman"/>
          <w:sz w:val="18"/>
          <w:szCs w:val="18"/>
          <w:color w:val="auto"/>
        </w:rPr>
      </w:pPr>
    </w:p>
    <w:p>
      <w:pPr>
        <w:ind w:right="360" w:firstLine="421"/>
        <w:spacing w:after="0" w:line="282" w:lineRule="auto"/>
        <w:tabs>
          <w:tab w:leader="none" w:pos="63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shares of common stock of the corporation shall bear on their face the following legend so long as the foregoing right of first refusal remains in effect:</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SHARES REPRESENTED BY THIS CERTIFICATE ARE SUBJECT TO A RIGHT OF FIRST REFUSAL IN FAVOR OF THE COMPANY AS SET FORTH IN THE BYLAWS OF THE COMPANY.”</w:t>
      </w:r>
    </w:p>
    <w:p>
      <w:pPr>
        <w:spacing w:after="0" w:line="51" w:lineRule="exact"/>
        <w:rPr>
          <w:sz w:val="20"/>
          <w:szCs w:val="20"/>
          <w:color w:val="auto"/>
        </w:rPr>
      </w:pPr>
    </w:p>
    <w:p>
      <w:pPr>
        <w:jc w:val="both"/>
        <w:ind w:right="40" w:firstLine="421"/>
        <w:spacing w:after="0" w:line="266" w:lineRule="auto"/>
        <w:tabs>
          <w:tab w:leader="none" w:pos="6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corporation shall have the right to purchase common stock under this right of first refusal, the corporation may designate and assign to one or more employees, officers, directors or stockholders of the corporation or other persons or organizations, to exercise all or a part of the corporation’s right of first refusal.</w:t>
      </w:r>
    </w:p>
    <w:p>
      <w:pPr>
        <w:sectPr>
          <w:pgSz w:w="11900" w:h="16838" w:orient="portrait"/>
          <w:cols w:equalWidth="0" w:num="1">
            <w:col w:w="10420"/>
          </w:cols>
          <w:pgMar w:left="1160" w:top="270"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Certificate of Amendment as of the date first written above.</w:t>
      </w:r>
    </w:p>
    <w:p>
      <w:pPr>
        <w:spacing w:after="0" w:line="26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Paul L. 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Paul (Chip) L. Lion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9759"/>
          </w:cols>
          <w:pgMar w:left="700" w:top="270" w:right="1440" w:bottom="1440" w:gutter="0" w:footer="0" w:header="0"/>
        </w:sectPr>
      </w:pPr>
    </w:p>
    <w:bookmarkStart w:id="196" w:name="page197"/>
    <w:bookmarkEnd w:id="196"/>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NTERYX,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Paul (Chip) L. Lion, hereby certifies that:</w:t>
      </w:r>
    </w:p>
    <w:p>
      <w:pPr>
        <w:spacing w:after="0" w:line="225" w:lineRule="exact"/>
        <w:rPr>
          <w:sz w:val="20"/>
          <w:szCs w:val="20"/>
          <w:color w:val="auto"/>
        </w:rPr>
      </w:pPr>
    </w:p>
    <w:p>
      <w:pPr>
        <w:ind w:left="180" w:hanging="176"/>
        <w:spacing w:after="0"/>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duly elected and acting Secretary of Nteryx, Inc., a Delaware corporation (the “Corporation”).</w:t>
      </w:r>
    </w:p>
    <w:p>
      <w:pPr>
        <w:spacing w:after="0" w:line="225"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28, 2008, Article III, Section 2 of the Bylaws of the Corporation was amended and restated in its entirety to read as follows:</w:t>
      </w:r>
    </w:p>
    <w:p>
      <w:pPr>
        <w:spacing w:after="0" w:line="117"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“Section 2. The number of directors of the corporation shall be not less than three (3) and not more than seven (7). The initial number of directors shall be five (5). The number of directors may be increased or decreased from time to time by vote of the stockholders. No reduction of the authorized number of directors shall have the effect of removing any director before that director’s term of office expires. The directors shall serve for terms of one year and be elected at the annual meeting of stockholders. Each director elected shall hold office until his successor is elected and qualified. Directors need not be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Certificate of Amendment as of the date first written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Paul L. 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Paul (Chip) L. Lion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960"/>
          </w:cols>
          <w:pgMar w:left="700" w:top="266"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10.1(a)</w:t>
      </w:r>
    </w:p>
    <w:p>
      <w:pPr>
        <w:spacing w:after="0" w:line="229" w:lineRule="exact"/>
        <w:rPr>
          <w:sz w:val="20"/>
          <w:szCs w:val="20"/>
          <w:color w:val="auto"/>
        </w:rPr>
      </w:pPr>
    </w:p>
    <w:p>
      <w:pPr>
        <w:ind w:right="180" w:firstLine="8"/>
        <w:spacing w:after="0" w:line="282" w:lineRule="auto"/>
        <w:tabs>
          <w:tab w:leader="none" w:pos="43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4, 2012</w:t>
      </w:r>
    </w:p>
    <w:p>
      <w:pPr>
        <w:sectPr>
          <w:pgSz w:w="11900" w:h="16838" w:orient="portrait"/>
          <w:cols w:equalWidth="0" w:num="1">
            <w:col w:w="11420"/>
          </w:cols>
          <w:pgMar w:left="240" w:top="117"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75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700" w:type="dxa"/>
            <w:vAlign w:val="bottom"/>
          </w:tcPr>
          <w:p>
            <w:pPr>
              <w:spacing w:after="0"/>
              <w:rPr>
                <w:sz w:val="20"/>
                <w:szCs w:val="20"/>
                <w:color w:val="auto"/>
              </w:rPr>
            </w:pPr>
          </w:p>
        </w:tc>
      </w:tr>
      <w:tr>
        <w:trPr>
          <w:trHeight w:val="409"/>
        </w:trPr>
        <w:tc>
          <w:tcPr>
            <w:tcW w:w="10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3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Construction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Grant of Rights and Licenses; Exclusivity</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License to AstraZeneca</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Sublicenses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Distributorships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Co-Promotion Rights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Retained by Ardelyx</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Exclusion Option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to Ardelyx</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Non-compete and Restrictive Covenants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Implied Rights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2.11</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Encumbrance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2.12</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Exclusivity Term</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2.13</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of Regulatory Documentation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2.14</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Confirmatory Patent Licenses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Joint Project Team and Development Collaboration Committee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JPT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Overview of the DCC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Composition of the DCC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Responsibilities of the DCC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Meetings of the DCC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DCC Decision Making</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3.7</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Ardelyx Membership in the DCC</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General Provisions on Development and Commercialization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Disclosure; Assistance; Record Keeping</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Plan and Development Budget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Expenses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Diligence Obligations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of Development Activities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4.6</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Matters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4.7</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Adverse Event Reporting and Product Recall</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4.8</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Assigned Activity Expenses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4.9</w:t>
            </w:r>
          </w:p>
        </w:tc>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Provisions Regarding Commercialization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40" w:firstLine="8"/>
        <w:spacing w:after="0" w:line="262" w:lineRule="auto"/>
        <w:tabs>
          <w:tab w:leader="none" w:pos="34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266"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Initial Studies and IBS-C Study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Initial Studies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AstraZeneca’s Options upon Completion of Initial Studies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IBS-C Study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Co-Funding Option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Co-Funding Option and Co-Funding Amount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Co-Funding Amount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Co-Promote and Sales Collaboration Committee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Co-Promote Option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Collaboration Committee Overview</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Composition of SCC</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7.4</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Responsibilities of the SCC</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7.5</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Meetings of the SCC</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7.6</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SCC Decision Making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7.7</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Ardelyx Membership</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7.8</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Co-Promote Activities in the U.S. Territory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Manufacture and Supply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Supply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Transfer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Process and Formulation Development; Manufacturing Approvals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8.4</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after Certain Terminations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8.5</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Supply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Consideration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Upfront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Payments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Milestone Payments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9.4</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Related Milestones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9.5</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9.6</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Combination Products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9.7</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 Licensed Product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9.8</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by Sublicensees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9.9</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Payments and Reports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9.10</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9.11</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or Reports by Affiliates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Mode of Payment and Invoice Requirements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Currency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9.14</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Imports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9.15</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Discounted Sales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20"/>
          </w:cols>
          <w:pgMar w:left="240" w:top="270"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Confidentiality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Information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General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Receipt of Third-Party Information and Materials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Prior Agreements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Ownership of Intellectual Property and Patent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 Working Group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Prosecution and Maintenance of Patent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Third-Party Patent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 Packaging and Labeling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Representations, Warranties, and Covenants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0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by AstraZeneca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Manufacturing by Ardelyx</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Debarment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Anti-Bribery and Anti-Corruption Compliance.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Disclaimer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Record Retention, Audit and Use of Name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Records Retention; Audit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Publicity Review</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Names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Term and Termination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Consequences of an AZ Triggered Termination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Consequences of Termination (or Right to Terminate) by AstraZeneca for Ardelyx’s breach or insolvency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of Control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Surviving Rights and Obligations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8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Rights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20"/>
          </w:cols>
          <w:pgMar w:left="240" w:top="270"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Indemnification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Mechanism</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16. Dispute Resolution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0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Referral of Disputes to the Parties Senior Executives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Mechanism</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Preliminary Injunctions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 Disputes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17. Miscellaneous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0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Performance by Affiliates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17.2</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17.3</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Actions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17.4</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17.5</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17.6</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17.7</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17.8</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17.9</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17.10</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of Liability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17.11</w:t>
            </w: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Partnership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320"/>
          </w:cols>
          <w:pgMar w:left="240" w:top="270" w:right="339" w:bottom="1440" w:gutter="0" w:footer="0" w:header="0"/>
        </w:sectPr>
      </w:pPr>
    </w:p>
    <w:bookmarkStart w:id="202" w:name="page203"/>
    <w:bookmarkEnd w:id="202"/>
    <w:p>
      <w:pPr>
        <w:ind w:left="5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219"/>
          </w:cols>
          <w:pgMar w:left="240" w:top="266"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Outline of Material Terms to be Described in the Initial Development Plan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Form Confirmatory License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Joint Project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Development Collaboration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Contractors Approved for Use by Ardelyx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on Initial Studies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Terms for Co-Promote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Supply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 Terms for MSA and QAA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Invoicing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Matter of Proposed Publications by Ardelyx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Press Release</w:t>
      </w:r>
    </w:p>
    <w:p>
      <w:pPr>
        <w:spacing w:after="0" w:line="139" w:lineRule="exact"/>
        <w:rPr>
          <w:sz w:val="20"/>
          <w:szCs w:val="20"/>
          <w:color w:val="auto"/>
        </w:rPr>
      </w:pPr>
    </w:p>
    <w:p>
      <w:pPr>
        <w:sectPr>
          <w:pgSz w:w="11900" w:h="16838" w:orient="portrait"/>
          <w:cols w:equalWidth="0" w:num="2">
            <w:col w:w="800" w:space="580"/>
            <w:col w:w="8839"/>
          </w:cols>
          <w:pgMar w:left="240" w:top="266" w:right="1440" w:bottom="1440" w:gutter="0" w:footer="0" w:header="0"/>
          <w:type w:val="continuous"/>
        </w:sectPr>
      </w:pPr>
    </w:p>
    <w:p>
      <w:pPr>
        <w:ind w:left="56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219"/>
          </w:cols>
          <w:pgMar w:left="240" w:top="266" w:right="1440" w:bottom="1440" w:gutter="0" w:footer="0" w:header="0"/>
          <w:type w:val="continuous"/>
        </w:sectPr>
      </w:pPr>
    </w:p>
    <w:bookmarkStart w:id="203" w:name="page204"/>
    <w:bookmarkEnd w:id="2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 AGREEMENT</w:t>
      </w:r>
    </w:p>
    <w:p>
      <w:pPr>
        <w:spacing w:after="0" w:line="2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This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October, 2012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AstraZeneca 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(publ)</w:t>
      </w:r>
      <w:r>
        <w:rPr>
          <w:rFonts w:ascii="Times New Roman" w:cs="Times New Roman" w:eastAsia="Times New Roman" w:hAnsi="Times New Roman"/>
          <w:sz w:val="18"/>
          <w:szCs w:val="18"/>
          <w:color w:val="auto"/>
        </w:rPr>
        <w:t>, a Swedish corporation with corporate identity no. 556011-7482 and a place of business at 431 83 Mölndal, Sweden (“</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Ardelyx, Inc.</w:t>
      </w:r>
      <w:r>
        <w:rPr>
          <w:rFonts w:ascii="Times New Roman" w:cs="Times New Roman" w:eastAsia="Times New Roman" w:hAnsi="Times New Roman"/>
          <w:sz w:val="18"/>
          <w:szCs w:val="18"/>
          <w:color w:val="auto"/>
        </w:rPr>
        <w:t>, a Delaware corporation having its principal place of business at 34175 Ardenwood Boulevard, Fremont, California United States of America 94555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Ardelyx and AstraZeneca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AstraZeneca is a pharmaceutical company engaged in the research, development and commercialization of products useful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amelioration, treatment or prevention of human diseases and conditions.</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Ardelyx is a biotechnology company developing certain proprietary compounds known as NHE3 inhibitors for use in the treatment of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and disorders, and has filed an Investigational New Drug application for one of such compounds, designated as RDX5791.</w:t>
      </w:r>
    </w:p>
    <w:p>
      <w:pPr>
        <w:spacing w:after="0" w:line="155"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AstraZeneca and Ardelyx desire to establish a license and collaboration agreement for the further development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RDX5791 (and/or its back-up compounds), with the objective of providing pharmaceutical products to patients derived from application of the expertise of each of Ardelyx and AstraZeneca.</w:t>
      </w:r>
    </w:p>
    <w:p>
      <w:pPr>
        <w:spacing w:after="0" w:line="171"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below,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following terms shall have the following meanings as used in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Assigned Activities</w:t>
      </w:r>
      <w:r>
        <w:rPr>
          <w:rFonts w:ascii="Times New Roman" w:cs="Times New Roman" w:eastAsia="Times New Roman" w:hAnsi="Times New Roman"/>
          <w:sz w:val="18"/>
          <w:szCs w:val="18"/>
          <w:color w:val="auto"/>
        </w:rPr>
        <w:t>” shall have the meaning assigned in Section 2.5.</w:t>
      </w:r>
    </w:p>
    <w:p>
      <w:pPr>
        <w:spacing w:after="0" w:line="225"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Assigned Activity Expenses</w:t>
      </w:r>
      <w:r>
        <w:rPr>
          <w:rFonts w:ascii="Times New Roman" w:cs="Times New Roman" w:eastAsia="Times New Roman" w:hAnsi="Times New Roman"/>
          <w:sz w:val="18"/>
          <w:szCs w:val="18"/>
          <w:color w:val="auto"/>
        </w:rPr>
        <w:t>” means the expenses incurred by Ardelyx or for its account after the Effective Date that are consistent with and within the limits of the budget approved by the DCC for such Additional Assigned Activities and are specifically attributable to the performance of such Additional Assigned Activities. Additional Assigned Activity Expenses shall include amounts paid by Ardelyx to a Third Party involved in the performance of the Additional Assigned Activities and all internal costs (calculated on an FTE basis at an annual rate of [***] per FTE, subject to Section 3.4(ix)) incurred by Ardelyx in connection with the performance of the Additional Assigned Activities. Additional Assigned Activity Expenses shall not include Development Expenses or expenses incurred by Ardelyx in the performance of its obligations under the Co-Promote Agreement.</w:t>
      </w:r>
    </w:p>
    <w:p>
      <w:pPr>
        <w:spacing w:after="0" w:line="115" w:lineRule="exact"/>
        <w:rPr>
          <w:sz w:val="20"/>
          <w:szCs w:val="20"/>
          <w:color w:val="auto"/>
        </w:rPr>
      </w:pPr>
    </w:p>
    <w:p>
      <w:pPr>
        <w:ind w:right="420" w:firstLine="8"/>
        <w:spacing w:after="0" w:line="262" w:lineRule="auto"/>
        <w:tabs>
          <w:tab w:leader="none" w:pos="348"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6" w:right="259" w:bottom="1440" w:gutter="0" w:footer="0" w:header="0"/>
        </w:sectPr>
      </w:pPr>
    </w:p>
    <w:bookmarkStart w:id="204" w:name="page205"/>
    <w:bookmarkEnd w:id="204"/>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either Party, any Person controlling, controlled by or under common control with such Party, from time to time and for so long as such control exists. For purposes of this definition of Affiliate, “control” (and, with correlative meanings, the terms “controlled by” and “under common control with”) means (i) direct or indirect ownership of fifty percent (50%) or more of the stock or shares having the right to vote for the election of directors of a Person or (ii) the possession, directly or indirectly, of the power to direct, or cause the direction of, the management or policies of a Person, whether through the ownership of voting securities, by contract or otherwise.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Net Sales</w:t>
      </w:r>
      <w:r>
        <w:rPr>
          <w:rFonts w:ascii="Times New Roman" w:cs="Times New Roman" w:eastAsia="Times New Roman" w:hAnsi="Times New Roman"/>
          <w:sz w:val="18"/>
          <w:szCs w:val="18"/>
          <w:color w:val="auto"/>
        </w:rPr>
        <w:t>” means the Net Sales made during any given Calendar Year.</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U.S. Foreign Corrupt Practices Act, as amended, the UK Bribery Act 2010, as amended, and any other applicable anti-corruption laws and laws for the prevention of fraud, racketeering, money laundering or terrorism.</w:t>
      </w:r>
    </w:p>
    <w:p>
      <w:pPr>
        <w:spacing w:after="0" w:line="15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all applicable statutes, ordinances, codes, executive or governmental orders, laws, rules and regulations, including without limitation, any rules, regulations, guidelines or other requirements of Regulatory Health Authorities, that may be in effect from time to time.</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Know-How that (i) [***], (ii) that is necessary or useful to Develop, Manufacture or Commercialize any Licensed Compound or Licensed Product, and (iii) with respect to which AstraZeneca has not exercised the Exclusion Option.</w:t>
      </w:r>
    </w:p>
    <w:p>
      <w:pPr>
        <w:spacing w:after="0" w:line="155" w:lineRule="exact"/>
        <w:rPr>
          <w:sz w:val="20"/>
          <w:szCs w:val="20"/>
          <w:color w:val="auto"/>
        </w:rPr>
      </w:pPr>
    </w:p>
    <w:p>
      <w:pPr>
        <w:jc w:val="both"/>
        <w:ind w:right="8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that (i) [***], (ii) that cover or claim inventions necessary or useful to Develop, Manufacture or Commercialize any Licensed Compound or Licensed Product, and (iii) with respect to which AstraZeneca has not exercised the Exclusion Option.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means Ardelyx [***] Know-How and Ardelyx [***] Patents.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 Sole Invention Patent</w:t>
      </w:r>
      <w:r>
        <w:rPr>
          <w:rFonts w:ascii="Times New Roman" w:cs="Times New Roman" w:eastAsia="Times New Roman" w:hAnsi="Times New Roman"/>
          <w:sz w:val="18"/>
          <w:szCs w:val="18"/>
          <w:color w:val="auto"/>
        </w:rPr>
        <w:t>” shall mean any Patent covering or claiming Sole Program Know-How owned solely by Ardelyx.</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Assigned Activities</w:t>
      </w:r>
      <w:r>
        <w:rPr>
          <w:rFonts w:ascii="Times New Roman" w:cs="Times New Roman" w:eastAsia="Times New Roman" w:hAnsi="Times New Roman"/>
          <w:sz w:val="18"/>
          <w:szCs w:val="18"/>
          <w:color w:val="auto"/>
        </w:rPr>
        <w:t>” shall have the meaning assigned in Section 2.5.</w:t>
      </w:r>
    </w:p>
    <w:p>
      <w:pPr>
        <w:spacing w:after="0" w:line="225"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Background Know-How</w:t>
      </w:r>
      <w:r>
        <w:rPr>
          <w:rFonts w:ascii="Times New Roman" w:cs="Times New Roman" w:eastAsia="Times New Roman" w:hAnsi="Times New Roman"/>
          <w:sz w:val="18"/>
          <w:szCs w:val="18"/>
          <w:color w:val="auto"/>
        </w:rPr>
        <w:t>” means Know-How (i) that AstraZeneca or its Affiliates Control as of the Effective Date or that comes into the Control of AstraZeneca or its Affiliates during the Term, (ii) that does not constitute Joint Know-How, Licensed Know-How or Sole Program Know-How owned by AstraZeneca or its Affiliates pursuant to this Agreement</w:t>
      </w:r>
    </w:p>
    <w:p>
      <w:pPr>
        <w:spacing w:after="0" w:line="103" w:lineRule="exact"/>
        <w:rPr>
          <w:sz w:val="20"/>
          <w:szCs w:val="20"/>
          <w:color w:val="auto"/>
        </w:rPr>
      </w:pPr>
    </w:p>
    <w:p>
      <w:pPr>
        <w:ind w:right="400" w:firstLine="8"/>
        <w:spacing w:after="0" w:line="262" w:lineRule="auto"/>
        <w:tabs>
          <w:tab w:leader="none" w:pos="348"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6" w:right="279" w:bottom="1440" w:gutter="0" w:footer="0" w:header="0"/>
        </w:sectPr>
      </w:pPr>
    </w:p>
    <w:bookmarkStart w:id="205" w:name="page206"/>
    <w:bookmarkEnd w:id="20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(iii) that is necessary or useful to Exploit any Licensed Compound or Licensed Product, including without limitation any such Know-How (i.e. meeting all of (i) through (iii) above) that relates to any method of making any Licensed Compound or Licensed Product, any composition or formulations of any Licensed Compound or Licensed Product, or any method of using or administering any Licensed Compound or Licensed Product.</w:t>
      </w:r>
    </w:p>
    <w:p>
      <w:pPr>
        <w:spacing w:after="0" w:line="172" w:lineRule="exact"/>
        <w:rPr>
          <w:sz w:val="20"/>
          <w:szCs w:val="20"/>
          <w:color w:val="auto"/>
        </w:rPr>
      </w:pPr>
    </w:p>
    <w:p>
      <w:pPr>
        <w:jc w:val="both"/>
        <w:ind w:right="12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Background Patents</w:t>
      </w:r>
      <w:r>
        <w:rPr>
          <w:rFonts w:ascii="Times New Roman" w:cs="Times New Roman" w:eastAsia="Times New Roman" w:hAnsi="Times New Roman"/>
          <w:sz w:val="18"/>
          <w:szCs w:val="18"/>
          <w:color w:val="auto"/>
        </w:rPr>
        <w:t>” means all Patents (i) that are Controlled by AstraZeneca or its Affiliates as of the Effective Date or that come into the Control of AstraZeneca or its Affiliates during the Term, (ii) that do not constitute Joint Patents, Licensed Patents or AstraZeneca Sole Invention Patents, and (iii) that cover or claim inventions necessary or useful to Exploit Licensed Compounds or Licensed Products.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Background Technology</w:t>
      </w:r>
      <w:r>
        <w:rPr>
          <w:rFonts w:ascii="Times New Roman" w:cs="Times New Roman" w:eastAsia="Times New Roman" w:hAnsi="Times New Roman"/>
          <w:sz w:val="18"/>
          <w:szCs w:val="18"/>
          <w:color w:val="auto"/>
        </w:rPr>
        <w:t>” means AstraZeneca Background Know-How and AstraZeneca Background Patents.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Controlled Patents</w:t>
      </w:r>
      <w:r>
        <w:rPr>
          <w:rFonts w:ascii="Times New Roman" w:cs="Times New Roman" w:eastAsia="Times New Roman" w:hAnsi="Times New Roman"/>
          <w:sz w:val="18"/>
          <w:szCs w:val="18"/>
          <w:color w:val="auto"/>
        </w:rPr>
        <w:t>” shall have the meaning assigned in Section 11.4(a).</w:t>
      </w:r>
    </w:p>
    <w:p>
      <w:pPr>
        <w:spacing w:after="0" w:line="225"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“AstraZeneca Full Manufacturing Cost” </w:t>
      </w:r>
      <w:r>
        <w:rPr>
          <w:rFonts w:ascii="Times New Roman" w:cs="Times New Roman" w:eastAsia="Times New Roman" w:hAnsi="Times New Roman"/>
          <w:sz w:val="18"/>
          <w:szCs w:val="18"/>
          <w:color w:val="auto"/>
        </w:rPr>
        <w:t>means all expenses incurred by AstraZeneca or its Affiliates in connection with the Manufacture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Compounds or Licensed Products, including expenses incurred for [***], in each case calculated in accordance with [***], consistently applied across its Manufacturing operations.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Sole Invention Patent</w:t>
      </w:r>
      <w:r>
        <w:rPr>
          <w:rFonts w:ascii="Times New Roman" w:cs="Times New Roman" w:eastAsia="Times New Roman" w:hAnsi="Times New Roman"/>
          <w:sz w:val="18"/>
          <w:szCs w:val="18"/>
          <w:color w:val="auto"/>
        </w:rPr>
        <w:t>” shall mean any Patent covering or claiming Sole Program Know-How owned solely by AstraZeneca.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AZ Product Data</w:t>
      </w:r>
      <w:r>
        <w:rPr>
          <w:rFonts w:ascii="Times New Roman" w:cs="Times New Roman" w:eastAsia="Times New Roman" w:hAnsi="Times New Roman"/>
          <w:sz w:val="18"/>
          <w:szCs w:val="18"/>
          <w:color w:val="auto"/>
        </w:rPr>
        <w:t>” shall have the meaning assigned in Section 14.3(l).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AZ Triggered Termination</w:t>
      </w:r>
      <w:r>
        <w:rPr>
          <w:rFonts w:ascii="Times New Roman" w:cs="Times New Roman" w:eastAsia="Times New Roman" w:hAnsi="Times New Roman"/>
          <w:sz w:val="18"/>
          <w:szCs w:val="18"/>
          <w:color w:val="auto"/>
        </w:rPr>
        <w:t>” shall have the meaning assigned in Section 14.3.</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Licensed Compounds</w:t>
      </w:r>
      <w:r>
        <w:rPr>
          <w:rFonts w:ascii="Times New Roman" w:cs="Times New Roman" w:eastAsia="Times New Roman" w:hAnsi="Times New Roman"/>
          <w:sz w:val="18"/>
          <w:szCs w:val="18"/>
          <w:color w:val="auto"/>
        </w:rPr>
        <w:t>” means any compound, other than the Lead Licensed Compound, that [***]; and any metabolites, salts, esters, free acid forms, crystal forms, free base forms, pro-drug forms, racemates and all optically active forms of any such foregoing compound.</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United States Code, as amended, or analogous provisions of Applicable Laws outside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shall have the meaning assigned in Section 14.2.</w:t>
      </w:r>
    </w:p>
    <w:p>
      <w:pPr>
        <w:spacing w:after="0" w:line="157" w:lineRule="exact"/>
        <w:rPr>
          <w:sz w:val="20"/>
          <w:szCs w:val="20"/>
          <w:color w:val="auto"/>
        </w:rPr>
      </w:pPr>
    </w:p>
    <w:p>
      <w:pPr>
        <w:ind w:right="240" w:firstLine="8"/>
        <w:spacing w:after="0" w:line="262" w:lineRule="auto"/>
        <w:tabs>
          <w:tab w:leader="none" w:pos="348"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270" w:right="439" w:bottom="1440" w:gutter="0" w:footer="0" w:header="0"/>
        </w:sectPr>
      </w:pPr>
    </w:p>
    <w:bookmarkStart w:id="206" w:name="page207"/>
    <w:bookmarkEnd w:id="206"/>
    <w:p>
      <w:pPr>
        <w:ind w:right="40" w:firstLine="456"/>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(i) a Saturday or a Sunday or (ii) a day on which commercial banking institutions are authorized or required by Applicable Laws to be closed in New York City, New York or in Sweden.</w:t>
      </w:r>
    </w:p>
    <w:p>
      <w:pPr>
        <w:spacing w:after="0" w:line="15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successive period of three (3) consecutive calendar months commencing on 1st January, 1st April, 1st July and 1st October.</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consecutive calendar months commencing on 1st January.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Cardio/Renal IND</w:t>
      </w:r>
      <w:r>
        <w:rPr>
          <w:rFonts w:ascii="Times New Roman" w:cs="Times New Roman" w:eastAsia="Times New Roman" w:hAnsi="Times New Roman"/>
          <w:sz w:val="18"/>
          <w:szCs w:val="18"/>
          <w:color w:val="auto"/>
        </w:rPr>
        <w:t>” means U.S. PIND/IND #115992.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700" w:hanging="236"/>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either Party, the sale or disposition of all or substantially all of such Party’s assets to an Industrial Party;</w:t>
      </w:r>
    </w:p>
    <w:p>
      <w:pPr>
        <w:spacing w:after="0" w:line="225" w:lineRule="exact"/>
        <w:rPr>
          <w:rFonts w:ascii="Times New Roman" w:cs="Times New Roman" w:eastAsia="Times New Roman" w:hAnsi="Times New Roman"/>
          <w:sz w:val="18"/>
          <w:szCs w:val="18"/>
          <w:color w:val="auto"/>
        </w:rPr>
      </w:pPr>
    </w:p>
    <w:p>
      <w:pPr>
        <w:ind w:right="620" w:firstLine="464"/>
        <w:spacing w:after="0" w:line="282" w:lineRule="auto"/>
        <w:tabs>
          <w:tab w:leader="none" w:pos="7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either Party, the acquisition by an Industrial Party, or group of Industrial Parties acting in concert, of more than fifty percent (50%) of the combined voting power of the first-mentioned Party’s outstanding voting securities;</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7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Ardelyx, the appointment or election of Persons to the Board of Directors of Ardelyx constituting a majority of such Board of Directors who were not appointed, approved or recommended for election by either (i) the Board of Directors of Ardelyx as constituted immediately prior to the appointment or election of such Persons, or (ii) the stockholders of Ardelyx pursuant to Ardelyx’s current Amended and Restated Voting Agreement; or</w:t>
      </w:r>
    </w:p>
    <w:p>
      <w:pPr>
        <w:spacing w:after="0" w:line="176" w:lineRule="exact"/>
        <w:rPr>
          <w:rFonts w:ascii="Times New Roman" w:cs="Times New Roman" w:eastAsia="Times New Roman" w:hAnsi="Times New Roman"/>
          <w:sz w:val="18"/>
          <w:szCs w:val="18"/>
          <w:color w:val="auto"/>
        </w:rPr>
      </w:pPr>
    </w:p>
    <w:p>
      <w:pPr>
        <w:ind w:firstLine="464"/>
        <w:spacing w:after="0" w:line="261" w:lineRule="auto"/>
        <w:tabs>
          <w:tab w:leader="none" w:pos="7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either Party, a merger, consolidation, share exchange or other similar transaction of such Party and any Industrial Party which results in the holders of the outstanding voting securities of such Party immediately prior to such merger, consolidation, share exchange or other similar transaction ceasing to hold more than fifty percent (50%) of the combined voting power of the surviving, purchasing or continuing entity immediately after such merger, consolidation, share exchange or other similar transaction;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than, in each case of subsection (a), (b) and (d), where such transaction is to be entered into with the other Party or an Affiliate of either Party. Notwithstanding the foregoing, a Change of Control shall not be deemed to occur solely on account of an initial public or secondary offering, the acquisition of securities of a Party by one or more institutional investors, or Affiliates thereof, which are not Industrial Parties, that acquire a Party’s securities in a transaction or series of related transactions (i) as a passive investment which does not materially affect the management of such Party, or (ii) as a sale of assets, merger or other transaction effected exclusively for the purpose of obtaining tax or other fiscal benefit or changing the corporate domicile of a Party.</w:t>
      </w:r>
    </w:p>
    <w:p>
      <w:pPr>
        <w:spacing w:after="0" w:line="180"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CKD Study</w:t>
      </w:r>
      <w:r>
        <w:rPr>
          <w:rFonts w:ascii="Times New Roman" w:cs="Times New Roman" w:eastAsia="Times New Roman" w:hAnsi="Times New Roman"/>
          <w:sz w:val="18"/>
          <w:szCs w:val="18"/>
          <w:color w:val="auto"/>
        </w:rPr>
        <w:t>” means the Phase 2a Clinical Trial of the Lead Licensed Product in Chronic Kidney Disease stage 3-4 patients as described in the CKD Study outline contained in the Initial Development Plan, to be conducted by Ardelyx pursuant to Section 5.1.</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66" w:right="299" w:bottom="1440" w:gutter="0" w:footer="0" w:header="0"/>
        </w:sectPr>
      </w:pPr>
    </w:p>
    <w:bookmarkStart w:id="207" w:name="page208"/>
    <w:bookmarkEnd w:id="207"/>
    <w:p>
      <w:pPr>
        <w:jc w:val="both"/>
        <w:ind w:right="420" w:firstLine="456"/>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Clinical Pharmacology Studies</w:t>
      </w:r>
      <w:r>
        <w:rPr>
          <w:rFonts w:ascii="Times New Roman" w:cs="Times New Roman" w:eastAsia="Times New Roman" w:hAnsi="Times New Roman"/>
          <w:sz w:val="18"/>
          <w:szCs w:val="18"/>
          <w:color w:val="auto"/>
        </w:rPr>
        <w:t>” means studies of the Lead Licensed Compound in healthy volunteers or patients investigating the relationships between dose, drug exposure, and response, as further described in the Clinical Pharmacology Study outlines contained in the Initial Development Plan.</w:t>
      </w:r>
    </w:p>
    <w:p>
      <w:pPr>
        <w:spacing w:after="0" w:line="15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Trials</w:t>
      </w:r>
      <w:r>
        <w:rPr>
          <w:rFonts w:ascii="Times New Roman" w:cs="Times New Roman" w:eastAsia="Times New Roman" w:hAnsi="Times New Roman"/>
          <w:sz w:val="18"/>
          <w:szCs w:val="18"/>
          <w:color w:val="auto"/>
        </w:rPr>
        <w:t>” means Phase 1 Clinical Trials, Clinical Pharmacology Studies, Phase 2 Clinical Trials, Phase 3 Clinical Trials, Phase 4 Clinical Trials, or variations of such trials (for example, Phase 2/3 and Phase 2b), and any other clinical study conducted in human subjects in connection with the Development of a Licensed Product.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Co-Funding Amount</w:t>
      </w:r>
      <w:r>
        <w:rPr>
          <w:rFonts w:ascii="Times New Roman" w:cs="Times New Roman" w:eastAsia="Times New Roman" w:hAnsi="Times New Roman"/>
          <w:sz w:val="18"/>
          <w:szCs w:val="18"/>
          <w:color w:val="auto"/>
        </w:rPr>
        <w:t>” shall have the meaning assigned in Section 6.1.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Co-Funding Exercise Notice</w:t>
      </w:r>
      <w:r>
        <w:rPr>
          <w:rFonts w:ascii="Times New Roman" w:cs="Times New Roman" w:eastAsia="Times New Roman" w:hAnsi="Times New Roman"/>
          <w:sz w:val="18"/>
          <w:szCs w:val="18"/>
          <w:color w:val="auto"/>
        </w:rPr>
        <w:t>” shall have the meaning assigned in Section 6.1.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Co-Funding Option</w:t>
      </w:r>
      <w:r>
        <w:rPr>
          <w:rFonts w:ascii="Times New Roman" w:cs="Times New Roman" w:eastAsia="Times New Roman" w:hAnsi="Times New Roman"/>
          <w:sz w:val="18"/>
          <w:szCs w:val="18"/>
          <w:color w:val="auto"/>
        </w:rPr>
        <w:t>” shall have the meaning assigned in Section 6.1.</w:t>
      </w:r>
    </w:p>
    <w:p>
      <w:pPr>
        <w:spacing w:after="0" w:line="225"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product in form suitable for human or animal applications containing a Licensed Compound as an active ingredient and containing one or more other active ingredients, that is sold either as a fixed dose or as separate doses in a single package.</w:t>
      </w:r>
    </w:p>
    <w:p>
      <w:pPr>
        <w:spacing w:after="0" w:line="155"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all activities undertaken relating to the Manufacture of commercial supplies, marketing and sale of a Licensed Product, including without limitation Pre-Approval Activities, advertising, education, planning, marketing, promotion, distribution, market and product support, and Phase 4 Clinical Trials commenced after the First Commercial Sale of the Licensed Product anywhere in the Territory.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 shall have the meaning assigned in Section 4.9(b).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the conduct of Commercialization activities.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efforts to be expended by a Party with respect to any objective, reasonable, diligent, good faith efforts to accomplish such objective as such Party would normally use to accomplish a similar objective under similar circumstances for such Party’s benefit exclusive of the other Party. With respect to any objective relating to the Development, Manufacture or Commercialization of a Licensed Product by a Party, “Commercially Reasonable Efforts” means efforts and resources normally used by such Party with respect to a product owned by such Party, or to which such Party has similar rights, that is of similar market and therapeutic potential at a similar stage in the Development or life of such product, taking into account issues of safety, efficacy, costs of development, product profile, the competitiveness of the marketplace, the proprietary position of the product including the nature and extent of its market exclusivity (including Patent coverage and regulatory exclusivity), the regulatory structure involved and the likelihood of approval, profitability of the product, and other relevant commercial factors. For the purposes of Section 4.4, Commercially Reasonable Efforts shall be determined [***]</w:t>
      </w:r>
    </w:p>
    <w:p>
      <w:pPr>
        <w:spacing w:after="0" w:line="114" w:lineRule="exact"/>
        <w:rPr>
          <w:sz w:val="20"/>
          <w:szCs w:val="20"/>
          <w:color w:val="auto"/>
        </w:rPr>
      </w:pPr>
    </w:p>
    <w:p>
      <w:pPr>
        <w:ind w:right="440" w:firstLine="8"/>
        <w:spacing w:after="0" w:line="262" w:lineRule="auto"/>
        <w:tabs>
          <w:tab w:leader="none" w:pos="348"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Licensed Product</w:t>
      </w:r>
      <w:r>
        <w:rPr>
          <w:rFonts w:ascii="Times New Roman" w:cs="Times New Roman" w:eastAsia="Times New Roman" w:hAnsi="Times New Roman"/>
          <w:sz w:val="18"/>
          <w:szCs w:val="18"/>
          <w:color w:val="auto"/>
        </w:rPr>
        <w:t>” shall have the meaning assigned in Section 9.6.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Competitive Product Infringement</w:t>
      </w:r>
      <w:r>
        <w:rPr>
          <w:rFonts w:ascii="Times New Roman" w:cs="Times New Roman" w:eastAsia="Times New Roman" w:hAnsi="Times New Roman"/>
          <w:sz w:val="18"/>
          <w:szCs w:val="18"/>
          <w:color w:val="auto"/>
        </w:rPr>
        <w:t>” shall have the meaning assigned in Section 11.6(a)(ii).</w:t>
      </w:r>
    </w:p>
    <w:p>
      <w:pPr>
        <w:spacing w:after="0" w:line="225"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of a Clinical Trial means, with respect to such Clinical Trial, the date upon which the final study report for such Clinical Trial is completed and approved in accordance with the responsible Party’s quality assurance procedures.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Compulsory License</w:t>
      </w:r>
      <w:r>
        <w:rPr>
          <w:rFonts w:ascii="Times New Roman" w:cs="Times New Roman" w:eastAsia="Times New Roman" w:hAnsi="Times New Roman"/>
          <w:sz w:val="18"/>
          <w:szCs w:val="18"/>
          <w:color w:val="auto"/>
        </w:rPr>
        <w:t>” shall have the meaning assigned in Section 9.5(g).</w:t>
      </w:r>
    </w:p>
    <w:p>
      <w:pPr>
        <w:spacing w:after="0" w:line="2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(i) Know-How relating to the Exploitation of Licensed Compounds or Licensed Products (including Licensed Know-How) or relating to other aspects of the collaboration between the Parties under this Agreement, and (ii) Information and Materials, whether oral or in writing or in any other form, disclosed before, on or after the date of this Agreement by one Party to the other Party, including the terms of this Agreement.</w:t>
      </w:r>
    </w:p>
    <w:p>
      <w:pPr>
        <w:spacing w:after="0" w:line="177" w:lineRule="exact"/>
        <w:rPr>
          <w:sz w:val="20"/>
          <w:szCs w:val="20"/>
          <w:color w:val="auto"/>
        </w:rPr>
      </w:pPr>
    </w:p>
    <w:p>
      <w:pPr>
        <w:ind w:right="6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Constipation Related Disorder Indications</w:t>
      </w:r>
      <w:r>
        <w:rPr>
          <w:rFonts w:ascii="Times New Roman" w:cs="Times New Roman" w:eastAsia="Times New Roman" w:hAnsi="Times New Roman"/>
          <w:sz w:val="18"/>
          <w:szCs w:val="18"/>
          <w:color w:val="auto"/>
        </w:rPr>
        <w:t>” means the IBS-C Indication as well as any other indication that comprises [***]. For clarity, a Constipation Related Disorder Indication includes, [***].</w:t>
      </w:r>
    </w:p>
    <w:p>
      <w:pPr>
        <w:spacing w:after="0" w:line="155"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 item of Know-How, Patent or other Intellectual Property Rights, the ability and authority of a Party or its Affiliates, whether arising by ownership, possession, or pursuant to a license or sublicense, to grant licenses, sublicenses, or other rights to the other Party under or to such item of Know-How, Patent or Intellectual Property Rights as provided for in this Agreement, (i) without breaching the terms of any agreement between such Party and any Third Party, and (ii) in the case of Ardelyx [***] Technology, without incurring any additional royalty, milestone or other costs or expenses which AstraZeneca has not agreed in writing to bear.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Co-Promote Agreement</w:t>
      </w:r>
      <w:r>
        <w:rPr>
          <w:rFonts w:ascii="Times New Roman" w:cs="Times New Roman" w:eastAsia="Times New Roman" w:hAnsi="Times New Roman"/>
          <w:sz w:val="18"/>
          <w:szCs w:val="18"/>
          <w:color w:val="auto"/>
        </w:rPr>
        <w:t>” shall have the meaning assigned in Section 7.8(b).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Co-Promote Option</w:t>
      </w:r>
      <w:r>
        <w:rPr>
          <w:rFonts w:ascii="Times New Roman" w:cs="Times New Roman" w:eastAsia="Times New Roman" w:hAnsi="Times New Roman"/>
          <w:sz w:val="18"/>
          <w:szCs w:val="18"/>
          <w:color w:val="auto"/>
        </w:rPr>
        <w:t>” shall have the meaning assigned in Section 7.1(b).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Co-Promote Product</w:t>
      </w:r>
      <w:r>
        <w:rPr>
          <w:rFonts w:ascii="Times New Roman" w:cs="Times New Roman" w:eastAsia="Times New Roman" w:hAnsi="Times New Roman"/>
          <w:sz w:val="18"/>
          <w:szCs w:val="18"/>
          <w:color w:val="auto"/>
        </w:rPr>
        <w:t>” shall have the meaning assigned in Section 7.1(c).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Period 1</w:t>
      </w:r>
      <w:r>
        <w:rPr>
          <w:rFonts w:ascii="Times New Roman" w:cs="Times New Roman" w:eastAsia="Times New Roman" w:hAnsi="Times New Roman"/>
          <w:sz w:val="18"/>
          <w:szCs w:val="18"/>
          <w:color w:val="auto"/>
        </w:rPr>
        <w:t>” shall have the meaning assigned in Section 2.9(a).</w:t>
      </w:r>
    </w:p>
    <w:p>
      <w:pPr>
        <w:spacing w:after="0" w:line="157" w:lineRule="exact"/>
        <w:rPr>
          <w:sz w:val="20"/>
          <w:szCs w:val="20"/>
          <w:color w:val="auto"/>
        </w:rPr>
      </w:pPr>
    </w:p>
    <w:p>
      <w:pPr>
        <w:ind w:right="300" w:firstLine="8"/>
        <w:spacing w:after="0" w:line="262" w:lineRule="auto"/>
        <w:tabs>
          <w:tab w:leader="none" w:pos="348"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80"/>
          </w:cols>
          <w:pgMar w:left="240" w:top="270" w:right="379"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Covenant Period 2</w:t>
      </w:r>
      <w:r>
        <w:rPr>
          <w:rFonts w:ascii="Times New Roman" w:cs="Times New Roman" w:eastAsia="Times New Roman" w:hAnsi="Times New Roman"/>
          <w:sz w:val="18"/>
          <w:szCs w:val="18"/>
          <w:color w:val="auto"/>
        </w:rPr>
        <w:t>” shall have the meaning assigned in Section 2.9(b).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shall have the meaning assigned in Section 11.4(i).</w:t>
      </w:r>
    </w:p>
    <w:p>
      <w:pPr>
        <w:spacing w:after="0" w:line="2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Detail</w:t>
      </w:r>
      <w:r>
        <w:rPr>
          <w:rFonts w:ascii="Times New Roman" w:cs="Times New Roman" w:eastAsia="Times New Roman" w:hAnsi="Times New Roman"/>
          <w:sz w:val="18"/>
          <w:szCs w:val="18"/>
          <w:color w:val="auto"/>
        </w:rPr>
        <w:t>” means a sales presentation or interaction by a professional sales representative to or with a target physician or other professional with prescribing authority involved in prescribing a Co-Promote Product or to other individuals influencing prescription activity with respect to a Co-Promote Product, in any case, in which the primary purpose is to discuss the benefits and features of the Co-Promote Product. The term Detail will be further defined in the Co-Promote Agreement. When used as a verb, “</w:t>
      </w:r>
      <w:r>
        <w:rPr>
          <w:rFonts w:ascii="Times New Roman" w:cs="Times New Roman" w:eastAsia="Times New Roman" w:hAnsi="Times New Roman"/>
          <w:sz w:val="18"/>
          <w:szCs w:val="18"/>
          <w:b w:val="1"/>
          <w:bCs w:val="1"/>
          <w:color w:val="auto"/>
        </w:rPr>
        <w:t>Detail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Detailing</w:t>
      </w:r>
      <w:r>
        <w:rPr>
          <w:rFonts w:ascii="Times New Roman" w:cs="Times New Roman" w:eastAsia="Times New Roman" w:hAnsi="Times New Roman"/>
          <w:sz w:val="18"/>
          <w:szCs w:val="18"/>
          <w:color w:val="auto"/>
        </w:rPr>
        <w:t>” means to perform a Detail.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Detail Rate</w:t>
      </w:r>
      <w:r>
        <w:rPr>
          <w:rFonts w:ascii="Times New Roman" w:cs="Times New Roman" w:eastAsia="Times New Roman" w:hAnsi="Times New Roman"/>
          <w:sz w:val="18"/>
          <w:szCs w:val="18"/>
          <w:color w:val="auto"/>
        </w:rPr>
        <w:t>” shall have the meaning assigned in Section 7.8(b).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means the conduct of Development activities.</w:t>
      </w:r>
    </w:p>
    <w:p>
      <w:pPr>
        <w:spacing w:after="0" w:line="225" w:lineRule="exact"/>
        <w:rPr>
          <w:sz w:val="20"/>
          <w:szCs w:val="20"/>
          <w:color w:val="auto"/>
        </w:rPr>
      </w:pPr>
    </w:p>
    <w:p>
      <w:pPr>
        <w:ind w:right="360" w:firstLine="456"/>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w:t>
      </w:r>
      <w:r>
        <w:rPr>
          <w:rFonts w:ascii="Times New Roman" w:cs="Times New Roman" w:eastAsia="Times New Roman" w:hAnsi="Times New Roman"/>
          <w:sz w:val="17"/>
          <w:szCs w:val="17"/>
          <w:color w:val="auto"/>
        </w:rPr>
        <w:t>” means all activities relating to obtaining Regulatory Approval of a Licensed Product, Licensed Product line extensions, alternative delivery systems and new indications therefor, and all activities relating to developing the ability to Manufacture the same. This includes, for example,</w:t>
      </w:r>
    </w:p>
    <w:p>
      <w:pPr>
        <w:spacing w:after="0" w:line="2" w:lineRule="exact"/>
        <w:rPr>
          <w:sz w:val="20"/>
          <w:szCs w:val="20"/>
          <w:color w:val="auto"/>
        </w:rPr>
      </w:pPr>
    </w:p>
    <w:p>
      <w:pPr>
        <w:ind w:right="80" w:firstLine="8"/>
        <w:spacing w:after="0" w:line="252" w:lineRule="auto"/>
        <w:tabs>
          <w:tab w:leader="none" w:pos="2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testing, toxicology, formulation, clinical studies, regulatory affairs, and outside counsel regulatory legal services, (ii) manufacturing process development for bulk and finished forms of Licensed Compounds and Licensed Products, and manufacturing and quality assurance technical support activities prior to the First Commercial Sale of a Licensed Product anywhere in the Territory and (iii) the conduct of advisory boards with relevant experts, e.g. clinical experts or payer representatives. Development shall not include activities associated with Phase 4 Clinical Trials in respect of a Licensed Product commenced after First Commercial Sale of such Licensed Product anywhere in the Territory. For clarity, the Parties may continue to perform Development activities for a Licensed Product following the First Commercial Sale of such Licensed Product to explore additional indications or formulations of such Licensed Products.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Budget</w:t>
      </w:r>
      <w:r>
        <w:rPr>
          <w:rFonts w:ascii="Times New Roman" w:cs="Times New Roman" w:eastAsia="Times New Roman" w:hAnsi="Times New Roman"/>
          <w:sz w:val="18"/>
          <w:szCs w:val="18"/>
          <w:color w:val="auto"/>
        </w:rPr>
        <w:t>” shall have the meaning set forth in Section 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Collaboration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 means the committee described in Section 3.2.</w:t>
      </w:r>
    </w:p>
    <w:p>
      <w:pPr>
        <w:spacing w:after="0" w:line="22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Expenses</w:t>
      </w:r>
      <w:r>
        <w:rPr>
          <w:rFonts w:ascii="Times New Roman" w:cs="Times New Roman" w:eastAsia="Times New Roman" w:hAnsi="Times New Roman"/>
          <w:sz w:val="18"/>
          <w:szCs w:val="18"/>
          <w:color w:val="auto"/>
        </w:rPr>
        <w:t>” means the expenses incurred by a Party or for its account either (i) prior to the Effective Date as set forth in the letter agreement between Ardelyx and AstraZeneca dated September 22, 2012, or (ii) after the Effective Date that are consistent with the Development Plan and the Development Budget, each as approved by the DCC, and are specifically attributable to the Development of a Licensed Product. Development Expenses shall include without limitation amounts paid by a Party to Third Parties involved in the Development of Licensed Products, including the Manufacture of Licensed Compounds and Licensed Products for use in Development (“</w:t>
      </w:r>
      <w:r>
        <w:rPr>
          <w:rFonts w:ascii="Times New Roman" w:cs="Times New Roman" w:eastAsia="Times New Roman" w:hAnsi="Times New Roman"/>
          <w:sz w:val="18"/>
          <w:szCs w:val="18"/>
          <w:b w:val="1"/>
          <w:bCs w:val="1"/>
          <w:color w:val="auto"/>
        </w:rPr>
        <w:t>External Development Expenses</w:t>
      </w:r>
      <w:r>
        <w:rPr>
          <w:rFonts w:ascii="Times New Roman" w:cs="Times New Roman" w:eastAsia="Times New Roman" w:hAnsi="Times New Roman"/>
          <w:sz w:val="18"/>
          <w:szCs w:val="18"/>
          <w:color w:val="auto"/>
        </w:rPr>
        <w:t>”), and all internal costs (calculated on an FTE basis as provided in Section 4.3) incurred by a Party in connection with the Development of Licensed Products (“</w:t>
      </w:r>
      <w:r>
        <w:rPr>
          <w:rFonts w:ascii="Times New Roman" w:cs="Times New Roman" w:eastAsia="Times New Roman" w:hAnsi="Times New Roman"/>
          <w:sz w:val="18"/>
          <w:szCs w:val="18"/>
          <w:b w:val="1"/>
          <w:bCs w:val="1"/>
          <w:color w:val="auto"/>
        </w:rPr>
        <w:t>Internal Development Expenses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FTE Rate</w:t>
      </w:r>
      <w:r>
        <w:rPr>
          <w:rFonts w:ascii="Times New Roman" w:cs="Times New Roman" w:eastAsia="Times New Roman" w:hAnsi="Times New Roman"/>
          <w:sz w:val="18"/>
          <w:szCs w:val="18"/>
          <w:color w:val="auto"/>
        </w:rPr>
        <w:t>” shall have the meaning assigned in Section 4.3.</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shall have the meaning assigned in Section 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shall have the meaning assigned in Section 2.3.</w:t>
      </w:r>
    </w:p>
    <w:p>
      <w:pPr>
        <w:spacing w:after="0" w:line="22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Approval Application</w:t>
      </w:r>
      <w:r>
        <w:rPr>
          <w:rFonts w:ascii="Times New Roman" w:cs="Times New Roman" w:eastAsia="Times New Roman" w:hAnsi="Times New Roman"/>
          <w:sz w:val="18"/>
          <w:szCs w:val="18"/>
          <w:color w:val="auto"/>
        </w:rPr>
        <w:t>” means an application for Regulatory Approval required before commercial sale or use of a Licensed Product as a drug in a regulatory jurisdiction.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assigned in the first paragraph of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thereto.</w:t>
      </w:r>
    </w:p>
    <w:p>
      <w:pPr>
        <w:spacing w:after="0" w:line="225"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ESRD Study</w:t>
      </w:r>
      <w:r>
        <w:rPr>
          <w:rFonts w:ascii="Times New Roman" w:cs="Times New Roman" w:eastAsia="Times New Roman" w:hAnsi="Times New Roman"/>
          <w:sz w:val="18"/>
          <w:szCs w:val="18"/>
          <w:color w:val="auto"/>
        </w:rPr>
        <w:t>” means the Phase 2a Clinical Trial of the Lead Licensed Product in End Stage Renal Disease patients as described in the ESRD Study outline contained in the Initial Development Plan, to be conducted by Ardelyx pursuant to Section 5.1.</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Exemplified</w:t>
      </w:r>
      <w:r>
        <w:rPr>
          <w:rFonts w:ascii="Times New Roman" w:cs="Times New Roman" w:eastAsia="Times New Roman" w:hAnsi="Times New Roman"/>
          <w:sz w:val="18"/>
          <w:szCs w:val="18"/>
          <w:color w:val="auto"/>
        </w:rPr>
        <w:t>” means presented as a written example.</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import, use, sell, or offer for sale, including to research, Develop, register, modify, enhance, improve, Manufacture, have Manufactured, Commercialize, hold/keep (whether for disposal or otherwise), formulate, optimize, have used, export, transport, distribute, promote, market or have sold or otherwise dispose of or offer to dispose of a product or process.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act of Exploiting a product or process.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means the European Economic Area as it may be constituted from time to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Exclusion Option</w:t>
      </w:r>
      <w:r>
        <w:rPr>
          <w:rFonts w:ascii="Times New Roman" w:cs="Times New Roman" w:eastAsia="Times New Roman" w:hAnsi="Times New Roman"/>
          <w:sz w:val="18"/>
          <w:szCs w:val="18"/>
          <w:color w:val="auto"/>
        </w:rPr>
        <w:t>” shall have the meaning assigned in Section 2.6.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Federal Food, Drug, and Cosmetic Act, 21 U.S.C. §§ 301, et seq., as amended from time to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diagnosis, prevention, and treatment of diseases and conditions in humans or animals.</w:t>
      </w:r>
    </w:p>
    <w:p>
      <w:pPr>
        <w:spacing w:after="0" w:line="22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means, with respect to a submission to a Regulatory Health Authority, the date that such submission is confirmed to have been received by the relevant Regulatory Health Authority.</w:t>
      </w:r>
    </w:p>
    <w:p>
      <w:pPr>
        <w:spacing w:after="0" w:line="155"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means, with respect to any Licensed Product, the first arm’s length sale for monetary value by AstraZeneca, its Affiliate, or its Sublicensees to a Third Party for end use or consumption by the general public of such Licensed Product in a country where Regulatory Approval of such Licensed Product has been obtained by AstraZeneca, its Affiliates, or its Sublicensees;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sale or distribution of a</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66" w:right="279" w:bottom="1440" w:gutter="0" w:footer="0" w:header="0"/>
        </w:sectPr>
      </w:pPr>
    </w:p>
    <w:bookmarkStart w:id="211" w:name="page212"/>
    <w:bookmarkEnd w:id="211"/>
    <w:p>
      <w:pPr>
        <w:ind w:right="58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 for Pre-Approval Activities or use in a Clinical Trial or otherwise any sales prior to receipt of all Regulatory Approvals necessary to commence regular commercial sales (including so-called “treatment IND sales” and “compassionate use sales”) be deemed a First Commercial Sale.</w:t>
      </w:r>
    </w:p>
    <w:p>
      <w:pPr>
        <w:spacing w:after="0" w:line="134" w:lineRule="exact"/>
        <w:rPr>
          <w:sz w:val="20"/>
          <w:szCs w:val="20"/>
          <w:color w:val="auto"/>
        </w:rPr>
      </w:pPr>
    </w:p>
    <w:p>
      <w:pPr>
        <w:ind w:right="54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means a full time equivalent person year of eighteen hundred eighty (1,880) hours of scientific, technical or operational work (excluding administrative services).</w:t>
      </w:r>
    </w:p>
    <w:p>
      <w:pPr>
        <w:spacing w:after="0" w:line="15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current standards for clinical trials for pharmaceuticals, as set forth in the United States Code of Federal Regulations, ICH guidelines and applicable regulations, laws or rules as promulgated thereunder, as amended from time to time, and such standards of good clinical practice as are required by the European Union and other organizations and governmental agencies in countries in which a Licensed Product is intended to be sold to the extent such standards are not less stringent than United States GCP.</w:t>
      </w:r>
    </w:p>
    <w:p>
      <w:pPr>
        <w:spacing w:after="0" w:line="177"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Product</w:t>
      </w:r>
      <w:r>
        <w:rPr>
          <w:rFonts w:ascii="Times New Roman" w:cs="Times New Roman" w:eastAsia="Times New Roman" w:hAnsi="Times New Roman"/>
          <w:sz w:val="18"/>
          <w:szCs w:val="18"/>
          <w:color w:val="auto"/>
        </w:rPr>
        <w:t>” means with respect to a Licensed Product in a particular country any product (i) that is sold in such particular country by a Third Party who is not a Sublicensee or a Distributor selling such product under authorization from AstraZeneca or its Affiliates, (ii) that has received Regulatory Approval necessary for sale in such country, (iii) that [***] and (iv) that contains as the active ingredient the same compound (or, solely for products that are described by subsection (iii)(b), an equivalent salt thereof), as is contained in such Licensed Product.</w:t>
      </w:r>
    </w:p>
    <w:p>
      <w:pPr>
        <w:spacing w:after="0" w:line="177"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good laboratory practices required under the regulations set forth in 21 C.F.R. Part 58, as in effect during the term of this Agreement, and the requirements thereunder imposed by the FDA, and the equivalent thereof in any jurisdiction.</w:t>
      </w:r>
    </w:p>
    <w:p>
      <w:pPr>
        <w:spacing w:after="0" w:line="15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laws, regulations, guidelines, guidance, pharmaceutical industry standards and requirements in force from time to time that apply to the Manufacture of each Licensed Compound or Licensed Product in each relevant jurisdiction, including, with respect to the U.S. Territory, the current good manufacturing practices required under the applicable regulations set forth in 21 C.F.R. Subchapter C (Drugs) and Subchapter H (Medical Devices), including without limitation Parts 210–211, 808, 812, and 820, and the requirements thereunder imposed by the FDA.</w:t>
      </w:r>
    </w:p>
    <w:p>
      <w:pPr>
        <w:spacing w:after="0" w:line="177"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quasi-governmental authority of any nature (including any governmental division, department, agency, commission, instrumentality, official, ministry, fund, foundation, center, organization, unit, body or entity and any court or other tribunal); or (iv) self-regulatory organization (including the NASDAQ Global Market and the NASDAQ Global Select Market).</w:t>
      </w:r>
    </w:p>
    <w:p>
      <w:pPr>
        <w:spacing w:after="0" w:line="109" w:lineRule="exact"/>
        <w:rPr>
          <w:sz w:val="20"/>
          <w:szCs w:val="20"/>
          <w:color w:val="auto"/>
        </w:rPr>
      </w:pPr>
    </w:p>
    <w:p>
      <w:pPr>
        <w:ind w:right="420" w:firstLine="8"/>
        <w:spacing w:after="0" w:line="262" w:lineRule="auto"/>
        <w:tabs>
          <w:tab w:leader="none" w:pos="348"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212" w:name="page213"/>
    <w:bookmarkEnd w:id="212"/>
    <w:p>
      <w:pPr>
        <w:ind w:right="720" w:firstLine="456"/>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any Person employed by or acting on behalf of a Governmental Body, government-controlled entity or public international organization.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IAS</w:t>
      </w:r>
      <w:r>
        <w:rPr>
          <w:rFonts w:ascii="Times New Roman" w:cs="Times New Roman" w:eastAsia="Times New Roman" w:hAnsi="Times New Roman"/>
          <w:sz w:val="18"/>
          <w:szCs w:val="18"/>
          <w:color w:val="auto"/>
        </w:rPr>
        <w:t>” means International Accounting Standards, consistently applied.</w:t>
      </w:r>
    </w:p>
    <w:p>
      <w:pPr>
        <w:spacing w:after="0" w:line="225"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or the future equivalent of such reporting standards, that AstraZeneca is required to apply for financial reporting purposes.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IBS-C IND</w:t>
      </w:r>
      <w:r>
        <w:rPr>
          <w:rFonts w:ascii="Times New Roman" w:cs="Times New Roman" w:eastAsia="Times New Roman" w:hAnsi="Times New Roman"/>
          <w:sz w:val="18"/>
          <w:szCs w:val="18"/>
          <w:color w:val="auto"/>
        </w:rPr>
        <w:t>” means U.S. IND #108732.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IBS-C Indication</w:t>
      </w:r>
      <w:r>
        <w:rPr>
          <w:rFonts w:ascii="Times New Roman" w:cs="Times New Roman" w:eastAsia="Times New Roman" w:hAnsi="Times New Roman"/>
          <w:sz w:val="18"/>
          <w:szCs w:val="18"/>
          <w:color w:val="auto"/>
        </w:rPr>
        <w:t>” means constipation predominant irritable bowel syndrome.</w:t>
      </w:r>
    </w:p>
    <w:p>
      <w:pPr>
        <w:spacing w:after="0" w:line="225"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IBS-C Study</w:t>
      </w:r>
      <w:r>
        <w:rPr>
          <w:rFonts w:ascii="Times New Roman" w:cs="Times New Roman" w:eastAsia="Times New Roman" w:hAnsi="Times New Roman"/>
          <w:sz w:val="18"/>
          <w:szCs w:val="18"/>
          <w:color w:val="auto"/>
        </w:rPr>
        <w:t>” means the Phase 2b Clinical Trial of the Lead Licensed Compound in IBS-C patients to be conducted by Ardelyx pursuant to Section 5.3.</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or the equivalent filed with or submitted to the relevant Regulatory Health Authority, including, for example, the FDA, for authorization to commence human clinical trials.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Indirect Taxes</w:t>
      </w:r>
      <w:r>
        <w:rPr>
          <w:rFonts w:ascii="Times New Roman" w:cs="Times New Roman" w:eastAsia="Times New Roman" w:hAnsi="Times New Roman"/>
          <w:sz w:val="18"/>
          <w:szCs w:val="18"/>
          <w:color w:val="auto"/>
        </w:rPr>
        <w:t>” means value added taxes, sales taxes, consumption taxes and other similar taxes.</w:t>
      </w:r>
    </w:p>
    <w:p>
      <w:pPr>
        <w:spacing w:after="0" w:line="225"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Industrial Party</w:t>
      </w:r>
      <w:r>
        <w:rPr>
          <w:rFonts w:ascii="Times New Roman" w:cs="Times New Roman" w:eastAsia="Times New Roman" w:hAnsi="Times New Roman"/>
          <w:sz w:val="18"/>
          <w:szCs w:val="18"/>
          <w:color w:val="auto"/>
        </w:rPr>
        <w:t>” means any Person that, itself or taken together with its Affiliates, derived greater than [***] for the amelioration, treatment or prevention of human diseases or conditions.</w:t>
      </w:r>
    </w:p>
    <w:p>
      <w:pPr>
        <w:spacing w:after="0" w:line="155"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(i) techniques, information and data necessary or useful for the Development, Manufacture or Commercialization of Licensed Compounds or Licensed Products, including without limitation, Know-How, marketing, pricing, distribution, cost, sales, and manufacturing data or descriptions as well as (ii) any information or data relating to Materials.</w:t>
      </w:r>
    </w:p>
    <w:p>
      <w:pPr>
        <w:spacing w:after="0" w:line="171"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Development Plan</w:t>
      </w:r>
      <w:r>
        <w:rPr>
          <w:rFonts w:ascii="Times New Roman" w:cs="Times New Roman" w:eastAsia="Times New Roman" w:hAnsi="Times New Roman"/>
          <w:sz w:val="18"/>
          <w:szCs w:val="18"/>
          <w:color w:val="auto"/>
        </w:rPr>
        <w:t xml:space="preserve">” means the initial version of the Development Plan, which shall include at least (i) the study outline for each of the Initial Studies, (ii) plans for the performance of the Initial Studies, including timelines, (iii) a description of the activities related to the clinical pharmacology, toxicology and Chemistry, Manufacturing and Control (CMC) that are critical to support clinical plans for each of the ESRD Study and the CKD Study, and which shall be prepared and provided pursuant to Section 4.2. An outline of the material items to be described in the Initial Development Plan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Studies</w:t>
      </w:r>
      <w:r>
        <w:rPr>
          <w:rFonts w:ascii="Times New Roman" w:cs="Times New Roman" w:eastAsia="Times New Roman" w:hAnsi="Times New Roman"/>
          <w:sz w:val="18"/>
          <w:szCs w:val="18"/>
          <w:color w:val="auto"/>
        </w:rPr>
        <w:t>” means the ESRD Study and the CKD Study collectively and “</w:t>
      </w:r>
      <w:r>
        <w:rPr>
          <w:rFonts w:ascii="Times New Roman" w:cs="Times New Roman" w:eastAsia="Times New Roman" w:hAnsi="Times New Roman"/>
          <w:sz w:val="18"/>
          <w:szCs w:val="18"/>
          <w:b w:val="1"/>
          <w:bCs w:val="1"/>
          <w:color w:val="auto"/>
        </w:rPr>
        <w:t>Initial Study</w:t>
      </w:r>
      <w:r>
        <w:rPr>
          <w:rFonts w:ascii="Times New Roman" w:cs="Times New Roman" w:eastAsia="Times New Roman" w:hAnsi="Times New Roman"/>
          <w:sz w:val="18"/>
          <w:szCs w:val="18"/>
          <w:color w:val="auto"/>
        </w:rPr>
        <w:t>” means any one of the foregoing studies.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Supply</w:t>
      </w:r>
      <w:r>
        <w:rPr>
          <w:rFonts w:ascii="Times New Roman" w:cs="Times New Roman" w:eastAsia="Times New Roman" w:hAnsi="Times New Roman"/>
          <w:sz w:val="18"/>
          <w:szCs w:val="18"/>
          <w:color w:val="auto"/>
        </w:rPr>
        <w:t>” shall have the meaning assigned in Section 8.1.</w:t>
      </w:r>
    </w:p>
    <w:p>
      <w:pPr>
        <w:spacing w:after="0" w:line="22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IPR</w:t>
      </w:r>
      <w:r>
        <w:rPr>
          <w:rFonts w:ascii="Times New Roman" w:cs="Times New Roman" w:eastAsia="Times New Roman" w:hAnsi="Times New Roman"/>
          <w:sz w:val="18"/>
          <w:szCs w:val="18"/>
          <w:color w:val="auto"/>
        </w:rPr>
        <w:t>” means Patents, trademarks, service marks, trade secrets (including patentable inventions),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103" w:lineRule="exact"/>
        <w:rPr>
          <w:sz w:val="20"/>
          <w:szCs w:val="20"/>
          <w:color w:val="auto"/>
        </w:rPr>
      </w:pPr>
    </w:p>
    <w:p>
      <w:pPr>
        <w:ind w:right="380" w:firstLine="8"/>
        <w:spacing w:after="0" w:line="262" w:lineRule="auto"/>
        <w:tabs>
          <w:tab w:leader="none" w:pos="348"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266" w:right="299" w:bottom="1440" w:gutter="0" w:footer="0" w:header="0"/>
        </w:sectPr>
      </w:pPr>
    </w:p>
    <w:bookmarkStart w:id="213" w:name="page214"/>
    <w:bookmarkEnd w:id="213"/>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Investigator’s Brochure</w:t>
      </w:r>
      <w:r>
        <w:rPr>
          <w:rFonts w:ascii="Times New Roman" w:cs="Times New Roman" w:eastAsia="Times New Roman" w:hAnsi="Times New Roman"/>
          <w:sz w:val="18"/>
          <w:szCs w:val="18"/>
          <w:color w:val="auto"/>
        </w:rPr>
        <w:t>” means the compilation of all relevant clinical and non-clinical information and data on the relevant investigational product(s), which compilation is relevant to the study of the investigational product(s) in human subjects as provided in Section 7 of the ICH 2006 guidance document “Good Clinical Practice - International Conference on Harmonisation of Technical Requirements for Registration of Pharmaceuticals for Human Use” and any subsequent ICH guidance documents published from time to time.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 shall have the meaning assigned in Section 11.2(b).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Patent</w:t>
      </w:r>
      <w:r>
        <w:rPr>
          <w:rFonts w:ascii="Times New Roman" w:cs="Times New Roman" w:eastAsia="Times New Roman" w:hAnsi="Times New Roman"/>
          <w:sz w:val="18"/>
          <w:szCs w:val="18"/>
          <w:color w:val="auto"/>
        </w:rPr>
        <w:t>” shall mean any Patent covering or claiming any invention within the Joint Know-How.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Project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JPT</w:t>
      </w:r>
      <w:r>
        <w:rPr>
          <w:rFonts w:ascii="Times New Roman" w:cs="Times New Roman" w:eastAsia="Times New Roman" w:hAnsi="Times New Roman"/>
          <w:sz w:val="18"/>
          <w:szCs w:val="18"/>
          <w:color w:val="auto"/>
        </w:rPr>
        <w:t>” shall have the meaning assigned in Section 3.1.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Technology</w:t>
      </w:r>
      <w:r>
        <w:rPr>
          <w:rFonts w:ascii="Times New Roman" w:cs="Times New Roman" w:eastAsia="Times New Roman" w:hAnsi="Times New Roman"/>
          <w:sz w:val="18"/>
          <w:szCs w:val="18"/>
          <w:color w:val="auto"/>
        </w:rPr>
        <w:t>” shall mean collectively, Joint Patents and Joint Know-How.</w:t>
      </w:r>
    </w:p>
    <w:p>
      <w:pPr>
        <w:spacing w:after="0" w:line="225"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Know-How</w:t>
      </w:r>
      <w:r>
        <w:rPr>
          <w:rFonts w:ascii="Times New Roman" w:cs="Times New Roman" w:eastAsia="Times New Roman" w:hAnsi="Times New Roman"/>
          <w:sz w:val="17"/>
          <w:szCs w:val="17"/>
          <w:color w:val="auto"/>
        </w:rPr>
        <w:t>” means all inventions, discoveries, data, information (including scientific, technical or regulatory information), trade secrets, processes, means, methods, practices, formulae, instructions, procedures, techniques, materials, technology, results, analyses, designs, drawings, computer programs, apparatuses, specifications, technical assistance, laboratory, pre-clinical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6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good faith understanding of the officers of Ardelyx and its Affiliates, with respect to relevant facts and information after performing a diligent inquiry of the employees and agents of Ardelyx and its Affiliates with respect to such facts and information. For clarity, for purposes of the representations and warranties set forth in Section 12.1(b),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will not include any obligation to conduct any special searches or analyses such as, but not limited to, any analysis of Ardelyx’s freedom to operate with respect to Patents relevant to Licensed Compounds or Licensed Products.</w:t>
      </w:r>
    </w:p>
    <w:p>
      <w:pPr>
        <w:spacing w:after="0" w:line="177"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Licensed Compound</w:t>
      </w:r>
      <w:r>
        <w:rPr>
          <w:rFonts w:ascii="Times New Roman" w:cs="Times New Roman" w:eastAsia="Times New Roman" w:hAnsi="Times New Roman"/>
          <w:sz w:val="18"/>
          <w:szCs w:val="18"/>
          <w:color w:val="auto"/>
        </w:rPr>
        <w:t>” means the NHE3 inhibitor designated as RDX5791, which is the subject of the IBS-C IND and the Cardio/Renal IND, and any metabolites, salts, esters, free acid forms, crystal forms, free base forms, pro-drug forms, racemates and all optically active forms thereof.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Licensed Product</w:t>
      </w:r>
      <w:r>
        <w:rPr>
          <w:rFonts w:ascii="Times New Roman" w:cs="Times New Roman" w:eastAsia="Times New Roman" w:hAnsi="Times New Roman"/>
          <w:sz w:val="18"/>
          <w:szCs w:val="18"/>
          <w:color w:val="auto"/>
        </w:rPr>
        <w:t>” means a Licensed Product containing the Lead Licensed Compound as an active ingredient.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66" w:right="259" w:bottom="1440" w:gutter="0" w:footer="0" w:header="0"/>
        </w:sectPr>
      </w:pPr>
    </w:p>
    <w:bookmarkStart w:id="214" w:name="page215"/>
    <w:bookmarkEnd w:id="214"/>
    <w:p>
      <w:pPr>
        <w:ind w:right="60" w:firstLine="456"/>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Compounds</w:t>
      </w:r>
      <w:r>
        <w:rPr>
          <w:rFonts w:ascii="Times New Roman" w:cs="Times New Roman" w:eastAsia="Times New Roman" w:hAnsi="Times New Roman"/>
          <w:sz w:val="18"/>
          <w:szCs w:val="18"/>
          <w:color w:val="auto"/>
        </w:rPr>
        <w:t>” means the Lead Licensed Compound and all Backup Licensed Compounds.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(i) Know-How that Ardelyx or its Affiliates Control as of the Effective Date and (ii) Know-How that comes into the Control of Ardelyx or its Affiliates after the Effective Date as a result of the performance of its rights or obligations under this Agreement; provided that, with respect to Know-How described in (i) or (ii) above, such Know-How is necessary or useful to Exploit any Licensed Compound or Licensed Product, including without limitation any method of making any Licensed Compound or Licensed Product, any composition or formulations of any Licensed Compound or Licensed Product, or any method of using or administering any Licensed Compound or Licensed Product. Licensed Know-How includes Sole Program Know-How owned by Ardelyx that is necessary or useful to Exploit any Licensed Compound or Licensed Product and excludes Ardelyx [***] Know-How.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(i) all of the Listed Patents, and (ii) all Ardelyx Sole Invention Patents; provided that in case of (ii) above, such Patents</w:t>
      </w:r>
    </w:p>
    <w:p>
      <w:pPr>
        <w:spacing w:after="0" w:line="31" w:lineRule="exact"/>
        <w:rPr>
          <w:sz w:val="20"/>
          <w:szCs w:val="20"/>
          <w:color w:val="auto"/>
        </w:rPr>
      </w:pPr>
    </w:p>
    <w:p>
      <w:pPr>
        <w:ind w:right="360" w:firstLine="8"/>
        <w:spacing w:after="0" w:line="261" w:lineRule="auto"/>
        <w:tabs>
          <w:tab w:leader="none" w:pos="24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or claim any Licensed Compound or Licensed Product or (b) cover or claim any inventions necessary or useful for the Exploitation of Licensed Compounds or Licensed Products. Licensed Patents excludes Ardelyx [***] Patents.</w:t>
      </w:r>
    </w:p>
    <w:p>
      <w:pPr>
        <w:spacing w:after="0" w:line="176"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shall mean any and all products in forms suitable for human or animal applications containing a Licensed Compound as an active ingredient, including Combination Products.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means all Licensed Patents and Licensed Know-How.</w:t>
      </w:r>
    </w:p>
    <w:p>
      <w:pPr>
        <w:spacing w:after="0" w:line="22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Listed Patents</w:t>
      </w:r>
      <w:r>
        <w:rPr>
          <w:rFonts w:ascii="Times New Roman" w:cs="Times New Roman" w:eastAsia="Times New Roman" w:hAnsi="Times New Roman"/>
          <w:sz w:val="18"/>
          <w:szCs w:val="18"/>
          <w:color w:val="auto"/>
        </w:rPr>
        <w:t xml:space="preserve">” means the Patents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any Patents issuing after the Effective Date claiming priority to any such Patents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44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any and all direct or indirect liabilities, claims, actions, damages, losses or expenses, including interest, penalties, and reasonable lawyers’ fees and disbursements. In calculating Losses, the legal duty to mitigate on the part of the Party suffering the Loss shall be taken into account.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Country</w:t>
      </w:r>
      <w:r>
        <w:rPr>
          <w:rFonts w:ascii="Times New Roman" w:cs="Times New Roman" w:eastAsia="Times New Roman" w:hAnsi="Times New Roman"/>
          <w:sz w:val="18"/>
          <w:szCs w:val="18"/>
          <w:color w:val="auto"/>
        </w:rPr>
        <w:t>” means each of [***].</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Market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both"/>
        <w:ind w:right="46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activities in connection with the synthesis, manufacture, processing, formulating, testing (including, without limitation quality control, quality assurance and lot release testing), bulk packaging or storage and delivery of Licensed Compound or Licensed Product.</w:t>
      </w:r>
    </w:p>
    <w:p>
      <w:pPr>
        <w:spacing w:after="0" w:line="103" w:lineRule="exact"/>
        <w:rPr>
          <w:sz w:val="20"/>
          <w:szCs w:val="20"/>
          <w:color w:val="auto"/>
        </w:rPr>
      </w:pPr>
    </w:p>
    <w:p>
      <w:pPr>
        <w:ind w:right="420" w:firstLine="8"/>
        <w:spacing w:after="0" w:line="262" w:lineRule="auto"/>
        <w:tabs>
          <w:tab w:leader="none" w:pos="348"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66" w:right="259" w:bottom="1440" w:gutter="0" w:footer="0" w:header="0"/>
        </w:sectPr>
      </w:pPr>
    </w:p>
    <w:bookmarkStart w:id="215" w:name="page216"/>
    <w:bookmarkEnd w:id="215"/>
    <w:p>
      <w:pPr>
        <w:ind w:right="120" w:firstLine="456"/>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Anti-Corruption Law Violation</w:t>
      </w:r>
      <w:r>
        <w:rPr>
          <w:rFonts w:ascii="Times New Roman" w:cs="Times New Roman" w:eastAsia="Times New Roman" w:hAnsi="Times New Roman"/>
          <w:sz w:val="18"/>
          <w:szCs w:val="18"/>
          <w:color w:val="auto"/>
        </w:rPr>
        <w:t>” means a violation of an Anti-Corruption Law relating to the subject matter of this Agreement which would, if it were publicly known, be reasonably expected to have a material adverse effect on the Party committing such violation or on the reputation of the other Party because of its relationship with the Party committing such violation.</w:t>
      </w:r>
    </w:p>
    <w:p>
      <w:pPr>
        <w:spacing w:after="0" w:line="171" w:lineRule="exact"/>
        <w:rPr>
          <w:sz w:val="20"/>
          <w:szCs w:val="20"/>
          <w:color w:val="auto"/>
        </w:rPr>
      </w:pPr>
    </w:p>
    <w:p>
      <w:pPr>
        <w:ind w:right="13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means compounds, compositions of matter, assays, and biological materials useful for the Development, Manufacture or Commercialization of Licensed Compounds or Licensed Products.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Mediation Notice</w:t>
      </w:r>
      <w:r>
        <w:rPr>
          <w:rFonts w:ascii="Times New Roman" w:cs="Times New Roman" w:eastAsia="Times New Roman" w:hAnsi="Times New Roman"/>
          <w:sz w:val="18"/>
          <w:szCs w:val="18"/>
          <w:color w:val="auto"/>
        </w:rPr>
        <w:t>” shall have the meaning assigned in Section 16.2(a).</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 invoiced by a Party, its Affiliate and Sublicensees for sales of Licensed Products to a Third Party (including Distributors but excluding, for the avoidance of doubt, Sublicensees) less deductions for: (i) customary trade, quantity discounts, settlement discounts, or chargebacks actually granted, allowed, or incurred in the ordinary course of business in connection with the sale of the Licensed Products, (ii) allowances or credits to customers, not in excess of the selling price of the Licensed Products, on account of governmental requirements, rejection, recalls, or return of the Licensed Products, (iii) distributors fees, rebates, or allowances actually granted or allowed, including without limitation government and managed care rebates, (iv) Indirect Taxes and excise taxes or customs duties paid by the selling entity and any other governmental charges imposed upon the sale; importation, use or distribution of the Licensed Products, (v) any invoiced amounts which are not collected by AstraZeneca or its Affiliates, including bad debts, calculated in accordance with IFRS, (vi) any other similar and customary deductions that are consistent with IFRS and (vii) [***]. Net Sales shall be calculated using AstraZeneca’s internally audited systems used to report such sales as adjusted for items (i) through (vii) above, not taken into account in such systems. Deductions pursuant to subsection (v) above shall be taken in the Calendar Quarter in which such sales are no longer recorded as a receivable.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NHE3</w:t>
      </w:r>
      <w:r>
        <w:rPr>
          <w:rFonts w:ascii="Times New Roman" w:cs="Times New Roman" w:eastAsia="Times New Roman" w:hAnsi="Times New Roman"/>
          <w:sz w:val="18"/>
          <w:szCs w:val="18"/>
          <w:color w:val="auto"/>
        </w:rPr>
        <w:t>” means the mammalian sodium / hydrogen exchanger 3 protein encoded by the SLC9A3 gene.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NHE3 Product</w:t>
      </w:r>
      <w:r>
        <w:rPr>
          <w:rFonts w:ascii="Times New Roman" w:cs="Times New Roman" w:eastAsia="Times New Roman" w:hAnsi="Times New Roman"/>
          <w:sz w:val="18"/>
          <w:szCs w:val="18"/>
          <w:color w:val="auto"/>
        </w:rPr>
        <w:t>” shall have the meaning assigned in Section 2.9(a).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shall have the meaning assigned in Section 14.2(a).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Notification Period</w:t>
      </w:r>
      <w:r>
        <w:rPr>
          <w:rFonts w:ascii="Times New Roman" w:cs="Times New Roman" w:eastAsia="Times New Roman" w:hAnsi="Times New Roman"/>
          <w:sz w:val="18"/>
          <w:szCs w:val="18"/>
          <w:color w:val="auto"/>
        </w:rPr>
        <w:t>” shall have the meaning assigned in Section 5.2(a).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Ingredients</w:t>
      </w:r>
      <w:r>
        <w:rPr>
          <w:rFonts w:ascii="Times New Roman" w:cs="Times New Roman" w:eastAsia="Times New Roman" w:hAnsi="Times New Roman"/>
          <w:sz w:val="18"/>
          <w:szCs w:val="18"/>
          <w:color w:val="auto"/>
        </w:rPr>
        <w:t>” shall have the meaning assigned in Section 9.6.</w:t>
      </w:r>
    </w:p>
    <w:p>
      <w:pPr>
        <w:spacing w:after="0" w:line="225"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Promotional Activities</w:t>
      </w:r>
      <w:r>
        <w:rPr>
          <w:rFonts w:ascii="Times New Roman" w:cs="Times New Roman" w:eastAsia="Times New Roman" w:hAnsi="Times New Roman"/>
          <w:sz w:val="18"/>
          <w:szCs w:val="18"/>
          <w:color w:val="auto"/>
        </w:rPr>
        <w:t>” means both off line and online activities including but not limited to, sales activities, other than Detailing, such as sales training, sales meetings;</w:t>
      </w:r>
    </w:p>
    <w:p>
      <w:pPr>
        <w:spacing w:after="0" w:line="87" w:lineRule="exact"/>
        <w:rPr>
          <w:sz w:val="20"/>
          <w:szCs w:val="20"/>
          <w:color w:val="auto"/>
        </w:rPr>
      </w:pPr>
    </w:p>
    <w:p>
      <w:pPr>
        <w:ind w:right="420" w:firstLine="8"/>
        <w:spacing w:after="0" w:line="262" w:lineRule="auto"/>
        <w:tabs>
          <w:tab w:leader="none" w:pos="348"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6" w:right="259" w:bottom="1440" w:gutter="0" w:footer="0" w:header="0"/>
        </w:sectPr>
      </w:pPr>
    </w:p>
    <w:bookmarkStart w:id="216" w:name="page217"/>
    <w:bookmarkEnd w:id="216"/>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activities such as advertising and promotion; and medical or scientific affairs activities such as conferences, speakers bureaus, and continuing medical education activities; provided that all such activities shall be in accordance with the USFDA Office of Prescription Drug Promotion.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Representatives</w:t>
      </w:r>
      <w:r>
        <w:rPr>
          <w:rFonts w:ascii="Times New Roman" w:cs="Times New Roman" w:eastAsia="Times New Roman" w:hAnsi="Times New Roman"/>
          <w:sz w:val="18"/>
          <w:szCs w:val="18"/>
          <w:color w:val="auto"/>
        </w:rPr>
        <w:t>” shall have the meaning assigned in Section 12.5(a).</w:t>
      </w:r>
    </w:p>
    <w:p>
      <w:pPr>
        <w:spacing w:after="0" w:line="22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(i) all national, regional and international patents and patent applications, including provisional patent applications, (ii)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(iii) any and all patents that have issued or in the future issue from the foregoing patent applications ((i) and (ii)), including utility models, petty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w:t>
      </w:r>
    </w:p>
    <w:p>
      <w:pPr>
        <w:spacing w:after="0" w:line="4" w:lineRule="exact"/>
        <w:rPr>
          <w:sz w:val="20"/>
          <w:szCs w:val="20"/>
          <w:color w:val="auto"/>
        </w:rPr>
      </w:pPr>
    </w:p>
    <w:p>
      <w:pPr>
        <w:ind w:right="540" w:firstLine="8"/>
        <w:spacing w:after="0" w:line="261" w:lineRule="auto"/>
        <w:tabs>
          <w:tab w:leader="none" w:pos="2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and (v) any similar rights, including so-called pipeline protection, or any importation, revalidation, confirmation or introduction patent or registration patent or patent of additions to any such foregoing patent applications and patents.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shall have the meaning assigned in Section 9.10.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Schedule</w:t>
      </w:r>
      <w:r>
        <w:rPr>
          <w:rFonts w:ascii="Times New Roman" w:cs="Times New Roman" w:eastAsia="Times New Roman" w:hAnsi="Times New Roman"/>
          <w:sz w:val="18"/>
          <w:szCs w:val="18"/>
          <w:color w:val="auto"/>
        </w:rPr>
        <w:t>” shall have the meaning assigned in Section 6.2.</w:t>
      </w:r>
    </w:p>
    <w:p>
      <w:pPr>
        <w:spacing w:after="0" w:line="22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corporation, partnership, association, joint-stock company, trust, unincorporated organization, joint venture or other similar entity or organization, including a government or political subdivision, department or agency of a government.</w:t>
      </w:r>
    </w:p>
    <w:p>
      <w:pPr>
        <w:spacing w:after="0" w:line="15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any clinical study conducted on human subjects with primary endpoints to establish that a pharmaceutical product is reasonably safe for continued testing and to support its continued testing in Phase 2 Clinical Trials. “Phase 1 Clinical Trial” shall include any clinical trial that would satisfy requirements of 21 C.F.R. § 312.21(a). Phase 1 Clinical Trials shall include without limitation those trials designated as “Phase 1a Clinical Trials” or “Phase 1b Clinical Trials.”</w:t>
      </w:r>
    </w:p>
    <w:p>
      <w:pPr>
        <w:spacing w:after="0" w:line="17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any clinical study that is not intended to be used as a pivotal study for purposes of seeking Regulatory Approval in a Major Country and that is conducted on human patients who have the relevant disease or condition with primary endpoints to establish the efficacy of a Licensed Product for its intended use and to define warnings, precautions, and adverse reactions that may be associated with the pharmaceutical product in the dosage range to be prescribed. “Phase 2 Clinical Trial” shall include without limitation any clinical trial that would satisfy requirements of 21 C.F.R. § 312.21(b).</w:t>
      </w:r>
    </w:p>
    <w:p>
      <w:pPr>
        <w:spacing w:after="0" w:line="180"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 Clinical Trial Development</w:t>
      </w:r>
      <w:r>
        <w:rPr>
          <w:rFonts w:ascii="Times New Roman" w:cs="Times New Roman" w:eastAsia="Times New Roman" w:hAnsi="Times New Roman"/>
          <w:sz w:val="18"/>
          <w:szCs w:val="18"/>
          <w:color w:val="auto"/>
        </w:rPr>
        <w:t>” means all Phase 2 Clinical Trials in respect of a Licensed Product for any given indication that are conducted after Completion of the last Phase 1 Clinical Trial.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217" w:name="page218"/>
    <w:bookmarkEnd w:id="217"/>
    <w:p>
      <w:pPr>
        <w:ind w:right="180" w:firstLine="456"/>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Phase 2a Clinical Trial</w:t>
      </w:r>
      <w:r>
        <w:rPr>
          <w:rFonts w:ascii="Times New Roman" w:cs="Times New Roman" w:eastAsia="Times New Roman" w:hAnsi="Times New Roman"/>
          <w:sz w:val="18"/>
          <w:szCs w:val="18"/>
          <w:color w:val="auto"/>
        </w:rPr>
        <w:t>” means a Phase 2 Clinical Trial designed to generate initial data on short-term efficacy, safety, dosing and administration in patients who have the relevant disease or condition to be treated, diagnosed or prevented.</w:t>
      </w:r>
    </w:p>
    <w:p>
      <w:pPr>
        <w:spacing w:after="0" w:line="155" w:lineRule="exact"/>
        <w:rPr>
          <w:sz w:val="20"/>
          <w:szCs w:val="20"/>
          <w:color w:val="auto"/>
        </w:rPr>
      </w:pPr>
    </w:p>
    <w:p>
      <w:pPr>
        <w:jc w:val="both"/>
        <w:ind w:right="6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2b Clinical Trial</w:t>
      </w:r>
      <w:r>
        <w:rPr>
          <w:rFonts w:ascii="Times New Roman" w:cs="Times New Roman" w:eastAsia="Times New Roman" w:hAnsi="Times New Roman"/>
          <w:sz w:val="18"/>
          <w:szCs w:val="18"/>
          <w:color w:val="auto"/>
        </w:rPr>
        <w:t>” means a Phase 2 Clinical Trial that is designed in such a way as to provide efficacy and safety information about a Licensed Product that would be reasonably intended to lead to an End-of-Phase 2 (EOP2) meeting with the FDA, or an equivalent meeting with any Regulatory Health Authority, or a subsequent Phase 3 Clinical Trial, even if such EOP2 meeting or Phase 3 Clinical Trial does not occur.</w:t>
      </w:r>
    </w:p>
    <w:p>
      <w:pPr>
        <w:spacing w:after="0" w:line="171"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any clinical study intended or used as a pivotal study for purposes of seeking Regulatory Approval, which study is conducted on sufficient numbers of human patients to establish that a pharmaceutical product is safe and efficacious for its intended use, to define warnings, precautions, and adverse reactions that are associated with the pharmaceutical product in the dosage range to be prescribed, and at a standard suitable to obtain Regulatory Approval of such pharmaceutical product in a Major Market or label expansion of such pharmaceutical product. “Phase 3 Clinical Trial” shall include without limitation any clinical trial that would satisfy requirements of 21 C.F.R. § 312.21(c).</w:t>
      </w:r>
    </w:p>
    <w:p>
      <w:pPr>
        <w:spacing w:after="0" w:line="180"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Trial Development</w:t>
      </w:r>
      <w:r>
        <w:rPr>
          <w:rFonts w:ascii="Times New Roman" w:cs="Times New Roman" w:eastAsia="Times New Roman" w:hAnsi="Times New Roman"/>
          <w:sz w:val="18"/>
          <w:szCs w:val="18"/>
          <w:color w:val="auto"/>
        </w:rPr>
        <w:t>” means all Phase 3 Clinical Trials and other Development activities in respect of a Licensed Product for any given indication conducted after Completion of the last Phase 2 Clinical Trial and prior to obtaining Regulatory Approval for such Licensed Product for such indication.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Study Report</w:t>
      </w:r>
      <w:r>
        <w:rPr>
          <w:rFonts w:ascii="Times New Roman" w:cs="Times New Roman" w:eastAsia="Times New Roman" w:hAnsi="Times New Roman"/>
          <w:sz w:val="18"/>
          <w:szCs w:val="18"/>
          <w:color w:val="auto"/>
        </w:rPr>
        <w:t>” shall have the meaning assigned in Section 7.1(a).</w:t>
      </w:r>
    </w:p>
    <w:p>
      <w:pPr>
        <w:spacing w:after="0" w:line="225"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4 Clinical Trial</w:t>
      </w:r>
      <w:r>
        <w:rPr>
          <w:rFonts w:ascii="Times New Roman" w:cs="Times New Roman" w:eastAsia="Times New Roman" w:hAnsi="Times New Roman"/>
          <w:sz w:val="18"/>
          <w:szCs w:val="18"/>
          <w:color w:val="auto"/>
        </w:rPr>
        <w:t>” means any clinical study of a pharmaceutical product on human subjects commenced after receipt of Regulatory Approval in a territory of such pharmaceutical product for the purpose of satisfying a condition imposed by a Regulatory Health Authority to obtain Regulatory Approval, or marketing the pharmaceutical product in that territory, and not for the purpose of obtaining initial Regulatory Approval of such pharmaceutical product. For clarity, Phase 4 Clinical Trials shall be considered a part of Commercialization.</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PIND</w:t>
      </w:r>
      <w:r>
        <w:rPr>
          <w:rFonts w:ascii="Times New Roman" w:cs="Times New Roman" w:eastAsia="Times New Roman" w:hAnsi="Times New Roman"/>
          <w:sz w:val="18"/>
          <w:szCs w:val="18"/>
          <w:color w:val="auto"/>
        </w:rPr>
        <w:t>” means a provisional IND.</w:t>
      </w:r>
    </w:p>
    <w:p>
      <w:pPr>
        <w:spacing w:after="0" w:line="22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Pre-Approval Activities</w:t>
      </w:r>
      <w:r>
        <w:rPr>
          <w:rFonts w:ascii="Times New Roman" w:cs="Times New Roman" w:eastAsia="Times New Roman" w:hAnsi="Times New Roman"/>
          <w:sz w:val="18"/>
          <w:szCs w:val="18"/>
          <w:color w:val="auto"/>
        </w:rPr>
        <w:t>” means all Commercialization activities undertaken with respect to a Licensed Product prior to First Commercial Sale and in preparation for the launch of such Licensed Product in the U.S. Territory. Pre-Approval Activities shall include without limitation advertising, education, product-related public relations, health care economic studies, governmental affairs activities for reimbursement and formulary acceptance, sales force training, trademark selection, filing, prosecution, and enforcement, and other activities included within the US Commercialization Plan prior to the First Commercial Sale of a Licensed Product in the U.S. Territory.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Investigator</w:t>
      </w:r>
      <w:r>
        <w:rPr>
          <w:rFonts w:ascii="Times New Roman" w:cs="Times New Roman" w:eastAsia="Times New Roman" w:hAnsi="Times New Roman"/>
          <w:sz w:val="18"/>
          <w:szCs w:val="18"/>
          <w:color w:val="auto"/>
        </w:rPr>
        <w:t>” means the person responsible for the conduct of a Clinical Trial at a Clinical Trial site.</w:t>
      </w:r>
    </w:p>
    <w:p>
      <w:pPr>
        <w:spacing w:after="0" w:line="225"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shall have the meaning assigned in Section 10.1.</w:t>
      </w:r>
    </w:p>
    <w:p>
      <w:pPr>
        <w:spacing w:after="0" w:line="162"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66" w:right="259"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Product Trademark</w:t>
      </w:r>
      <w:r>
        <w:rPr>
          <w:rFonts w:ascii="Times New Roman" w:cs="Times New Roman" w:eastAsia="Times New Roman" w:hAnsi="Times New Roman"/>
          <w:sz w:val="18"/>
          <w:szCs w:val="18"/>
          <w:color w:val="auto"/>
        </w:rPr>
        <w:t>” shall have the meaning assigned in Section 11.7(a).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Promotion FTE Rate</w:t>
      </w:r>
      <w:r>
        <w:rPr>
          <w:rFonts w:ascii="Times New Roman" w:cs="Times New Roman" w:eastAsia="Times New Roman" w:hAnsi="Times New Roman"/>
          <w:sz w:val="18"/>
          <w:szCs w:val="18"/>
          <w:color w:val="auto"/>
        </w:rPr>
        <w:t>” shall have the meaning assigned in Section 7.8(b).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Promotion Proposal</w:t>
      </w:r>
      <w:r>
        <w:rPr>
          <w:rFonts w:ascii="Times New Roman" w:cs="Times New Roman" w:eastAsia="Times New Roman" w:hAnsi="Times New Roman"/>
          <w:sz w:val="18"/>
          <w:szCs w:val="18"/>
          <w:color w:val="auto"/>
        </w:rPr>
        <w:t>” shall have the meaning assigned in Section 7.8(b).</w:t>
      </w:r>
    </w:p>
    <w:p>
      <w:pPr>
        <w:spacing w:after="0" w:line="22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any and all approvals (including without limitation pricing and reimbursement approvals), product or establishment licenses, registrations, or authorizations of any regional, federal, state, or local Regulatory Health Authority, department, bureau, or other governmental entity, necessary to commercially distribute, sell or market a Licensed Product in a regulatory jurisdiction, including, where applicable, (a) pricing or reimbursement approval in such jurisdiction, (b) pre- and post-approval marketing authorizations (including any prerequisite Manufacturing approval or authorization related thereto), (c) labeling approval and (d) technical, medical and scientific licenses.</w:t>
      </w:r>
    </w:p>
    <w:p>
      <w:pPr>
        <w:spacing w:after="0" w:line="180"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court or government body, whether national, supra-national, federal, state, local, foreign or provincial, 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spacing w:after="0" w:line="17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all applications, registrations, licenses, authorizations and approvals, all 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Licensed Compounds or Licensed Products, including all INDs, Regulatory Approvals, regulatory drug lists, advertising and promotion documents, adverse event files and complaint files.</w:t>
      </w:r>
    </w:p>
    <w:p>
      <w:pPr>
        <w:spacing w:after="0" w:line="18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Health Authority</w:t>
      </w:r>
      <w:r>
        <w:rPr>
          <w:rFonts w:ascii="Times New Roman" w:cs="Times New Roman" w:eastAsia="Times New Roman" w:hAnsi="Times New Roman"/>
          <w:sz w:val="18"/>
          <w:szCs w:val="18"/>
          <w:color w:val="auto"/>
        </w:rPr>
        <w:t>” means any applicable national (for example, FDA or Japan’s Pharmaceuticals and Medical Devices Agency), supranational (for example, the EMA), regional, state, provincial or local regulatory health authority, department, bureau, commission, council, or other government entity regulating or otherwise exercising authority with respect to the Exploitation of Licensed Compounds or Licensed Products in the Territory, including any such entity involved in the granting of Regulatory Approval for pharmaceutical products.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Party</w:t>
      </w:r>
      <w:r>
        <w:rPr>
          <w:rFonts w:ascii="Times New Roman" w:cs="Times New Roman" w:eastAsia="Times New Roman" w:hAnsi="Times New Roman"/>
          <w:sz w:val="18"/>
          <w:szCs w:val="18"/>
          <w:color w:val="auto"/>
        </w:rPr>
        <w:t>” shall have the meaning assigned in Section 11.6(a)(ii).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shall have the meaning assigned in Section 10.8.</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Safety Agreement</w:t>
      </w:r>
      <w:r>
        <w:rPr>
          <w:rFonts w:ascii="Times New Roman" w:cs="Times New Roman" w:eastAsia="Times New Roman" w:hAnsi="Times New Roman"/>
          <w:sz w:val="18"/>
          <w:szCs w:val="18"/>
          <w:color w:val="auto"/>
        </w:rPr>
        <w:t>” shall have the meaning assigned in Section 4.7(a).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Collaboration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SCC</w:t>
      </w:r>
      <w:r>
        <w:rPr>
          <w:rFonts w:ascii="Times New Roman" w:cs="Times New Roman" w:eastAsia="Times New Roman" w:hAnsi="Times New Roman"/>
          <w:sz w:val="18"/>
          <w:szCs w:val="18"/>
          <w:color w:val="auto"/>
        </w:rPr>
        <w:t>” means the committee described in Section 7.2.</w:t>
      </w:r>
    </w:p>
    <w:p>
      <w:pPr>
        <w:spacing w:after="0" w:line="225"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Executives</w:t>
      </w:r>
      <w:r>
        <w:rPr>
          <w:rFonts w:ascii="Times New Roman" w:cs="Times New Roman" w:eastAsia="Times New Roman" w:hAnsi="Times New Roman"/>
          <w:sz w:val="18"/>
          <w:szCs w:val="18"/>
          <w:color w:val="auto"/>
        </w:rPr>
        <w:t>” means (i) the Chief Executive Officer of Ardelyx and (ii), for so long as Phase 3 Clinical Trial Development has not yet been initiated, the Executive Vice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66" w:right="259" w:bottom="1440" w:gutter="0" w:footer="0" w:header="0"/>
        </w:sectPr>
      </w:pPr>
    </w:p>
    <w:bookmarkStart w:id="219" w:name="page220"/>
    <w:bookmarkEnd w:id="21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President head of Innovative Medicines of AstraZeneca, and, as from such time as Phase 3 Clinical Trial Development has been initiated, the Executive Vice President head of Global Medicines Development of AstraZeneca. A Party shall be entitled, effective upon written notice thereof to the other Party, to designate one of its other representatives having equivalent seniority and experience to replace such foregoing representative as that Party’s Senior Executive for the purpose of this Agreement. In the case of Ardelyx, an acceptable replacement would be an acting or temporary Chief Executive Officer, a chairman of the board of directors, or a member of Ardelyx’s board of directors acting in an executive capacity.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Separate Licensed Product</w:t>
      </w:r>
      <w:r>
        <w:rPr>
          <w:rFonts w:ascii="Times New Roman" w:cs="Times New Roman" w:eastAsia="Times New Roman" w:hAnsi="Times New Roman"/>
          <w:sz w:val="18"/>
          <w:szCs w:val="18"/>
          <w:color w:val="auto"/>
        </w:rPr>
        <w:t>” shall have the meaning assigned in Section 9.7.</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Sole Program Know-How</w:t>
      </w:r>
      <w:r>
        <w:rPr>
          <w:rFonts w:ascii="Times New Roman" w:cs="Times New Roman" w:eastAsia="Times New Roman" w:hAnsi="Times New Roman"/>
          <w:sz w:val="18"/>
          <w:szCs w:val="18"/>
          <w:color w:val="auto"/>
        </w:rPr>
        <w:t>” shall have the meaning assigned in Section 11.2(b).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Sole Invention Patent</w:t>
      </w:r>
      <w:r>
        <w:rPr>
          <w:rFonts w:ascii="Times New Roman" w:cs="Times New Roman" w:eastAsia="Times New Roman" w:hAnsi="Times New Roman"/>
          <w:sz w:val="18"/>
          <w:szCs w:val="18"/>
          <w:color w:val="auto"/>
        </w:rPr>
        <w:t>” shall mean any Patent covering or claiming any invention within the Sole Program Know-How.</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means the specifications applicable to the Manufacture, packaging and labeling of Licensed Compound or Licensed Products in effect at a given time.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Statistical Analysis Plan</w:t>
      </w:r>
      <w:r>
        <w:rPr>
          <w:rFonts w:ascii="Times New Roman" w:cs="Times New Roman" w:eastAsia="Times New Roman" w:hAnsi="Times New Roman"/>
          <w:sz w:val="18"/>
          <w:szCs w:val="18"/>
          <w:color w:val="auto"/>
        </w:rPr>
        <w:t>” shall have the meaning assigned in Section 5.1(g).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shall have the meaning assigned in Section 2.2.</w:t>
      </w:r>
    </w:p>
    <w:p>
      <w:pPr>
        <w:spacing w:after="0" w:line="225" w:lineRule="exact"/>
        <w:rPr>
          <w:sz w:val="20"/>
          <w:szCs w:val="20"/>
          <w:color w:val="auto"/>
        </w:rPr>
      </w:pPr>
    </w:p>
    <w:p>
      <w:pPr>
        <w:ind w:right="44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means any form of tax or taxation, levy, duty, charge, social security charge, contribution or withholding of whatever nature (including any related fine, penalty, surcharge or interest) imposed by, or payable to, a Tax Authority.</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 state or municipality, or any local, state, federal or other fiscal, revenue, customs, or excise authority, body or official anywhere in the world, authorized to levy Tax.</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have the meaning assigned in Section 14.1.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the world.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Ardelyx or AstraZeneca, or their respective Affiliates.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shall have the meaning assigned in Section 15.1(a).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Compensation</w:t>
      </w:r>
      <w:r>
        <w:rPr>
          <w:rFonts w:ascii="Times New Roman" w:cs="Times New Roman" w:eastAsia="Times New Roman" w:hAnsi="Times New Roman"/>
          <w:sz w:val="18"/>
          <w:szCs w:val="18"/>
          <w:color w:val="auto"/>
        </w:rPr>
        <w:t>” shall have the meaning assigned in Section 9.5(j).</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Price</w:t>
      </w:r>
      <w:r>
        <w:rPr>
          <w:rFonts w:ascii="Times New Roman" w:cs="Times New Roman" w:eastAsia="Times New Roman" w:hAnsi="Times New Roman"/>
          <w:sz w:val="18"/>
          <w:szCs w:val="18"/>
          <w:color w:val="auto"/>
        </w:rPr>
        <w:t>” means (i) when to be charged by Ardelyx, the [***] of all Ardelyx’s transferred inventory (representing all amounts paid by Ardelyx to a Third Party for the Manufacture of Licensed Compound or Licensed Product), in accordance with IAS, [***]</w:t>
      </w:r>
    </w:p>
    <w:p>
      <w:pPr>
        <w:spacing w:after="0" w:line="87" w:lineRule="exact"/>
        <w:rPr>
          <w:sz w:val="20"/>
          <w:szCs w:val="20"/>
          <w:color w:val="auto"/>
        </w:rPr>
      </w:pPr>
    </w:p>
    <w:p>
      <w:pPr>
        <w:ind w:right="400" w:firstLine="8"/>
        <w:spacing w:after="0" w:line="262" w:lineRule="auto"/>
        <w:tabs>
          <w:tab w:leader="none" w:pos="348"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0" w:right="279"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and (ii) when to be charged by AstraZeneca, the AstraZeneca Full Manufacturing Cost.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Commercialization Plans</w:t>
      </w:r>
      <w:r>
        <w:rPr>
          <w:rFonts w:ascii="Times New Roman" w:cs="Times New Roman" w:eastAsia="Times New Roman" w:hAnsi="Times New Roman"/>
          <w:sz w:val="18"/>
          <w:szCs w:val="18"/>
          <w:color w:val="auto"/>
        </w:rPr>
        <w:t>” shall have the meaning assigned in Section 7.4.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Launch Plans</w:t>
      </w:r>
      <w:r>
        <w:rPr>
          <w:rFonts w:ascii="Times New Roman" w:cs="Times New Roman" w:eastAsia="Times New Roman" w:hAnsi="Times New Roman"/>
          <w:sz w:val="18"/>
          <w:szCs w:val="18"/>
          <w:color w:val="auto"/>
        </w:rPr>
        <w:t>” shall have the meaning assigned in Section 7.4.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Territory</w:t>
      </w:r>
      <w:r>
        <w:rPr>
          <w:rFonts w:ascii="Times New Roman" w:cs="Times New Roman" w:eastAsia="Times New Roman" w:hAnsi="Times New Roman"/>
          <w:sz w:val="18"/>
          <w:szCs w:val="18"/>
          <w:color w:val="auto"/>
        </w:rPr>
        <w:t>” means the United States, its territories, and its possessions.</w:t>
      </w:r>
    </w:p>
    <w:p>
      <w:pPr>
        <w:spacing w:after="0" w:line="225"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(i) a claim of an issued and unexpired patent within the Licensed Patents, Ardelyx [***] Patents, Joint Patents or AstraZeneca Sole Invention Patents, as applicable, that has not been held unpatentable, invalid, or unenforceable by a court or other government agency of competent jurisdiction in an unappealed or unappealable decision or has not been admitted to be invalid or unenforceable through reissue, re-examination, disclaimer, or otherwise or (ii) a claim of a pending patent application within the Licensed Patents, Ardelyx [***] Patents, Joints Patents or AstraZeneca Sole Invention Patents, as applicable, that has not been abandoned, finally rejected or expired without the possibility of appeal or re-filing. For purposes hereof, [***].</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Disclosure</w:t>
      </w:r>
      <w:r>
        <w:rPr>
          <w:rFonts w:ascii="Times New Roman" w:cs="Times New Roman" w:eastAsia="Times New Roman" w:hAnsi="Times New Roman"/>
          <w:sz w:val="18"/>
          <w:szCs w:val="18"/>
          <w:color w:val="auto"/>
        </w:rPr>
        <w:t>” shall have the meaning assigned in Section 13.2.</w:t>
      </w:r>
    </w:p>
    <w:p>
      <w:pPr>
        <w:spacing w:after="0" w:line="22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color w:val="auto"/>
        </w:rPr>
        <w:t>. Except where the context requires otherwise, whenever used in this Agreement, the singular includes the plural, the plural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singular, the use of any gender is applicable to all genders and the word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has the inclusive meaning represented by the phrase “</w:t>
      </w:r>
      <w:r>
        <w:rPr>
          <w:rFonts w:ascii="Times New Roman" w:cs="Times New Roman" w:eastAsia="Times New Roman" w:hAnsi="Times New Roman"/>
          <w:sz w:val="18"/>
          <w:szCs w:val="18"/>
          <w:b w:val="1"/>
          <w:bCs w:val="1"/>
          <w:color w:val="auto"/>
        </w:rPr>
        <w:t>and/or</w:t>
      </w:r>
      <w:r>
        <w:rPr>
          <w:rFonts w:ascii="Times New Roman" w:cs="Times New Roman" w:eastAsia="Times New Roman" w:hAnsi="Times New Roman"/>
          <w:sz w:val="18"/>
          <w:szCs w:val="18"/>
          <w:color w:val="auto"/>
        </w:rPr>
        <w:t>”. Whenever this Agreement refers to a number of days, unless otherwise specified, such number refers to calendar days. 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GRANT OF RIGHTS AND LICENSES; EXCLUSIVITY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2.1 Exclusive License to AstraZeneca</w:t>
      </w:r>
      <w:r>
        <w:rPr>
          <w:rFonts w:ascii="Times New Roman" w:cs="Times New Roman" w:eastAsia="Times New Roman" w:hAnsi="Times New Roman"/>
          <w:sz w:val="18"/>
          <w:szCs w:val="18"/>
          <w:color w:val="auto"/>
        </w:rPr>
        <w:t>. Subject to the terms of this Agreement, Ardelyx grants to AstraZeneca:</w:t>
      </w:r>
    </w:p>
    <w:p>
      <w:pPr>
        <w:spacing w:after="0" w:line="229" w:lineRule="exact"/>
        <w:rPr>
          <w:sz w:val="20"/>
          <w:szCs w:val="20"/>
          <w:color w:val="auto"/>
        </w:rPr>
      </w:pPr>
    </w:p>
    <w:p>
      <w:pPr>
        <w:ind w:firstLine="464"/>
        <w:spacing w:after="0" w:line="266" w:lineRule="auto"/>
        <w:tabs>
          <w:tab w:leader="none" w:pos="70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(including with regard to Ardelyx and its Affiliates, except with respect to the retained rights set forth in Section 2.5 below) right and license under the Licensed Technology and Ardelyx’s rights in the Joint Technology to Exploit the Licensed Compounds and Licensed Products solely for the purpose of Developing, Manufacturing and Commercializing Licensed Products in the Field and in the Territory.</w:t>
      </w:r>
    </w:p>
    <w:p>
      <w:pPr>
        <w:spacing w:after="0" w:line="104"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221" w:name="page222"/>
    <w:bookmarkEnd w:id="221"/>
    <w:p>
      <w:pPr>
        <w:ind w:firstLine="464"/>
        <w:spacing w:after="0" w:line="266" w:lineRule="auto"/>
        <w:tabs>
          <w:tab w:leader="none" w:pos="7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exclusive (including with regard to Ardelyx and its Affiliates, except with respect to the retained rights set forth in Section 2.5 below), right and license under the Ardelyx [***] Technology to Develop, Manufacture and Commercialize the Licensed Compounds and Licensed Products in the Field and in the Territory.</w:t>
      </w:r>
    </w:p>
    <w:p>
      <w:pPr>
        <w:spacing w:after="0" w:line="176" w:lineRule="exact"/>
        <w:rPr>
          <w:rFonts w:ascii="Times New Roman" w:cs="Times New Roman" w:eastAsia="Times New Roman" w:hAnsi="Times New Roman"/>
          <w:sz w:val="18"/>
          <w:szCs w:val="18"/>
          <w:color w:val="auto"/>
        </w:rPr>
      </w:pPr>
    </w:p>
    <w:p>
      <w:pPr>
        <w:ind w:right="120" w:firstLine="464"/>
        <w:spacing w:after="0" w:line="261" w:lineRule="auto"/>
        <w:tabs>
          <w:tab w:leader="none" w:pos="70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(including with regard to Ardelyx and its Affiliates, except with respect to the retained rights set forth in Section 2.5 below), right and license and right of reference in the Territory under Ardelyx’s and its Affiliates’ rights, titles and interests in and to the Regulatory Approvals, to the extent not assigned pursuant to Section 2.13, to Develop, Manufacture and Commercialize the Licensed Compounds and Licensed Products in the Field and in the Territory.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2.2 Sublicenses</w:t>
      </w:r>
      <w:r>
        <w:rPr>
          <w:rFonts w:ascii="Times New Roman" w:cs="Times New Roman" w:eastAsia="Times New Roman" w:hAnsi="Times New Roman"/>
          <w:sz w:val="18"/>
          <w:szCs w:val="18"/>
          <w:color w:val="auto"/>
        </w:rPr>
        <w:t>. AstraZeneca shall have the right to grant sublicenses, through multiple tiers of sublicenses, under the licenses granted to AstraZeneca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2.1, to its Affiliates and to any other Person. Where AstraZeneca or its Affiliates grants such sublicense to a Person that is not an Affiliate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AstraZeneca, and such Person is not a Distributor, such Person shall be a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for the purposes of this Agreement, and any Person to which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Sublicensee grants a further sublicense shall also be a Sublicensee;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that (i) is granted a sublicense under the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AstraZeneca pursuant to Section 2.1 solely to enable such Person to provide contract research or development services or contract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for AstraZeneca, its Affiliates or Sublicensees, and (ii) does not have the right to distribute, market or sell the Licensed Products shall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for purposes of this Agreement. AstraZeneca, its Affiliates and its Sublicensees shall ensure that all Persons to which they grant sublicenses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all terms and conditions of this Agreement. Without limiting the foregoing, AstraZeneca shall obtain rights and licenses from its Affiliates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Sublicensees as necessary to enable AstraZeneca to grant to Ardelyx rights and licenses under Patents and Know-How Controlled by such Affiliates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Sublicensees to the same extent as AstraZeneca grants to Ardelyx pursuant to this Agreement under AstraZeneca Sole Invention Patents, Sole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Know-How owned by AstraZeneca, AstraZeneca’s interest in the Joint Technology and AstraZeneca Background Technology,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licenses and rights granted to Ardelyx pursuant to Sections 2.7 and 2.8 and Article 14. AstraZeneca shall remain liable for any action or failure to act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Sublicensee, or any other Party that is granted a sublicense under the licenses granted in Section 2.1 by AstraZeneca, its Affiliates or its Sublicensees,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constitute a breach of this Agreement if such action or failure were committed by AstraZeneca.</w:t>
      </w:r>
    </w:p>
    <w:p>
      <w:pPr>
        <w:spacing w:after="0" w:line="20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2.3 Distributorships</w:t>
      </w:r>
      <w:r>
        <w:rPr>
          <w:rFonts w:ascii="Times New Roman" w:cs="Times New Roman" w:eastAsia="Times New Roman" w:hAnsi="Times New Roman"/>
          <w:sz w:val="18"/>
          <w:szCs w:val="18"/>
          <w:color w:val="auto"/>
        </w:rPr>
        <w:t>. AstraZeneca shall have the right, in its sole discretion, to appoint its Affiliates, and AstraZeneca, its Affiliates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shall have the right, in their sole discretion, to appoint any other Persons, in the Territory or in any country of the Territory, to distribute, market and sell the Licensed Products, with or without packaging rights. In circumstances where such appointed Person purchases its requirements of Licensed Products from AstraZeneca, its Affiliates or its Sublicensees, but does not otherwise make any royalty or other payment to AstraZeneca, its Affiliates or its Sublicensees with respect to Intellectual Property Rights, and where such Person is not an Affiliate of AstraZeneca and neither AstraZeneca nor any of its Affiliates shares in the profits from, or has an equivalent interest in the proceeds from, the sale of Licensed Products by such Person, that Person shall be a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for purposes of this Agreement. The term “packaging rights” in this Section 2.3</w:t>
      </w:r>
    </w:p>
    <w:p>
      <w:pPr>
        <w:spacing w:after="0" w:line="115" w:lineRule="exact"/>
        <w:rPr>
          <w:sz w:val="20"/>
          <w:szCs w:val="20"/>
          <w:color w:val="auto"/>
        </w:rPr>
      </w:pPr>
    </w:p>
    <w:p>
      <w:pPr>
        <w:ind w:right="420" w:firstLine="8"/>
        <w:spacing w:after="0" w:line="262" w:lineRule="auto"/>
        <w:tabs>
          <w:tab w:leader="none" w:pos="348"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22" w:name="page223"/>
    <w:bookmarkEnd w:id="22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mean the right for the Distributor to package Licensed Products supplied in unpackaged bulk form into individual ready-for-sale packs. AstraZeneca shall remain liable for any action or failure to act by the Distributor that would constitute a breach of this Agreement if such action or failure were committed by AstraZeneca.</w:t>
      </w:r>
    </w:p>
    <w:p>
      <w:pPr>
        <w:spacing w:after="0" w:line="172"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2.4 Co-Promotion Rights</w:t>
      </w:r>
      <w:r>
        <w:rPr>
          <w:rFonts w:ascii="Times New Roman" w:cs="Times New Roman" w:eastAsia="Times New Roman" w:hAnsi="Times New Roman"/>
          <w:sz w:val="18"/>
          <w:szCs w:val="18"/>
          <w:color w:val="auto"/>
        </w:rPr>
        <w:t>. For the avoidance of doubt, AstraZeneca and its Affiliates shall have the right, in their sole discretion, to co-promote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Products with any other Person(s), or to appoint one or more Third Parties to promote the Licensed Products without AstraZeneca in all or any part of the Territory, provided however that the foregoing shall not adversely impact Ardelyx’s rights under the Co-Promote Option.</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2.5 Rights Retained by Ardelyx</w:t>
      </w:r>
      <w:r>
        <w:rPr>
          <w:rFonts w:ascii="Times New Roman" w:cs="Times New Roman" w:eastAsia="Times New Roman" w:hAnsi="Times New Roman"/>
          <w:sz w:val="18"/>
          <w:szCs w:val="18"/>
          <w:color w:val="auto"/>
        </w:rPr>
        <w:t>. Notwithstanding the foregoing, Ardelyx retains the right under the Licensed Technology, Ardelyx [***]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Joint Technology to (i) conduct the Initial Studies and the IBS-C Study as set forth in Article 5 and perform any other Development activities that may be explicitly assigned to be performed by Ardelyx by the Development Collaboration Committee; (ii) Manufacture or have Manufactured the Licensed Compound or the Licensed Product in satisfaction of its obligations under Article 8 hereof; (iii) following the exercise of the Co-Promote Option, promote the Co-Promote Product in the U.S. Territory subject to Article 7; and (iv) conduct any other activities expressly assigned to Ardelyx by the DCC under this Agreement (collectively, the activities referred to in (i), (ii), (iii) and (iv) the “</w:t>
      </w:r>
      <w:r>
        <w:rPr>
          <w:rFonts w:ascii="Times New Roman" w:cs="Times New Roman" w:eastAsia="Times New Roman" w:hAnsi="Times New Roman"/>
          <w:sz w:val="18"/>
          <w:szCs w:val="18"/>
          <w:b w:val="1"/>
          <w:bCs w:val="1"/>
          <w:color w:val="auto"/>
        </w:rPr>
        <w:t>Assigned Activities</w:t>
      </w:r>
      <w:r>
        <w:rPr>
          <w:rFonts w:ascii="Times New Roman" w:cs="Times New Roman" w:eastAsia="Times New Roman" w:hAnsi="Times New Roman"/>
          <w:sz w:val="18"/>
          <w:szCs w:val="18"/>
          <w:color w:val="auto"/>
        </w:rPr>
        <w:t>” and, solely the activities referred to in (iv) the “</w:t>
      </w:r>
      <w:r>
        <w:rPr>
          <w:rFonts w:ascii="Times New Roman" w:cs="Times New Roman" w:eastAsia="Times New Roman" w:hAnsi="Times New Roman"/>
          <w:sz w:val="18"/>
          <w:szCs w:val="18"/>
          <w:b w:val="1"/>
          <w:bCs w:val="1"/>
          <w:color w:val="auto"/>
        </w:rPr>
        <w:t>Additional Assigned Activities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2.6 Exclusion Option</w:t>
      </w:r>
      <w:r>
        <w:rPr>
          <w:rFonts w:ascii="Times New Roman" w:cs="Times New Roman" w:eastAsia="Times New Roman" w:hAnsi="Times New Roman"/>
          <w:sz w:val="18"/>
          <w:szCs w:val="18"/>
          <w:color w:val="auto"/>
        </w:rPr>
        <w:t>. During the Term, should Ardelyx or any of its Affiliates [***]. AstraZeneca may, at any time after having received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from Ardelyx or otherwise after AstraZeneca first becomes aware that Ardelyx or any of its Affiliates have [***], notify Ardelyx in writing that AstraZeneca desires to exclude [***] (such right, the “</w:t>
      </w:r>
      <w:r>
        <w:rPr>
          <w:rFonts w:ascii="Times New Roman" w:cs="Times New Roman" w:eastAsia="Times New Roman" w:hAnsi="Times New Roman"/>
          <w:sz w:val="18"/>
          <w:szCs w:val="18"/>
          <w:b w:val="1"/>
          <w:bCs w:val="1"/>
          <w:color w:val="auto"/>
        </w:rPr>
        <w:t>Exclusion Option</w:t>
      </w:r>
      <w:r>
        <w:rPr>
          <w:rFonts w:ascii="Times New Roman" w:cs="Times New Roman" w:eastAsia="Times New Roman" w:hAnsi="Times New Roman"/>
          <w:sz w:val="18"/>
          <w:szCs w:val="18"/>
          <w:color w:val="auto"/>
        </w:rPr>
        <w:t>”). From and after the date upon which Ardelyx receives such written notice of AstraZeneca’s exercise of the Exclusion Option, AstraZeneca shall have no further rights under such [***].</w:t>
      </w:r>
    </w:p>
    <w:p>
      <w:pPr>
        <w:spacing w:after="0" w:line="177"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2.7 License to Ardelyx</w:t>
      </w:r>
      <w:r>
        <w:rPr>
          <w:rFonts w:ascii="Times New Roman" w:cs="Times New Roman" w:eastAsia="Times New Roman" w:hAnsi="Times New Roman"/>
          <w:sz w:val="18"/>
          <w:szCs w:val="18"/>
          <w:color w:val="auto"/>
        </w:rPr>
        <w:t>. AstraZeneca grants to Ardelyx a non-exclusive, paid-up, royalty free, worldwide license under any Sole Program Know-How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AstraZeneca, the AstraZeneca Sole Invention Patents and AstraZeneca’s interest in the Joint Technology, to Exploit the Licensed Compounds and Licensed Products for the sole purpose of performing the Assigned Activities.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2.8 [***]</w:t>
      </w:r>
    </w:p>
    <w:p>
      <w:pPr>
        <w:spacing w:after="0" w:line="157" w:lineRule="exact"/>
        <w:rPr>
          <w:sz w:val="20"/>
          <w:szCs w:val="20"/>
          <w:color w:val="auto"/>
        </w:rPr>
      </w:pPr>
    </w:p>
    <w:p>
      <w:pPr>
        <w:ind w:right="420" w:firstLine="8"/>
        <w:spacing w:after="0" w:line="262" w:lineRule="auto"/>
        <w:tabs>
          <w:tab w:leader="none" w:pos="348"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2.9 Non-compete and Restrictive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64"/>
        <w:spacing w:after="0" w:line="313" w:lineRule="auto"/>
        <w:tabs>
          <w:tab w:leader="none" w:pos="701"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starting on the Effective Date and continuing until the earlier to occur of [***], neither AstraZeneca nor any of its Affiliates shall, except as otherwise expressly permitted in this Agreement, either by itself or through a Third Party, [***] (such product or compound, an “</w:t>
      </w:r>
      <w:r>
        <w:rPr>
          <w:rFonts w:ascii="Times New Roman" w:cs="Times New Roman" w:eastAsia="Times New Roman" w:hAnsi="Times New Roman"/>
          <w:sz w:val="17"/>
          <w:szCs w:val="17"/>
          <w:b w:val="1"/>
          <w:bCs w:val="1"/>
          <w:color w:val="auto"/>
        </w:rPr>
        <w:t>NHE3 Product</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right="120" w:firstLine="464"/>
        <w:spacing w:after="0" w:line="282" w:lineRule="auto"/>
        <w:tabs>
          <w:tab w:leader="none" w:pos="71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starting on the Effective Date and continuing until [***], neither AstraZeneca nor any of its Affiliates shall, except as otherwise expressly permitted in this Agreement, either by itself or through a Third Party, [***] any NHE3 Product in the Territory;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in this Agreement, neither Ardelyx nor any of its Affiliates shall, either by itself or through a Third Party,</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research or Develop any NHE3 Product, or [***] any NHE3 Product;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w:t>
      </w:r>
    </w:p>
    <w:p>
      <w:pPr>
        <w:spacing w:after="0" w:line="206" w:lineRule="exact"/>
        <w:rPr>
          <w:rFonts w:ascii="Times New Roman" w:cs="Times New Roman" w:eastAsia="Times New Roman" w:hAnsi="Times New Roman"/>
          <w:sz w:val="18"/>
          <w:szCs w:val="18"/>
          <w:color w:val="auto"/>
        </w:rPr>
      </w:pPr>
    </w:p>
    <w:p>
      <w:pPr>
        <w:ind w:right="80" w:firstLine="464"/>
        <w:spacing w:after="0" w:line="255" w:lineRule="auto"/>
        <w:tabs>
          <w:tab w:leader="none" w:pos="71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aforesaid, neither a Party’s nor any of such Party’s Affiliates’ direct or indirect acquisition of or merger with, in whole or in part, a Person (or group of companies) or the business of a Person (or group of companies) having any activity contravening the covenants set forth above in this Section 2.9, shall constitute a breach of such covenants by such Party, if, within [***], such Party shall, (i) in the case of AstraZeneca either (A) provide Ardelyx with written notice of its, or its Affiliates’, as the case may be, [***], or (B) exercises its right to terminate this Agreement pursuant to</w:t>
      </w:r>
    </w:p>
    <w:p>
      <w:pPr>
        <w:spacing w:after="0" w:line="2" w:lineRule="exact"/>
        <w:rPr>
          <w:rFonts w:ascii="Times New Roman" w:cs="Times New Roman" w:eastAsia="Times New Roman" w:hAnsi="Times New Roman"/>
          <w:sz w:val="18"/>
          <w:szCs w:val="18"/>
          <w:color w:val="auto"/>
        </w:rPr>
      </w:pPr>
    </w:p>
    <w:p>
      <w:pPr>
        <w:ind w:right="8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14.2(b)(i), in which case such termination shall be effective thirty (30) days after Ardelyx’s receipt of a written notice of termination from AstraZeneca, and (ii) in the case of Ardelyx, provide AstraZeneca with written notice of its, or its Affiliates’, as the case may be, [***]. In</w:t>
      </w:r>
    </w:p>
    <w:p>
      <w:pPr>
        <w:spacing w:after="0" w:line="10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portions.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270" w:right="299" w:bottom="1440" w:gutter="0" w:footer="0" w:header="0"/>
        </w:sectPr>
      </w:pPr>
    </w:p>
    <w:bookmarkStart w:id="224" w:name="page225"/>
    <w:bookmarkEnd w:id="22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event that a Party provides a written notice of its or its Affiliates’ [***] pursuant to the above, then (X) such Party shall (or, as the case may be, cause its relevant Affiliate to) diligently pursue [***], and in any case, [***] after the closing of the acquisition or merger transaction under which the relevant business was acquired, and (Y) neither such Party nor its Affiliates, as the case may be, shall during such [***] period, [***] the NHE3 Product (being the subject of research or Development activities forming part of the relevant business which is to be divested), unless [***]. In the case of AstraZeneca undergoing such a transaction, (1) it shall, notwithstanding anything to the contrary in this Section 2.9(d), at all times continue to be obligated to use Commercially Reasonable Efforts to Develop or Commercialize Licensed Products in accordance with its obligations under and subject to Section 4.4(a), and (2) if AstraZeneca elects to terminate this Agreement as set forth above pursuant to Section 14.2(b)(i) and such termination is effective prior to the expiration of the Notification Period, AstraZeneca shall (XX) continue to be obligated to reimburse Ardelyx for its Development Expenses incurred in the performance of the IBS-C Study, whether incurred prior to, or on or after, the effective date of such termination, up to a maximum amount of [***] and (YY) otherwise comply with its obligations to reimburse Ardelyx for its committed non-cancellable Development Expenses in accordance with Section 14.3(b).</w:t>
      </w:r>
    </w:p>
    <w:p>
      <w:pPr>
        <w:spacing w:after="0" w:line="186" w:lineRule="exact"/>
        <w:rPr>
          <w:sz w:val="20"/>
          <w:szCs w:val="20"/>
          <w:color w:val="auto"/>
        </w:rPr>
      </w:pPr>
    </w:p>
    <w:p>
      <w:pPr>
        <w:ind w:right="240" w:firstLine="464"/>
        <w:spacing w:after="0" w:line="266" w:lineRule="auto"/>
        <w:tabs>
          <w:tab w:leader="none" w:pos="70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Listed Patents, Ardelyx covenants that for the duration of the Term neither Ardelyx nor any of its Affiliates shall directly or indirectly (i) seek to [***], or [***] any rights to, any [***]; (ii) grant any [***] in respect of [***]; or (iii) seek to [***] unless expressly permitted by this Agreement.</w:t>
      </w:r>
    </w:p>
    <w:p>
      <w:pPr>
        <w:spacing w:after="0" w:line="176" w:lineRule="exact"/>
        <w:rPr>
          <w:rFonts w:ascii="Times New Roman" w:cs="Times New Roman" w:eastAsia="Times New Roman" w:hAnsi="Times New Roman"/>
          <w:sz w:val="18"/>
          <w:szCs w:val="18"/>
          <w:color w:val="auto"/>
        </w:rPr>
      </w:pPr>
    </w:p>
    <w:p>
      <w:pPr>
        <w:ind w:right="140" w:firstLine="464"/>
        <w:spacing w:after="0" w:line="282" w:lineRule="auto"/>
        <w:tabs>
          <w:tab w:leader="none" w:pos="68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 and all variations thereof included in this Section 2.9 with reference to NHE3 Products shall include the activities described in the [***], but with such activities being with respect to NHE3 Products rather than with respect to Licensed Product as set forth in the definition.</w:t>
      </w:r>
    </w:p>
    <w:p>
      <w:pPr>
        <w:spacing w:after="0" w:line="161" w:lineRule="exact"/>
        <w:rPr>
          <w:rFonts w:ascii="Times New Roman" w:cs="Times New Roman" w:eastAsia="Times New Roman" w:hAnsi="Times New Roman"/>
          <w:sz w:val="18"/>
          <w:szCs w:val="18"/>
          <w:color w:val="auto"/>
        </w:rPr>
      </w:pPr>
    </w:p>
    <w:p>
      <w:pPr>
        <w:ind w:right="160" w:firstLine="464"/>
        <w:spacing w:after="0" w:line="266" w:lineRule="auto"/>
        <w:tabs>
          <w:tab w:leader="none" w:pos="71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restrictions contained in this Section 2.9 are reasonable and necessary for the protection of the Parties’ and their Affiliates’ respective confidential information and business, that such restrictions are reasonable in all the circumstances and that the Parties would not have entered into this Agreement without the protections afforded to them under this Section 2.9.</w:t>
      </w:r>
    </w:p>
    <w:p>
      <w:pPr>
        <w:spacing w:after="0" w:line="172"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2.10 No Implied Rights</w:t>
      </w:r>
      <w:r>
        <w:rPr>
          <w:rFonts w:ascii="Times New Roman" w:cs="Times New Roman" w:eastAsia="Times New Roman" w:hAnsi="Times New Roman"/>
          <w:sz w:val="18"/>
          <w:szCs w:val="18"/>
          <w:color w:val="auto"/>
        </w:rPr>
        <w:t>. This Agreement confers no right, license, or interest by implication, estoppel, or otherwise under any Patents, Know-How,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w:t>
      </w:r>
    </w:p>
    <w:p>
      <w:pPr>
        <w:spacing w:after="0" w:line="103" w:lineRule="exact"/>
        <w:rPr>
          <w:sz w:val="20"/>
          <w:szCs w:val="20"/>
          <w:color w:val="auto"/>
        </w:rPr>
      </w:pPr>
    </w:p>
    <w:p>
      <w:pPr>
        <w:ind w:right="440" w:firstLine="8"/>
        <w:spacing w:after="0" w:line="262" w:lineRule="auto"/>
        <w:tabs>
          <w:tab w:leader="none" w:pos="348"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0" w:right="239" w:bottom="1440" w:gutter="0" w:footer="0" w:header="0"/>
        </w:sectPr>
      </w:pPr>
    </w:p>
    <w:bookmarkStart w:id="225" w:name="page226"/>
    <w:bookmarkEnd w:id="225"/>
    <w:p>
      <w:pPr>
        <w:jc w:val="both"/>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2.11 No Encumbrance</w:t>
      </w:r>
      <w:r>
        <w:rPr>
          <w:rFonts w:ascii="Times New Roman" w:cs="Times New Roman" w:eastAsia="Times New Roman" w:hAnsi="Times New Roman"/>
          <w:sz w:val="18"/>
          <w:szCs w:val="18"/>
          <w:color w:val="auto"/>
        </w:rPr>
        <w:t>. Ardelyx shall not assign, transfer, convey or otherwise encumber its rights to the Licensed Technology, Joint Technology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Approvals, and shall not use any of the foregoing itself or grant any right, title or interest therein to any Person, in each case in a manner that is inconsistent with the exclusive licenses or other rights granted to AstraZeneca under this Agreement.</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2.12 Exclusivity Term</w:t>
      </w:r>
      <w:r>
        <w:rPr>
          <w:rFonts w:ascii="Times New Roman" w:cs="Times New Roman" w:eastAsia="Times New Roman" w:hAnsi="Times New Roman"/>
          <w:sz w:val="18"/>
          <w:szCs w:val="18"/>
          <w:color w:val="auto"/>
        </w:rPr>
        <w:t>. AstraZeneca’s exclusive licenses granted under Section 2.1, shall expire with respect to each separate Licensed Product,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country-by-country basis, on the date when AstraZeneca’s obligation to pay royalties with respect to such Licensed Product expires pursuant to Section 9.5(i). Upon expiry of AstraZeneca’s exclusive licenses with respect to a Licensed Product in a country, AstraZeneca’s licenses with respect to such Licensed Product in such country shall become non-exclusive, fully paid-up, perpetual and irrevocable and the Net Sales of such Licensed Product in such country shall be excluded from the royalty calculations under Section 9.5 (including the thresholds and ceilings). AstraZeneca and its Affiliates and Sublicensees shall be allowed to continue exercising AstraZeneca’s rights under the licenses granted in Section 2.1 on a non-exclusive basis in such country with no further consideration to Ardelyx.</w:t>
      </w:r>
    </w:p>
    <w:p>
      <w:pPr>
        <w:spacing w:after="0" w:line="18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2.13 Assignment of Regulatory Documentation</w:t>
      </w:r>
      <w:r>
        <w:rPr>
          <w:rFonts w:ascii="Times New Roman" w:cs="Times New Roman" w:eastAsia="Times New Roman" w:hAnsi="Times New Roman"/>
          <w:sz w:val="18"/>
          <w:szCs w:val="18"/>
          <w:color w:val="auto"/>
        </w:rPr>
        <w:t>. Ardelyx hereby assigns to AstraZeneca all of its rights, titles and interests in and to all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Documentation, including, to the extent permitted by Applicable Laws, all Regulatory Approvals Controlled by Ardelyx as of the Effective Date and from time to time during the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Ardelyx shall retain the IBS-C IND until Completion of the IBS-C Study, and (ii) Ardelyx shall retain the Cardio/Renal IND until such time as the Cardio/Renal IND has become effective. Ardelyx shall duly execute and deliver, or cause to be duly executed and delivered, such instruments and shall do and cause to be done such acts and things, including the filing of such assignments, agreements, documents and instruments, as may be necessary to complete such assignment, or as AstraZeneca may reasonably request in connection therewith, or to carry out more effectively the purpose thereof, or to better assure and confirm unto AstraZeneca its rights under this Section 2.13, at AstraZeneca’s cost and expense.</w:t>
      </w:r>
    </w:p>
    <w:p>
      <w:pPr>
        <w:spacing w:after="0" w:line="18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2.14 Confirmatory Patent Licenses</w:t>
      </w:r>
      <w:r>
        <w:rPr>
          <w:rFonts w:ascii="Times New Roman" w:cs="Times New Roman" w:eastAsia="Times New Roman" w:hAnsi="Times New Roman"/>
          <w:sz w:val="18"/>
          <w:szCs w:val="18"/>
          <w:color w:val="auto"/>
        </w:rPr>
        <w:t>. Ardelyx shall, if requested to do so by AstraZeneca, immediately enter into short form confirmatory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in the form or substantially the form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purposes of (i) recording the licenses granted under this Agreement with such Patent authorities in the Territory as AstraZeneca considers appropriate or (ii) otherwise being able to demonstrate the existence of the licenses granted to AstraZeneca under this Agreement to relevant authorities where required without having to disclose this Agreement in its entirety. Until the execution of any such confirmatory licenses, so far as may be legally possible, Ardelyx and AstraZeneca shall have the same rights in respect of the licenses granted under this Agreement and be under the same obligations to each other in all respects as if such confirmatory licenses had been executed.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PROJECT TEAM AND DEVELOPMENT COLLABORATION COMMITTEE</w:t>
      </w:r>
    </w:p>
    <w:p>
      <w:pPr>
        <w:spacing w:after="0" w:line="203"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3.1 JPT</w:t>
      </w:r>
      <w:r>
        <w:rPr>
          <w:rFonts w:ascii="Times New Roman" w:cs="Times New Roman" w:eastAsia="Times New Roman" w:hAnsi="Times New Roman"/>
          <w:sz w:val="18"/>
          <w:szCs w:val="18"/>
          <w:color w:val="auto"/>
        </w:rPr>
        <w:t>. Ardelyx and AstraZeneca shall establish a Joint Project Team (the “</w:t>
      </w:r>
      <w:r>
        <w:rPr>
          <w:rFonts w:ascii="Times New Roman" w:cs="Times New Roman" w:eastAsia="Times New Roman" w:hAnsi="Times New Roman"/>
          <w:sz w:val="18"/>
          <w:szCs w:val="18"/>
          <w:b w:val="1"/>
          <w:bCs w:val="1"/>
          <w:color w:val="auto"/>
        </w:rPr>
        <w:t>JPT</w:t>
      </w:r>
      <w:r>
        <w:rPr>
          <w:rFonts w:ascii="Times New Roman" w:cs="Times New Roman" w:eastAsia="Times New Roman" w:hAnsi="Times New Roman"/>
          <w:sz w:val="18"/>
          <w:szCs w:val="18"/>
          <w:color w:val="auto"/>
        </w:rPr>
        <w:t>”). The JPT shall remain in effect as from the Effective Date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long as [***]</w:t>
      </w:r>
    </w:p>
    <w:p>
      <w:pPr>
        <w:spacing w:after="0" w:line="87" w:lineRule="exact"/>
        <w:rPr>
          <w:sz w:val="20"/>
          <w:szCs w:val="20"/>
          <w:color w:val="auto"/>
        </w:rPr>
      </w:pPr>
    </w:p>
    <w:p>
      <w:pPr>
        <w:ind w:right="440" w:firstLine="8"/>
        <w:spacing w:after="0" w:line="262" w:lineRule="auto"/>
        <w:tabs>
          <w:tab w:leader="none" w:pos="348"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66" w:right="239" w:bottom="1440" w:gutter="0" w:footer="0" w:header="0"/>
        </w:sectPr>
      </w:pPr>
    </w:p>
    <w:bookmarkStart w:id="226" w:name="page227"/>
    <w:bookmarkEnd w:id="22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The JPT shall serve as a joint working group for the purpose of implementing the Development Plan, coordinating the practical aspects of the Parties’ collaboration under this Agreement, handling day-to-day issues in relation thereto, facilitating communication between the Parties in respect thereof and otherwise performing such specific tasks as may be assigned to it by the DCC. The JPT shall consist of [***] project leaders, [***], and such additional members as each Party may appoint from time to time as necessary or useful for the performance of the JPT’s responsibilities hereunder. Each Party shall have the right to withdraw or replace its JPT representatives upon written notice to the other Party, provided that any such substitute representative shall have substantially the equivalent position and experience as the representative that such person replaces, and further provided that replacements for the Parties’ respective project leaders shall be subject to the prior written consent of the other Party, such consent not to be unreasonably withheld, delayed or conditioned. AstraZeneca and Ardelyx shall each bear all expenses of its JPT members related to such members’ participation on the JPT. Each Party’s representatives on the JPT as of the Effective Date are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3.2 Overview of the DCC</w:t>
      </w:r>
      <w:r>
        <w:rPr>
          <w:rFonts w:ascii="Times New Roman" w:cs="Times New Roman" w:eastAsia="Times New Roman" w:hAnsi="Times New Roman"/>
          <w:sz w:val="18"/>
          <w:szCs w:val="18"/>
          <w:color w:val="auto"/>
        </w:rPr>
        <w:t>. Ardelyx and AstraZeneca shall establish a development collaboration committee in accordance with this Article 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 The DCC shall remain in effect as from the Effective Date and until [***]. If the DCC is disbanded pursuant to the preceding sentence and AstraZeneca thereafter decides to [***]. The DCC shall serve as a forum for discussing and sharing Information and Materials; discussing strategy regarding the Development of the Licensed Products; and discussing the allocation of Development activities to be conducted by Ardelyx and AstraZeneca, as more fully set forth in this Article 3.</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3.3 Composition of the DCC</w:t>
      </w:r>
      <w:r>
        <w:rPr>
          <w:rFonts w:ascii="Times New Roman" w:cs="Times New Roman" w:eastAsia="Times New Roman" w:hAnsi="Times New Roman"/>
          <w:sz w:val="18"/>
          <w:szCs w:val="18"/>
          <w:color w:val="auto"/>
        </w:rPr>
        <w:t>. [***] Each Party’s representatives on the DCC as of the Effective Date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The DCC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chaired by a representative of [***]. The chairperson shall be responsible for calling meetings, setting the agenda, circulating the agenda at least ten (10) days prior to each meeting and distributing minutes of the meetings within thirty (30) days following such meetings (provided that the chairperson may elect to delegate the performance of its responsibilities to other members of the DCC from time to time), but will not otherwise have any greater power or authority than any other member of the DCC. The chairperson shall coordinate with each Party to schedule each DCC meeting at least six (6) months in advance of such meeting, or – with regard to meetings that are called for on shorter notice – as early as reasonably practicable in advance of such meeting. Each Party shall disclose to the chairperson any proposed agenda</w:t>
      </w:r>
    </w:p>
    <w:p>
      <w:pPr>
        <w:spacing w:after="0" w:line="115" w:lineRule="exact"/>
        <w:rPr>
          <w:sz w:val="20"/>
          <w:szCs w:val="20"/>
          <w:color w:val="auto"/>
        </w:rPr>
      </w:pPr>
    </w:p>
    <w:p>
      <w:pPr>
        <w:ind w:right="400" w:firstLine="8"/>
        <w:spacing w:after="0" w:line="262" w:lineRule="auto"/>
        <w:tabs>
          <w:tab w:leader="none" w:pos="348"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0" w:right="279" w:bottom="1440" w:gutter="0" w:footer="0" w:header="0"/>
        </w:sectPr>
      </w:pPr>
    </w:p>
    <w:bookmarkStart w:id="227" w:name="page228"/>
    <w:bookmarkEnd w:id="2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items, along with appropriate Information and Materials at least twenty (20) Business Days in advance of each meeting of the DCC (or – with regard to meetings that are called for on shorter notice – as early as reasonably practicable in advance of such meeting). The chairperson shall not unreasonably reject any proposed agenda items. At least one (1) member of the DCC selected by Ardelyx and one (1) member of the DCC selected by AstraZeneca shall have substantial experience in pharmaceutical product research and development, and all of the members of the DCC shall have such expertise as appropriate to the activities of the DCC. Each Party may replace its members of the DCC upon written notice to the other Party, provided that any such substitute member shall have substantially the equivalent functional expertise, experience and seniority as the member that such person replaces. From time to time, the DCC may invite non-voting personnel of either Party having formulation, Manufacturing, Commercialization, marketing or other expertise to participate in discussions of the DCC. An alternate voting member designated by a Party may serve temporarily in the absence of a permanent voting member appointed by such Party, and either Party may also designate one or more non-voting consultants to such Party who are under written obligations of confidentiality to such Party as DCC observers who may attend the DCC meetings in an observational capacity only.</w:t>
      </w:r>
    </w:p>
    <w:p>
      <w:pPr>
        <w:spacing w:after="0" w:line="18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3.4 Responsibilities of the DCC</w:t>
      </w:r>
      <w:r>
        <w:rPr>
          <w:rFonts w:ascii="Times New Roman" w:cs="Times New Roman" w:eastAsia="Times New Roman" w:hAnsi="Times New Roman"/>
          <w:sz w:val="18"/>
          <w:szCs w:val="18"/>
          <w:color w:val="auto"/>
        </w:rPr>
        <w:t>. The DCC’s responsibilities will include, among others, (i) reviewing and approving the Development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Budget, and any amendments thereto, (ii) approving (or establishing procedures to approve) protocols for nonclinical studies or Clinical Trials and any amendments or modifications to such protocols or studies, (iii) performing quarterly reviews of the progress of nonclinical and clinical studies and any proposed additional studies, (iv) facilitating the exchange of Information and Materials, (iv) facilitating the timely transfer of Manufacturing responsibility to AstraZeneca in accordance with Article 8, (v) reviewing and approving a proposal by either Party to stop a Clinical Trial of a Licensed Product, (vi) allocating responsibility for Development activities between the Parties, (vii) reviewing and discussing initial Commercialization Plans;</w:t>
      </w:r>
    </w:p>
    <w:p>
      <w:pPr>
        <w:spacing w:after="0" w:line="4" w:lineRule="exact"/>
        <w:rPr>
          <w:sz w:val="20"/>
          <w:szCs w:val="20"/>
          <w:color w:val="auto"/>
        </w:rPr>
      </w:pPr>
    </w:p>
    <w:p>
      <w:pPr>
        <w:ind w:right="100" w:firstLine="8"/>
        <w:spacing w:after="0" w:line="253" w:lineRule="auto"/>
        <w:tabs>
          <w:tab w:leader="none" w:pos="4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any Additional Assigned Activities that may be assigned to Ardelyx, and the details of the performance of such Additional Assigned Activities, including any budgets related thereto; (ix) on a yearly basis commencing in the Calendar Year [***], review the FTE rate to be used in calculating the Additional Assigned Activity Expenses and the Development FTE Rate to consider whether such rates shall be increased to reflect increases in Ardelyx’s costs of conducting Assigned Activities; and (x) performing such other functions as appropriate to further the purposes of this Agreement as determined by the Parties.</w:t>
      </w:r>
    </w:p>
    <w:p>
      <w:pPr>
        <w:spacing w:after="0" w:line="183"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3.5 Meetings of the DCC</w:t>
      </w:r>
      <w:r>
        <w:rPr>
          <w:rFonts w:ascii="Times New Roman" w:cs="Times New Roman" w:eastAsia="Times New Roman" w:hAnsi="Times New Roman"/>
          <w:sz w:val="18"/>
          <w:szCs w:val="18"/>
          <w:color w:val="auto"/>
        </w:rPr>
        <w:t>. The DCC shall hold meetings at such times and places as shall be determined by a majority of the entire membership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but in no event shall such meetings be held less frequently than once every three (3) months. Meetings of the DCC will alternate between the offices of the Parties, unless otherwise agreed upon by the members of the DCC, or may be held via internet, telephonically or by videoconference; provided that at least two (2) meetings per year shall be held in person. Meetings of the DCC will be effective only if at least two representatives of each Party are in attendance or participating in the meeting. Each Party will be responsible for the expenses incurred in connection with its employees, consultants and its members of the DCC attending or otherwise participating in DCC meetings.</w:t>
      </w:r>
    </w:p>
    <w:p>
      <w:pPr>
        <w:spacing w:after="0" w:line="115" w:lineRule="exact"/>
        <w:rPr>
          <w:sz w:val="20"/>
          <w:szCs w:val="20"/>
          <w:color w:val="auto"/>
        </w:rPr>
      </w:pPr>
    </w:p>
    <w:p>
      <w:pPr>
        <w:ind w:right="440" w:firstLine="8"/>
        <w:spacing w:after="0" w:line="262" w:lineRule="auto"/>
        <w:tabs>
          <w:tab w:leader="none" w:pos="348"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228" w:name="page229"/>
    <w:bookmarkEnd w:id="228"/>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 DCC Decision Making</w:t>
      </w:r>
      <w:r>
        <w:rPr>
          <w:rFonts w:ascii="Times New Roman" w:cs="Times New Roman" w:eastAsia="Times New Roman" w:hAnsi="Times New Roman"/>
          <w:sz w:val="18"/>
          <w:szCs w:val="18"/>
          <w:color w:val="auto"/>
        </w:rPr>
        <w:t>. The DCC shall make decisions within its remit only by [***]. In the event that (a) [***] on a matter before it for decision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fifteen (15) days after the matter was first considered by it or (b), if Ardelyx has [***] within fifteen (15) days after the date when the matter in dispute was first raised by either Party with the other Party; then the matter may be referred by either Party to the Senior Executives, who shall meet (in person, via internet, telephonically or by videoconference) and attempt to resolve the matter within fifteen (15) days of such referral. In the event that the Senior Executives are unable to reach consensus within such fifteen (15)-day period, [***]. Notwithstanding the foregoing, (i) Ardelyx shall not be required to perform any Additional Assigned Activities unless Ardelyx specifically agrees to conduct such Additional Assigned Activities in accordance with the budgets and plans for such activities proposed by the DCC, and (ii) in the event that [***] cannot be attained, [***] with respect to the IBS-C protocol or the Statistical Analysis Plan unless [***]. In the case of subsection (ii) above, the Parties shall continue to revise the IBS-C Study protocol or Statistical Analysis Plan until such time as [***].</w:t>
      </w:r>
    </w:p>
    <w:p>
      <w:pPr>
        <w:spacing w:after="0" w:line="182"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7"/>
          <w:szCs w:val="17"/>
          <w:b w:val="1"/>
          <w:bCs w:val="1"/>
          <w:color w:val="auto"/>
        </w:rPr>
        <w:t>3.7 Ardelyx Membership in the DCC</w:t>
      </w:r>
      <w:r>
        <w:rPr>
          <w:rFonts w:ascii="Times New Roman" w:cs="Times New Roman" w:eastAsia="Times New Roman" w:hAnsi="Times New Roman"/>
          <w:sz w:val="17"/>
          <w:szCs w:val="17"/>
          <w:color w:val="auto"/>
        </w:rPr>
        <w:t>. For any period during which Ardelyx is not actively conducting any Clinical Trial under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Ardelyx’s membership in the DCC shall be at its sole discretion, as a matter of right and not obligation, for the sole purpose of performing activities within the remit of the DCC. During any such period, Ardelyx shall have the right to withdraw from membership in the DCC upon thirty (30) days’ written notice to AstraZeneca, which notice shall be effective upon the expiration of such thirty (30) day period. Such withdrawal shall not, however, relieve Ardelyx of any of its obligations under this Agreement (apart from the obligation to participate at DCC meetings). Upon the effective date of Ardelyx’s withdrawal pursuant to the above, Ardelyx’s membership in such committee shall be terminated. Notwithstanding its withdrawal pursuant to the above, Ardelyx shall have the right to continue to receive the Information and Materials it would otherwise be entitled to receive under this Agreement. If, at any time, following its issuance of a notice of withdrawal pursuant to the above, Ardelyx wishes to resume participation in the DCC, it shall notify AstraZeneca thereof in writing and, as from the thirtieth (30th) day thereafter, Ardelyx representatives to the DCC shall be entitled to attend any subsequent meeting of the DCC and to participate in the activities and decision-making by the DCC as provided in Section 3.6 as if such withdrawal notice had not been issued by Ardelyx pursuant to this</w:t>
      </w:r>
    </w:p>
    <w:p>
      <w:pPr>
        <w:ind w:right="100"/>
        <w:spacing w:after="0" w:line="261" w:lineRule="auto"/>
        <w:rPr>
          <w:sz w:val="20"/>
          <w:szCs w:val="20"/>
          <w:color w:val="auto"/>
        </w:rPr>
      </w:pPr>
      <w:r>
        <w:rPr>
          <w:rFonts w:ascii="Times New Roman" w:cs="Times New Roman" w:eastAsia="Times New Roman" w:hAnsi="Times New Roman"/>
          <w:sz w:val="18"/>
          <w:szCs w:val="18"/>
          <w:color w:val="auto"/>
        </w:rPr>
        <w:t>Section 3.7. If the Development Collaboration Committee is disbanded, then any Information and Materials originally to be disclosed through the DCC shall be provided to such Party directly by the other Party subject to the terms and conditions of this Agreement.</w:t>
      </w:r>
    </w:p>
    <w:p>
      <w:pPr>
        <w:spacing w:after="0" w:line="108" w:lineRule="exact"/>
        <w:rPr>
          <w:sz w:val="20"/>
          <w:szCs w:val="20"/>
          <w:color w:val="auto"/>
        </w:rPr>
      </w:pPr>
    </w:p>
    <w:p>
      <w:pPr>
        <w:ind w:right="420" w:firstLine="8"/>
        <w:spacing w:after="0" w:line="262" w:lineRule="auto"/>
        <w:tabs>
          <w:tab w:leader="none" w:pos="348"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66" w:right="25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 ON DEVELOPMENT AND COMMERCIALIZATION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4.1 Information Disclosure; Assistance; Record Keeping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64"/>
        <w:spacing w:after="0" w:line="256" w:lineRule="auto"/>
        <w:tabs>
          <w:tab w:leader="none" w:pos="70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acknowledges that it has, prior to the Effective Date, made available to AstraZeneca all material Regulatory Documentation Controlled by Ardelyx and tangible and electronic embodiments of all Licensed Know-How existing as of the Effective Date. After the Effective Date, and promptly following AstraZeneca’s request to do so, Ardelyx shall transfer to AstraZeneca copies of all of the “</w:t>
      </w:r>
      <w:r>
        <w:rPr>
          <w:rFonts w:ascii="Times New Roman" w:cs="Times New Roman" w:eastAsia="Times New Roman" w:hAnsi="Times New Roman"/>
          <w:sz w:val="18"/>
          <w:szCs w:val="18"/>
          <w:b w:val="1"/>
          <w:bCs w:val="1"/>
          <w:color w:val="auto"/>
        </w:rPr>
        <w:t>Essential Documents</w:t>
      </w:r>
      <w:r>
        <w:rPr>
          <w:rFonts w:ascii="Times New Roman" w:cs="Times New Roman" w:eastAsia="Times New Roman" w:hAnsi="Times New Roman"/>
          <w:sz w:val="18"/>
          <w:szCs w:val="18"/>
          <w:color w:val="auto"/>
        </w:rPr>
        <w:t>” as defined in Chapter 8 of ICH-GCP that are Controlled by Ardelyx relating to the Lead Licensed Compound and Lead Licensed Product (the “</w:t>
      </w:r>
      <w:r>
        <w:rPr>
          <w:rFonts w:ascii="Times New Roman" w:cs="Times New Roman" w:eastAsia="Times New Roman" w:hAnsi="Times New Roman"/>
          <w:sz w:val="18"/>
          <w:szCs w:val="18"/>
          <w:b w:val="1"/>
          <w:bCs w:val="1"/>
          <w:color w:val="auto"/>
        </w:rPr>
        <w:t>Essential Documents</w:t>
      </w:r>
      <w:r>
        <w:rPr>
          <w:rFonts w:ascii="Times New Roman" w:cs="Times New Roman" w:eastAsia="Times New Roman" w:hAnsi="Times New Roman"/>
          <w:sz w:val="18"/>
          <w:szCs w:val="18"/>
          <w:color w:val="auto"/>
        </w:rPr>
        <w:t>”). Ardelyx will have the right to retain original copies of the foregoing but shall make such original copies available to AstraZeneca at Ardelyx’s site of business upon reasonable advance written notice by AstraZeneca.</w:t>
      </w:r>
    </w:p>
    <w:p>
      <w:pPr>
        <w:spacing w:after="0" w:line="187" w:lineRule="exact"/>
        <w:rPr>
          <w:rFonts w:ascii="Times New Roman" w:cs="Times New Roman" w:eastAsia="Times New Roman" w:hAnsi="Times New Roman"/>
          <w:sz w:val="18"/>
          <w:szCs w:val="18"/>
          <w:color w:val="auto"/>
        </w:rPr>
      </w:pPr>
    </w:p>
    <w:p>
      <w:pPr>
        <w:ind w:firstLine="464"/>
        <w:spacing w:after="0" w:line="255" w:lineRule="auto"/>
        <w:tabs>
          <w:tab w:leader="none" w:pos="71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after the Effective Date, to the extent not done so already, Ardelyx shall, and shall cause its Affiliates to, without additional compensation, disclose and make available to AstraZeneca, in whatever form AstraZeneca may reasonably request, as soon as reasonably practicable after the earlier of the development, making, conception or reduction to practice of each of the following: copies or tangible embodiments of all Regulatory Documentation Controlled by Ardelyx, Sole Program Know-How owned by Ardelyx, Joint Know-How and Ardelyx [***] Know-How. Subject to</w:t>
      </w:r>
    </w:p>
    <w:p>
      <w:pPr>
        <w:spacing w:after="0" w:line="2" w:lineRule="exact"/>
        <w:rPr>
          <w:rFonts w:ascii="Times New Roman" w:cs="Times New Roman" w:eastAsia="Times New Roman" w:hAnsi="Times New Roman"/>
          <w:sz w:val="18"/>
          <w:szCs w:val="18"/>
          <w:color w:val="auto"/>
        </w:rPr>
      </w:pPr>
    </w:p>
    <w:p>
      <w:pPr>
        <w:ind w:right="7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4.1(e), Ardelyx will have the right to retain original copies of the foregoing, and shall make such original copies available to AstraZeneca at Ardelyx’s site of business upon reasonable advance written notice by AstraZeneca.</w:t>
      </w:r>
    </w:p>
    <w:p>
      <w:pPr>
        <w:spacing w:after="0" w:line="179" w:lineRule="exact"/>
        <w:rPr>
          <w:rFonts w:ascii="Times New Roman" w:cs="Times New Roman" w:eastAsia="Times New Roman" w:hAnsi="Times New Roman"/>
          <w:sz w:val="18"/>
          <w:szCs w:val="18"/>
          <w:color w:val="auto"/>
        </w:rPr>
      </w:pPr>
    </w:p>
    <w:p>
      <w:pPr>
        <w:ind w:firstLine="464"/>
        <w:spacing w:after="0" w:line="258" w:lineRule="auto"/>
        <w:tabs>
          <w:tab w:leader="none" w:pos="70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its other obligations under this Agreement, including activities explicitly assigned by the DCC to be performed by Ardelyx in connection with the Development hereunder, Ardelyx shall, at its cost and expense, provide AstraZeneca with all reasonable assistance required in order to transfer the Licensed Know-How to AstraZeneca in a timely manner or, at the reasonable cost and expense of AstraZeneca, assist AstraZeneca with respect to the practice of the Licensed Know-How in connection with Development, Manufacture or Commercialization of the Licensed Compounds and the Licensed Products.</w:t>
      </w:r>
    </w:p>
    <w:p>
      <w:pPr>
        <w:spacing w:after="0" w:line="183" w:lineRule="exact"/>
        <w:rPr>
          <w:rFonts w:ascii="Times New Roman" w:cs="Times New Roman" w:eastAsia="Times New Roman" w:hAnsi="Times New Roman"/>
          <w:sz w:val="18"/>
          <w:szCs w:val="18"/>
          <w:color w:val="auto"/>
        </w:rPr>
      </w:pPr>
    </w:p>
    <w:p>
      <w:pPr>
        <w:ind w:right="40" w:firstLine="464"/>
        <w:spacing w:after="0" w:line="256" w:lineRule="auto"/>
        <w:tabs>
          <w:tab w:leader="none" w:pos="71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maintain, or cause to be maintained, records of its activities under this Agreement, including the Essential Documents and including records in the form of laboratory notebooks, in sufficient detail and in good scientific manner appropriate for patent and regulatory purposes, which shall be complete and accurate and shall fully and properly reflect all work done and results achieved in the performance of its activities hereunder, which shall record only such activities and shall not include or be commingled with records of activities outside the scope of this Agreement, and which shall be retained by such Party for at least five (5) years after the termination of this Agreement, or for such longer period as may be required by Applicable Laws. AstraZeneca shall have the right, during normal business hours and upon reasonable prior notice, to inspect and copy any such records of Ardelyx.</w:t>
      </w:r>
    </w:p>
    <w:p>
      <w:pPr>
        <w:spacing w:after="0" w:line="187" w:lineRule="exact"/>
        <w:rPr>
          <w:rFonts w:ascii="Times New Roman" w:cs="Times New Roman" w:eastAsia="Times New Roman" w:hAnsi="Times New Roman"/>
          <w:sz w:val="18"/>
          <w:szCs w:val="18"/>
          <w:color w:val="auto"/>
        </w:rPr>
      </w:pPr>
    </w:p>
    <w:p>
      <w:pPr>
        <w:ind w:right="40" w:firstLine="464"/>
        <w:spacing w:after="0" w:line="282" w:lineRule="auto"/>
        <w:tabs>
          <w:tab w:leader="none" w:pos="70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acknowledges that laboratory notebooks maintained by Ardelyx prior to the Effective Date may include records of activities outside of the scope of this</w:t>
      </w:r>
    </w:p>
    <w:p>
      <w:pPr>
        <w:spacing w:after="0" w:line="89"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66" w:right="259" w:bottom="1440" w:gutter="0" w:footer="0" w:header="0"/>
        </w:sectPr>
      </w:pPr>
    </w:p>
    <w:bookmarkStart w:id="230" w:name="page231"/>
    <w:bookmarkEnd w:id="23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Therefore, during the Term, Ardelyx shall, without prejudice to its other obligations hereunder (including Sections 4.1(b) and 4.1(c)) as soon as reasonably practicable after Ardelyx’s receipt of AstraZeneca’s request, and at the reasonable cost and expense of AstraZeneca, provide AstraZeneca with redacted copies of the laboratory notebooks as may be required for AstraZeneca’s patent prosecution and maintenance purposes, and shall further make the original laboratory notebooks available to AstraZeneca during normal business hours and upon reasonable notice if required for AstraZeneca’s patent prosecution and maintenance purposes; provided that, Ardelyx shall have the right to use reasonable measures to protect the confidentiality of such records included in the laboratory notebooks that relate to activities outside of the scope of this Agreement, </w:t>
      </w:r>
      <w:r>
        <w:rPr>
          <w:rFonts w:ascii="Times New Roman" w:cs="Times New Roman" w:eastAsia="Times New Roman" w:hAnsi="Times New Roman"/>
          <w:sz w:val="18"/>
          <w:szCs w:val="18"/>
          <w:u w:val="single" w:color="auto"/>
          <w:color w:val="auto"/>
        </w:rPr>
        <w:t>provided, however, that</w:t>
      </w:r>
      <w:r>
        <w:rPr>
          <w:rFonts w:ascii="Times New Roman" w:cs="Times New Roman" w:eastAsia="Times New Roman" w:hAnsi="Times New Roman"/>
          <w:sz w:val="18"/>
          <w:szCs w:val="18"/>
          <w:color w:val="auto"/>
        </w:rPr>
        <w:t xml:space="preserve"> such measures are consistent with the preservation of the original records for use as evidence in legal proceedings.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4.2 Development Plan and Development Budget</w:t>
      </w:r>
      <w:r>
        <w:rPr>
          <w:rFonts w:ascii="Times New Roman" w:cs="Times New Roman" w:eastAsia="Times New Roman" w:hAnsi="Times New Roman"/>
          <w:sz w:val="18"/>
          <w:szCs w:val="18"/>
          <w:color w:val="auto"/>
        </w:rPr>
        <w:t>. The Development of the Licensed Products shall be governed by a global development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and costs and expenses relating to the Development of Licensed Products shall be governed by a development budget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Budget</w:t>
      </w:r>
      <w:r>
        <w:rPr>
          <w:rFonts w:ascii="Times New Roman" w:cs="Times New Roman" w:eastAsia="Times New Roman" w:hAnsi="Times New Roman"/>
          <w:sz w:val="18"/>
          <w:szCs w:val="18"/>
          <w:color w:val="auto"/>
        </w:rPr>
        <w:t>”). Within [***] after the Effective Date, AstraZeneca shall submit the Initial Development Plan and Development Budget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DCC for approval in accordance with the terms of Section 3.4, Section 3.6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Following Completion of the Initial Studies, AstraZeneca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in consultation with Ardelyx a Development Plan that will include, among other things, (i) the initial indication(s) for which the Licensed Product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to be Developed, (ii) other indications for which the Licensed Product may be developed, (iii) the proposed overall program of Development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 for any indications elected by AstraZeneca in each Major Market, and any other applicable countries, including without limitation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nonclinical studies, toxicology, pharmacology studies, formulation, process development, clinical studies, and regulatory plans and other main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elements of obtaining Regulatory Approval in each Major Market, and any other applicable country, (iv) critical activities to be undertaken, timelines,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points and relevant decision criteria, and (v) allocation of responsibilities between the Parties for the various activities to be undertaken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Plan; all based on what can reasonably be foreseen and planned at the time of preparation of the Development Plan. Each Party will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right to use its Affiliates or Third Parties to perform Development activities allocated to it under the Development Plan,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Affiliate or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Party retained by Ardelyx for such purpose that is not listed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(as such Exhibit may be amended or reduced by the DCC from time to time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shall first have been approved by AstraZeneca, such approval not to be unreasonably withheld, and </w:t>
      </w:r>
      <w:r>
        <w:rPr>
          <w:rFonts w:ascii="Times New Roman" w:cs="Times New Roman" w:eastAsia="Times New Roman" w:hAnsi="Times New Roman"/>
          <w:sz w:val="18"/>
          <w:szCs w:val="18"/>
          <w:u w:val="single" w:color="auto"/>
          <w:color w:val="auto"/>
        </w:rPr>
        <w:t>further provided that</w:t>
      </w:r>
      <w:r>
        <w:rPr>
          <w:rFonts w:ascii="Times New Roman" w:cs="Times New Roman" w:eastAsia="Times New Roman" w:hAnsi="Times New Roman"/>
          <w:sz w:val="18"/>
          <w:szCs w:val="18"/>
          <w:color w:val="auto"/>
        </w:rPr>
        <w:t xml:space="preserve"> if any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does not agree in writing to comply with the AstraZeneca Code of Conduct (as set forth in the website set forth in Section H7 of </w:t>
      </w:r>
      <w:r>
        <w:rPr>
          <w:rFonts w:ascii="Times New Roman" w:cs="Times New Roman" w:eastAsia="Times New Roman" w:hAnsi="Times New Roman"/>
          <w:sz w:val="18"/>
          <w:szCs w:val="18"/>
          <w:u w:val="single" w:color="auto"/>
          <w:color w:val="auto"/>
        </w:rPr>
        <w:t>Exhibit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within thirty (30) days after the Effective Date, Ardelyx shall confer with the DCC regarding further use of such Third Party to perform such activity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measures acceptable to the DCC that should be taken with respect thereto. While the DCC is in effect, the DCC will review the Development Plan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Budget at least four times per year, and will amend the Development Plan and Development Budget as necessary pursuant to review. Each Party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conducting a Clinical Trial shall provide the Clinical Trial results to the DCC in draft form as soon as reasonably practicable and shall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final report to the DCC, within ten (10) days after finalization of the Clinical Trial report. After the DCC is disbanded pursuant to Section 3.2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3.7, AstraZeneca shall continue to revise the Development Plan and Development Budget at least [***], and such revisions (or areasonably detailed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thereof) shall be delivered to Ardelyx as soon as reasonably practicable following finalization thereof.</w:t>
      </w:r>
    </w:p>
    <w:p>
      <w:pPr>
        <w:spacing w:after="0" w:line="135" w:lineRule="exact"/>
        <w:rPr>
          <w:sz w:val="20"/>
          <w:szCs w:val="20"/>
          <w:color w:val="auto"/>
        </w:rPr>
      </w:pPr>
    </w:p>
    <w:p>
      <w:pPr>
        <w:ind w:right="440" w:firstLine="8"/>
        <w:spacing w:after="0" w:line="262" w:lineRule="auto"/>
        <w:tabs>
          <w:tab w:leader="none" w:pos="348"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0" w:right="239" w:bottom="1440" w:gutter="0" w:footer="0" w:header="0"/>
        </w:sectPr>
      </w:pPr>
    </w:p>
    <w:bookmarkStart w:id="231" w:name="page232"/>
    <w:bookmarkEnd w:id="231"/>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 Development Expenses</w:t>
      </w:r>
      <w:r>
        <w:rPr>
          <w:rFonts w:ascii="Times New Roman" w:cs="Times New Roman" w:eastAsia="Times New Roman" w:hAnsi="Times New Roman"/>
          <w:sz w:val="18"/>
          <w:szCs w:val="18"/>
          <w:color w:val="auto"/>
        </w:rPr>
        <w:t>. Subject to Section 6.1 below, AstraZeneca will be responsible for the payment of all Development Expenses incurred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in connection with the Development of Licensed Products in the Territory. With respect to the Development activities allocated to, and conducted by Ardelyx in accordance with the Development Plan, AstraZeneca shall reimburse Ardelyx for all Development Expenses incurred by Ardelyx that are consistent with and within the limits of the Development Plan and the Development Budget each as approved by the DCC. For the avoidance of doubt, the foregoing shall include Development Expenses incurred by Ardelyx for the conduct of the IBS-C Study, which expenses shall be reimbursed by AstraZeneca hereunder, up to a maximum amount of [***]. Ardelyx’s Internal Development Expenses shall be determined on an FTE basis in accordance with this Section 4.3. Ardelyx shall submit invoices to AstraZeneca at the beginning of each Calendar Quarter, which invoices shall detail the Development Expenses incurred by Ardelyx during the previous Calendar Quarter, including all FTE charges and all External Development Expenses in connection with performing activities under the Development Plan and within the Development Budget. Ardelyx may, in its sole discretion, elect to submit invoices to AstraZeneca on a monthly basis rather than on a Calendar Quarter basis (in which case Ardelyx shall submit invoices to AstraZeneca at the beginning of each calendar month and such invoices shall detail such Development Expenses incurred by Ardelyx during the previous calendar month). Ardelyx’s FTEs shall be charged to Development Expenses at an annual rate of [***] per FTE, subject to Section 3.4(ix) (the “</w:t>
      </w:r>
      <w:r>
        <w:rPr>
          <w:rFonts w:ascii="Times New Roman" w:cs="Times New Roman" w:eastAsia="Times New Roman" w:hAnsi="Times New Roman"/>
          <w:sz w:val="18"/>
          <w:szCs w:val="18"/>
          <w:b w:val="1"/>
          <w:bCs w:val="1"/>
          <w:color w:val="auto"/>
        </w:rPr>
        <w:t>Development FTE Rate</w:t>
      </w:r>
      <w:r>
        <w:rPr>
          <w:rFonts w:ascii="Times New Roman" w:cs="Times New Roman" w:eastAsia="Times New Roman" w:hAnsi="Times New Roman"/>
          <w:sz w:val="18"/>
          <w:szCs w:val="18"/>
          <w:color w:val="auto"/>
        </w:rPr>
        <w:t>”). For the avoidance of doubt, such rate shall include [***]. AstraZeneca shall pay each invoice fulfilling the requirements set out in Section 9.12 within forty-five (45) days of its receipt thereof, regardless of whether such invoices have been submitted on a Calendar Quarter or monthly basis.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4.4 Diligence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4" w:lineRule="auto"/>
        <w:tabs>
          <w:tab w:leader="none" w:pos="70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use Commercially Reasonable Efforts at its own cost and expense (i) to Develop a Licensed Product and to seek Regulatory Approval for such Licensed Product for use in humans in each of the Major Markets, (ii) Manufacture or have Manufactured Licensed Compound and Licensed Product for use in the Development and Commercialization thereof, and (iii) to Commercialize a Licensed Product for use in humans in each of the Major Markets. AstraZeneca shall perform, or cause its Affiliates or Third Party contractors to perform, its responsibilities under this Agreement, and Ardelyx shall perform, or cause its Affiliates or Third Party contractors to perform the Assigned Activities, in each case, in compliance with this Agreement, all Applicable Laws, applicable FDA (or foreign equivalent) requirements, including, without limitation, then-current GLP, GCP and GMP. For the avoidance of doubt, AstraZeneca shall not be obligated to obtain Regulatory Approvals for, or Commercialize, more than one Licensed Product for use in humans in any Major Market. Further, Ardelyx acknowledges and agrees that nothing in this Section 4.4 is intended, or shall be construed, to require AstraZeneca to Develop or Commercialize a specific Licensed Product. In the event that AstraZeneca decides to discontinue the Development or Commercialization of a</w:t>
      </w:r>
    </w:p>
    <w:p>
      <w:pPr>
        <w:spacing w:after="0" w:line="117"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66" w:right="239" w:bottom="1440" w:gutter="0" w:footer="0" w:header="0"/>
        </w:sectPr>
      </w:pPr>
    </w:p>
    <w:bookmarkStart w:id="232" w:name="page233"/>
    <w:bookmarkEnd w:id="232"/>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Product in favor of another Licensed Product, its obligations under this Section 4.4 shall cease with respect to such initial Licensed Product in favor of such other Licensed Product. AstraZeneca shall have no other obligation, express or implied, to Exploit the Licensed Products.</w:t>
      </w:r>
    </w:p>
    <w:p>
      <w:pPr>
        <w:spacing w:after="0" w:line="162" w:lineRule="exact"/>
        <w:rPr>
          <w:sz w:val="20"/>
          <w:szCs w:val="20"/>
          <w:color w:val="auto"/>
        </w:rPr>
      </w:pPr>
    </w:p>
    <w:p>
      <w:pPr>
        <w:ind w:right="280" w:firstLine="464"/>
        <w:spacing w:after="0" w:line="266" w:lineRule="auto"/>
        <w:tabs>
          <w:tab w:leader="none" w:pos="7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at any time believes that AstraZeneca may be in material breach of its obligations under Section 4.4(a), then Ardelyx may exercise its rights under Section 16.2(a) or proceed directly to exercise its rights under Section 14.2(a) (subject to the provisions set forth therein), at Ardelyx’s sole discretion.</w:t>
      </w:r>
    </w:p>
    <w:p>
      <w:pPr>
        <w:spacing w:after="0" w:line="172"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4.5 Reports of Development Activities</w:t>
      </w:r>
      <w:r>
        <w:rPr>
          <w:rFonts w:ascii="Times New Roman" w:cs="Times New Roman" w:eastAsia="Times New Roman" w:hAnsi="Times New Roman"/>
          <w:sz w:val="18"/>
          <w:szCs w:val="18"/>
          <w:color w:val="auto"/>
        </w:rPr>
        <w:t>. During the period that the DCC is in effect, each Party will report on the Development activities,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undertaken by it in accordance with the Development Plan at each meeting of the DCC or at such other intervals as may be set forth in the Development Plan. After the DCC is disbanded, AstraZeneca shall continue to provide Ardelyx (i) on a semiannual basis with a written report of its Development activities, and</w:t>
      </w:r>
    </w:p>
    <w:p>
      <w:pPr>
        <w:ind w:right="100" w:firstLine="8"/>
        <w:spacing w:after="0" w:line="253" w:lineRule="auto"/>
        <w:tabs>
          <w:tab w:leader="none" w:pos="26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Clinical Trial final report within ten (10) days after each such Clinical Trial report is finalized. Whether provided during the period the DCC is in effect, or thereafter, the Development reports shall include a reasonably detailed summary of all results, data and material inventions, if any, obtained from such Development activities. In addition, each Party will, at its own expense, make appropriate scientific and regulatory personnel available to the other Party, either by telephone or in person as the Parties may mutually agree, as reasonably required to keep the other Party informed of Development activities conducted by such Party.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4.6 Regulatory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4" w:lineRule="auto"/>
        <w:tabs>
          <w:tab w:leader="none" w:pos="70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transfer of an IND to AstraZeneca pursuant to Section 2.13, AstraZeneca shall be solely responsible for all regulatory filings and communications with each Regulatory Health Authority with respect to that IND, and AstraZeneca shall be solely responsible for any and all subsequent filings and communications with the Regulatory Health Authority including, without limitation, for the preparation and filing of all additional INDs (except in relation to such IND(s) as are retained by Ardelyx pursuant to Section 2.13) and for providing, in the format required by Regulatory Health Authorities, the data and information required to be submitted to such Regulatory Health Authorities for Regulatory Approval of Licensed Products, including without limitation data from all Clinical Trials and all Manufacturing and controls information required for Regulatory Approval of such Licensed Product by the Regulatory Health Authorities. AstraZeneca shall, subject to the conditions and within the limitations set forth in Section 4.4(a), use Commercially Reasonable Efforts to obtain Regulatory Approval for Licensed Products in (i) the Major Markets, and (ii) in any other countries where AstraZeneca determines at its sole discretion that it is commercially viable to do so.</w:t>
      </w:r>
    </w:p>
    <w:p>
      <w:pPr>
        <w:spacing w:after="0" w:line="189" w:lineRule="exact"/>
        <w:rPr>
          <w:rFonts w:ascii="Times New Roman" w:cs="Times New Roman" w:eastAsia="Times New Roman" w:hAnsi="Times New Roman"/>
          <w:sz w:val="18"/>
          <w:szCs w:val="18"/>
          <w:color w:val="auto"/>
        </w:rPr>
      </w:pPr>
    </w:p>
    <w:p>
      <w:pPr>
        <w:ind w:right="180" w:firstLine="464"/>
        <w:spacing w:after="0" w:line="266" w:lineRule="auto"/>
        <w:tabs>
          <w:tab w:leader="none" w:pos="71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whether through the DCC while such committee is in effect, or by providing Information and Materials directly to Ardelyx after the DCC has been disbanded, AstraZeneca shall report to Ardelyx regarding the status of each pending or proposed IND application or Drug Approval Application covering a Licensed Product in the Territory.</w:t>
      </w:r>
    </w:p>
    <w:p>
      <w:pPr>
        <w:spacing w:after="0" w:line="176" w:lineRule="exact"/>
        <w:rPr>
          <w:rFonts w:ascii="Times New Roman" w:cs="Times New Roman" w:eastAsia="Times New Roman" w:hAnsi="Times New Roman"/>
          <w:sz w:val="18"/>
          <w:szCs w:val="18"/>
          <w:color w:val="auto"/>
        </w:rPr>
      </w:pPr>
    </w:p>
    <w:p>
      <w:pPr>
        <w:ind w:right="400" w:firstLine="464"/>
        <w:spacing w:after="0" w:line="282" w:lineRule="auto"/>
        <w:tabs>
          <w:tab w:leader="none" w:pos="70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has exercised the Co-Promote Option (as described in Section 7.1 below) the following shall apply: AstraZeneca shall keep Ardelyx informed on an ongoing basis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0" w:right="239" w:bottom="1440" w:gutter="0" w:footer="0" w:header="0"/>
        </w:sectPr>
      </w:pPr>
    </w:p>
    <w:bookmarkStart w:id="233" w:name="page234"/>
    <w:bookmarkEnd w:id="23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regarding the schedule and process for the preparation of the Drug Approval Application in respect of the relevant Co-Promote Product in the U.S. Territory, provide final (or close to final) drafts of those sections of the Drug Approval Application requested by Ardelyx, and permit Ardelyx to review and comment on sections of such drafts in parallel with AstraZeneca’s review process and in compliance with the timelines AstraZeneca has stipulated for its internal purposes, and AstraZeneca shall use reasonable efforts to incorporate Ardelyx’s comments therein. Notwithstanding the aforesaid, if the Parties are unable to achieve a consensus regarding any comments made or changes proposed by Ardelyx, AstraZeneca shall make the final determination as to whether and when to file the Drug Approval Application as well as the form and content thereof. The purpose of such foregoing interactions shall be to identify and resolve any potential reasonable concerns of Ardelyx in advance of the proposed filing of such Drug Approval Applications (and in particular the initial Drug Approval Application) in the U.S. Territory. Following the filing of the initial Drug Approval Application in the U.S. Territory, AstraZeneca shall continue to work with Ardelyx in the manner outlined above in this Section 4.6(c) in connection with any subsequent Drug Approval Applications in the U.S. Territory for the Co-Promote Product in respect of which Ardelyx has exercised the Co-Promote Option, and AstraZeneca shall provide Ardelyx with a copy in electronic form of all filings to Regulatory Health Authorities in the U.S. Territory that it makes hereunder in connection with such foregoing Drug Approval Applications. AstraZeneca shall further promptly furnish Ardelyx with copies of all material correspondence or minutes from any material meetings with any Regulatory Health Authority, in each case relating to any such Drug Approval Application in the U.S. Territory.</w:t>
      </w:r>
    </w:p>
    <w:p>
      <w:pPr>
        <w:spacing w:after="0" w:line="189" w:lineRule="exact"/>
        <w:rPr>
          <w:sz w:val="20"/>
          <w:szCs w:val="20"/>
          <w:color w:val="auto"/>
        </w:rPr>
      </w:pPr>
    </w:p>
    <w:p>
      <w:pPr>
        <w:ind w:firstLine="464"/>
        <w:spacing w:after="0" w:line="255" w:lineRule="auto"/>
        <w:tabs>
          <w:tab w:leader="none" w:pos="71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when the DCC is in effect, AstraZeneca shall notify Ardelyx of any request for [***] and AstraZeneca shall allow [***]. The foregoing shall apply with respect to [***]. AstraZeneca shall as soon as reasonably practicable furnish Ardelyx with copies of all substantive correspondence AstraZeneca has had with any Regulatory Health Authority, and contact reports concerning substantive conversations or substantive meetings with any Regulatory Health Authority, in each case relating to any such IND or Drug Approval Application. As from the date when the DCC is disbanded, Ardelyx’s rights hereunder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Ardelyx has exercised the Co-Promote Option, then during the period when the SCC is in effect, Ardelyx shall have the rights set out in this subsection (d) but such rights shall (i) be limited to the U.S. Territory and the Co-Promote Product and (ii) further be limited such that Ardelyx may participate as an observer in any meeting or conference call as set forth above only to the extent invited to do so by AstraZeneca.</w:t>
      </w:r>
    </w:p>
    <w:p>
      <w:pPr>
        <w:spacing w:after="0" w:line="185" w:lineRule="exact"/>
        <w:rPr>
          <w:rFonts w:ascii="Times New Roman" w:cs="Times New Roman" w:eastAsia="Times New Roman" w:hAnsi="Times New Roman"/>
          <w:sz w:val="18"/>
          <w:szCs w:val="18"/>
          <w:color w:val="auto"/>
        </w:rPr>
      </w:pPr>
    </w:p>
    <w:p>
      <w:pPr>
        <w:ind w:right="220" w:firstLine="464"/>
        <w:spacing w:after="0" w:line="261" w:lineRule="auto"/>
        <w:tabs>
          <w:tab w:leader="none" w:pos="70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notify AstraZeneca of any request for a meeting or substantive telephone conference call with any Regulatory Health Authority relating to any IND or IND equivalent for which Ardelyx is the sponsor and Ardelyx shall allow one (1) representative of AstraZeneca to participate as an observer in any such meeting or conference call. The foregoing shall apply with respect to meetings or conferences initiated by Ardelyx or by a Regulatory Health Authority.</w:t>
      </w:r>
    </w:p>
    <w:p>
      <w:pPr>
        <w:spacing w:after="0" w:line="108"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0" w:right="259" w:bottom="1440" w:gutter="0" w:footer="0" w:header="0"/>
        </w:sectPr>
      </w:pPr>
    </w:p>
    <w:bookmarkStart w:id="234" w:name="page235"/>
    <w:bookmarkEnd w:id="234"/>
    <w:p>
      <w:pPr>
        <w:ind w:right="420" w:firstLine="464"/>
        <w:spacing w:after="0" w:line="266" w:lineRule="auto"/>
        <w:tabs>
          <w:tab w:leader="none" w:pos="6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Ardelyx has exercised the Co-Promote Option, and any Regulatory Health Authority threatens or initiates any action to remove a Licensed Product (in respect of which the Co-Promote Option has been exercised) from the market in the U.S. Territory, AstraZeneca shall notify Ardelyx of such communication within [***] of receipt by AstraZeneca.</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4.7 Adverse Event Reporting and Product Recall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464"/>
        <w:spacing w:after="0" w:line="256" w:lineRule="auto"/>
        <w:tabs>
          <w:tab w:leader="none" w:pos="70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provide the other Party with the necessary safety information required by Regulatory Health Authorities to comply with Applicable Laws. AstraZeneca will hold the safety database for the Licensed Compounds and the Licensed Products and Ardelyx will provide safety information as required by Applicable Laws, in a timely manner. As promptly as possible following the Effective Date and in any event prior to the initiation of the Initial Studies, the IBS-C Study or any other Clinical Trial to be performed by Ardelyx under this Agreement, the Parties will enter into a detailed safety agreement (the “</w:t>
      </w:r>
      <w:r>
        <w:rPr>
          <w:rFonts w:ascii="Times New Roman" w:cs="Times New Roman" w:eastAsia="Times New Roman" w:hAnsi="Times New Roman"/>
          <w:sz w:val="18"/>
          <w:szCs w:val="18"/>
          <w:b w:val="1"/>
          <w:bCs w:val="1"/>
          <w:color w:val="auto"/>
        </w:rPr>
        <w:t>Safety Agreement</w:t>
      </w:r>
      <w:r>
        <w:rPr>
          <w:rFonts w:ascii="Times New Roman" w:cs="Times New Roman" w:eastAsia="Times New Roman" w:hAnsi="Times New Roman"/>
          <w:sz w:val="18"/>
          <w:szCs w:val="18"/>
          <w:color w:val="auto"/>
        </w:rPr>
        <w:t>”), governing, among other things, appropriate adverse event reporting procedures relating to Licensed Products and reflecting the provisions set forth above in this Section 4.7(a).</w:t>
      </w:r>
    </w:p>
    <w:p>
      <w:pPr>
        <w:spacing w:after="0" w:line="187"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government agency or authority issues or requests a recall or takes similar action in connection with the Licensed Compounds or the Licensed Products, or in the event either Party determines that an event, incident or circumstance has occurred that may result in the need for a recall or market withdrawal, the Party notified of or desiring such recall or market withdrawal shall promptly advise the other Party thereof. Following notification of a recall, AstraZeneca shall have the right to decide whether to conduct a recall or market withdrawal (except in the case of a government-mandated recall) in the Territory and shall have control of the manner in which any such recall or market withdrawal shall be conducted. AstraZeneca shall bear the expenses of any recall of a Licensed Product.</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4.8 Additional Assigned Activity Expenses</w:t>
      </w:r>
      <w:r>
        <w:rPr>
          <w:rFonts w:ascii="Times New Roman" w:cs="Times New Roman" w:eastAsia="Times New Roman" w:hAnsi="Times New Roman"/>
          <w:sz w:val="18"/>
          <w:szCs w:val="18"/>
          <w:color w:val="auto"/>
        </w:rPr>
        <w:t>. With respect to any Additional Assigned Activities assigned to Ardelyx by the DCC to which Ardelyx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consented, AstraZeneca shall reimburse Ardelyx for all Additional Assigned Activity Expenses incurred by Ardelyx that are consistent with and within the limits of the budget approved by the DCC for such Additional Assigned Activities. Ardelyx shall submit invoices for amounts to be reimbursed to AstraZeneca at the beginning of each Calendar Quarter, which invoices shall detail the Additional Assigned Activity Expenses incurred by Ardelyx during the previous Calendar Quarter in which Ardelyx performs Additional Assigned Activities. Ardelyx may, in its sole discretion, elect to submit invoices to AstraZeneca on a monthly basis rather than on a Calendar Quarter basis (in which case, such invoices shall be submitted to AstraZeneca at the beginning of each calendar month and shall detail the Additional Assigned Activity Expenses incurred by Ardelyx during the previous calendar month). AstraZeneca shall pay each invoice fulfilling the requirements set out in Section 9.12 within forty-five (45) days of its receipt thereof, regardless of whether such invoices have been submitted on a Calendar Quarter or monthly basis.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4.9 General Provisions Regarding Commercialization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464"/>
        <w:spacing w:after="0" w:line="282" w:lineRule="auto"/>
        <w:tabs>
          <w:tab w:leader="none" w:pos="70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will control and perform, itself or through its Affiliates, Sublicensees or Distributors, the Commercialization of all Licensed Products throughout the Territory and, as a result, shall, subject to the conditions and within the limitations set forth in Section 4.4 (a), be</w:t>
      </w:r>
    </w:p>
    <w:p>
      <w:pPr>
        <w:spacing w:after="0" w:line="89"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0" w:right="239" w:bottom="1440" w:gutter="0" w:footer="0" w:header="0"/>
        </w:sectPr>
      </w:pPr>
    </w:p>
    <w:bookmarkStart w:id="235" w:name="page236"/>
    <w:bookmarkEnd w:id="2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obligated and responsible for using Commercially Reasonable Efforts to carry out Commercialization activities pursuant to each Commercialization Plan. For the avoidance of doubt AstraZeneca (or, as the case may be, its Affiliates or Sublicensees) shall book all of their sales of each Licensed Product, coordinate the Manufacture and supply of all Licensed Products required for Commercialization, invoice Third Parties (including Distributors) that purchase Licensed Products from AstraZeneca (or its Affiliates or Sublicensees), and collect payment for all Licensed Products sold by AstraZeneca (or its Affiliates or Sublicensees). Except to the extent otherwise described in this Agreement, AstraZeneca will be solely responsible for, and will bear all costs relating to, the Commercialization of the Licensed Products in the Territory.</w:t>
      </w:r>
    </w:p>
    <w:p>
      <w:pPr>
        <w:spacing w:after="0" w:line="188" w:lineRule="exact"/>
        <w:rPr>
          <w:sz w:val="20"/>
          <w:szCs w:val="20"/>
          <w:color w:val="auto"/>
        </w:rPr>
      </w:pPr>
    </w:p>
    <w:p>
      <w:pPr>
        <w:ind w:right="20" w:firstLine="464"/>
        <w:spacing w:after="0" w:line="254" w:lineRule="auto"/>
        <w:tabs>
          <w:tab w:leader="none" w:pos="71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Commercialization of Licensed Products (other than with respect to a Co-Promote Product in the U.S. Territory), (i) such Commercialization shall be conducted independently of Ardelyx by AstraZeneca, its Affiliates and Sublicenses, (ii) AstraZeneca shall provide to Ardelyx summaries of its overall plans for Commercialization and launch of Licensed Products (each a “</w:t>
      </w:r>
      <w:r>
        <w:rPr>
          <w:rFonts w:ascii="Times New Roman" w:cs="Times New Roman" w:eastAsia="Times New Roman" w:hAnsi="Times New Roman"/>
          <w:sz w:val="18"/>
          <w:szCs w:val="18"/>
          <w:b w:val="1"/>
          <w:bCs w:val="1"/>
          <w:color w:val="auto"/>
        </w:rPr>
        <w:t>Commercialization Plan</w:t>
      </w:r>
      <w:r>
        <w:rPr>
          <w:rFonts w:ascii="Times New Roman" w:cs="Times New Roman" w:eastAsia="Times New Roman" w:hAnsi="Times New Roman"/>
          <w:sz w:val="18"/>
          <w:szCs w:val="18"/>
          <w:color w:val="auto"/>
        </w:rPr>
        <w:t>”), and (iii) subject to the immediately following sentence, on an annual basis, AstraZeneca shall provide to Ardelyx a Commercialization Plan specifying AstraZeneca’s plan for conducting Commercialization activities with respect to Licensed Products, which plan shall include at a minimum those activities to be conducted in the Major Countries, and a report of the current status of such Commercialization activities. AstraZeneca shall use Commercially Reasonable Efforts to provide the first Commercialization Plan described in Section 4.9(b)(iii) as soon as reasonably practicable following the Filing of the first Drug Approval Application for a Licensed Product in the Territory, and shall, in any event, provide such first Commercialization Plan to Ardelyx no later than six (6) months after the Filing of the first Drug Approval Application for a Licensed Product in the Territory.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INITIAL STUDIES AND IBS-C STUDY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5.1 The Initial Studies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64"/>
        <w:spacing w:after="0" w:line="266" w:lineRule="auto"/>
        <w:tabs>
          <w:tab w:leader="none" w:pos="7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to prepare as promptly as possible after the Effective Date all filings and other actions required by Applicable Laws to be made and taken in order to commence and conduct the Initial Studies. All such filings and actions shall be approved in advance by the DCC and be made and taken by or on behalf of AstraZeneca.</w:t>
      </w:r>
    </w:p>
    <w:p>
      <w:pPr>
        <w:spacing w:after="0" w:line="176" w:lineRule="exact"/>
        <w:rPr>
          <w:rFonts w:ascii="Times New Roman" w:cs="Times New Roman" w:eastAsia="Times New Roman" w:hAnsi="Times New Roman"/>
          <w:sz w:val="18"/>
          <w:szCs w:val="18"/>
          <w:color w:val="auto"/>
        </w:rPr>
      </w:pPr>
    </w:p>
    <w:p>
      <w:pPr>
        <w:jc w:val="both"/>
        <w:ind w:right="220" w:firstLine="464"/>
        <w:spacing w:after="0" w:line="266" w:lineRule="auto"/>
        <w:tabs>
          <w:tab w:leader="none" w:pos="71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Ardelyx undertakes to perform the Initial Studies on behalf of AstraZeneca. The Parties agree that AstraZeneca shall be the sponsor of the Initial Studies after the transfer of the INDs to AstraZeneca pursuant to Section 2.13, but shall delegate its obligations as a study sponsor (excluding such sponsor obligations as AstraZeneca may elect to retain) to Ardelyx as set forth more in detail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200" w:firstLine="464"/>
        <w:spacing w:after="0" w:line="261" w:lineRule="auto"/>
        <w:tabs>
          <w:tab w:leader="none" w:pos="7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DCC shall establish a procedure under which Ardelyx shall obtain from the DCC prior approval of the Principal Investigators and study sites proposed to be used in connection with an Initial Study as well as of any contractual arrangements to be entered into with such sites and Principal Investigators for the purpose of the Initial Studies. In addition, Ardelyx shall seek and obtain prior approval from the DCC for the use of any contractors, including contract research organizations, it engages to perform Development activities on its behalf who are not named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270" w:right="279" w:bottom="1440" w:gutter="0" w:footer="0" w:header="0"/>
        </w:sectPr>
      </w:pPr>
    </w:p>
    <w:bookmarkStart w:id="236" w:name="page237"/>
    <w:bookmarkEnd w:id="236"/>
    <w:p>
      <w:pPr>
        <w:ind w:left="-8" w:right="60" w:firstLine="464"/>
        <w:spacing w:after="0" w:line="254" w:lineRule="auto"/>
        <w:tabs>
          <w:tab w:leader="none" w:pos="70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Ardelyx shall conduct each of the Initial Studies in compliance with Applicable Laws including GCP and in accordance with this Agreement, including the provisions set forth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Initial Development Plan, the relevant protocol (as prepared by Ardelyx in consultation with AstraZeneca and approved by the DCC), and the Investigator’s Brochure, as each may be duly amended from time to time by the DCC. Ardelyx shall further (i) use Commercially Reasonable Efforts to Complete the Initial Studies in accordance with the Initial Development Plan, (ii) cause the relevant Principal Investigators, relevant study sites and any contractors involved in the performance of the Initial Studies to conduct the respective Initial Study in accordance with this Agreement, including the provisions set out in this Section 5.1 and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and (iii) be responsible for the provision of such GMP quantities of the Lead Licensed Product as are specified in the protocols for the Initial Studies or otherwise required for the conduct of the respective Initial Study and in compliance with its undertakings pursuant to Article 8. Ardelyx shall, and shall cause the relevant Principal Investigators, relevant study sites and any contractors involved in the performance of the Initial Studies to, comply with all safety reporting procedures set forth in the Safety Agreement in connection with its performance of the Initial Studies.</w:t>
      </w:r>
    </w:p>
    <w:p>
      <w:pPr>
        <w:spacing w:after="0" w:line="186" w:lineRule="exact"/>
        <w:rPr>
          <w:rFonts w:ascii="Times New Roman" w:cs="Times New Roman" w:eastAsia="Times New Roman" w:hAnsi="Times New Roman"/>
          <w:sz w:val="18"/>
          <w:szCs w:val="18"/>
          <w:color w:val="auto"/>
        </w:rPr>
      </w:pPr>
    </w:p>
    <w:p>
      <w:pPr>
        <w:ind w:left="-8" w:firstLine="464"/>
        <w:spacing w:after="0" w:line="266" w:lineRule="auto"/>
        <w:tabs>
          <w:tab w:leader="none" w:pos="69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ensure that the first patient in the ESRD Study is enrolled as set forth in the Initial Development Plan as soon as reasonably practicable after the Effective Date, but in no event later than [***] after the Effective Date, and that the first patient in the CKD Study is enrolled as set forth in the Initial Development Plan, but no later than [***] after the Effective Date.</w:t>
      </w:r>
    </w:p>
    <w:p>
      <w:pPr>
        <w:spacing w:after="0" w:line="176" w:lineRule="exact"/>
        <w:rPr>
          <w:rFonts w:ascii="Times New Roman" w:cs="Times New Roman" w:eastAsia="Times New Roman" w:hAnsi="Times New Roman"/>
          <w:sz w:val="18"/>
          <w:szCs w:val="18"/>
          <w:color w:val="auto"/>
        </w:rPr>
      </w:pPr>
    </w:p>
    <w:p>
      <w:pPr>
        <w:ind w:left="-8" w:right="160" w:firstLine="464"/>
        <w:spacing w:after="0" w:line="282" w:lineRule="auto"/>
        <w:tabs>
          <w:tab w:leader="none" w:pos="67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Ardelyx undertakes to perform or cause to be performed the Initial Studies according to this Agreement but makes no representations or warranties as to any particular outcome of the Initial Studies.</w:t>
      </w:r>
    </w:p>
    <w:p>
      <w:pPr>
        <w:spacing w:after="0" w:line="161" w:lineRule="exact"/>
        <w:rPr>
          <w:rFonts w:ascii="Times New Roman" w:cs="Times New Roman" w:eastAsia="Times New Roman" w:hAnsi="Times New Roman"/>
          <w:sz w:val="18"/>
          <w:szCs w:val="18"/>
          <w:color w:val="auto"/>
        </w:rPr>
      </w:pPr>
    </w:p>
    <w:p>
      <w:pPr>
        <w:ind w:left="-8" w:right="20" w:firstLine="464"/>
        <w:spacing w:after="0" w:line="255" w:lineRule="auto"/>
        <w:tabs>
          <w:tab w:leader="none" w:pos="70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and AstraZeneca shall take part in and collaborate to perform the review process of the draft Clinical Study report from each of the Initial Studies (to be coordinated by the JPT). Moreover, Ardelyx shall provide AstraZeneca with (i) access, upon AstraZeneca’s request, to all raw data and individual datasets obtained in each of the Initial Studies as from such time when such data becomes available to Ardelyx; (ii) the study results – as outlined in the relevant Statistical Analysis Plan – from each of the Initial Studies within [***] after database lock of the respective Initial Study; and (iii) the relevant final report within [***] after database lock of the respective Initial Study. For the purpose of this Agreement “</w:t>
      </w:r>
      <w:r>
        <w:rPr>
          <w:rFonts w:ascii="Times New Roman" w:cs="Times New Roman" w:eastAsia="Times New Roman" w:hAnsi="Times New Roman"/>
          <w:sz w:val="18"/>
          <w:szCs w:val="18"/>
          <w:b w:val="1"/>
          <w:bCs w:val="1"/>
          <w:color w:val="auto"/>
        </w:rPr>
        <w:t>Statistical Analysis Plan</w:t>
      </w:r>
      <w:r>
        <w:rPr>
          <w:rFonts w:ascii="Times New Roman" w:cs="Times New Roman" w:eastAsia="Times New Roman" w:hAnsi="Times New Roman"/>
          <w:sz w:val="18"/>
          <w:szCs w:val="18"/>
          <w:color w:val="auto"/>
        </w:rPr>
        <w:t>” shall mean a document that is prepared for the purpose of a Clinical Trial, that is approved by the DCC and that pre-specifies the statistical analyses to be performed (statistical methods, endpoint definitions, analysis sets and principles for the handling of missing data) and how the results from the relevant Clinical Trial will be presented.</w:t>
      </w:r>
    </w:p>
    <w:p>
      <w:pPr>
        <w:spacing w:after="0" w:line="113" w:lineRule="exact"/>
        <w:rPr>
          <w:rFonts w:ascii="Times New Roman" w:cs="Times New Roman" w:eastAsia="Times New Roman" w:hAnsi="Times New Roman"/>
          <w:sz w:val="18"/>
          <w:szCs w:val="18"/>
          <w:color w:val="auto"/>
        </w:rPr>
      </w:pPr>
    </w:p>
    <w:p>
      <w:pPr>
        <w:ind w:left="-8" w:right="360" w:firstLine="8"/>
        <w:spacing w:after="0" w:line="262" w:lineRule="auto"/>
        <w:tabs>
          <w:tab w:leader="none" w:pos="34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32"/>
          </w:cols>
          <w:pgMar w:left="248" w:top="270" w:right="319" w:bottom="1440" w:gutter="0" w:footer="0" w:header="0"/>
        </w:sectPr>
      </w:pPr>
    </w:p>
    <w:bookmarkStart w:id="237" w:name="page238"/>
    <w:bookmarkEnd w:id="237"/>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 AstraZeneca’s Options upon Completion of Initial Studies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92" w:hanging="236"/>
        <w:spacing w:after="0"/>
        <w:tabs>
          <w:tab w:leader="none" w:pos="69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may, at its sole discretion, at any time during the period [***] (the “</w:t>
      </w:r>
      <w:r>
        <w:rPr>
          <w:rFonts w:ascii="Times New Roman" w:cs="Times New Roman" w:eastAsia="Times New Roman" w:hAnsi="Times New Roman"/>
          <w:sz w:val="18"/>
          <w:szCs w:val="18"/>
          <w:b w:val="1"/>
          <w:bCs w:val="1"/>
          <w:color w:val="auto"/>
        </w:rPr>
        <w:t>Notification Period</w:t>
      </w:r>
      <w:r>
        <w:rPr>
          <w:rFonts w:ascii="Times New Roman" w:cs="Times New Roman" w:eastAsia="Times New Roman" w:hAnsi="Times New Roman"/>
          <w:sz w:val="18"/>
          <w:szCs w:val="18"/>
          <w:color w:val="auto"/>
        </w:rPr>
        <w:t>”), either</w:t>
      </w:r>
    </w:p>
    <w:p>
      <w:pPr>
        <w:spacing w:after="0" w:line="121" w:lineRule="exact"/>
        <w:rPr>
          <w:rFonts w:ascii="Times New Roman" w:cs="Times New Roman" w:eastAsia="Times New Roman" w:hAnsi="Times New Roman"/>
          <w:sz w:val="18"/>
          <w:szCs w:val="18"/>
          <w:color w:val="auto"/>
        </w:rPr>
      </w:pPr>
    </w:p>
    <w:p>
      <w:pPr>
        <w:ind w:left="452" w:right="60" w:firstLine="443"/>
        <w:spacing w:after="0" w:line="257" w:lineRule="auto"/>
        <w:tabs>
          <w:tab w:leader="none" w:pos="1105"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in its entirety effective thirty (30) days after having provided written notice of termination to Ardelyx, which termination shall be an AZ Triggered Termination subject to the provisions of Section 14.3. Notwithstanding the termination of the Agreement under this Section 5.2(a)(i), or any other termination at will under Section 14.2(b) that occurs prior to AstraZeneca’s notification to Ardelyx under subsection</w:t>
      </w:r>
    </w:p>
    <w:p>
      <w:pPr>
        <w:spacing w:after="0" w:line="1" w:lineRule="exact"/>
        <w:rPr>
          <w:rFonts w:ascii="Times New Roman" w:cs="Times New Roman" w:eastAsia="Times New Roman" w:hAnsi="Times New Roman"/>
          <w:sz w:val="18"/>
          <w:szCs w:val="18"/>
          <w:color w:val="auto"/>
        </w:rPr>
      </w:pPr>
    </w:p>
    <w:p>
      <w:pPr>
        <w:ind w:left="452" w:right="120" w:firstLine="4"/>
        <w:spacing w:after="0" w:line="261" w:lineRule="auto"/>
        <w:tabs>
          <w:tab w:leader="none" w:pos="71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below AstraZeneca shall remain obligated to reimburse Ardelyx for its Development Expenses incurred in connection with its performance of the IBS-C Study, whether incurred prior to or on or after the effective date of such termination, up to a maximum amount of [***]; or</w:t>
      </w:r>
    </w:p>
    <w:p>
      <w:pPr>
        <w:spacing w:after="0" w:line="71" w:lineRule="exact"/>
        <w:rPr>
          <w:rFonts w:ascii="Times New Roman" w:cs="Times New Roman" w:eastAsia="Times New Roman" w:hAnsi="Times New Roman"/>
          <w:sz w:val="18"/>
          <w:szCs w:val="18"/>
          <w:color w:val="auto"/>
        </w:rPr>
      </w:pPr>
    </w:p>
    <w:p>
      <w:pPr>
        <w:jc w:val="both"/>
        <w:ind w:left="452" w:firstLine="443"/>
        <w:spacing w:after="0" w:line="261" w:lineRule="auto"/>
        <w:tabs>
          <w:tab w:leader="none" w:pos="1155"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Ardelyx in writing of AstraZeneca’s intention to pursue the Development of a Licensed Product for one or more indication(s) that are not Constipation Related Disorder Indications (whether or not it also intends to pursue Development of a Licensed Product for a Constipation Related Disorder Indication), in which case AstraZeneca shall pay the amount set forth in Section 9.2(a), this Agreement shall remain in effect and AstraZeneca shall thus retain the rights and licenses granted to it hereunder; or</w:t>
      </w:r>
    </w:p>
    <w:p>
      <w:pPr>
        <w:spacing w:after="0" w:line="71" w:lineRule="exact"/>
        <w:rPr>
          <w:rFonts w:ascii="Times New Roman" w:cs="Times New Roman" w:eastAsia="Times New Roman" w:hAnsi="Times New Roman"/>
          <w:sz w:val="18"/>
          <w:szCs w:val="18"/>
          <w:color w:val="auto"/>
        </w:rPr>
      </w:pPr>
    </w:p>
    <w:p>
      <w:pPr>
        <w:ind w:left="1212" w:hanging="317"/>
        <w:spacing w:after="0"/>
        <w:tabs>
          <w:tab w:leader="none" w:pos="1212"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Ardelyx in writing that AstraZeneca, for the time being, wishes to pursue the Development of a Licensed Product only for a</w:t>
      </w:r>
    </w:p>
    <w:p>
      <w:pPr>
        <w:spacing w:after="0" w:line="27" w:lineRule="exact"/>
        <w:rPr>
          <w:rFonts w:ascii="Times New Roman" w:cs="Times New Roman" w:eastAsia="Times New Roman" w:hAnsi="Times New Roman"/>
          <w:sz w:val="18"/>
          <w:szCs w:val="18"/>
          <w:color w:val="auto"/>
        </w:rPr>
      </w:pPr>
    </w:p>
    <w:p>
      <w:pPr>
        <w:ind w:left="4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Constipation Related Disorder Indication, in which case AstraZeneca shall pay the amount set forth in Section 9.2(b)(i), this Agreement shall remain in effect and AstraZeneca shall thus retain the rights and licenses granted to it hereunder, meaning that AstraZeneca may at any time elect to initiate Development for one or more indication(s) that are not Constipation Related Disorder Indications. If AstraZeneca makes such election it shall notify Ardelyx in writing no later than ten (10) days after making such election, with such notice specifying the date upon which AstraZeneca made such election, and if such election is made prior to the expiration of the time period set forth in Section 9.2(b)(ii), then AstraZeneca shall pay also the amount set forth therein to Ardelyx within the time frame set forth in Section 9.2(b)(ii).</w:t>
      </w:r>
    </w:p>
    <w:p>
      <w:pPr>
        <w:spacing w:after="0" w:line="190" w:lineRule="exact"/>
        <w:rPr>
          <w:rFonts w:ascii="Times New Roman" w:cs="Times New Roman" w:eastAsia="Times New Roman" w:hAnsi="Times New Roman"/>
          <w:sz w:val="18"/>
          <w:szCs w:val="18"/>
          <w:color w:val="auto"/>
        </w:rPr>
      </w:pPr>
    </w:p>
    <w:p>
      <w:pPr>
        <w:ind w:left="-8" w:right="40" w:firstLine="464"/>
        <w:spacing w:after="0" w:line="256" w:lineRule="auto"/>
        <w:tabs>
          <w:tab w:leader="none" w:pos="703"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fails to notify Ardelyx within the Notification Period as per subsection (i), (ii) or (iii) of Section 5.2(a), then this Agreement shall be deemed terminated by AstraZeneca in its entirety upon the expiry of the Notification Period, and the consequences set forth in subsection (i) of Section 5.2(a) shall apply. Furthermore and for the avoidance of doubt, if AstraZeneca makes the election set forth in Section 5.2(a)(ii) such that it will pursue indications for the Licensed Products that are not Constipation Related Disorder Indications, then Section 4.4 shall not be construed to require AstraZeneca to use Commercially Reasonable Efforts to pursue Development of Licensed Products for a Constipation Related Disorder Indication for so long as AstraZeneca pursues any indication that is not a Constipation Related Disorder Indication.</w:t>
      </w:r>
    </w:p>
    <w:p>
      <w:pPr>
        <w:spacing w:after="0" w:line="115" w:lineRule="exact"/>
        <w:rPr>
          <w:rFonts w:ascii="Times New Roman" w:cs="Times New Roman" w:eastAsia="Times New Roman" w:hAnsi="Times New Roman"/>
          <w:sz w:val="18"/>
          <w:szCs w:val="18"/>
          <w:color w:val="auto"/>
        </w:rPr>
      </w:pPr>
    </w:p>
    <w:p>
      <w:pPr>
        <w:ind w:left="-8" w:right="420" w:firstLine="8"/>
        <w:spacing w:after="0" w:line="262" w:lineRule="auto"/>
        <w:tabs>
          <w:tab w:leader="none" w:pos="34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92"/>
          </w:cols>
          <w:pgMar w:left="248" w:top="266" w:right="259"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The IBS-C Study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64"/>
        <w:spacing w:after="0" w:line="266" w:lineRule="auto"/>
        <w:tabs>
          <w:tab w:leader="none" w:pos="70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be the sponsor for and perform the IBS-C Study in compliance with Applicable Laws including GCP. The IBS-C Study will include a minimum of [***] with the Lead Licensed Product (subject to any extension which the DCC agrees should apply) and shall include at least one arm with [***].</w:t>
      </w:r>
    </w:p>
    <w:p>
      <w:pPr>
        <w:spacing w:after="0" w:line="176" w:lineRule="exact"/>
        <w:rPr>
          <w:rFonts w:ascii="Times New Roman" w:cs="Times New Roman" w:eastAsia="Times New Roman" w:hAnsi="Times New Roman"/>
          <w:sz w:val="18"/>
          <w:szCs w:val="18"/>
          <w:color w:val="auto"/>
        </w:rPr>
      </w:pPr>
    </w:p>
    <w:p>
      <w:pPr>
        <w:ind w:right="240" w:firstLine="464"/>
        <w:spacing w:after="0" w:line="258" w:lineRule="auto"/>
        <w:tabs>
          <w:tab w:leader="none" w:pos="71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Development Plan shall allocate the responsibility for conducting the IBS-C Study and all Development activities related thereto to Ardelyx. Ardelyx shall use Commercially Reasonable Efforts to complete the IBS-C Study in accordance with the Initial Development Plan, subject to the provisions of Section 8.1(c). Ardelyx shall further comply, and cause all contract research organizations, Principal Investigators or other Third Parties engaged in the performance of the IBS-C Study to comply, with all safety reporting procedures set forth in the Safety Agreement connection with its performance of the IBS-C Study.</w:t>
      </w:r>
    </w:p>
    <w:p>
      <w:pPr>
        <w:spacing w:after="0" w:line="183" w:lineRule="exact"/>
        <w:rPr>
          <w:rFonts w:ascii="Times New Roman" w:cs="Times New Roman" w:eastAsia="Times New Roman" w:hAnsi="Times New Roman"/>
          <w:sz w:val="18"/>
          <w:szCs w:val="18"/>
          <w:color w:val="auto"/>
        </w:rPr>
      </w:pPr>
    </w:p>
    <w:p>
      <w:pPr>
        <w:ind w:right="200" w:firstLine="464"/>
        <w:spacing w:after="0" w:line="282" w:lineRule="auto"/>
        <w:tabs>
          <w:tab w:leader="none" w:pos="70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set forth herein to the contrary, AstraZeneca’s obligation to reimburse Ardelyx’s Development Expenses related to the IBS-C Study under Section 4.3 shall be capped at a maximum of [***], which shall be reflected in the Development Budget.</w:t>
      </w:r>
    </w:p>
    <w:p>
      <w:pPr>
        <w:spacing w:after="0" w:line="161" w:lineRule="exact"/>
        <w:rPr>
          <w:rFonts w:ascii="Times New Roman" w:cs="Times New Roman" w:eastAsia="Times New Roman" w:hAnsi="Times New Roman"/>
          <w:sz w:val="18"/>
          <w:szCs w:val="18"/>
          <w:color w:val="auto"/>
        </w:rPr>
      </w:pPr>
    </w:p>
    <w:p>
      <w:pPr>
        <w:ind w:right="40" w:firstLine="464"/>
        <w:spacing w:after="0" w:line="261" w:lineRule="auto"/>
        <w:tabs>
          <w:tab w:leader="none" w:pos="711"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provide AstraZeneca with (i) drafts of all data obtained in the IBS-C Study upon Ardelyx’s receipt thereof from a contract research organization or such time when such drafts otherwise become available to Ardelyx; (ii) the study results – as outlined in the relevant Statistical Analysis Plan</w:t>
      </w:r>
    </w:p>
    <w:p>
      <w:pPr>
        <w:ind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from the IBS-C Study within [***] after database lock of the IBS-C Study; (iii) a draft of the study report from the IBS-C Study upon Ardelyx’s receipt of such draft from a contract research organization or such time when such draft otherwise becomes available to Ardelyx; and (iv) the relevant final report within [***] after database lock of the IBS-C Study.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CO-FUNDING OPTION</w:t>
      </w:r>
    </w:p>
    <w:p>
      <w:pPr>
        <w:spacing w:after="0" w:line="2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6.1 Co-Funding Option and Co-Funding Amount</w:t>
      </w:r>
      <w:r>
        <w:rPr>
          <w:rFonts w:ascii="Times New Roman" w:cs="Times New Roman" w:eastAsia="Times New Roman" w:hAnsi="Times New Roman"/>
          <w:sz w:val="18"/>
          <w:szCs w:val="18"/>
          <w:color w:val="auto"/>
        </w:rPr>
        <w:t>. Ardelyx has the right to elect to participate in the funding of the Phase 3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the first Licensed Product for the first indication for which such development is conducted, such funding to be provided by Ardelyx at one of the following funding levels: (i) twenty million U.S. dollars (U.S. $20 million); (ii) thirty million U.S. dollars (U.S. $30 million); or (iii) forty million U.S. dollars (U.S. $40 million) (the “</w:t>
      </w:r>
      <w:r>
        <w:rPr>
          <w:rFonts w:ascii="Times New Roman" w:cs="Times New Roman" w:eastAsia="Times New Roman" w:hAnsi="Times New Roman"/>
          <w:sz w:val="18"/>
          <w:szCs w:val="18"/>
          <w:b w:val="1"/>
          <w:bCs w:val="1"/>
          <w:color w:val="auto"/>
        </w:rPr>
        <w:t>Co-Funding Option</w:t>
      </w:r>
      <w:r>
        <w:rPr>
          <w:rFonts w:ascii="Times New Roman" w:cs="Times New Roman" w:eastAsia="Times New Roman" w:hAnsi="Times New Roman"/>
          <w:sz w:val="18"/>
          <w:szCs w:val="18"/>
          <w:color w:val="auto"/>
        </w:rPr>
        <w:t>”). Ardelyx may exercise this right by providing AstraZeneca with written notice of Ardelyx’s exercise of the Co-Funding Option (the “</w:t>
      </w:r>
      <w:r>
        <w:rPr>
          <w:rFonts w:ascii="Times New Roman" w:cs="Times New Roman" w:eastAsia="Times New Roman" w:hAnsi="Times New Roman"/>
          <w:sz w:val="18"/>
          <w:szCs w:val="18"/>
          <w:b w:val="1"/>
          <w:bCs w:val="1"/>
          <w:color w:val="auto"/>
        </w:rPr>
        <w:t>Co-Funding Exercise Notice</w:t>
      </w:r>
      <w:r>
        <w:rPr>
          <w:rFonts w:ascii="Times New Roman" w:cs="Times New Roman" w:eastAsia="Times New Roman" w:hAnsi="Times New Roman"/>
          <w:sz w:val="18"/>
          <w:szCs w:val="18"/>
          <w:color w:val="auto"/>
        </w:rPr>
        <w:t>”) within [***] after a decision by the DCC to proceed to Phase 3 Clinical Trial Development, and the Co-Funding Exercise Notice shall include the funding level (the “</w:t>
      </w:r>
      <w:r>
        <w:rPr>
          <w:rFonts w:ascii="Times New Roman" w:cs="Times New Roman" w:eastAsia="Times New Roman" w:hAnsi="Times New Roman"/>
          <w:sz w:val="18"/>
          <w:szCs w:val="18"/>
          <w:b w:val="1"/>
          <w:bCs w:val="1"/>
          <w:color w:val="auto"/>
        </w:rPr>
        <w:t>Co-Funding Amount</w:t>
      </w:r>
      <w:r>
        <w:rPr>
          <w:rFonts w:ascii="Times New Roman" w:cs="Times New Roman" w:eastAsia="Times New Roman" w:hAnsi="Times New Roman"/>
          <w:sz w:val="18"/>
          <w:szCs w:val="18"/>
          <w:color w:val="auto"/>
        </w:rPr>
        <w:t>”) to which Ardelyx is committed together with a description of how Ardelyx will fund its commitment (e.g. by use of available cash reserves or</w:t>
      </w:r>
    </w:p>
    <w:p>
      <w:pPr>
        <w:spacing w:after="0" w:line="115" w:lineRule="exact"/>
        <w:rPr>
          <w:sz w:val="20"/>
          <w:szCs w:val="20"/>
          <w:color w:val="auto"/>
        </w:rPr>
      </w:pPr>
    </w:p>
    <w:p>
      <w:pPr>
        <w:ind w:right="400" w:firstLine="8"/>
        <w:spacing w:after="0" w:line="262" w:lineRule="auto"/>
        <w:tabs>
          <w:tab w:leader="none" w:pos="348"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266" w:right="279" w:bottom="1440" w:gutter="0" w:footer="0" w:header="0"/>
        </w:sectPr>
      </w:pPr>
    </w:p>
    <w:bookmarkStart w:id="239" w:name="page240"/>
    <w:bookmarkEnd w:id="23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other means). Following Ardelyx’s exercise of the Co-Funding Option, Ardelyx shall be irrevocably committed to fund the amount of the Phase 3 Clinical Trial Development set forth in the Co-Funding Exercise Notice delivered to AstraZeneca and shall, subject to Section 6.2, after having provided the Co-Funding Amount be entitled to an increase of royalty rates pursuant to Section 9.5(d) for sales of the relevant Licensed Product for all indications. If Ardelyx does not exercise the Co-Funding Option within the time frame set forth in this Section 6.1, the Co-Funding Option and Ardelyx’s rights associated therewith shall terminate. Except as set forth in the last two sentences of this Section 6.1, the Co-Funding Option shall be exercisable [***] for which Phase 3 Clinical Trial Development is conducted. If AstraZeneca, prior to Completion of the Phase 3 Clinical Trial Development of the Licensed Product for the indication for which the Co-Funding Option has been exercised by Ardelyx, terminates such development, then Ardelyx shall have a [***] of a Licensed Product (regardless of whether such development is for a new indication for the first Licensed Product, or for a second Licensed Product). In such case, the provisions of this Article 6 shall apply to the [***] as they applied to [***] (meaning, among other things, that if Ardelyx wishes to exercise the [***] it shall provide AstraZeneca with a Co-Funding Exercise Notice within [***] after the decision by the DCC to initiate the next Phase 3 Clinical Trial Development, that Ardelyx shall specify in such notice the Co-Funding Amount, that Ardelyx shall be irrevocably obligated to fund such amount [***] and that the increase of royalty rates that Ardelyx shall be entitled to as a result of providing the Co-Funding Amount after having exercised the Co-Funding Option for the second time shall be those (and shall thus not exceed those) set forth in Section 9.5(d), subject to the provisions set forth therein and in Section 6.2).</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6.2 Payment of Co-Funding Amount</w:t>
      </w:r>
      <w:r>
        <w:rPr>
          <w:rFonts w:ascii="Times New Roman" w:cs="Times New Roman" w:eastAsia="Times New Roman" w:hAnsi="Times New Roman"/>
          <w:sz w:val="18"/>
          <w:szCs w:val="18"/>
          <w:color w:val="auto"/>
        </w:rPr>
        <w:t>. As soon as reasonably practicable following AstraZeneca’s receipt of the Co-Funding Exercise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shall, by reference to the Development Plan approved by the DCC, determine the length of time during which the Phase 3 Clinical Trial Development is anticipated to be conducted and execute a written payment schedule for Ardelyx’s payment of the Co-Funding Amount to AstraZeneca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which Payment Schedule shall reflect the following. Ardelyx shall pay the Co-Funding Amount ratably without interest over the anticipated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the Phase 3 Clinical Trial Development, on a quarterly basis within forty-five (45) days after the commencement of each Calendar Quarter during such period, and Ardelyx shall have the right to pay all or a portion of any quarterly payment in advance of the date it would otherwise be due. The first payment under the Payment Schedule shall be due within forty-five (45) days of the commencement of the first Calendar Quarter commencing after Ardelyx’s delivery of the Co-Funding Exercise Notice. In the event that the Phase 3 Clinical Trial Development extends beyond the expected time as set forth in the Development Plan, Ardelyx shall have no further obligations to make payments after it has fully paid the Co-Funding Amount. If the Phase 3 Clinical Trial Development is Completed prior to Ardelyx’s payment of the Co-Funding Amount in its entirety, Ardelyx’s payment due in the first Calendar Quarter after such Completion shall cover all of the Co-Funding Amount not yet paid (i.e. be equal to the then unpaid portion of the Co-Funding Amount). If the Phase 3 Clinical Trial Development is terminated or paused prior to Completion, Ardelyx shall not be obligated to make any payment in the first Calendar Quarter</w:t>
      </w:r>
    </w:p>
    <w:p>
      <w:pPr>
        <w:spacing w:after="0" w:line="121" w:lineRule="exact"/>
        <w:rPr>
          <w:sz w:val="20"/>
          <w:szCs w:val="20"/>
          <w:color w:val="auto"/>
        </w:rPr>
      </w:pPr>
    </w:p>
    <w:p>
      <w:pPr>
        <w:ind w:right="400" w:firstLine="8"/>
        <w:spacing w:after="0" w:line="262" w:lineRule="auto"/>
        <w:tabs>
          <w:tab w:leader="none" w:pos="348"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270" w:right="279" w:bottom="1440" w:gutter="0" w:footer="0" w:header="0"/>
        </w:sectPr>
      </w:pPr>
    </w:p>
    <w:bookmarkStart w:id="240" w:name="page241"/>
    <w:bookmarkEnd w:id="24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such termination or pause, and Ardelyx shall not be obligated to make any additional payments of the Co-Funding Amount unless and until the Phase 3 Clinical Trial Development is recommenced. If Ardelyx fails to pay any portion of the Co-Funding Amount on the relevant due date set forth in the Payment Schedule and does not rectify such breach by paying the amount due within forty-five (45) days after AstraZeneca’s written notice of such breach to Ardelyx, then Ardelyx shall not be entitled to any increase in royalty rates pursuant to Section 9.5(d) and any previous payments under the Payment Schedule will be non-refundable and non-creditable.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CO-PROMOTE AND SALES COLLABORATION COMMITTEE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7.1 Co-Promote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64"/>
        <w:spacing w:after="0" w:line="257" w:lineRule="auto"/>
        <w:tabs>
          <w:tab w:leader="none" w:pos="70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other reporting obligations under this Agreement, AstraZeneca shall provide to Ardelyx a final report (a “</w:t>
      </w:r>
      <w:r>
        <w:rPr>
          <w:rFonts w:ascii="Times New Roman" w:cs="Times New Roman" w:eastAsia="Times New Roman" w:hAnsi="Times New Roman"/>
          <w:sz w:val="18"/>
          <w:szCs w:val="18"/>
          <w:b w:val="1"/>
          <w:bCs w:val="1"/>
          <w:color w:val="auto"/>
        </w:rPr>
        <w:t>Phase 3 Clinical Study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(i) from the first Phase 3 Clinical Trial Development for the first Licensed Product for the first indication for which such Phase 3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is Completed and (ii) thereafter, if Ardelyx has exercised the Co-Promote Option as set forth below, from any Phase 3 Clinical Trial Development that is subsequently conducted for such Licensed Product for any additional indication and that is Completed within [***] after the date upon which the Phase 3 Clinical Trial Development described in subsection (i) above is completed. Each such Phase 3 Clinical Study Report shall be delivered within thirty (30) days after the date of Completion of the relevant Phase 3 Clinical Trial Development.</w:t>
      </w:r>
    </w:p>
    <w:p>
      <w:pPr>
        <w:spacing w:after="0" w:line="186" w:lineRule="exact"/>
        <w:rPr>
          <w:rFonts w:ascii="Times New Roman" w:cs="Times New Roman" w:eastAsia="Times New Roman" w:hAnsi="Times New Roman"/>
          <w:sz w:val="18"/>
          <w:szCs w:val="18"/>
          <w:color w:val="auto"/>
        </w:rPr>
      </w:pPr>
    </w:p>
    <w:p>
      <w:pPr>
        <w:ind w:right="40" w:firstLine="464"/>
        <w:spacing w:after="0" w:line="255" w:lineRule="auto"/>
        <w:tabs>
          <w:tab w:leader="none" w:pos="71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have the option to elect to participate in the marketing and promotion of the Licensed Product (referred to in subsection (a) above) in the U.S. Territory, as set forth below in this Article 7 and subject to a separate Co-Promote Agreement to be executed pursuant to Section 7.8(b) (the “</w:t>
      </w:r>
      <w:r>
        <w:rPr>
          <w:rFonts w:ascii="Times New Roman" w:cs="Times New Roman" w:eastAsia="Times New Roman" w:hAnsi="Times New Roman"/>
          <w:sz w:val="18"/>
          <w:szCs w:val="18"/>
          <w:b w:val="1"/>
          <w:bCs w:val="1"/>
          <w:color w:val="auto"/>
        </w:rPr>
        <w:t>Co-Promote Option</w:t>
      </w:r>
      <w:r>
        <w:rPr>
          <w:rFonts w:ascii="Times New Roman" w:cs="Times New Roman" w:eastAsia="Times New Roman" w:hAnsi="Times New Roman"/>
          <w:sz w:val="18"/>
          <w:szCs w:val="18"/>
          <w:color w:val="auto"/>
        </w:rPr>
        <w:t>”). Ardelyx shall have the right to exercise the Co-Promote Option in respect of such Licensed Product for the first indication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3 Clinical Trial Development has been Completed as described in subsection (a) above, by providing to AstraZeneca, within thirty (30) days after its receipt of the Phase 3 Clinical Study Report, a written notice of its election to do so. Ardelyx shall further, if it has exercised the Co-Promote Option for such first indication in a timely manner, have the right to exercise the Co-Promote Option for any additional indication of such Licensed Product in respect of which Phase 3 Clinical Trial Development has been Completed within [***] after the date of the Completion of Phase 3 Clinical Trial Development for the first indication, by providing to AstraZeneca a written notice of its election to do so within [***].</w:t>
      </w:r>
    </w:p>
    <w:p>
      <w:pPr>
        <w:spacing w:after="0" w:line="181" w:lineRule="exact"/>
        <w:rPr>
          <w:rFonts w:ascii="Times New Roman" w:cs="Times New Roman" w:eastAsia="Times New Roman" w:hAnsi="Times New Roman"/>
          <w:sz w:val="18"/>
          <w:szCs w:val="18"/>
          <w:color w:val="auto"/>
        </w:rPr>
      </w:pPr>
    </w:p>
    <w:p>
      <w:pPr>
        <w:ind w:right="280" w:firstLine="464"/>
        <w:spacing w:after="0" w:line="286" w:lineRule="auto"/>
        <w:tabs>
          <w:tab w:leader="none" w:pos="70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Co-Promote Product</w:t>
      </w:r>
      <w:r>
        <w:rPr>
          <w:rFonts w:ascii="Times New Roman" w:cs="Times New Roman" w:eastAsia="Times New Roman" w:hAnsi="Times New Roman"/>
          <w:sz w:val="18"/>
          <w:szCs w:val="18"/>
          <w:color w:val="auto"/>
        </w:rPr>
        <w:t>” shall mean a Licensed Product marketed and promoted in the U.S. Territory for the indication(s) for which Ardelyx has duly exercised the Co-Promote Option.</w:t>
      </w:r>
    </w:p>
    <w:p>
      <w:pPr>
        <w:spacing w:after="0" w:line="158"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does not exercise the Co-Promote Option within the prescribed time for the first indication of a particular Licensed Product, then the Co-Promote Option shall automatically terminate (including, with respect to all subsequent indications of the Licensed Product) and Ardelyx shall not have any further rights under this Article 7.</w:t>
      </w:r>
    </w:p>
    <w:p>
      <w:pPr>
        <w:spacing w:after="0" w:line="104"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270" w:right="279" w:bottom="1440" w:gutter="0" w:footer="0" w:header="0"/>
        </w:sectPr>
      </w:pPr>
    </w:p>
    <w:bookmarkStart w:id="241" w:name="page242"/>
    <w:bookmarkEnd w:id="241"/>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 Sales Collaboration Committee Overview</w:t>
      </w:r>
      <w:r>
        <w:rPr>
          <w:rFonts w:ascii="Times New Roman" w:cs="Times New Roman" w:eastAsia="Times New Roman" w:hAnsi="Times New Roman"/>
          <w:sz w:val="18"/>
          <w:szCs w:val="18"/>
          <w:color w:val="auto"/>
        </w:rPr>
        <w:t>. Ardelyx and AstraZeneca shall create, within twenty (20) days after AstraZeneca’s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Ardelyx’s written notice of its exercise of the Co-Promote Option pursuant to Section 7.1(b), a Sales Collaboration Committee. The SCC shall remain in effect throughout the Term unless and until [***]. The SCC shall serve as a forum for discussing and sharing Information and Materials; discussing strategy regarding the Commercialization of the Co-Promote Product in the U.S. Territory; and discussing the allocation of Commercialization activities to be conducted by Ardelyx and AstraZeneca, all in accordance with the Co-Promote Agreement and the provisions set forth below in this Article 7.</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7.3 Composition of SCC</w:t>
      </w:r>
      <w:r>
        <w:rPr>
          <w:rFonts w:ascii="Times New Roman" w:cs="Times New Roman" w:eastAsia="Times New Roman" w:hAnsi="Times New Roman"/>
          <w:sz w:val="18"/>
          <w:szCs w:val="18"/>
          <w:color w:val="auto"/>
        </w:rPr>
        <w:t>. [***] The SCC shall be chaired by a representative of [***]. The chairperson shall be responsible for calling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setting the agenda, circulating – where reasonably possible given the urgency of the matter at hand – the agenda at least ten (10) days prior to each meeting and distributing minutes of the meetings within thirty (30) days following such meetings (provided that the chairperson may elect to delegate the performance of such responsibilities to other members of the DCC from time to time). Each Party shall disclose to the chairperson any proposed agenda items, along with appropriate Information and Materials at least twenty (20) Business Days in advance of each meeting of the SCC (or otherwise as early as possible in advance of such meeting). The chairperson shall not unreasonably reject any proposed agenda items. The chairperson shall coordinate with the Parties to schedule SCC meetings at least six (6) months in advance or on shorter notice where reasonably required (as may be determined by the chairperson). The members of the SCC shall have substantial experience in pharmaceutical sales and marketing. From time to time, the SCC may invite non-voting personnel of the Parties having commercial, marketing and other expertise to participate in discussions of the SCC. An alternate voting member designated by a Party may serve temporarily in the absence of a permanent voting member designated by such Party, and either Party may also designate one or more non-voting consultants to such Party, who are under written obligations of confidentiality to such Party, as SCC observers who may attend the SCC meetings in an observational capacity only.</w:t>
      </w:r>
    </w:p>
    <w:p>
      <w:pPr>
        <w:spacing w:after="0" w:line="19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7.4 Responsibilities of the SCC</w:t>
      </w:r>
      <w:r>
        <w:rPr>
          <w:rFonts w:ascii="Times New Roman" w:cs="Times New Roman" w:eastAsia="Times New Roman" w:hAnsi="Times New Roman"/>
          <w:sz w:val="18"/>
          <w:szCs w:val="18"/>
          <w:color w:val="auto"/>
        </w:rPr>
        <w:t>. The SCC’s responsibilities will include, (i) reviewing the overall plans for Commercialization (“</w:t>
      </w:r>
      <w:r>
        <w:rPr>
          <w:rFonts w:ascii="Times New Roman" w:cs="Times New Roman" w:eastAsia="Times New Roman" w:hAnsi="Times New Roman"/>
          <w:sz w:val="18"/>
          <w:szCs w:val="18"/>
          <w:b w:val="1"/>
          <w:bCs w:val="1"/>
          <w:color w:val="auto"/>
        </w:rPr>
        <w:t>US Commercialization Plans</w:t>
      </w:r>
      <w:r>
        <w:rPr>
          <w:rFonts w:ascii="Times New Roman" w:cs="Times New Roman" w:eastAsia="Times New Roman" w:hAnsi="Times New Roman"/>
          <w:sz w:val="18"/>
          <w:szCs w:val="18"/>
          <w:color w:val="auto"/>
        </w:rPr>
        <w:t>”) and launch of the Co-Promote Product (“</w:t>
      </w:r>
      <w:r>
        <w:rPr>
          <w:rFonts w:ascii="Times New Roman" w:cs="Times New Roman" w:eastAsia="Times New Roman" w:hAnsi="Times New Roman"/>
          <w:sz w:val="18"/>
          <w:szCs w:val="18"/>
          <w:b w:val="1"/>
          <w:bCs w:val="1"/>
          <w:color w:val="auto"/>
        </w:rPr>
        <w:t>US Launch Plans</w:t>
      </w:r>
      <w:r>
        <w:rPr>
          <w:rFonts w:ascii="Times New Roman" w:cs="Times New Roman" w:eastAsia="Times New Roman" w:hAnsi="Times New Roman"/>
          <w:sz w:val="18"/>
          <w:szCs w:val="18"/>
          <w:color w:val="auto"/>
        </w:rPr>
        <w:t>”) in the U.S. Territory and reviewing plans for trademark selection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Co-Promote Product in the U.S. Territory, such plans to be prepared and approved by AstraZeneca (approvals to be provided or withheld by AstraZeneca at its sole discretion), (ii) receiving and providing to the Parties all sales, pricing, and financial reports pertaining to Pre-Approval Activities and Commercialization of the Co-Promote Product in the U.S. Territory, (iii) facilitating the flow of Information and Materials with respect to the Commercialization of the Co-Promote Product in the U.S. Territory, (iv) performing quarterly reviews of the progress of Launch and Commercialization activities in the U.S. Territory with respect to the Co-Promote Product, and (v) coordinating the efforts of the Parties in connection with Commercialization of the Co-Promote Product in the U.S. Territory. AstraZeneca shall use</w:t>
      </w:r>
    </w:p>
    <w:p>
      <w:pPr>
        <w:spacing w:after="0" w:line="117" w:lineRule="exact"/>
        <w:rPr>
          <w:sz w:val="20"/>
          <w:szCs w:val="20"/>
          <w:color w:val="auto"/>
        </w:rPr>
      </w:pPr>
    </w:p>
    <w:p>
      <w:pPr>
        <w:ind w:right="420" w:firstLine="8"/>
        <w:spacing w:after="0" w:line="262" w:lineRule="auto"/>
        <w:tabs>
          <w:tab w:leader="none" w:pos="348"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266" w:right="259" w:bottom="1440" w:gutter="0" w:footer="0" w:header="0"/>
        </w:sectPr>
      </w:pPr>
    </w:p>
    <w:bookmarkStart w:id="242" w:name="page243"/>
    <w:bookmarkEnd w:id="24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Commercially Reasonable Efforts to provide the first draft of the US Commercialization Plan and the US Launch Plan as soon as reasonably practicable following the Filing of the first Drug Approval Application for a Licensed Product in the Territory, and shall, in any event, provide such first plan to Ardelyx no later than six (6) months after the Filing of the first Drug Approval Application for a Licensed Product in the Territory.</w:t>
      </w:r>
    </w:p>
    <w:p>
      <w:pPr>
        <w:spacing w:after="0" w:line="172"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7.5 Meetings of the SCC</w:t>
      </w:r>
      <w:r>
        <w:rPr>
          <w:rFonts w:ascii="Times New Roman" w:cs="Times New Roman" w:eastAsia="Times New Roman" w:hAnsi="Times New Roman"/>
          <w:sz w:val="18"/>
          <w:szCs w:val="18"/>
          <w:color w:val="auto"/>
        </w:rPr>
        <w:t>. The SCC shall hold meetings at such times and places as shall be determined by a majority of the entire membership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but in no event shall such meetings be held less frequently than once every [***]. Meetings of the SCC will alternate between the offices of the Parties, unless otherwise agreed upon by the members of the SCC, or may be held via internet telephonically or by video conference; provided that at least two (2) meetings per year shall be held in person. Meetings of the SCC will be effective only if at least [***] of each Party are in attendance or participating in the meeting. Each Party will be responsible for the expenses incurred by its employees, consultants and its members of the SCC attending or otherwise participating in SCC meetings.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7.6 SCC Decision Making</w:t>
      </w:r>
      <w:r>
        <w:rPr>
          <w:rFonts w:ascii="Times New Roman" w:cs="Times New Roman" w:eastAsia="Times New Roman" w:hAnsi="Times New Roman"/>
          <w:sz w:val="18"/>
          <w:szCs w:val="18"/>
          <w:color w:val="auto"/>
        </w:rPr>
        <w:t>. The SCC shall [***].</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7.7 Ardelyx Membership</w:t>
      </w:r>
      <w:r>
        <w:rPr>
          <w:rFonts w:ascii="Times New Roman" w:cs="Times New Roman" w:eastAsia="Times New Roman" w:hAnsi="Times New Roman"/>
          <w:sz w:val="18"/>
          <w:szCs w:val="18"/>
          <w:color w:val="auto"/>
        </w:rPr>
        <w:t>. Ardelyx’s membership in the SCC shall be at its sole discretion, as a matter of right and not obligation, for the sole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performing activities within the remit of the SCC. Ardelyx shall have the right to withdraw from membership in the SCC upon thirty (30) days’ written notice to AstraZeneca, which notice shall be effective upon the expiration of such thirty (30) day period. Such withdrawal shall not, however, relieve Ardelyx of any of its obligations under this Agreement (apart from the obligation to participate at SCC meetings). Upon the effective date of Ardelyx’s withdrawal pursuant to the above, (i) Ardelyx’s membership in such committee shall be terminated, and (ii) Ardelyx shall have the right to continue to receive the Information and Materials it would otherwise be entitled to receive under this Agreement. If, at any time, following the issuance of a notice of withdrawal pursuant to the above, Ardelyx wishes to resume participation in the SCC, it shall notify AstraZeneca thereof in writing and, as from the thirtieth (30th) day thereafter, Ardelyx representatives to the SCC shall be entitled to attend any subsequent meeting of the SCC and to participate in the activities and decision-making by the SCC as provided in Section 7.6 as if such withdrawal notice had not been issued by Ardelyx pursuant to this Section 7.7.</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7.8 Co-Promote Activities in the U.S. Territory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66" w:lineRule="auto"/>
        <w:tabs>
          <w:tab w:leader="none" w:pos="70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has duly exercised the Co-Promote Option as per Section 7.1, Ardelyx shall be entitled and obligated to carry out those promotional tasks within the U.S. Territory in respect of the Co-Promote Product (for which Regulatory Approval has been obtained in the U.S. Territory) that will be allocated to it in accordance with in this Article 7 and subject to relevant US Launch Plans, US Commercialization Plans and the Co-Promote Agreement. Ardelyx’s</w:t>
      </w:r>
    </w:p>
    <w:p>
      <w:pPr>
        <w:spacing w:after="0" w:line="104"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0" w:right="239" w:bottom="1440" w:gutter="0" w:footer="0" w:header="0"/>
        </w:sectPr>
      </w:pPr>
    </w:p>
    <w:bookmarkStart w:id="243" w:name="page244"/>
    <w:bookmarkEnd w:id="243"/>
    <w:p>
      <w:pPr>
        <w:ind w:right="5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 in the promotional activities in the U.S. Territory following its exercise of the Co-Promote Option (i) shall, unless to the extent otherwise explicitly agreed by the Parties in writing, [***] with respect to the relevant Co-Promote Product in the U.S. Territory as set forth in the US Commercialization Plan and the US Launch Plan prepared by AstraZeneca.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Within thirty (30) days after its first exercise of the Co-Promote Option as per Section 7.1, Ardelyx shall provide to the SCC a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Promotion Proposal</w:t>
      </w:r>
      <w:r>
        <w:rPr>
          <w:rFonts w:ascii="Times New Roman" w:cs="Times New Roman" w:eastAsia="Times New Roman" w:hAnsi="Times New Roman"/>
          <w:sz w:val="18"/>
          <w:szCs w:val="18"/>
          <w:color w:val="auto"/>
        </w:rPr>
        <w:t>”) describing the Detail commitments and Other Promotional Activities proposed to be undertaken by Ardelyx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the Co-Promote Product in the U.S. Territory. Such Promotion Proposal shall include, among other things, (i) the level of, and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audience, for the Detailing to be performed by Ardelyx in the U.S. Territory, which may, at Ardelyx’s election, be [***] limit set forth in subsection (a) above,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any Pre-Approval Activities and Other Promotional Activities that Ardelyx proposes to conduct in the U.S. Territory (it being agreed, however,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AstraZeneca may at its discretion select which of such activities Ardelyx may conduct, if any). The Promotion Proposal shall be considered and discussed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SCC. Based on such discussions, Ardelyx and AstraZeneca (or, at AstraZeneca’s option, one of AstraZeneca’s Affiliates) shall negotiate in good faith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as promptly as possible a separate agreement (the “</w:t>
      </w:r>
      <w:r>
        <w:rPr>
          <w:rFonts w:ascii="Times New Roman" w:cs="Times New Roman" w:eastAsia="Times New Roman" w:hAnsi="Times New Roman"/>
          <w:sz w:val="18"/>
          <w:szCs w:val="18"/>
          <w:b w:val="1"/>
          <w:bCs w:val="1"/>
          <w:color w:val="auto"/>
        </w:rPr>
        <w:t>Co-Promote Agreement</w:t>
      </w:r>
      <w:r>
        <w:rPr>
          <w:rFonts w:ascii="Times New Roman" w:cs="Times New Roman" w:eastAsia="Times New Roman" w:hAnsi="Times New Roman"/>
          <w:sz w:val="18"/>
          <w:szCs w:val="18"/>
          <w:color w:val="auto"/>
        </w:rPr>
        <w:t>”) that shall regulate the detailed activities and responsibilities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 respect of the marketing and promotion of the Co-Promote Product in the U.S. Territory. The Co-Promote Agreement shall (i)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conform with the terms and conditions outlined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(ii) specify a per Detail fee (“</w:t>
      </w:r>
      <w:r>
        <w:rPr>
          <w:rFonts w:ascii="Times New Roman" w:cs="Times New Roman" w:eastAsia="Times New Roman" w:hAnsi="Times New Roman"/>
          <w:sz w:val="18"/>
          <w:szCs w:val="18"/>
          <w:b w:val="1"/>
          <w:bCs w:val="1"/>
          <w:color w:val="auto"/>
        </w:rPr>
        <w:t>Detail Rate</w:t>
      </w:r>
      <w:r>
        <w:rPr>
          <w:rFonts w:ascii="Times New Roman" w:cs="Times New Roman" w:eastAsia="Times New Roman" w:hAnsi="Times New Roman"/>
          <w:sz w:val="18"/>
          <w:szCs w:val="18"/>
          <w:color w:val="auto"/>
        </w:rPr>
        <w:t>”) reflecting the fair market value of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 services performed by Third Parties, and an appropriate FTE rate (the “</w:t>
      </w:r>
      <w:r>
        <w:rPr>
          <w:rFonts w:ascii="Times New Roman" w:cs="Times New Roman" w:eastAsia="Times New Roman" w:hAnsi="Times New Roman"/>
          <w:sz w:val="18"/>
          <w:szCs w:val="18"/>
          <w:b w:val="1"/>
          <w:bCs w:val="1"/>
          <w:color w:val="auto"/>
        </w:rPr>
        <w:t>Promotion FTE Rate</w:t>
      </w:r>
      <w:r>
        <w:rPr>
          <w:rFonts w:ascii="Times New Roman" w:cs="Times New Roman" w:eastAsia="Times New Roman" w:hAnsi="Times New Roman"/>
          <w:sz w:val="18"/>
          <w:szCs w:val="18"/>
          <w:color w:val="auto"/>
        </w:rPr>
        <w:t>”) for Other Promotional Activities and Pre-Approval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to be performed by Ardelyx (if any) and (iii) otherwise contain such additional reasonable terms and conditions as the Parties deem appropriate.</w:t>
      </w:r>
    </w:p>
    <w:p>
      <w:pPr>
        <w:spacing w:after="0" w:line="207" w:lineRule="exact"/>
        <w:rPr>
          <w:sz w:val="20"/>
          <w:szCs w:val="20"/>
          <w:color w:val="auto"/>
        </w:rPr>
      </w:pPr>
    </w:p>
    <w:p>
      <w:pPr>
        <w:ind w:right="320" w:firstLine="464"/>
        <w:spacing w:after="0" w:line="261" w:lineRule="auto"/>
        <w:tabs>
          <w:tab w:leader="none" w:pos="70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Co-Promotion in the U.S. Territory, at any time during the term of this Agreement, Ardelyx may make a one-time, irrevocable election to terminate its efforts with respect to its participation in the promotion of the Co-Promote Products in the U.S. Territory upon [***] prior written notice, in which case all such activities shall be conducted, as between the Parties, solely by AstraZeneca, its Affiliates, Sublicensees or contractors (excluding Ardelyx) upon expiration of such notice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8.1 Initial Supply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464"/>
        <w:spacing w:after="0" w:line="261" w:lineRule="auto"/>
        <w:tabs>
          <w:tab w:leader="none" w:pos="70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will initially be responsible for supplying Lead Licensed Compound and Lead Licensed Products for use in the Development under this Agreement until such time as AstraZeneca assumes responsibility for such supply hereunder (the “</w:t>
      </w:r>
      <w:r>
        <w:rPr>
          <w:rFonts w:ascii="Times New Roman" w:cs="Times New Roman" w:eastAsia="Times New Roman" w:hAnsi="Times New Roman"/>
          <w:sz w:val="18"/>
          <w:szCs w:val="18"/>
          <w:b w:val="1"/>
          <w:bCs w:val="1"/>
          <w:color w:val="auto"/>
        </w:rPr>
        <w:t>Initial Supply</w:t>
      </w:r>
      <w:r>
        <w:rPr>
          <w:rFonts w:ascii="Times New Roman" w:cs="Times New Roman" w:eastAsia="Times New Roman" w:hAnsi="Times New Roman"/>
          <w:sz w:val="18"/>
          <w:szCs w:val="18"/>
          <w:color w:val="auto"/>
        </w:rPr>
        <w:t xml:space="preserve">”). The Initial Supply shall include, unless otherwise determined by the DCC, those quantities of Lead Licensed Product and Lead Licensed Compound and those activities described on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Ardelyx agrees to use Commercially Reasonable Efforts to deliver the Initial Supply and perform</w:t>
      </w:r>
    </w:p>
    <w:p>
      <w:pPr>
        <w:spacing w:after="0" w:line="108"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270" w:right="259" w:bottom="1440" w:gutter="0" w:footer="0" w:header="0"/>
        </w:sectPr>
      </w:pPr>
    </w:p>
    <w:bookmarkStart w:id="244" w:name="page245"/>
    <w:bookmarkEnd w:id="24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activities set forth in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in such a manner and within such timelines as are required under the Initial Development Plan. For the purposes of the Initial Supply, Ardelyx will source the Lead Licensed Compounds and Lead Licensed Products from its current suppliers identified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unless other suppliers are approved by the DCC.</w:t>
      </w:r>
    </w:p>
    <w:p>
      <w:pPr>
        <w:spacing w:after="0" w:line="172" w:lineRule="exact"/>
        <w:rPr>
          <w:sz w:val="20"/>
          <w:szCs w:val="20"/>
          <w:color w:val="auto"/>
        </w:rPr>
      </w:pPr>
    </w:p>
    <w:p>
      <w:pPr>
        <w:ind w:firstLine="464"/>
        <w:spacing w:after="0" w:line="255" w:lineRule="auto"/>
        <w:tabs>
          <w:tab w:leader="none" w:pos="71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a separate manufacturing and supply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is required to be entered into between the Parties to further govern the supply obligations undertaken by Ardelyx hereunder. The Parties shall also enter into a separate Quality Assurance Agreement (“</w:t>
      </w:r>
      <w:r>
        <w:rPr>
          <w:rFonts w:ascii="Times New Roman" w:cs="Times New Roman" w:eastAsia="Times New Roman" w:hAnsi="Times New Roman"/>
          <w:sz w:val="18"/>
          <w:szCs w:val="18"/>
          <w:b w:val="1"/>
          <w:bCs w:val="1"/>
          <w:color w:val="auto"/>
        </w:rPr>
        <w:t>QAA</w:t>
      </w:r>
      <w:r>
        <w:rPr>
          <w:rFonts w:ascii="Times New Roman" w:cs="Times New Roman" w:eastAsia="Times New Roman" w:hAnsi="Times New Roman"/>
          <w:sz w:val="18"/>
          <w:szCs w:val="18"/>
          <w:color w:val="auto"/>
        </w:rPr>
        <w:t xml:space="preserve">”) that shall define the manufacturing and supply quality responsibilities of the Parties for the Lead Licensed Compound and the Lead Licensed Product. The QAA shall further include provisions obligating Ardelyx to report to AstraZeneca any regulatory compliance issues with its suppliers as well as any critical quality non-conformances relating to the Lead Licensed Compound or Lead Licensed Product. The MSA and the QAA shall be negotiated in good faith between the Parties and be executed as promptly as possible following the Effective Date. The Parties’ objective is that the MSA and the QAA shall be entered into as soon as reasonably practicable and within sixty (60) days of the Effective Date and shall include, amongst other appropriate and detailed provisions, the provisions set out in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firstLine="464"/>
        <w:spacing w:after="0" w:line="252" w:lineRule="auto"/>
        <w:tabs>
          <w:tab w:leader="none" w:pos="70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Price for any Licensed Products or Licensed Compounds supplied by Ardelyx will be a Development Expense, and will be reimbursed by AstraZeneca in compliance with the provisions of Section 4.3, regardless of whether AstraZeneca or Ardelyx has been assigned the responsibility for the Development activities in which the Licensed Products supplied by Ardelyx will be used. Subject to Section 8.2, AstraZeneca shall use Commercially Reasonable Efforts to assume responsibility for the supply of all Licensed Compounds and Licensed Products for use in the Development and Commercialization of Licensed Products beginning with the supplies of drug substance necessary to conduct Phase 3 Clinical Trials of the Licensed Product as well as the supply of drug product necessary to conduct the Phase 2b Clinical Trials for the Licensed Product (other than for the IBS-C Study) and continuing thereafter for the remainder of the Term;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AstraZeneca may, by written notice to Ardelyx, elect to assume responsibility for Development work associated with the Manufacture of the Licensed Product or Licensed Compound at any earlier time after the Effective Date. In such case, the timing of the transition of such activities, and the impact of the transition of such Development work on the supply of Licensed Product or Licensed Compound for Clinical Trials, shall be determined by the DCC, taking into account, among other things, the contractual obligations that Ardelyx may have to its current suppliers. Notwithstanding the foregoing, Ardelyx will supply Lead Licensed Compound and Lead Licensed Product for use in the IBS-C Study to be conducted pursuant to Section 5.3 through its current supplier identified on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and the cost thereof shall be reimbursed to Ardelyx as part of the calculation of Development Expenses at a price equal to the Transfer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AstraZeneca’s obligation to contribute to the funding of the IBS-C Study shall not in total exceed [***], regardless of when such IBS-C Study is commenced during the Term, and provided, further, that in the event of shortage of supply of Lead Licensed Product or Lead Licensed Compound for whatever reason, the supply for the IBS-C Study shall not be allowed to cause a disruption or delay of, or unreasonable increase of the costs for, a Clinical Trial planned to be conducted for an indication other than the IBS-C Indication, meaning that in such event available quantities of Lead Licensed Product or Lead Licensed Compound shall first be allocated to planned Clinical Trials for the other indications before remaining quantities are used for the IBS-C Study.</w:t>
      </w:r>
    </w:p>
    <w:p>
      <w:pPr>
        <w:spacing w:after="0" w:line="121"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270" w:right="279" w:bottom="1440" w:gutter="0" w:footer="0" w:header="0"/>
        </w:sectPr>
      </w:pPr>
    </w:p>
    <w:bookmarkStart w:id="245" w:name="page246"/>
    <w:bookmarkEnd w:id="245"/>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 Material Transfer</w:t>
      </w:r>
      <w:r>
        <w:rPr>
          <w:rFonts w:ascii="Times New Roman" w:cs="Times New Roman" w:eastAsia="Times New Roman" w:hAnsi="Times New Roman"/>
          <w:sz w:val="18"/>
          <w:szCs w:val="18"/>
          <w:color w:val="auto"/>
        </w:rPr>
        <w:t>. The DCC shall coordinate the transfer of all Information and Materials Controlled by Ardelyx that are necessary or useful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Manufacture Licensed Compounds and Licensed Products. Such transfer shall take place in a manner and at such time as not to disrupt the manufacture and delivery of the Initial Supplies in satisfaction of the obligations set forth in Section 8.1(a) and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At such time as is determined by the DCC, Ardelyx shall, and shall cause its manufacturing contractors [***], provide to AstraZeneca or its designee, all reasonable assistance, including the right to observe the Manufacturing at a facility of Ardelyx’s manufacturing contractors, and transfer all Information and Materials Controlled by Ardelyx, that are necessary or useful to Manufacture the Licensed Compounds and the Licensed Products, including without limitation all production and quality control Specifications and process and manufacturing technology, for the purpose of allowing AstraZeneca or its designee to develop and establish such Manufacturing. AstraZeneca shall have the right to disclose all such information to Third Parties for purposes of allowing AstraZeneca to assess the feasibility of such Third Parties Manufacturing the Licensed Compounds and the Licensed Products and to allow such Manufacturing. The Parties shall cooperate to obtain all necessary assurances and cooperation from any Third Party contract manufacturers of Licensed Compounds or Licensed Products with respect to the foregoing material transfer activities. Ardelyx covenants to AstraZeneca that any Third Party agreements under which Ardelyx engages such Third Party to Manufacture Licensed Compounds or Licensed Products contain provisions regarding the allocation of Intellectual Property Rights and rights in work product that are consistent with the terms of this Agreement and will enable Ardelyx to fulfill its obligations to AstraZeneca under this Article 8.</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8.3 Process and Formulation Development; Manufacturing Approvals</w:t>
      </w:r>
      <w:r>
        <w:rPr>
          <w:rFonts w:ascii="Times New Roman" w:cs="Times New Roman" w:eastAsia="Times New Roman" w:hAnsi="Times New Roman"/>
          <w:sz w:val="18"/>
          <w:szCs w:val="18"/>
          <w:color w:val="auto"/>
        </w:rPr>
        <w:t>. Subject to Ardelyx’s fulfilling its obligations under 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AstraZeneca will, subject to the conditions and within the limitations set forth in Section 4.4, use Commercially Reasonable Efforts to develop a commercial process for the manufacture of Licensed Compounds and Licensed Products and to scale up that process to manufacture and supply the Licensed Products in such volumes as reasonably take into account the anticipated demand for the Licensed Products throughout the Territory. AstraZeneca will, subject to the conditions and within the limitations set forth in Section 4.4, use Commercially Reasonable Efforts to make necessary filings to obtain, or to cause a Third-Party manufacturer of Licensed Compounds or Licensed Products to make necessary filings to obtain, Regulatory Approval for the manufacture of Licensed Compounds and Licensed Products as part of the approval of a Drug Approval Application for the Licensed Product in each Major Market.</w:t>
      </w:r>
    </w:p>
    <w:p>
      <w:pPr>
        <w:spacing w:after="0" w:line="183"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8.4 Manufacturing after Certain Terminations</w:t>
      </w:r>
      <w:r>
        <w:rPr>
          <w:rFonts w:ascii="Times New Roman" w:cs="Times New Roman" w:eastAsia="Times New Roman" w:hAnsi="Times New Roman"/>
          <w:sz w:val="18"/>
          <w:szCs w:val="18"/>
          <w:color w:val="auto"/>
        </w:rPr>
        <w:t>. If, after such time as when AstraZeneca has assumed responsibility for the Manufacture of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and Licensed Products, this Agreement is terminated, for any reason, AstraZeneca shall as soon as reasonably practicable provide to Ardelyx, if Ardelyx so requests, all Information and Materials Controlled by AstraZeneca and relating specifically to the Licensed Compound or the Licensed Product, including without limitation development and manufacturing reports and provide copies of regulatory filings sufficient to enable Ardelyx to produce and supply Ardelyx’s requirements of all Licensed Compound and Licensed Products as promptly as possible thereafter. At</w:t>
      </w:r>
    </w:p>
    <w:p>
      <w:pPr>
        <w:spacing w:after="0" w:line="112" w:lineRule="exact"/>
        <w:rPr>
          <w:sz w:val="20"/>
          <w:szCs w:val="20"/>
          <w:color w:val="auto"/>
        </w:rPr>
      </w:pPr>
    </w:p>
    <w:p>
      <w:pPr>
        <w:ind w:right="380" w:firstLine="8"/>
        <w:spacing w:after="0" w:line="262" w:lineRule="auto"/>
        <w:tabs>
          <w:tab w:leader="none" w:pos="348"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60"/>
          </w:cols>
          <w:pgMar w:left="240" w:top="266" w:right="299" w:bottom="1440" w:gutter="0" w:footer="0" w:header="0"/>
        </w:sectPr>
      </w:pPr>
    </w:p>
    <w:bookmarkStart w:id="246" w:name="page247"/>
    <w:bookmarkEnd w:id="2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Ardelyx’s election, in addition to its obligation set forth in Section 14.3(h) to seek to assign to Ardelyx Third Party agreements with respect to the Manufacture of Licensed Compound and Licensed Product, AstraZeneca shall transfer to Ardelyx any inventory of Licensed Compound or Licensed Product that AstraZeneca has in its possession or Control as of the effective date of such foregoing termination (except for such quantities as AstraZeneca may need to retain for reference purposes), and Ardelyx shall in consideration thereof pay to AstraZeneca the Transfer Price for such inventory. Moreover, in the event of termination of this Agreement, AstraZeneca shall complete any batches of Licensed Compound (in bulk form) that AstraZeneca may have started to manufacture as of the effective date of such termination and shall thereafter transfer such manufactured batches to Ardelyx, and Ardelyx shall in consideration thereof pay to AstraZeneca the Transfer Price for such batches. In the event that AstraZeneca is Manufacturing commercial supplies of Licensed Compound or Licensed Product as of the effective date of the termination, at Ardelyx’s request, (i) [***], and (ii) AstraZeneca shall provide Ardelyx with a right of reference to any regulatory filings made by AstraZeneca as the commercial manufacturer of Licensed Compound or Licensed Product. At all times, AstraZeneca shall provide reasonable assistance to Ardelyx with respect to the transfer of Information and Materials so as to permit Ardelyx to begin manufacturing and supplying its requirements of Licensed Compound and Licensed Product as soon as possible to minimize any disruption in the continuity of supply. AstraZeneca covenants to Ardelyx that any Third Party agreements under which AstraZeneca engages such Third Party to manufacture Licensed Compounds or Licensed Products shall contain provisions regarding the allocation of Intellectual Property Rights and rights in work product that are consistent with the terms of this Agreement and will enable AstraZeneca to fulfill its obligations to Ardelyx under this Section 8.4.</w:t>
      </w:r>
    </w:p>
    <w:p>
      <w:pPr>
        <w:spacing w:after="0" w:line="195"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8.5 Other Supply</w:t>
      </w:r>
      <w:r>
        <w:rPr>
          <w:rFonts w:ascii="Times New Roman" w:cs="Times New Roman" w:eastAsia="Times New Roman" w:hAnsi="Times New Roman"/>
          <w:sz w:val="18"/>
          <w:szCs w:val="18"/>
          <w:color w:val="auto"/>
        </w:rPr>
        <w:t>. AstraZeneca shall not supply Licensed Compound or Licensed Products to any Third Party for any Third Party use, other than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Exploitation activities in compliance with this Agreement. In addition, AstraZeneca shall not license any Third Party (other than a Sublicensee or other sublicensee consistent with the terms and conditions of this Agreement) to make or have made Licensed Compounds or Licensed Products, except to carry out the provisions of this Article 8.</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9.1 Upfront</w:t>
      </w:r>
      <w:r>
        <w:rPr>
          <w:rFonts w:ascii="Times New Roman" w:cs="Times New Roman" w:eastAsia="Times New Roman" w:hAnsi="Times New Roman"/>
          <w:sz w:val="18"/>
          <w:szCs w:val="18"/>
          <w:color w:val="auto"/>
        </w:rPr>
        <w:t>. As partial payment for the rights and licenses granted to AstraZeneca by Ardelyx under this Agreement, AstraZeneca shall pay to Ardelyx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nonrefundable one-time upfront payment of thirty five million U.S. dollars (U.S. $35,000,000) within ten (10) Business Days after the Effective Date against an invoice received by AstraZeneca from Ardelyx fulfilling the requirements set forth in Section 9.12, which invoice may be sent on or after the Effective Date. The upfront payment shall not be creditable against any other payments AstraZeneca is obligated to make to Ardelyx under this Agreement.</w:t>
      </w:r>
    </w:p>
    <w:p>
      <w:pPr>
        <w:spacing w:after="0" w:line="109" w:lineRule="exact"/>
        <w:rPr>
          <w:sz w:val="20"/>
          <w:szCs w:val="20"/>
          <w:color w:val="auto"/>
        </w:rPr>
      </w:pPr>
    </w:p>
    <w:p>
      <w:pPr>
        <w:ind w:right="440" w:firstLine="8"/>
        <w:spacing w:after="0" w:line="262" w:lineRule="auto"/>
        <w:tabs>
          <w:tab w:leader="none" w:pos="34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0" w:right="239"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 Additional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60" w:firstLine="464"/>
        <w:spacing w:after="0" w:line="266" w:lineRule="auto"/>
        <w:tabs>
          <w:tab w:leader="none" w:pos="70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AstraZeneca, within the Notification Period, [***] AstraZeneca shall pay to Ardelyx a nonrefundable one-time amount of [***] within [***] after having received an invoice from Ardelyx (fulfilling the requirements set forth in Section 9.12) following such notification. The payment pursuant to this Section 9.2(a) shall not be creditable against any other payments AstraZeneca is obligated to make to Ardelyx under this Agreement.</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AstraZeneca, within the Notification Period, [***] then:</w:t>
      </w:r>
    </w:p>
    <w:p>
      <w:pPr>
        <w:spacing w:after="0" w:line="117" w:lineRule="exact"/>
        <w:rPr>
          <w:rFonts w:ascii="Times New Roman" w:cs="Times New Roman" w:eastAsia="Times New Roman" w:hAnsi="Times New Roman"/>
          <w:sz w:val="18"/>
          <w:szCs w:val="18"/>
          <w:color w:val="auto"/>
        </w:rPr>
      </w:pPr>
    </w:p>
    <w:p>
      <w:pPr>
        <w:ind w:left="460" w:right="340" w:firstLine="443"/>
        <w:spacing w:after="0" w:line="282" w:lineRule="auto"/>
        <w:tabs>
          <w:tab w:leader="none" w:pos="111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pay to Ardelyx a nonrefundable one-time amount of [***] within [***] after having received an invoice from Ardelyx (fulfilling the requirements set forth in Section 9.12) following such notification; and</w:t>
      </w:r>
    </w:p>
    <w:p>
      <w:pPr>
        <w:spacing w:after="0" w:line="53" w:lineRule="exact"/>
        <w:rPr>
          <w:rFonts w:ascii="Times New Roman" w:cs="Times New Roman" w:eastAsia="Times New Roman" w:hAnsi="Times New Roman"/>
          <w:sz w:val="18"/>
          <w:szCs w:val="18"/>
          <w:color w:val="auto"/>
        </w:rPr>
      </w:pPr>
    </w:p>
    <w:p>
      <w:pPr>
        <w:ind w:left="460" w:firstLine="443"/>
        <w:spacing w:after="0" w:line="261" w:lineRule="auto"/>
        <w:tabs>
          <w:tab w:leader="none" w:pos="116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within a period of [***] after the end of the Notification Period, elects to initiate Development of a Licensed Product for one or more indication(s) that are not Constipation Related Disorder Indications, as described in Section 5.2(a)(iii), AstraZeneca shall notify Ardelyx thereof in writing and pay to Ardelyx an additional nonrefundable one-time amount of [***], such payment to be made within [***] after having received an invoice from Ardelyx (fulfilling the requirements set forth in Section 9.12) following such notification.</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No payments pursuant to this Section 9.2(b) shall be creditable against any other payments AstraZeneca is obligated to make to Ardelyx under this Agreement.</w:t>
      </w:r>
    </w:p>
    <w:p>
      <w:pPr>
        <w:spacing w:after="0" w:line="90" w:lineRule="exact"/>
        <w:rPr>
          <w:sz w:val="20"/>
          <w:szCs w:val="20"/>
          <w:color w:val="auto"/>
        </w:rPr>
      </w:pPr>
    </w:p>
    <w:p>
      <w:pPr>
        <w:ind w:right="320" w:firstLine="8"/>
        <w:spacing w:after="0" w:line="262" w:lineRule="auto"/>
        <w:tabs>
          <w:tab w:leader="none" w:pos="348"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00"/>
          </w:cols>
          <w:pgMar w:left="240" w:top="266" w:right="359" w:bottom="1440" w:gutter="0" w:footer="0" w:header="0"/>
        </w:sectPr>
      </w:pPr>
    </w:p>
    <w:bookmarkStart w:id="248" w:name="page249"/>
    <w:bookmarkEnd w:id="248"/>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9.3 Milestone Payments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464"/>
        <w:spacing w:after="0" w:line="266" w:lineRule="auto"/>
        <w:tabs>
          <w:tab w:leader="none" w:pos="69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make the following one-time, nonrefundable milestone payments to Ardelyx within [***] after receipt of an invoice from Ardelyx (fulfilling the requirements set forth in Section 9.12) following the first achievement of each of the following milestone events for a Licensed Product, subject to the limitations and additional provisions set forth below in this Section 9.3:</w:t>
      </w:r>
    </w:p>
    <w:p>
      <w:pPr>
        <w:spacing w:after="0" w:line="18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 for a Licensed Product</w:t>
            </w:r>
          </w:p>
        </w:tc>
        <w:tc>
          <w:tcPr>
            <w:tcW w:w="1000" w:type="dxa"/>
            <w:vAlign w:val="bottom"/>
            <w:vMerge w:val="restart"/>
          </w:tcPr>
          <w:p>
            <w:pPr>
              <w:spacing w:after="0"/>
              <w:rPr>
                <w:sz w:val="13"/>
                <w:szCs w:val="13"/>
                <w:color w:val="auto"/>
              </w:rPr>
            </w:pPr>
          </w:p>
        </w:tc>
        <w:tc>
          <w:tcPr>
            <w:tcW w:w="6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Milestone</w:t>
            </w:r>
          </w:p>
        </w:tc>
        <w:tc>
          <w:tcPr>
            <w:tcW w:w="32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auto"/>
            </w:tcBorders>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13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71"/>
        </w:trPr>
        <w:tc>
          <w:tcPr>
            <w:tcW w:w="34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I. Dosing of the first patient in the first Phase</w:t>
            </w:r>
          </w:p>
        </w:tc>
        <w:tc>
          <w:tcPr>
            <w:tcW w:w="640" w:type="dxa"/>
            <w:vAlign w:val="bottom"/>
            <w:tcBorders>
              <w:top w:val="single" w:sz="8" w:color="CCEEFF"/>
            </w:tcBorders>
            <w:shd w:val="clear" w:color="auto" w:fill="CCEEFF"/>
          </w:tcPr>
          <w:p>
            <w:pPr>
              <w:spacing w:after="0"/>
              <w:rPr>
                <w:sz w:val="14"/>
                <w:szCs w:val="14"/>
                <w:color w:val="auto"/>
              </w:rPr>
            </w:pPr>
          </w:p>
        </w:tc>
        <w:tc>
          <w:tcPr>
            <w:tcW w:w="37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For any indication other than a</w:t>
            </w: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2b Clinical Trial:</w:t>
            </w: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Constipation Related Disorder</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Indication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shd w:val="clear" w:color="auto" w:fill="CCEEFF"/>
          </w:tcPr>
          <w:p>
            <w:pPr>
              <w:spacing w:after="0"/>
              <w:rPr>
                <w:sz w:val="20"/>
                <w:szCs w:val="20"/>
                <w:color w:val="auto"/>
              </w:rPr>
            </w:pPr>
          </w:p>
        </w:tc>
        <w:tc>
          <w:tcPr>
            <w:tcW w:w="170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U.S. $25,000,000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II. Dosing of the first patient in the first Phase</w:t>
            </w:r>
          </w:p>
        </w:tc>
        <w:tc>
          <w:tcPr>
            <w:tcW w:w="640" w:type="dxa"/>
            <w:vAlign w:val="bottom"/>
          </w:tcPr>
          <w:p>
            <w:pPr>
              <w:spacing w:after="0"/>
              <w:rPr>
                <w:sz w:val="17"/>
                <w:szCs w:val="17"/>
                <w:color w:val="auto"/>
              </w:rPr>
            </w:pPr>
          </w:p>
        </w:tc>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 any indication</w:t>
            </w:r>
          </w:p>
        </w:tc>
        <w:tc>
          <w:tcPr>
            <w:tcW w:w="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03</w:t>
            </w:r>
          </w:p>
        </w:tc>
        <w:tc>
          <w:tcPr>
            <w:tcW w:w="400" w:type="dxa"/>
            <w:vAlign w:val="bottom"/>
          </w:tcPr>
          <w:p>
            <w:pPr>
              <w:spacing w:after="0"/>
              <w:rPr>
                <w:sz w:val="17"/>
                <w:szCs w:val="17"/>
                <w:color w:val="auto"/>
              </w:rPr>
            </w:pPr>
          </w:p>
        </w:tc>
        <w:tc>
          <w:tcPr>
            <w:tcW w:w="1700" w:type="dxa"/>
            <w:vAlign w:val="bottom"/>
            <w:gridSpan w:val="3"/>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rPr>
              <w:t>U.S. $50,000,000</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 Clinical Trial:</w:t>
            </w: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20" w:type="dxa"/>
            <w:vAlign w:val="bottom"/>
          </w:tcPr>
          <w:p>
            <w:pPr>
              <w:jc w:val="right"/>
              <w:ind w:right="325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20" w:type="dxa"/>
            <w:vAlign w:val="bottom"/>
          </w:tcPr>
          <w:p>
            <w:pPr>
              <w:jc w:val="right"/>
              <w:ind w:right="325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720" w:type="dxa"/>
            <w:vAlign w:val="bottom"/>
          </w:tcPr>
          <w:p>
            <w:pPr>
              <w:jc w:val="right"/>
              <w:ind w:right="325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1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60" w:type="dxa"/>
            <w:vAlign w:val="bottom"/>
            <w:gridSpan w:val="2"/>
          </w:tcPr>
          <w:p>
            <w:pPr>
              <w:jc w:val="right"/>
              <w:ind w:right="3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right="440" w:firstLine="8"/>
        <w:spacing w:after="0" w:line="262" w:lineRule="auto"/>
        <w:tabs>
          <w:tab w:leader="none" w:pos="34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12"/>
          </w:cols>
          <w:pgMar w:left="248" w:top="266" w:right="239" w:bottom="1440" w:gutter="0" w:footer="0" w:header="0"/>
        </w:sectPr>
      </w:pPr>
    </w:p>
    <w:bookmarkStart w:id="249" w:name="page250"/>
    <w:bookmarkEnd w:id="249"/>
    <w:p>
      <w:pPr>
        <w:ind w:left="-8" w:firstLine="464"/>
        <w:spacing w:after="0" w:line="256" w:lineRule="auto"/>
        <w:tabs>
          <w:tab w:leader="none" w:pos="70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milestones set forth in Section 9.3(a), it is the intention of the Parties that each preceding milestone will be earned before the subsequent milestone is earned, and that no milestones shall be skipped. For example if AstraZeneca elects to proceed with Phase 3 Clinical Development of a Licensed Product for an indication without commencing a Phase 2b Clinical Trial for such indication, and such indication is not a Constipation Related Disorder Indication, then at the time the milestone associated with the dosing of the first patient in the first Phase 3 Clinical Trial for such indication is earned, the preceding milestone associated with the dosing of the first patient in the first Phase 2b Clinical Trial for such indication shall also be earned upon dosing of the first patient in the first Phase 3 Clinical Trial.</w:t>
      </w:r>
    </w:p>
    <w:p>
      <w:pPr>
        <w:spacing w:after="0" w:line="187" w:lineRule="exact"/>
        <w:rPr>
          <w:rFonts w:ascii="Times New Roman" w:cs="Times New Roman" w:eastAsia="Times New Roman" w:hAnsi="Times New Roman"/>
          <w:sz w:val="18"/>
          <w:szCs w:val="18"/>
          <w:color w:val="auto"/>
        </w:rPr>
      </w:pPr>
    </w:p>
    <w:p>
      <w:pPr>
        <w:ind w:left="-8" w:right="280" w:firstLine="464"/>
        <w:spacing w:after="0" w:line="282" w:lineRule="auto"/>
        <w:tabs>
          <w:tab w:leader="none" w:pos="69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milestones set forth in Section 9.3(a) is eligible to be earned individually. By way of example, [***], AstraZeneca shall pay U.S. $50 million upon the first dosing of the first patient in the Phase 3 Clinical Trial for ESRD (milestone number 03 as per the above table), [***].</w:t>
      </w:r>
    </w:p>
    <w:p>
      <w:pPr>
        <w:spacing w:after="0" w:line="161" w:lineRule="exact"/>
        <w:rPr>
          <w:rFonts w:ascii="Times New Roman" w:cs="Times New Roman" w:eastAsia="Times New Roman" w:hAnsi="Times New Roman"/>
          <w:sz w:val="18"/>
          <w:szCs w:val="18"/>
          <w:color w:val="auto"/>
        </w:rPr>
      </w:pPr>
    </w:p>
    <w:p>
      <w:pPr>
        <w:ind w:left="-8" w:right="160" w:firstLine="464"/>
        <w:spacing w:after="0" w:line="266" w:lineRule="auto"/>
        <w:tabs>
          <w:tab w:leader="none" w:pos="70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set forth herein, none of the milestone payments set forth in Section 9.3(a) (i.e. none of milestones number 01 through 23) shall be payable more than once irrespective of the number of Licensed Products or indications that have achieved the relevant milestone events set forth in Section 9.3(a), or the number of countries or Major Markets in which such milestone events have been achieved.</w:t>
      </w:r>
    </w:p>
    <w:p>
      <w:pPr>
        <w:spacing w:after="0" w:line="176" w:lineRule="exact"/>
        <w:rPr>
          <w:rFonts w:ascii="Times New Roman" w:cs="Times New Roman" w:eastAsia="Times New Roman" w:hAnsi="Times New Roman"/>
          <w:sz w:val="18"/>
          <w:szCs w:val="18"/>
          <w:color w:val="auto"/>
        </w:rPr>
      </w:pPr>
    </w:p>
    <w:p>
      <w:pPr>
        <w:ind w:left="-8" w:right="460" w:firstLine="464"/>
        <w:spacing w:after="0" w:line="282" w:lineRule="auto"/>
        <w:tabs>
          <w:tab w:leader="none" w:pos="69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pursuant to Section 9.3(a) shall be creditable against any other payments AstraZeneca is obligated to make to Ardelyx under this Agreement.</w:t>
      </w:r>
    </w:p>
    <w:p>
      <w:pPr>
        <w:spacing w:after="0" w:line="89"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12"/>
          </w:cols>
          <w:pgMar w:left="248" w:top="270" w:right="239" w:bottom="1440" w:gutter="0" w:footer="0" w:header="0"/>
        </w:sectPr>
      </w:pPr>
    </w:p>
    <w:bookmarkStart w:id="250" w:name="page251"/>
    <w:bookmarkEnd w:id="250"/>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 Sales Related Milestones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firstLine="464"/>
        <w:spacing w:after="0" w:line="266" w:lineRule="auto"/>
        <w:tabs>
          <w:tab w:leader="none" w:pos="69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make the following one-time, nonrefundable milestone payments to Ardelyx within forty-five (45) days after receipt of an invoice from Ardelyx following the first achievement of each of the following milestones, subject to the limitations and additional provisions set forth below in this Section 9.4:</w:t>
      </w:r>
    </w:p>
    <w:p>
      <w:pPr>
        <w:spacing w:after="0" w:line="197" w:lineRule="exact"/>
        <w:rPr>
          <w:sz w:val="20"/>
          <w:szCs w:val="20"/>
          <w:color w:val="auto"/>
        </w:rPr>
      </w:pPr>
    </w:p>
    <w:tbl>
      <w:tblPr>
        <w:tblLayout w:type="fixed"/>
        <w:tblInd w:w="1832" w:type="dxa"/>
        <w:tblCellMar>
          <w:top w:w="0" w:type="dxa"/>
          <w:left w:w="0" w:type="dxa"/>
          <w:bottom w:w="0" w:type="dxa"/>
          <w:right w:w="0" w:type="dxa"/>
        </w:tblCellMar>
      </w:tblPr>
      <w:tr>
        <w:trPr>
          <w:trHeight w:val="19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4040" w:type="dxa"/>
            <w:vAlign w:val="bottom"/>
            <w:gridSpan w:val="3"/>
          </w:tcPr>
          <w:p>
            <w:pPr>
              <w:ind w:left="2740"/>
              <w:spacing w:after="0"/>
              <w:rPr>
                <w:sz w:val="20"/>
                <w:szCs w:val="20"/>
                <w:color w:val="auto"/>
              </w:rPr>
            </w:pPr>
            <w:r>
              <w:rPr>
                <w:rFonts w:ascii="Times New Roman" w:cs="Times New Roman" w:eastAsia="Times New Roman" w:hAnsi="Times New Roman"/>
                <w:sz w:val="14"/>
                <w:szCs w:val="14"/>
                <w:b w:val="1"/>
                <w:bCs w:val="1"/>
                <w:color w:val="auto"/>
              </w:rPr>
              <w:t>Milestone Payment</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8" w:firstLine="464"/>
        <w:spacing w:after="0" w:line="266" w:lineRule="auto"/>
        <w:tabs>
          <w:tab w:leader="none" w:pos="70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more than one of the sales milestones set forth in Section 9.4(a) are achieved in the same Calendar Year, the payment associated with each sales milestone achieved in such Calendar Year shall be due and payable [***] after AstraZeneca’s receipt of an invoice from Ardelyx following the end of such Calendar Year.</w:t>
      </w:r>
    </w:p>
    <w:p>
      <w:pPr>
        <w:spacing w:after="0" w:line="176"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set forth herein, no milestone payment pursuant to Section 9.4(a) will be made more than once.</w:t>
      </w:r>
    </w:p>
    <w:p>
      <w:pPr>
        <w:spacing w:after="0" w:line="225" w:lineRule="exact"/>
        <w:rPr>
          <w:rFonts w:ascii="Times New Roman" w:cs="Times New Roman" w:eastAsia="Times New Roman" w:hAnsi="Times New Roman"/>
          <w:sz w:val="18"/>
          <w:szCs w:val="18"/>
          <w:color w:val="auto"/>
        </w:rPr>
      </w:pPr>
    </w:p>
    <w:p>
      <w:pPr>
        <w:ind w:left="-8" w:right="440" w:firstLine="464"/>
        <w:spacing w:after="0" w:line="282" w:lineRule="auto"/>
        <w:tabs>
          <w:tab w:leader="none" w:pos="70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pursuant to Section 9.4(a) shall be creditable against any other payments AstraZeneca is obligated to make to Ardelyx under this Agreement.</w:t>
      </w:r>
    </w:p>
    <w:p>
      <w:pPr>
        <w:spacing w:after="0" w:line="89"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12"/>
          </w:cols>
          <w:pgMar w:left="248" w:top="266" w:right="239"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9.5 Royalties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64"/>
        <w:spacing w:after="0" w:line="266" w:lineRule="auto"/>
        <w:tabs>
          <w:tab w:leader="none" w:pos="7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set forth below in Sections 9.5(b) through 9.5(j), Section 9.6 and Section 9.7, AstraZeneca shall pay to Ardelyx, with respect to each Licensed Product, an incremental royalty on aggregate Annual Net Sales of each such Licensed Product made by AstraZeneca, its Affiliates, or its Sublicensees as follows:</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aggregate Annual Net Sales of relevant Licensed Product</w:t>
            </w:r>
          </w:p>
        </w:tc>
        <w:tc>
          <w:tcPr>
            <w:tcW w:w="2360" w:type="dxa"/>
            <w:vAlign w:val="bottom"/>
            <w:gridSpan w:val="3"/>
          </w:tcPr>
          <w:p>
            <w:pPr>
              <w:ind w:left="1480"/>
              <w:spacing w:after="0"/>
              <w:rPr>
                <w:sz w:val="20"/>
                <w:szCs w:val="20"/>
                <w:color w:val="auto"/>
              </w:rPr>
            </w:pPr>
            <w:r>
              <w:rPr>
                <w:rFonts w:ascii="Times New Roman" w:cs="Times New Roman" w:eastAsia="Times New Roman" w:hAnsi="Times New Roman"/>
                <w:sz w:val="14"/>
                <w:szCs w:val="14"/>
                <w:color w:val="auto"/>
              </w:rPr>
              <w:t>Royalty Rate</w:t>
            </w:r>
          </w:p>
        </w:tc>
      </w:tr>
      <w:tr>
        <w:trPr>
          <w:trHeight w:val="203"/>
        </w:trPr>
        <w:tc>
          <w:tcPr>
            <w:tcW w:w="3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&gt;U.S. $[***] and £ U.S. $[***]</w:t>
            </w:r>
          </w:p>
        </w:tc>
        <w:tc>
          <w:tcPr>
            <w:tcW w:w="15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&gt;U.S. $[***] and £ U.S. $[***]</w:t>
            </w:r>
          </w:p>
        </w:tc>
        <w:tc>
          <w:tcPr>
            <w:tcW w:w="23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&gt;U.S. $[***] and £ U.S. $[***]</w:t>
            </w:r>
          </w:p>
        </w:tc>
        <w:tc>
          <w:tcPr>
            <w:tcW w:w="236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&gt;U.S. $[***] and above</w:t>
            </w:r>
          </w:p>
        </w:tc>
        <w:tc>
          <w:tcPr>
            <w:tcW w:w="23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80" w:firstLine="464"/>
        <w:spacing w:after="0" w:line="282" w:lineRule="auto"/>
        <w:tabs>
          <w:tab w:leader="none" w:pos="7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royalties under this Section 9.5 shall be conducted separately for each Licensed Product. Thus, if AstraZeneca sells more than one Licensed Product in the Territory, the thresholds and ceilings in section 9.5(a) shall apply separately to each Licensed Product.</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between AstraZeneca, its Affiliates and Sublicensees shall not be subject to royalties hereunder. Royalties shall be calculated on</w:t>
      </w:r>
    </w:p>
    <w:p>
      <w:pPr>
        <w:spacing w:after="0" w:line="27"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AstraZeneca’s, its Affiliates’ and Sublicensees’ sales of the Licensed Products to a Third Party, including Distributors (but excluding for the avoidance of doubt Sublicensees). Royalties shall be payable only once for any given batch of the Licensed Products. For the purpose of determining Net Sales, the Licensed Product shall be deemed to be sold when invoiced and a “sale” shall not include, and no royalties shall be payable on, transfers by AstraZeneca, its Affiliates or Sublicensees of free samples of Licensed Product or clinical trial materials, or other transfers or dispositions for charitable, promotional, pre-clinical, clinical, manufacturing, testing or qualification, regulatory or governmental purposes.</w:t>
      </w:r>
    </w:p>
    <w:p>
      <w:pPr>
        <w:spacing w:after="0" w:line="187"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Ardelyx exercises the Co-Funding Option, the royalty rates set forth in Section 9.5(a) above shall, when the relevant Co-Funding Amount has been paid to AstraZeneca in its entirety by Ardelyx (failing which, no such increase shall apply), be increased by the number of percentage points set forth in the chart below, such increase to apply only to the royalties payable on Net Sales of the Licensed Product for which the Co-Funding Option was exercised. The increase shall apply to the royalties payable on Net Sales of such Licensed Product for all indications for which the relevant Licensed Product is sold. The increase shall be determined based upon the Co-Funding Amount committed and paid by Ardelyx for the relevant Licensed Product, as set forth below:</w:t>
      </w:r>
    </w:p>
    <w:p>
      <w:pPr>
        <w:spacing w:after="0" w:line="19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Percentage Point</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Co-Funding Amount</w:t>
            </w:r>
          </w:p>
        </w:tc>
        <w:tc>
          <w:tcPr>
            <w:tcW w:w="38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Increase in Royalty</w:t>
            </w:r>
          </w:p>
        </w:tc>
        <w:tc>
          <w:tcPr>
            <w:tcW w:w="0" w:type="dxa"/>
            <w:vAlign w:val="bottom"/>
          </w:tcPr>
          <w:p>
            <w:pPr>
              <w:spacing w:after="0"/>
              <w:rPr>
                <w:sz w:val="1"/>
                <w:szCs w:val="1"/>
                <w:color w:val="auto"/>
              </w:rPr>
            </w:pPr>
          </w:p>
        </w:tc>
      </w:tr>
      <w:tr>
        <w:trPr>
          <w:trHeight w:val="158"/>
        </w:trPr>
        <w:tc>
          <w:tcPr>
            <w:tcW w:w="3900" w:type="dxa"/>
            <w:vAlign w:val="bottom"/>
            <w:gridSpan w:val="2"/>
            <w:vMerge w:val="continue"/>
          </w:tcPr>
          <w:p>
            <w:pPr>
              <w:spacing w:after="0"/>
              <w:rPr>
                <w:sz w:val="13"/>
                <w:szCs w:val="13"/>
                <w:color w:val="auto"/>
              </w:rPr>
            </w:pPr>
          </w:p>
        </w:tc>
        <w:tc>
          <w:tcPr>
            <w:tcW w:w="2640" w:type="dxa"/>
            <w:vAlign w:val="bottom"/>
          </w:tcPr>
          <w:p>
            <w:pPr>
              <w:spacing w:after="0"/>
              <w:rPr>
                <w:sz w:val="13"/>
                <w:szCs w:val="13"/>
                <w:color w:val="auto"/>
              </w:rPr>
            </w:pPr>
          </w:p>
        </w:tc>
        <w:tc>
          <w:tcPr>
            <w:tcW w:w="12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 $20,000,000</w:t>
            </w:r>
          </w:p>
        </w:tc>
        <w:tc>
          <w:tcPr>
            <w:tcW w:w="2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$30,000,000</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$40,000,000</w:t>
            </w:r>
          </w:p>
        </w:tc>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40" w:firstLine="8"/>
        <w:spacing w:after="0" w:line="262" w:lineRule="auto"/>
        <w:tabs>
          <w:tab w:leader="none" w:pos="34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66" w:right="239" w:bottom="1440" w:gutter="0" w:footer="0" w:header="0"/>
        </w:sectPr>
      </w:pPr>
    </w:p>
    <w:bookmarkStart w:id="252" w:name="page253"/>
    <w:bookmarkEnd w:id="252"/>
    <w:p>
      <w:pPr>
        <w:ind w:left="-8" w:right="40" w:firstLine="464"/>
        <w:spacing w:after="0" w:line="261" w:lineRule="auto"/>
        <w:tabs>
          <w:tab w:leader="none" w:pos="69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in any particular country in the Territory, a given Licensed Product [***], then, the royalties that would otherwise have been payable on Net Sales of such Licensed Product in such country under this Agreement shall be reduced by [***] as from the first Calendar Quarter in which this Section 9.5(e) applies, and thereafter for so long as this Section 9.5(e) applies in such particular country. The calculation of the royalty reduction under this Section 9.5(e) shall be conducted separately for each Licensed Product in each country.</w:t>
      </w:r>
    </w:p>
    <w:p>
      <w:pPr>
        <w:spacing w:after="0" w:line="180" w:lineRule="exact"/>
        <w:rPr>
          <w:rFonts w:ascii="Times New Roman" w:cs="Times New Roman" w:eastAsia="Times New Roman" w:hAnsi="Times New Roman"/>
          <w:sz w:val="18"/>
          <w:szCs w:val="18"/>
          <w:color w:val="auto"/>
        </w:rPr>
      </w:pPr>
    </w:p>
    <w:p>
      <w:pPr>
        <w:ind w:left="-8" w:right="60" w:firstLine="464"/>
        <w:spacing w:after="0" w:line="256" w:lineRule="auto"/>
        <w:tabs>
          <w:tab w:leader="none" w:pos="67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 any particular country in the Territory, (i) a Generic Product receives Regulatory Approval in such country and (ii) [***] decrease by more than [***] compared to the Calendar Quarter immediately preceding the first Calendar Quarter in which the Generic Product is sold, then, the royalties that would otherwise have been payable on Net Sales of such Licensed Product in such country under this Agreement shall be reduced by [***] as from the first Calendar Quarter in which this Section 9.5(f) applies and thereafter for so long as [***] in the Calendar Quarter immediately preceding the first Calendar Quarter in which the Generic Product is sold. The calculation of the royalty reduction under this Section 9.5(f) shall be conducted separately for each Licensed Product in each country.</w:t>
      </w:r>
    </w:p>
    <w:p>
      <w:pPr>
        <w:spacing w:after="0" w:line="187" w:lineRule="exact"/>
        <w:rPr>
          <w:rFonts w:ascii="Times New Roman" w:cs="Times New Roman" w:eastAsia="Times New Roman" w:hAnsi="Times New Roman"/>
          <w:sz w:val="18"/>
          <w:szCs w:val="18"/>
          <w:color w:val="auto"/>
        </w:rPr>
      </w:pPr>
    </w:p>
    <w:p>
      <w:pPr>
        <w:ind w:left="-8" w:firstLine="464"/>
        <w:spacing w:after="0" w:line="253" w:lineRule="auto"/>
        <w:tabs>
          <w:tab w:leader="none" w:pos="70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 any particular country in the Territory, a court or a governmental agency of competent jurisdiction requires AstraZeneca or its Affiliate or Sublicensee to grant a compulsory license to a Third Party permitting such Third Party to make and sell a Licensed Product in one or more countries in the Territory (a “</w:t>
      </w:r>
      <w:r>
        <w:rPr>
          <w:rFonts w:ascii="Times New Roman" w:cs="Times New Roman" w:eastAsia="Times New Roman" w:hAnsi="Times New Roman"/>
          <w:sz w:val="18"/>
          <w:szCs w:val="18"/>
          <w:b w:val="1"/>
          <w:bCs w:val="1"/>
          <w:color w:val="auto"/>
        </w:rPr>
        <w:t>Compulsory License</w:t>
      </w:r>
      <w:r>
        <w:rPr>
          <w:rFonts w:ascii="Times New Roman" w:cs="Times New Roman" w:eastAsia="Times New Roman" w:hAnsi="Times New Roman"/>
          <w:sz w:val="18"/>
          <w:szCs w:val="18"/>
          <w:color w:val="auto"/>
        </w:rPr>
        <w:t xml:space="preserve">”), and the royalty rate for royalties payable to AstraZeneca, its Affiliate or Sublicensee on Net Sales (which term for the purpose of this Section 9.5(g)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sales by such grantee) of Licensed Products by or on behalf of such grantee of the Compulsory License is less than the royalty rate for royalties on Net Sales due to Ardelyx pursuant to this Section 9.5 in such country, then the royalty rate applicable to Net Sales for royalties due to Ardelyx in such country shall be reduced to [***]. If AstraZeneca or its Affiliate receives any compensation (other than royalty payments) for the Compulsory License from the grantee of the Compulsory License, then [***] (but such compensation shall otherwise be disregarded for the purpose of calculating royalties due to Ardelyx hereunder, including for purposes of applying thresholds and ceilings). If AstraZeneca, its Affiliates or Sublicensees learn that a Third Party is seeking a Compulsory License in any country in the Territory, AstraZeneca shall use Commercially Reasonable Efforts to oppose the granting of such Compulsory License. The royalty rate reduction set forth herein shall be effective as from the first Calendar Quarter in which this Section 9.5(g) applies and thereafter for so long as this Section 9.5(g) applies. The calculation of the royalty rate reduction under this Section 9.5(g) shall be conducted separately for each Licensed Product in each country.</w:t>
      </w:r>
    </w:p>
    <w:p>
      <w:pPr>
        <w:spacing w:after="0" w:line="118" w:lineRule="exact"/>
        <w:rPr>
          <w:rFonts w:ascii="Times New Roman" w:cs="Times New Roman" w:eastAsia="Times New Roman" w:hAnsi="Times New Roman"/>
          <w:sz w:val="18"/>
          <w:szCs w:val="18"/>
          <w:color w:val="auto"/>
        </w:rPr>
      </w:pPr>
    </w:p>
    <w:p>
      <w:pPr>
        <w:ind w:left="-8" w:right="420" w:firstLine="8"/>
        <w:spacing w:after="0" w:line="262" w:lineRule="auto"/>
        <w:tabs>
          <w:tab w:leader="none" w:pos="34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92"/>
          </w:cols>
          <w:pgMar w:left="248" w:top="270" w:right="259" w:bottom="1440" w:gutter="0" w:footer="0" w:header="0"/>
        </w:sectPr>
      </w:pPr>
    </w:p>
    <w:bookmarkStart w:id="253" w:name="page254"/>
    <w:bookmarkEnd w:id="253"/>
    <w:p>
      <w:pPr>
        <w:ind w:right="20" w:firstLine="464"/>
        <w:spacing w:after="0" w:line="258" w:lineRule="auto"/>
        <w:tabs>
          <w:tab w:leader="none" w:pos="71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reductions set forth in Sections 9.5(e), 9.5(f), 9.5(g) and 9.5(j) shall be applied in the order in which the event triggering such reduction occurs, provided that in no event shall, due to the cumulative reductions set out in Sections 9.5(e), 9.5(f), 9.5(g) and 9.5(j), the royalties that would otherwise have been payable to Ardelyx under this Section 9.5 in a particular Calendar Quarter be reduced by more than [***] of that which would be due pursuant to Section 9.5(a), as modified by Section 9.5(d) if applicable. Credits not exhausted in any Calendar Quarter may however be carried into future Calendar Quarters, subject to the foregoing sentence.</w:t>
      </w:r>
    </w:p>
    <w:p>
      <w:pPr>
        <w:spacing w:after="0" w:line="183" w:lineRule="exact"/>
        <w:rPr>
          <w:rFonts w:ascii="Times New Roman" w:cs="Times New Roman" w:eastAsia="Times New Roman" w:hAnsi="Times New Roman"/>
          <w:sz w:val="18"/>
          <w:szCs w:val="18"/>
          <w:color w:val="auto"/>
        </w:rPr>
      </w:pPr>
    </w:p>
    <w:p>
      <w:pPr>
        <w:ind w:firstLine="464"/>
        <w:spacing w:after="0" w:line="255" w:lineRule="auto"/>
        <w:tabs>
          <w:tab w:leader="none" w:pos="6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AstraZeneca’s obligation to pay royalties due under this Section 9.5 shall commence on a country-by-country basis, with respect to each separate Licensed Product, on the date of the First Commercial Sale of such Licensed Product in such country and shall expire, on a country-by-country basis, with respect to such Licensed Product, at the latest of: (i) the [***] of the First Commercial Sale of such Licensed Product in such country (or, in the case of [***] of such Licensed Product in [***]), and (ii) the date on which there is no longer a Valid Claim covering the sale of such Licensed Product in such country. At such time as AstraZeneca’s obligation to pay royalties under this Section 9.5 have terminated in a country, the license granted to AstraZeneca under Section 2.1 shall automatically, and without further action on the part of Ardelyx or AstraZeneca, become non-exclusive, fully-paid, irrevocable and perpetual with respect to such country and the Net Sales of such Licensed Product in such country shall be excluded from royalty calculations under this Section 9.5 (including for purposes of applying thresholds and ceilings).</w:t>
      </w:r>
    </w:p>
    <w:p>
      <w:pPr>
        <w:spacing w:after="0" w:line="185" w:lineRule="exact"/>
        <w:rPr>
          <w:rFonts w:ascii="Times New Roman" w:cs="Times New Roman" w:eastAsia="Times New Roman" w:hAnsi="Times New Roman"/>
          <w:sz w:val="18"/>
          <w:szCs w:val="18"/>
          <w:color w:val="auto"/>
        </w:rPr>
      </w:pPr>
    </w:p>
    <w:p>
      <w:pPr>
        <w:ind w:right="40" w:firstLine="464"/>
        <w:spacing w:after="0" w:line="256" w:lineRule="auto"/>
        <w:tabs>
          <w:tab w:leader="none" w:pos="67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AstraZeneca, in its reasonable judgment, determines that it is required to obtain a license from any Third Party in order to avoid infringement of such Third Party’s Patent, (ii) such Patent covers or claims the composition, use, or method of manufacturing, or method of treatment, of a Licensed Compound in order to import, manufacture, use, or sell any Licensed Product, (iii) AstraZeneca does not have any other commercially reasonable alternatives available to avoid such infringement, and (iv) AstraZeneca is required to pay to such Third Party a royalty, milestone payments or other monetary compensation in consideration for the grant of such license (“</w:t>
      </w:r>
      <w:r>
        <w:rPr>
          <w:rFonts w:ascii="Times New Roman" w:cs="Times New Roman" w:eastAsia="Times New Roman" w:hAnsi="Times New Roman"/>
          <w:sz w:val="18"/>
          <w:szCs w:val="18"/>
          <w:b w:val="1"/>
          <w:bCs w:val="1"/>
          <w:color w:val="auto"/>
        </w:rPr>
        <w:t>Third Party Compensation</w:t>
      </w:r>
      <w:r>
        <w:rPr>
          <w:rFonts w:ascii="Times New Roman" w:cs="Times New Roman" w:eastAsia="Times New Roman" w:hAnsi="Times New Roman"/>
          <w:sz w:val="18"/>
          <w:szCs w:val="18"/>
          <w:color w:val="auto"/>
        </w:rPr>
        <w:t>”), then for the period during which AstraZeneca owes royalties to Ardelyx hereunder, the amounts that would otherwise have been payable as royalties to Ardelyx under this Agreement shall be reduced by [***].</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9.6 Combination Products</w:t>
      </w:r>
      <w:r>
        <w:rPr>
          <w:rFonts w:ascii="Times New Roman" w:cs="Times New Roman" w:eastAsia="Times New Roman" w:hAnsi="Times New Roman"/>
          <w:sz w:val="18"/>
          <w:szCs w:val="18"/>
          <w:color w:val="auto"/>
        </w:rPr>
        <w:t>. In the event Ardelyx is entitled to receive royalties under this Agreement from any Licensed Product sold in the form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Product in any given country, then Net Sales for such Combination Product will be calculated by multiplying the actual Net Sales of such Combination Product in such country by the fraction A/(A+B), where A is the standard sales price in such country of a Licensed Product, containing the same amount of Licensed Compound as the sole active ingredient as the Combination Product in question (a “</w:t>
      </w:r>
      <w:r>
        <w:rPr>
          <w:rFonts w:ascii="Times New Roman" w:cs="Times New Roman" w:eastAsia="Times New Roman" w:hAnsi="Times New Roman"/>
          <w:sz w:val="18"/>
          <w:szCs w:val="18"/>
          <w:b w:val="1"/>
          <w:bCs w:val="1"/>
          <w:color w:val="auto"/>
        </w:rPr>
        <w:t>Comparable Licensed Product</w:t>
      </w:r>
      <w:r>
        <w:rPr>
          <w:rFonts w:ascii="Times New Roman" w:cs="Times New Roman" w:eastAsia="Times New Roman" w:hAnsi="Times New Roman"/>
          <w:sz w:val="18"/>
          <w:szCs w:val="18"/>
          <w:color w:val="auto"/>
        </w:rPr>
        <w:t>”), if sold separately, and B is the standard sales price in the given country of the ready for sale form of a product containing the same amount of the other therapeutically active ingredient(s) in the Combination Product that are not Licensed Compounds (the “</w:t>
      </w:r>
      <w:r>
        <w:rPr>
          <w:rFonts w:ascii="Times New Roman" w:cs="Times New Roman" w:eastAsia="Times New Roman" w:hAnsi="Times New Roman"/>
          <w:sz w:val="18"/>
          <w:szCs w:val="18"/>
          <w:b w:val="1"/>
          <w:bCs w:val="1"/>
          <w:color w:val="auto"/>
        </w:rPr>
        <w:t>Other Ingredients</w:t>
      </w:r>
      <w:r>
        <w:rPr>
          <w:rFonts w:ascii="Times New Roman" w:cs="Times New Roman" w:eastAsia="Times New Roman" w:hAnsi="Times New Roman"/>
          <w:sz w:val="18"/>
          <w:szCs w:val="18"/>
          <w:color w:val="auto"/>
        </w:rPr>
        <w:t>”), if sold separately. If, on a country-by-country basis, the Other Ingredients are not sold separately in a country, Net Sales in such</w:t>
      </w:r>
    </w:p>
    <w:p>
      <w:pPr>
        <w:spacing w:after="0" w:line="115" w:lineRule="exact"/>
        <w:rPr>
          <w:sz w:val="20"/>
          <w:szCs w:val="20"/>
          <w:color w:val="auto"/>
        </w:rPr>
      </w:pPr>
    </w:p>
    <w:p>
      <w:pPr>
        <w:ind w:right="420" w:firstLine="8"/>
        <w:spacing w:after="0" w:line="262" w:lineRule="auto"/>
        <w:tabs>
          <w:tab w:leader="none" w:pos="348"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0" w:right="259" w:bottom="1440" w:gutter="0" w:footer="0" w:header="0"/>
        </w:sectPr>
      </w:pPr>
    </w:p>
    <w:bookmarkStart w:id="254" w:name="page255"/>
    <w:bookmarkEnd w:id="25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country for the purpose of determining royalties of the Combination Product shall be calculated by multiplying actual Net Sales of such Combination Product in such country by the fraction A/C where A is the standard sales price in such country of a Comparable Licensed Product, if sold separately, and C is the standard sales price of the Combination Product in such country. If, on a country-by-country basis, a Comparable Licensed Product is not sold separately, Net Sales in such country for the purpose of determining royalties of the Combination Product shall be calculated by multiplying actual Net Sales of such Combination Product by the fraction (C-B)/C, where B is the standard sales price in such country of the Other Ingredients and C is the standard sales price in such country of the Combination Product. For the purpose of the above, the standard sales price for a Comparable Licensed Product and for each Other Ingredient shall be for a quantity comparable to that used in the Combination Product in question and of the same class, purity and potency. If, on a country-by-country basis, neither a Comparable Licensed Product nor the Other Ingredients are sold separately in a country, Net Sales in such country for the purposes of determining royalties of such Combination Product shall be determined by the Parties on the basis of a fair market value of such Comparable Licensed Product and Other Ingredient to be negotiated by the Parties in good faith, taking into account costs, overheads and profit of the relevant Licensed Compound(s), the Other Ingredients and the Combination Product. For purposes of the calculations set forth in this Section 9.6, prior to the First Commercial Sale of a Combination Product, the DCC (or the SCC, as applicable) shall discuss the calculations set forth herein, including the standard sale prices to be used in such calculation.</w:t>
      </w:r>
    </w:p>
    <w:p>
      <w:pPr>
        <w:spacing w:after="0" w:line="18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9.7 Separate Licensed Product</w:t>
      </w:r>
      <w:r>
        <w:rPr>
          <w:rFonts w:ascii="Times New Roman" w:cs="Times New Roman" w:eastAsia="Times New Roman" w:hAnsi="Times New Roman"/>
          <w:sz w:val="18"/>
          <w:szCs w:val="18"/>
          <w:color w:val="auto"/>
        </w:rPr>
        <w:t>. Notwithstanding anything else set forth in this Agreement to the contrary, the milestones and royalties in this Article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development or commercialization of a Licensed Product for diagnostic, veterinary or any other use other than as a therapeutic pharmaceutical product in humans (a “</w:t>
      </w:r>
      <w:r>
        <w:rPr>
          <w:rFonts w:ascii="Times New Roman" w:cs="Times New Roman" w:eastAsia="Times New Roman" w:hAnsi="Times New Roman"/>
          <w:sz w:val="18"/>
          <w:szCs w:val="18"/>
          <w:b w:val="1"/>
          <w:bCs w:val="1"/>
          <w:color w:val="auto"/>
        </w:rPr>
        <w:t>Separate Licensed Product</w:t>
      </w:r>
      <w:r>
        <w:rPr>
          <w:rFonts w:ascii="Times New Roman" w:cs="Times New Roman" w:eastAsia="Times New Roman" w:hAnsi="Times New Roman"/>
          <w:sz w:val="18"/>
          <w:szCs w:val="18"/>
          <w:color w:val="auto"/>
        </w:rPr>
        <w:t>”). If AstraZeneca develops a Separate Licensed Product, AstraZeneca shall pay to Ardelyx such separate milestones and royalties for the development, commercialization or sale of such Separate Licensed Product as are commercially reasonable taking into account each Party’s respective investment to date in the Separate Licensed Product, the commercial potential of such product, the future cost of developing and commercializing such product, the then current stage of development and the probability of successfully launching such product. In the event that AstraZeneca decides to initiate development of a Separate Licensed Product, AstraZeneca shall notify Ardelyx thereof in writing and the Parties shall thereafter negotiate in good faith within a period of [***] from such notice to agree on such separate milestones and royalties. A failure by the Parties to reach such agreement shall not preclude AstraZeneca from developing or commercializing a Separate Licensed Product or from otherwise exercising the rights and licenses granted to it by Ardelyx under this Agreement. However, in the event of a failure by the Parties to reach such agreement within the aforementioned [***] period or any extension of such period mutually agreed by the Parties or otherwise in the event of a dispute as to the separate milestones and royalties for a Separate Licensed Product, each Party shall be entitled to escalate the matter in accordance with Section 16.1 and, if applicable, to refer the matter to arbitration in accordance with Section 16.2(b).</w:t>
      </w:r>
    </w:p>
    <w:p>
      <w:pPr>
        <w:spacing w:after="0" w:line="189"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9.8 Sales by Sublicensees</w:t>
      </w:r>
      <w:r>
        <w:rPr>
          <w:rFonts w:ascii="Times New Roman" w:cs="Times New Roman" w:eastAsia="Times New Roman" w:hAnsi="Times New Roman"/>
          <w:sz w:val="18"/>
          <w:szCs w:val="18"/>
          <w:color w:val="auto"/>
        </w:rPr>
        <w:t>. In the event AstraZeneca grants sublicenses to one or more Sublicensees to make or sell Licensed Products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hereunder, such sublicenses shall include without limitation an obligation for the Sublicensee to account for and</w:t>
      </w:r>
    </w:p>
    <w:p>
      <w:pPr>
        <w:spacing w:after="0" w:line="87" w:lineRule="exact"/>
        <w:rPr>
          <w:sz w:val="20"/>
          <w:szCs w:val="20"/>
          <w:color w:val="auto"/>
        </w:rPr>
      </w:pPr>
    </w:p>
    <w:p>
      <w:pPr>
        <w:ind w:right="440" w:firstLine="8"/>
        <w:spacing w:after="0" w:line="262" w:lineRule="auto"/>
        <w:tabs>
          <w:tab w:leader="none" w:pos="348"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0" w:right="239" w:bottom="1440" w:gutter="0" w:footer="0" w:header="0"/>
        </w:sectPr>
      </w:pPr>
    </w:p>
    <w:bookmarkStart w:id="255" w:name="page256"/>
    <w:bookmarkEnd w:id="255"/>
    <w:p>
      <w:pPr>
        <w:ind w:right="5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its Net Sales of such Licensed Products on the same basis as if such sales were Net Sales by AstraZeneca, and AstraZeneca shall pay royalties to Ardelyx as if the Net Sales of the Sublicensee were Net Sales of AstraZeneca.</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9.9 Royalty Payments and Reports</w:t>
      </w:r>
      <w:r>
        <w:rPr>
          <w:rFonts w:ascii="Times New Roman" w:cs="Times New Roman" w:eastAsia="Times New Roman" w:hAnsi="Times New Roman"/>
          <w:sz w:val="18"/>
          <w:szCs w:val="18"/>
          <w:color w:val="auto"/>
        </w:rPr>
        <w:t>. The royalties payable under Section 9.5 shall be calculated quarterly as of the last day of March, June,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December respectively for the Calendar Quarter ending on that date. AstraZeneca shall deliver to Ardelyx a report summarizing the Net Sales of Licensed Products during each Calendar Quarter following the First Commercial Sale of a Licensed Product in the Territory. Such report shall be delivered within [***] following the end of each Calendar Quarter for which royalties are due from AstraZeneca. Any royalties payable to Ardelyx or its designee under this Agreement shall be paid [***] in the foregoing sentence of this Section 9.9.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9.10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64"/>
        <w:spacing w:after="0" w:line="252" w:lineRule="auto"/>
        <w:tabs>
          <w:tab w:leader="none" w:pos="70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royalties, milestones and other amounts payable by AstraZeneca to Ardelyx pursuant to this Agreement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shall not be reduced on account of Taxes unless required by Applicable Laws. AstraZeneca shall deduct or withhold from the Payments any Taxes that it is required by Applicable Laws to deduct or withhold. Notwithstanding the foregoing, if Ardelyx is entitled (whether under any applicable tax treaty or otherwise under Applicable Laws) to a reduction in the rate of, or the elimination of, withholding Tax, it may deliver to AstraZeneca or the appropriate governmental authority (with the assistance of AstraZeneca to the extent that this is reasonably required and is expressly requested in writing) the prescribed forms necessary to reduce the applicable rate of withholding or to relieve AstraZeneca of its obligation to withhold Tax, and AstraZeneca shall apply the reduced rate of withholding, or dispense with withholding, as the case may be, provided that AstraZeneca has received evidence, in a form reasonably satisfactory to AstraZeneca, of Ardelyx’s delivery of all applicable forms (and, if necessary, its receipt of appropriate governmental authorization) at least five (5) Business Days prior to the time that the Payments are due,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Ardelyx determines that it needs additional time to obtain such forms or authorization, Ardelyx may elect, by written notice to AstraZeneca, to delay the payment date for any applicable Payment in order to obtain such forms or governmental authorization. Any such delay in accordance with such notice shall not be considered a breach of this Agreement by AstraZeneca. If, in accordance with the foregoing, AstraZeneca withholds any Tax, it shall make timely payment to the proper Tax Authority of the withheld Tax, in accordance with Applicable Laws, and send to Ardelyx proof of such payment as soon as reasonably practicable following that payment. AstraZeneca agrees to take reasonable and lawful efforts to minimize such Taxes to Ardelyx. AstraZeneca shall cooperate with Ardelyx as reasonably requested in any claim for refund or application to any Tax Authority. If AstraZeneca intends to withhold Tax from any Payment, AstraZeneca shall inform Ardelyx reasonably in advance of making such Payment to permit Ardelyx an opportunity to provide any forms or information or obtain any Tax Authority approval as may be available to reduce or eliminate such withholding.</w:t>
      </w:r>
    </w:p>
    <w:p>
      <w:pPr>
        <w:spacing w:after="0" w:line="198" w:lineRule="exact"/>
        <w:rPr>
          <w:rFonts w:ascii="Times New Roman" w:cs="Times New Roman" w:eastAsia="Times New Roman" w:hAnsi="Times New Roman"/>
          <w:sz w:val="18"/>
          <w:szCs w:val="18"/>
          <w:color w:val="auto"/>
        </w:rPr>
      </w:pPr>
    </w:p>
    <w:p>
      <w:pPr>
        <w:ind w:right="260" w:firstLine="464"/>
        <w:spacing w:after="0" w:line="266" w:lineRule="auto"/>
        <w:tabs>
          <w:tab w:leader="none" w:pos="71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9.10 or elsewhere in this Agreement, the following shall apply with respect to Indirect Taxes. All Payments are exclusive of Indirect Taxes. If any Indirect Taxes are chargeable in respect of any Payments, AstraZeneca shall pay such Indirect Taxes at the applicable rate in respect of any such</w:t>
      </w:r>
    </w:p>
    <w:p>
      <w:pPr>
        <w:spacing w:after="0" w:line="104"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0" w:right="239" w:bottom="1440" w:gutter="0" w:footer="0" w:header="0"/>
        </w:sectPr>
      </w:pPr>
    </w:p>
    <w:bookmarkStart w:id="256" w:name="page257"/>
    <w:bookmarkEnd w:id="25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following the receipt, where applicable, of an Indirect Taxes invoice issued by Ardelyx in respect of those Payments, such Indirect Taxes to be payable on the due date of the payment of the Payments to which such Indirect Taxes relate or at the time such Indirect Taxes are required to be collected by Ardelyx, in the case of payment of Indirect Taxes to Ardelyx. The Parties shall issue invoices for all goods and services supplied under this Agreement consistent with Indirect Tax requirements, and to the extent any invoice is not initially issued in an appropriate form, AstraZeneca shall promptly inform Ardelyx and shall cooperate with Ardelyx to provide such information or assistance as may be necessary to enable the issuance of such invoice consistent with Indirect Tax requirements.</w:t>
      </w:r>
    </w:p>
    <w:p>
      <w:pPr>
        <w:spacing w:after="0" w:line="184" w:lineRule="exact"/>
        <w:rPr>
          <w:sz w:val="20"/>
          <w:szCs w:val="20"/>
          <w:color w:val="auto"/>
        </w:rPr>
      </w:pPr>
    </w:p>
    <w:p>
      <w:pPr>
        <w:jc w:val="both"/>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9.11 Payments or Reports by Affiliates</w:t>
      </w:r>
      <w:r>
        <w:rPr>
          <w:rFonts w:ascii="Times New Roman" w:cs="Times New Roman" w:eastAsia="Times New Roman" w:hAnsi="Times New Roman"/>
          <w:sz w:val="18"/>
          <w:szCs w:val="18"/>
          <w:color w:val="auto"/>
        </w:rPr>
        <w:t>. Any Payment required under any provision of this Agreement to be made to Ardelyx or any report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made by AstraZeneca shall be made by an Affiliate of AstraZeneca if such Affiliate is designated by AstraZeneca as the appropriate payer or reporting entity.</w:t>
      </w:r>
    </w:p>
    <w:p>
      <w:pPr>
        <w:spacing w:after="0" w:line="171"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9.12 Mode of Payment and Invoice Requirements</w:t>
      </w:r>
      <w:r>
        <w:rPr>
          <w:rFonts w:ascii="Times New Roman" w:cs="Times New Roman" w:eastAsia="Times New Roman" w:hAnsi="Times New Roman"/>
          <w:sz w:val="18"/>
          <w:szCs w:val="18"/>
          <w:color w:val="auto"/>
        </w:rPr>
        <w:t>. All payments set forth in this Article 9 shall be remitted by wire transfer to the bank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Ardelyx as designated in writing to AstraZeneca. All Payments hereunder shall be invoiced by Ardelyx. Each invoice shall fulfill the requirements set forth in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9.13 Payment Currency</w:t>
      </w:r>
      <w:r>
        <w:rPr>
          <w:rFonts w:ascii="Times New Roman" w:cs="Times New Roman" w:eastAsia="Times New Roman" w:hAnsi="Times New Roman"/>
          <w:sz w:val="18"/>
          <w:szCs w:val="18"/>
          <w:color w:val="auto"/>
        </w:rPr>
        <w:t>. Payments by AstraZeneca under this Agreement shall be paid to Ardelyx in U.S. dollars. For the purposes of computing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of Licensed Products sold in a currency other than U.S. dollars, such currency shall be converted from local currency to U.S. dollars by AstraZeneca in accordance with the rates of exchange for the relevant month for converting such other currency into U.S. dollars used by AstraZeneca’s internal accounting systems, which are independently audited on an annual basis.</w:t>
      </w:r>
    </w:p>
    <w:p>
      <w:pPr>
        <w:spacing w:after="0" w:line="17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9.14 Imports</w:t>
      </w:r>
      <w:r>
        <w:rPr>
          <w:rFonts w:ascii="Times New Roman" w:cs="Times New Roman" w:eastAsia="Times New Roman" w:hAnsi="Times New Roman"/>
          <w:sz w:val="18"/>
          <w:szCs w:val="18"/>
          <w:color w:val="auto"/>
        </w:rPr>
        <w:t>. For the avoidance of doubt, the Parties acknowledge and agree that none of the milestones or royalties payable under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license (or right) to import or any import of Licensed Products. The receiving Party shall be responsible for any import clearance, including payment of any import duties and similar charges, in connection with any Licensed Products transferred to such Party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spacing w:after="0" w:line="18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9.15 Discounted Sales</w:t>
      </w:r>
      <w:r>
        <w:rPr>
          <w:rFonts w:ascii="Times New Roman" w:cs="Times New Roman" w:eastAsia="Times New Roman" w:hAnsi="Times New Roman"/>
          <w:sz w:val="18"/>
          <w:szCs w:val="18"/>
          <w:color w:val="auto"/>
        </w:rPr>
        <w:t>. In the event that one or more Licensed Products is included as part of a package of products offered to customers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AstraZeneca, and discounts on packages including Licensed Products are offered independently in the Territory, AstraZeneca shall not discount the price of the Licensed Products sold as part of a package unreasonably compared to the discount AstraZeneca offers on prices of the other products included in such package.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270" w:right="279" w:bottom="1440" w:gutter="0" w:footer="0" w:header="0"/>
        </w:sectPr>
      </w:pPr>
    </w:p>
    <w:bookmarkStart w:id="257" w:name="page258"/>
    <w:bookmarkEnd w:id="2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ind w:right="280" w:firstLine="456"/>
        <w:spacing w:after="0" w:line="270" w:lineRule="auto"/>
        <w:rPr>
          <w:sz w:val="20"/>
          <w:szCs w:val="20"/>
          <w:color w:val="auto"/>
        </w:rPr>
      </w:pPr>
      <w:r>
        <w:rPr>
          <w:rFonts w:ascii="Times New Roman" w:cs="Times New Roman" w:eastAsia="Times New Roman" w:hAnsi="Times New Roman"/>
          <w:sz w:val="17"/>
          <w:szCs w:val="17"/>
          <w:b w:val="1"/>
          <w:bCs w:val="1"/>
          <w:color w:val="auto"/>
        </w:rPr>
        <w:t>10.1 Product Information</w:t>
      </w:r>
      <w:r>
        <w:rPr>
          <w:rFonts w:ascii="Times New Roman" w:cs="Times New Roman" w:eastAsia="Times New Roman" w:hAnsi="Times New Roman"/>
          <w:sz w:val="17"/>
          <w:szCs w:val="17"/>
          <w:color w:val="auto"/>
        </w:rPr>
        <w:t>. Ardelyx recognizes that by reason of, among other things, AstraZeneca’s status as an exclusive licensee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grants under Section 2.1, AstraZeneca has an interest in Ardelyx’s retention in confidence of information relating to the Licensed Compounds or Licensed Products, and the Exploitation thereof. Accordingly, until the expiration of AstraZeneca’s exclusive license with respect to the Licensed Compounds and Licensed Products, Ardelyx shall, and shall cause its Affiliates and their respective officers, directors, employees and agents to, keep confidential, and not publish or otherwise disclose, and not use directly or indirectly for any purpose other than to perform Ardelyx’s obligations under this Agreement, any</w:t>
      </w:r>
    </w:p>
    <w:p>
      <w:pPr>
        <w:spacing w:after="0" w:line="3" w:lineRule="exact"/>
        <w:rPr>
          <w:sz w:val="20"/>
          <w:szCs w:val="20"/>
          <w:color w:val="auto"/>
        </w:rPr>
      </w:pPr>
    </w:p>
    <w:p>
      <w:pPr>
        <w:ind w:right="140" w:firstLine="8"/>
        <w:spacing w:after="0" w:line="250" w:lineRule="auto"/>
        <w:tabs>
          <w:tab w:leader="none" w:pos="24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Documentation including any Regulatory Approvals with respect to any Licensed Compound or Licensed Product, (b) Information that is either Controlled by Ardelyx or provided to Ardelyx pursuant to this Agreement relating to Licensed Patents, Sole Program Know-How owned by Ardelyx, Joints Inventions or Ardelyx Sole Invention Patents, (c) Information that is either Controlled by Ardelyx or provided to Ardelyx pursuant to this Agreement relating to the Development, Manufacture or Commercialization of Licensed Compounds or Licensed Products, or to the Regulatory Documentation or Regulatory Approvals for Licensed Compounds or Licensed Products, including development, sales or marketing plans therefor (collectively, (a), (b), and</w:t>
      </w:r>
    </w:p>
    <w:p>
      <w:pPr>
        <w:spacing w:after="0" w:line="2" w:lineRule="exact"/>
        <w:rPr>
          <w:rFonts w:ascii="Times New Roman" w:cs="Times New Roman" w:eastAsia="Times New Roman" w:hAnsi="Times New Roman"/>
          <w:sz w:val="18"/>
          <w:szCs w:val="18"/>
          <w:color w:val="auto"/>
        </w:rPr>
      </w:pPr>
    </w:p>
    <w:p>
      <w:pPr>
        <w:ind w:right="20" w:firstLine="8"/>
        <w:spacing w:after="0" w:line="251" w:lineRule="auto"/>
        <w:tabs>
          <w:tab w:leader="none" w:pos="24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except, in each case, to the extent (i) the Product Information is in the public domain, prior to the Effective Date, or thereafter comes into the public domain through no fault of Ardelyx, its Affiliates or any of their respective officers, directors, employees or agents or (ii) the disclosure or use of such Product Information would be expressly permitted under Section 10.5 or is otherwise expressly authorized under this Agreement. For clarification, the disclosure or transfer by Ardelyx to AstraZeneca or by AstraZeneca to Ardelyx of any Product Information shall not cause such information to cease to be subject to the provisions of this Section 10.1. In the event this Agreement is terminated in its entirety or in a given country for any reason, this Section 10.1 shall as from the effective date of such termination have no continuing force or effect (provided that if such termination is with respect to one or several specific country(ies) only, then this Section 10.1 will have no continuing force or effect as to such specific country(ies)) and all Product Information shall be deemed to be Confidential Information of the Party that disclosed such Product Information, or on whose behalf such Product Information was disclosed, pursuant to this Agreement, for purposes of the surviving provisions of this Agreement.</w:t>
      </w:r>
    </w:p>
    <w:p>
      <w:pPr>
        <w:spacing w:after="0" w:line="19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10.2 Confidentiality General</w:t>
      </w:r>
      <w:r>
        <w:rPr>
          <w:rFonts w:ascii="Times New Roman" w:cs="Times New Roman" w:eastAsia="Times New Roman" w:hAnsi="Times New Roman"/>
          <w:sz w:val="18"/>
          <w:szCs w:val="18"/>
          <w:color w:val="auto"/>
        </w:rPr>
        <w:t>. Except as provided in Section 10.1 with respect to Product Information, the Parties agree that the Party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disclosed by or on behalf of the other Party pursuant to this Agreement shall, and shall cause its officers, directors, employees, agents, Affiliates and Sublicensees and other Persons to which a sublicense is granted, to, keep confidential and not publish or otherwise disclose or use for any purpose other than to conduct its activities under this Agreement or otherwise as expressly authorized by this Agreement any Confidential Information furnished to it by or on behalf of the other Party pursuant to this Agreement. For the avoidance of doubt, the treatment of Confidential Information that is also Product Information is governed by the terms of Section 10.1, while the treatment of Confidential Information that is not also Product Information is governed by this Section 10.2.</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266" w:right="279" w:bottom="1440" w:gutter="0" w:footer="0" w:header="0"/>
        </w:sectPr>
      </w:pPr>
    </w:p>
    <w:bookmarkStart w:id="258" w:name="page259"/>
    <w:bookmarkEnd w:id="258"/>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Exceptions</w:t>
      </w:r>
      <w:r>
        <w:rPr>
          <w:rFonts w:ascii="Times New Roman" w:cs="Times New Roman" w:eastAsia="Times New Roman" w:hAnsi="Times New Roman"/>
          <w:sz w:val="18"/>
          <w:szCs w:val="18"/>
          <w:color w:val="auto"/>
        </w:rPr>
        <w:t>. Notwithstanding the foregoing, the obligations set forth in Section 10.2 shall not apply in respect of Confidential Information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Product Information) to the extent that it can be established by the receiving Party that such Confidential Information: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was already known to the receiving Party, other than under an obligation of confidentiality, at the time of disclosure by or on behalf of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720" w:hanging="256"/>
        <w:spacing w:after="0"/>
        <w:tabs>
          <w:tab w:leader="none" w:pos="7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without use of the disclosing Party’s information, as evidenced by contemporaneous written records;</w:t>
      </w:r>
    </w:p>
    <w:p>
      <w:pPr>
        <w:spacing w:after="0" w:line="225" w:lineRule="exact"/>
        <w:rPr>
          <w:rFonts w:ascii="Times New Roman" w:cs="Times New Roman" w:eastAsia="Times New Roman" w:hAnsi="Times New Roman"/>
          <w:sz w:val="18"/>
          <w:szCs w:val="18"/>
          <w:color w:val="auto"/>
        </w:rPr>
      </w:pPr>
    </w:p>
    <w:p>
      <w:pPr>
        <w:ind w:right="40" w:firstLine="464"/>
        <w:spacing w:after="0" w:line="282" w:lineRule="auto"/>
        <w:tabs>
          <w:tab w:leader="none" w:pos="71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to the receiving Party and other than through any act or omission of the receiving Party in breach of this Agreement; or</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70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58"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10.4 Receipt of Third-Party Information and Materials</w:t>
      </w:r>
      <w:r>
        <w:rPr>
          <w:rFonts w:ascii="Times New Roman" w:cs="Times New Roman" w:eastAsia="Times New Roman" w:hAnsi="Times New Roman"/>
          <w:sz w:val="18"/>
          <w:szCs w:val="18"/>
          <w:color w:val="auto"/>
        </w:rPr>
        <w:t>. Neither Party shall knowingly receive documents relating to Licensed Products or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under an obligation of confidentiality to Third Parties that requires the Party receiving such documents to withhold access to the other Party without such Party’s written consent.</w:t>
      </w:r>
    </w:p>
    <w:p>
      <w:pPr>
        <w:spacing w:after="0" w:line="17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10.5 Authorized Disclosure</w:t>
      </w:r>
      <w:r>
        <w:rPr>
          <w:rFonts w:ascii="Times New Roman" w:cs="Times New Roman" w:eastAsia="Times New Roman" w:hAnsi="Times New Roman"/>
          <w:sz w:val="18"/>
          <w:szCs w:val="18"/>
          <w:color w:val="auto"/>
        </w:rPr>
        <w:t>. Ardelyx may disclose Product Information and each Party may disclose Confidential Information (other than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to the extent that such disclosure is: (a) required by law, order, or regulation of a government agency or a court of competent jurisdiction, or by the rules of a securities exchange, provided that the Party required to make such disclosure shall (i) give the other Party reasonable advance notice of and an opportunity to comment on any such required disclosure, (ii) if requested by the other Party, use Commercially Reasonable Efforts to obtain protective orders or any available limitations on or exemptions from such disclosure requirement where applicable and practicable; (b) made to a patent office for the purposes of filing or enforcing a Patent as permitted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reasonable measures shall be taken to assure confidential treatment of such information, to the extent such protection is available; (c) made by AstraZeneca or its Affiliates, Distributors, Sublicensees or other sublicensees or by Ardelyx (as expressly authorized under this Agreement or as necessary to conduct Ardelyx’s obligations under this Agreement) to a Regulatory Health Authority for the purposes of any filing, application or request for Regulatory Approval for Licensed Compounds or Licensed Products as permitted in this Agreement; (d) made to investment bankers, financial advisors, actual or potential Third Party partners, investors, licensees, sublicensees or acquirers of all or substantially all of the assets to which this Agreement relates; (e) made by AstraZeneca or its Affiliates, Distributors, Sublicensees, or other sublicensees to Third Parties as may be necessary or useful in connection with the Exploitation of the Licensed Compounds or Licensed Products as contemplated by this Agreement, including subcontracting or sublicensing transactions in connection therewith or (f)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266" w:right="259" w:bottom="1440" w:gutter="0" w:footer="0" w:header="0"/>
        </w:sectPr>
      </w:pPr>
    </w:p>
    <w:bookmarkStart w:id="259" w:name="page260"/>
    <w:bookmarkEnd w:id="25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by Ardelyx to Third Parties as may be necessary or useful in connection with its performance of its obligations under this Agreement; provided that with respect to disclosures as per subsection (d), (e), (f), or the following sentence,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 In addition (but without prejudice to) the above provisions, each Party shall be entitled to disclose, under a binder of confidentiality containing provisions as protective as those of this Article 10, Confidential Information to any Third Party for the purpose of carrying out activities authorized under this Agreement, including without limitation disclosures to Sublicensees or other sublicensees.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10.6 Survival</w:t>
      </w:r>
      <w:r>
        <w:rPr>
          <w:rFonts w:ascii="Times New Roman" w:cs="Times New Roman" w:eastAsia="Times New Roman" w:hAnsi="Times New Roman"/>
          <w:sz w:val="18"/>
          <w:szCs w:val="18"/>
          <w:color w:val="auto"/>
        </w:rPr>
        <w:t>. This Article 10 (other than Section 10.4) shall survive the termination or expiration of this Agreement for a period of ten (10) years.</w:t>
      </w:r>
    </w:p>
    <w:p>
      <w:pPr>
        <w:spacing w:after="0" w:line="2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10.7 Termination of Prior Agreements</w:t>
      </w:r>
      <w:r>
        <w:rPr>
          <w:rFonts w:ascii="Times New Roman" w:cs="Times New Roman" w:eastAsia="Times New Roman" w:hAnsi="Times New Roman"/>
          <w:sz w:val="18"/>
          <w:szCs w:val="18"/>
          <w:color w:val="auto"/>
        </w:rPr>
        <w:t>. This Agreement supersedes the Confidentiality Agreement between Ardelyx and AstraZeneca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22, 2011 (the “</w:t>
      </w:r>
      <w:r>
        <w:rPr>
          <w:rFonts w:ascii="Times New Roman" w:cs="Times New Roman" w:eastAsia="Times New Roman" w:hAnsi="Times New Roman"/>
          <w:sz w:val="18"/>
          <w:szCs w:val="18"/>
          <w:b w:val="1"/>
          <w:bCs w:val="1"/>
          <w:color w:val="auto"/>
        </w:rPr>
        <w:t>CDA</w:t>
      </w:r>
      <w:r>
        <w:rPr>
          <w:rFonts w:ascii="Times New Roman" w:cs="Times New Roman" w:eastAsia="Times New Roman" w:hAnsi="Times New Roman"/>
          <w:sz w:val="18"/>
          <w:szCs w:val="18"/>
          <w:color w:val="auto"/>
        </w:rPr>
        <w:t>”). All Information and Materials exchanged between the Parties under the CDA shall be deemed Product Information or (as the case may be) Confidential Information and shall be subject to the terms of this Article 10, and shall be included within the definitions of Licensed Know-How and AstraZeneca Background Know-How, as applicable.</w:t>
      </w:r>
    </w:p>
    <w:p>
      <w:pPr>
        <w:spacing w:after="0" w:line="177"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10.8 Publications</w:t>
      </w:r>
      <w:r>
        <w:rPr>
          <w:rFonts w:ascii="Times New Roman" w:cs="Times New Roman" w:eastAsia="Times New Roman" w:hAnsi="Times New Roman"/>
          <w:sz w:val="18"/>
          <w:szCs w:val="18"/>
          <w:color w:val="auto"/>
        </w:rPr>
        <w:t>. Except as required by law, Ardelyx agrees that it shall not publish or present any Product Information and each Party agrees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publish or present any Confidential Information of the other Party, (i) without the opportunity for prior review by the other Party and (ii) other than in compliance with this Section 10.8. Each Party shall provide to the other the opportunity to review any proposed publications or presentations (including without limitation information to be presented verbally) that relate to Licensed Compounds or Licensed Products as early as reasonably practical, but at least</w:t>
      </w:r>
    </w:p>
    <w:p>
      <w:pPr>
        <w:ind w:firstLine="8"/>
        <w:spacing w:after="0" w:line="251" w:lineRule="auto"/>
        <w:tabs>
          <w:tab w:leader="none" w:pos="43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their intended submission for publication or presentation and such submitting Party agrees, upon written request from the other Party within the Review Period (as defined below), not to submit such abstract or manuscript for publication or to make such presentation until the other Party agrees, which agreement shall not be unreasonably withheld. The other Party shall have [***] after its receipt of any such publication or presentation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to notify the submitting Party in writing of any specific objections to the intended publication or presentation. Each Party shall, in any such publication or presentation, delete from the proposed disclosure any Confidential Information and Materials of the other Party and [***]. Additionally, if the other Party notifies the submitting Party within the Review Period that the other Party objects to such disclosure on the basis that a patent application covering information contained in such disclosure should be filed prior to such disclosure, the submitting Party agrees to reasonably delay disclosure of the relevant information, for up to [***] after the other Party’s timely notification of its objection as per the above, or until such application has been filed, if earlier. Once any such abstract or manuscript is accepted for publication, the submitting Party will provide the other Party with a copy of the final version of the manuscript or abstract. The Parties agree that following the Completion of the IBS-C Study, the DCC shall determine whether or not, and to what extent, the results of the IBS-C Study shall be published. Additionally, and without limiting the provisions of this Section 10.8, AstraZeneca acknowledges Ardelyx’s intention to</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portions.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270" w:right="239" w:bottom="1440" w:gutter="0" w:footer="0" w:header="0"/>
        </w:sectPr>
      </w:pPr>
    </w:p>
    <w:bookmarkStart w:id="260" w:name="page261"/>
    <w:bookmarkEnd w:id="260"/>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prepare and submit publications relating to the subject matter disclosed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attached hereto, and AstraZeneca agrees not to unreasonably withhold, delay or condition consent for, or restrict, Ardelyx’s publication or presentation of such subject matter.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OWNERSHIP OF INTELLECTUAL PROPERTY AND PATENT RIGHTS</w:t>
      </w:r>
    </w:p>
    <w:p>
      <w:pPr>
        <w:spacing w:after="0" w:line="203"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11.1 Disclosure</w:t>
      </w:r>
      <w:r>
        <w:rPr>
          <w:rFonts w:ascii="Times New Roman" w:cs="Times New Roman" w:eastAsia="Times New Roman" w:hAnsi="Times New Roman"/>
          <w:sz w:val="18"/>
          <w:szCs w:val="18"/>
          <w:color w:val="auto"/>
        </w:rPr>
        <w:t>. During the Term, the Parties shall promptly disclose to one another all Joint Technology and Sole Program Know-How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patentable or not).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11.2 Ownership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64"/>
        <w:spacing w:after="0" w:line="282" w:lineRule="auto"/>
        <w:tabs>
          <w:tab w:leader="none" w:pos="70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AstraZeneca shall retain all rights, title and interest in and to any and all AstraZeneca Background Technology, subject only to the [***].</w:t>
      </w:r>
    </w:p>
    <w:p>
      <w:pPr>
        <w:spacing w:after="0" w:line="161" w:lineRule="exact"/>
        <w:rPr>
          <w:rFonts w:ascii="Times New Roman" w:cs="Times New Roman" w:eastAsia="Times New Roman" w:hAnsi="Times New Roman"/>
          <w:sz w:val="18"/>
          <w:szCs w:val="18"/>
          <w:color w:val="auto"/>
        </w:rPr>
      </w:pPr>
    </w:p>
    <w:p>
      <w:pPr>
        <w:ind w:firstLine="464"/>
        <w:spacing w:after="0" w:line="258" w:lineRule="auto"/>
        <w:tabs>
          <w:tab w:leader="none" w:pos="71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Inventorship of all inventions and Know-How conceived or made in the course of activities performed after the Effective Date in the course of the Parties’ performance under this Agreement shall be determined in accordance with the laws of inventorship of the United States. Subject to the licenses granted in Article 2 and to the other provisions of this Agreement, all such inventions and Know-How that are conceived or made solely by employees or independent contractors of one Party (“</w:t>
      </w:r>
      <w:r>
        <w:rPr>
          <w:rFonts w:ascii="Times New Roman" w:cs="Times New Roman" w:eastAsia="Times New Roman" w:hAnsi="Times New Roman"/>
          <w:sz w:val="18"/>
          <w:szCs w:val="18"/>
          <w:b w:val="1"/>
          <w:bCs w:val="1"/>
          <w:color w:val="auto"/>
        </w:rPr>
        <w:t>Sole Program Know-How</w:t>
      </w:r>
      <w:r>
        <w:rPr>
          <w:rFonts w:ascii="Times New Roman" w:cs="Times New Roman" w:eastAsia="Times New Roman" w:hAnsi="Times New Roman"/>
          <w:sz w:val="18"/>
          <w:szCs w:val="18"/>
          <w:color w:val="auto"/>
        </w:rPr>
        <w:t>”) shall be solely owned by the inventing Party, and any inventions and Know-How that are conceived or made jointly by employees or independent contractors of each Party will be owned jointly by the Parties (“</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464"/>
        <w:spacing w:after="0" w:line="255" w:lineRule="auto"/>
        <w:tabs>
          <w:tab w:leader="none" w:pos="70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permissible under Applicable Laws, each Party will cause each employee and contractor conducting work on such Party’s behalf under this Agreement to sign a contract that (i) compels prompt disclosure to such Party of all inventions and Know-How conceived or reduced to practice by such employee or contractor during any performance under this Agreement, (ii) automatically assigns to such Party all right, title and interest in and to all such inventions and Know-How and all Intellectual Property Rights therein, and (iii) obligates such persons to similar obligations of confidentiality as set forth in this Agreement. Each Party will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w:t>
      </w:r>
    </w:p>
    <w:p>
      <w:pPr>
        <w:spacing w:after="0" w:line="185"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11.3 Intellectual Property Working Group</w:t>
      </w:r>
      <w:r>
        <w:rPr>
          <w:rFonts w:ascii="Times New Roman" w:cs="Times New Roman" w:eastAsia="Times New Roman" w:hAnsi="Times New Roman"/>
          <w:sz w:val="18"/>
          <w:szCs w:val="18"/>
          <w:color w:val="auto"/>
        </w:rPr>
        <w:t>. The Parties shall, promptly after the Effective Date, establish an intellectual property working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at least one senior patent attorney from each Party (which may be a member of such Party’s outside legal team), together with business development personnel and such other representatives of the Parties as the Parties may determine to be appropriate from time to time, to manage and review the patent strategy for Licensed Patents, AstraZeneca Sole Invention Patents, Ardelyx [***] Patents and Joint Patents. The intellectual property working group will serve solely an advisory purpose and shall not have authority to approve or disapprove any actions with respect to patent filing, prosecution and maintenance under this Agreement.</w:t>
      </w:r>
    </w:p>
    <w:p>
      <w:pPr>
        <w:spacing w:after="0" w:line="115" w:lineRule="exact"/>
        <w:rPr>
          <w:sz w:val="20"/>
          <w:szCs w:val="20"/>
          <w:color w:val="auto"/>
        </w:rPr>
      </w:pPr>
    </w:p>
    <w:p>
      <w:pPr>
        <w:ind w:right="440" w:firstLine="8"/>
        <w:spacing w:after="0" w:line="262" w:lineRule="auto"/>
        <w:tabs>
          <w:tab w:leader="none" w:pos="348"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270" w:right="239"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 Prosecution and Maintenance of Patent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64"/>
        <w:spacing w:after="0" w:line="253" w:lineRule="auto"/>
        <w:tabs>
          <w:tab w:leader="none" w:pos="70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be primarily responsible for and control the preparation, filing, prosecution (including without limitation conducting any interferences, oppositions, reissue proceedings and reexaminations) and maintenance of Licensed Patents, AstraZeneca Sole Invention Patents and Joint Patents (collectively, the “</w:t>
      </w:r>
      <w:r>
        <w:rPr>
          <w:rFonts w:ascii="Times New Roman" w:cs="Times New Roman" w:eastAsia="Times New Roman" w:hAnsi="Times New Roman"/>
          <w:sz w:val="18"/>
          <w:szCs w:val="18"/>
          <w:b w:val="1"/>
          <w:bCs w:val="1"/>
          <w:color w:val="auto"/>
        </w:rPr>
        <w:t>AstraZeneca Controlled Patents</w:t>
      </w:r>
      <w:r>
        <w:rPr>
          <w:rFonts w:ascii="Times New Roman" w:cs="Times New Roman" w:eastAsia="Times New Roman" w:hAnsi="Times New Roman"/>
          <w:sz w:val="18"/>
          <w:szCs w:val="18"/>
          <w:color w:val="auto"/>
        </w:rPr>
        <w:t>”) using in-house patent attorneys or counsel reasonably acceptable to Ardelyx; provided that AstraZeneca shall provide Ardelyx with advance copies of, and a reasonable opportunity to comment upon, proposed patent filings, related prosecution strategies and proposed correspondence with patent officials or other Third Parties relating to any AstraZeneca Controlled Patents, and will consider comments received from Ardelyx with respect to such proposed filings, strategies and correspondence in good faith and will not unreasonably reject such comments. AstraZeneca agrees to discuss in good faith any changes reasonably requested by Ardelyx to such filings, strategies and correspondence promptly upon their being received. AstraZeneca agrees to implement any such recommended changes with the goal of optimizing overall patent protection for Licensed Compounds and Licensed Products, and Joint Technology, unless those changes would, in AstraZeneca’s reasonable belief, be detrimental to the issuance and validity of other Licensed Patents or other AstraZeneca Controlled Patents then being prosecuted by AstraZeneca. In any event, AstraZeneca will not finally abandon any claims and will not limit any claims that are specific to Licensed Compounds or Licensed Products without Ardelyx’s prior written consent.</w:t>
      </w:r>
    </w:p>
    <w:p>
      <w:pPr>
        <w:spacing w:after="0" w:line="19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will be primarily responsible for the preparation, filing, prosecution (including without limitation conducting any interferences,</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oppositions, reissue proceedings and reexaminations) and maintenance of the Ardelyx [***] Patents; provided that, Ardelyx shall provide AstraZeneca with advance copies of, and a reasonable opportunity to comment upon, proposed patent filings, related prosecution strategies and proposed correspondence with patent officials or other Third Parties relating to any Ardelyx [***] Patents, to the extent [***]. Ardelyx, in the course of such activities, will consider comments received from AstraZeneca with respect to such proposed filings, strategies and correspondence in good faith and will not unreasonably reject such comments to the extent such comments could reasonably be deemed to impact Licensed Compounds or Licensed Products. Ardelyx agrees to discuss in good faith any changes reasonably requested by AstraZeneca to such filings, strategies and correspondence promptly upon their being received. Ardelyx agrees to implement any such recommended changes with the goal of optimizing overall patent protection for Licensed Compounds and Licensed Products. In any event, Ardelyx will not finally abandon any claims and will not limit any claims that are specific to Licensed Compounds or Licensed Products without AstraZeneca’s prior written consent.</w:t>
      </w:r>
    </w:p>
    <w:p>
      <w:pPr>
        <w:spacing w:after="0" w:line="194" w:lineRule="exact"/>
        <w:rPr>
          <w:rFonts w:ascii="Times New Roman" w:cs="Times New Roman" w:eastAsia="Times New Roman" w:hAnsi="Times New Roman"/>
          <w:sz w:val="18"/>
          <w:szCs w:val="18"/>
          <w:color w:val="auto"/>
        </w:rPr>
      </w:pPr>
    </w:p>
    <w:p>
      <w:pPr>
        <w:ind w:firstLine="464"/>
        <w:spacing w:after="0" w:line="256" w:lineRule="auto"/>
        <w:tabs>
          <w:tab w:leader="none" w:pos="70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responsible for prosecuting Patents pursuant to Sections 11.4(a) or 11.4(b) shall provide all documentation it is required to provide pursuant to such Sections so as to provide the other Party a reasonable opportunity to review and comment thereon in advance of filing. A Party providing comments in accordance with Section 11.4(a) or 11.4(b) 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 information in confidence pursuant to Article 10, except (for the avoidance of doubt) for patent applications that have been published and official correspondence that is publicly available.</w:t>
      </w:r>
    </w:p>
    <w:p>
      <w:pPr>
        <w:spacing w:after="0" w:line="115"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66" w:right="239" w:bottom="1440" w:gutter="0" w:footer="0" w:header="0"/>
        </w:sectPr>
      </w:pPr>
    </w:p>
    <w:bookmarkStart w:id="262" w:name="page263"/>
    <w:bookmarkEnd w:id="262"/>
    <w:p>
      <w:pPr>
        <w:jc w:val="both"/>
        <w:ind w:left="-8" w:right="320" w:firstLine="464"/>
        <w:spacing w:after="0" w:line="266" w:lineRule="auto"/>
        <w:tabs>
          <w:tab w:leader="none" w:pos="70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as described in Section 11.4(e) and 11.4(f) below, after the Effective Date, the Party prosecuting patent applications and maintaining Patents pursuant to this Section 11.4 shall be solely responsible for all costs and expenses associated with the filing, prosecution and maintenance of such Patents.</w:t>
      </w:r>
    </w:p>
    <w:p>
      <w:pPr>
        <w:spacing w:after="0" w:line="176" w:lineRule="exact"/>
        <w:rPr>
          <w:rFonts w:ascii="Times New Roman" w:cs="Times New Roman" w:eastAsia="Times New Roman" w:hAnsi="Times New Roman"/>
          <w:sz w:val="18"/>
          <w:szCs w:val="18"/>
          <w:color w:val="auto"/>
        </w:rPr>
      </w:pPr>
    </w:p>
    <w:p>
      <w:pPr>
        <w:ind w:left="-8" w:right="100" w:firstLine="464"/>
        <w:spacing w:after="0" w:line="255" w:lineRule="auto"/>
        <w:tabs>
          <w:tab w:leader="none" w:pos="69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decides not to file, prosecute or maintain an AstraZeneca Controlled Patent pursuant to Section 11.4(a), it shall give Ardelyx reasonable notice to that effect sufficiently in advance of any deadline for any filing with respect to such Patent to permit Ardelyx to carry out such activity. After receiving such notice, Ardelyx may elect by written notice to AstraZeneca within [***] after receiving such notice from AstraZeneca to file, prosecute and maintain the relevant Patent, at its sole cost and expense. For the avoidance of doubt, where AstraZeneca is in receipt of an official action with a shortened response deadline of [***] or less, AstraZeneca will communicate such notice to Ardelyx as soon as possible and Ardelyx may make its election (pursuant to the foregoing sentence) no later than [***] prior to the deadline. If Ardelyx does so elect, then AstraZeneca shall cooperate with Ardelyx as necessary to enable Ardelyx to perform such acts as may be reasonably necessary for Ardelyx to file, prosecute or maintain such Patent, including the execution and filing of appropriate instruments and to facilitate the transition of such patent activities to Ardelyx.</w:t>
      </w:r>
    </w:p>
    <w:p>
      <w:pPr>
        <w:spacing w:after="0" w:line="185" w:lineRule="exact"/>
        <w:rPr>
          <w:rFonts w:ascii="Times New Roman" w:cs="Times New Roman" w:eastAsia="Times New Roman" w:hAnsi="Times New Roman"/>
          <w:sz w:val="18"/>
          <w:szCs w:val="18"/>
          <w:color w:val="auto"/>
        </w:rPr>
      </w:pPr>
    </w:p>
    <w:p>
      <w:pPr>
        <w:jc w:val="both"/>
        <w:ind w:left="-8" w:right="140" w:firstLine="464"/>
        <w:spacing w:after="0" w:line="258" w:lineRule="auto"/>
        <w:tabs>
          <w:tab w:leader="none" w:pos="67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decides not to file, prosecute or maintain an Ardelyx [***] Patent pursuant to 11.4(b), it shall, to the extent [***], give AstraZeneca reasonable notice to that effect sufficiently in advance of any deadline for any filing with respect to such Patent to permit AstraZeneca to carry out such activity. After such notice, AstraZeneca may file, prosecute and maintain the Patent, at its sole cost and expense. If AstraZeneca does so elect, then Ardelyx shall cooperate with AstraZeneca to enable AstraZeneca to perform such acts as may be reasonably necessary for AstraZeneca to file, prosecute or maintain such Patent, including the execution and filing of appropriate instruments and to facilitate the transition of such patent activities to AstraZeneca.</w:t>
      </w:r>
    </w:p>
    <w:p>
      <w:pPr>
        <w:spacing w:after="0" w:line="183" w:lineRule="exact"/>
        <w:rPr>
          <w:rFonts w:ascii="Times New Roman" w:cs="Times New Roman" w:eastAsia="Times New Roman" w:hAnsi="Times New Roman"/>
          <w:sz w:val="18"/>
          <w:szCs w:val="18"/>
          <w:color w:val="auto"/>
        </w:rPr>
      </w:pPr>
    </w:p>
    <w:p>
      <w:pPr>
        <w:ind w:left="-8" w:firstLine="464"/>
        <w:spacing w:after="0" w:line="261" w:lineRule="auto"/>
        <w:tabs>
          <w:tab w:leader="none" w:pos="70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be responsible for and control, but shall confer with Ardelyx in, the selection of the appropriate AstraZeneca Controlled Patents as listed in the patent information section of the Drug Approval Application for Licensed Products for filing to obtain a Patent Term Extension (“</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pursuant to all Applicable Laws, including without limitation supplementary protection certificates and any other extensions that are now or become available in the future wherever applicable to AstraZeneca Controlled Patents that are applicable to the Licensed Product.</w:t>
      </w:r>
    </w:p>
    <w:p>
      <w:pPr>
        <w:spacing w:after="0" w:line="180" w:lineRule="exact"/>
        <w:rPr>
          <w:rFonts w:ascii="Times New Roman" w:cs="Times New Roman" w:eastAsia="Times New Roman" w:hAnsi="Times New Roman"/>
          <w:sz w:val="18"/>
          <w:szCs w:val="18"/>
          <w:color w:val="auto"/>
        </w:rPr>
      </w:pPr>
    </w:p>
    <w:p>
      <w:pPr>
        <w:jc w:val="both"/>
        <w:ind w:left="-8" w:right="240" w:firstLine="464"/>
        <w:spacing w:after="0" w:line="266" w:lineRule="auto"/>
        <w:tabs>
          <w:tab w:leader="none" w:pos="70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(a) provide to AstraZeneca all Information, including a correct and complete list of all Patents covering the Licensed Product(s) or otherwise necessary or reasonably useful to enable AstraZeneca to make filings with Regulatory Health Authorities with respect to the Licensed Patents or Ardelyx [***] Patents (to the extent [***]</w:t>
      </w:r>
    </w:p>
    <w:p>
      <w:pPr>
        <w:spacing w:after="0" w:line="104" w:lineRule="exact"/>
        <w:rPr>
          <w:rFonts w:ascii="Times New Roman" w:cs="Times New Roman" w:eastAsia="Times New Roman" w:hAnsi="Times New Roman"/>
          <w:sz w:val="18"/>
          <w:szCs w:val="18"/>
          <w:color w:val="auto"/>
        </w:rPr>
      </w:pPr>
    </w:p>
    <w:p>
      <w:pPr>
        <w:ind w:left="-8" w:right="400" w:firstLine="8"/>
        <w:spacing w:after="0" w:line="262" w:lineRule="auto"/>
        <w:tabs>
          <w:tab w:leader="none" w:pos="3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72"/>
          </w:cols>
          <w:pgMar w:left="248" w:top="270" w:right="279" w:bottom="1440" w:gutter="0" w:footer="0" w:header="0"/>
        </w:sectPr>
      </w:pPr>
    </w:p>
    <w:bookmarkStart w:id="263" w:name="page264"/>
    <w:bookmarkEnd w:id="263"/>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including as required or allowed in connection with (i) in the United States, the FDA’s Orange Book and (ii) outside the United States, under the national implementations of Section 10.1(a)(iii) of Directive 2001/EC/83 or other international equivalents, and (b) cooperate with AstraZeneca at AstraZeneca’s reasonable request in connection therewith, including meeting any submission deadlines, in each case, to the extent required or permitted by Applicable Laws. Promptly after the Effective Date and not less than [***] prior to any subsequent deadline with respect to the foregoing, the Parties shall discuss and identify those Patents claiming or covering the Licensed Product and the process of review of such Patents for submission to the applicable Health Regulatory Authorities. AstraZeneca shall have the right, at its sole discretion, to submit or de-list any Licensed Patent with respect to any Health Regulatory Authority without prior notice to or approval from Ardelyx.</w:t>
      </w:r>
    </w:p>
    <w:p>
      <w:pPr>
        <w:spacing w:after="0" w:line="189" w:lineRule="exact"/>
        <w:rPr>
          <w:sz w:val="20"/>
          <w:szCs w:val="20"/>
          <w:color w:val="auto"/>
        </w:rPr>
      </w:pPr>
    </w:p>
    <w:p>
      <w:pPr>
        <w:ind w:firstLine="464"/>
        <w:spacing w:after="0" w:line="258" w:lineRule="auto"/>
        <w:tabs>
          <w:tab w:leader="none" w:pos="67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11, neither Party shall have the right to make an election under the Cooperative Research and Technology Enhancement Act of 2004, 35 U.S.C.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when exercising its rights under this Article 11 without the prior written consent of the other Party. With respect to any such permitted election, the Parties shall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spacing w:after="0" w:line="18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11.5 Third-Party Patent Rights</w:t>
      </w:r>
      <w:r>
        <w:rPr>
          <w:rFonts w:ascii="Times New Roman" w:cs="Times New Roman" w:eastAsia="Times New Roman" w:hAnsi="Times New Roman"/>
          <w:sz w:val="18"/>
          <w:szCs w:val="18"/>
          <w:color w:val="auto"/>
        </w:rPr>
        <w:t>. Except as otherwise provided in Article 12, neither Party makes any warranty with respect to the validity, perfection,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dominance of any Patent or proprietary right or with respect to the absence of rights in Third Parties which may be infringed by the manufacture or sale of any Licensed Compound or Licensed Product. Each Party agrees to bring to the attention of the other Party any Patent it discovers, or had discovered, and which relates to the subject matter of this Agreement.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11.6 Enforcement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Infringement by Third Parties in the Territory</w:t>
      </w:r>
    </w:p>
    <w:p>
      <w:pPr>
        <w:spacing w:after="0" w:line="121" w:lineRule="exact"/>
        <w:rPr>
          <w:rFonts w:ascii="Times New Roman" w:cs="Times New Roman" w:eastAsia="Times New Roman" w:hAnsi="Times New Roman"/>
          <w:sz w:val="18"/>
          <w:szCs w:val="18"/>
          <w:color w:val="auto"/>
        </w:rPr>
      </w:pPr>
    </w:p>
    <w:p>
      <w:pPr>
        <w:ind w:left="460" w:right="180" w:firstLine="443"/>
        <w:spacing w:after="0" w:line="261" w:lineRule="auto"/>
        <w:tabs>
          <w:tab w:leader="none" w:pos="1113"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first having knowledge that any AstraZeneca Controlled Patent or Ardelyx [***] Patent, in each case, claiming or covering inventions that are necessary or useful to Exploit a Licensed Compound or Licensed Product is infringed or misappropriated by a Third Party in any country in the Territory shall promptly notify the other Party thereof in writing. Such notice shall set forth the facts of that infringement in reasonable detail. The intellectual property working group shall promptly confer to discuss any such actual or alleged infringement.</w:t>
      </w:r>
    </w:p>
    <w:p>
      <w:pPr>
        <w:spacing w:after="0" w:line="71" w:lineRule="exact"/>
        <w:rPr>
          <w:rFonts w:ascii="Times New Roman" w:cs="Times New Roman" w:eastAsia="Times New Roman" w:hAnsi="Times New Roman"/>
          <w:sz w:val="18"/>
          <w:szCs w:val="18"/>
          <w:color w:val="auto"/>
        </w:rPr>
      </w:pPr>
    </w:p>
    <w:p>
      <w:pPr>
        <w:ind w:left="460" w:right="20" w:firstLine="443"/>
        <w:spacing w:after="0" w:line="266" w:lineRule="auto"/>
        <w:tabs>
          <w:tab w:leader="none" w:pos="1163"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have the first right, but not the obligation, to institute, prosecute, and control any action or proceeding or negotiation of any settlements with respect to any infringement of AstraZeneca Controlled Patents, or to the extent [***], the Ardelyx [***] Patents, described in Section 11.6(a)(i) arising by the manufacture, use or sale of products competitive with</w:t>
      </w:r>
    </w:p>
    <w:p>
      <w:pPr>
        <w:spacing w:after="0" w:line="104"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270" w:right="259" w:bottom="1440" w:gutter="0" w:footer="0" w:header="0"/>
        </w:sectPr>
      </w:pPr>
    </w:p>
    <w:bookmarkStart w:id="264" w:name="page265"/>
    <w:bookmarkEnd w:id="2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Licensed Compounds or Licensed Products (“</w:t>
      </w:r>
      <w:r>
        <w:rPr>
          <w:rFonts w:ascii="Times New Roman" w:cs="Times New Roman" w:eastAsia="Times New Roman" w:hAnsi="Times New Roman"/>
          <w:sz w:val="18"/>
          <w:szCs w:val="18"/>
          <w:b w:val="1"/>
          <w:bCs w:val="1"/>
          <w:color w:val="auto"/>
        </w:rPr>
        <w:t>Competitive Product Infringement</w:t>
      </w:r>
      <w:r>
        <w:rPr>
          <w:rFonts w:ascii="Times New Roman" w:cs="Times New Roman" w:eastAsia="Times New Roman" w:hAnsi="Times New Roman"/>
          <w:sz w:val="18"/>
          <w:szCs w:val="18"/>
          <w:color w:val="auto"/>
        </w:rPr>
        <w:t xml:space="preserve">”) by counsel of its own choice (with Ardelyx having the right to participate in such action or negotiations at its expense and be represented if it so desires by counsel of its own choice). If necessary, Ardelyx agrees in any such action to be joined as a party plaintiff and to give AstraZeneca reasonable assistance and any needed authority to control, file, and to prosecute such action, at AstraZeneca’s expense. If AstraZeneca elects not to institute and prosecute an action or proceeding or to conduct such negotiation to abate such infringement as provided above, within a period of [***] after the intellectual property working group first discusses such infringement, then AstraZeneca will discuss with Ardelyx the reasons for this decision. Unless during such discussion, AstraZeneca reasonably demonstrates why enforcing such AstraZeneca Controlled Patent to abate such infringement is likely to have a material adverse effect on the potential sales of or market for Licensed Products, within or outside the relevant country or territory, Ardelyx shall have the right, but not the obligation, to institute, prosecute, and control any such action by counsel reasonably acceptable to AstraZeneca. In such case, AstraZeneca agrees to be joined as a party plaintiff and to give Ardelyx reasonable assistance and all authority to control, file, and prosecute the suit as may be necessary;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AstraZeneca shall have the right to participate at its expense in such action and be represented if it so desires by counsel of its own choice. Notwithstanding the foregoing, if AstraZeneca is conducting good faith negotiations regarding a potential settlement of any such infringement upon expiration of such [***] period, Ardelyx shall not be entitled to institute, prosecute, and control such action until [***] following the date that such negotiations are no longer continuing or are terminated. Notwithstanding the foregoing, AstraZeneca may extend either of the foregoing [***] periods referenced in this Section 11.6(a)(ii) for an additional [***] with Ardelyx’s consent, which consent shall not be unreasonably withheld, delayed or conditioned. If the Party responsible for an action under this Section 11.6(a)(ii) (a “</w:t>
      </w:r>
      <w:r>
        <w:rPr>
          <w:rFonts w:ascii="Times New Roman" w:cs="Times New Roman" w:eastAsia="Times New Roman" w:hAnsi="Times New Roman"/>
          <w:sz w:val="18"/>
          <w:szCs w:val="18"/>
          <w:b w:val="1"/>
          <w:bCs w:val="1"/>
          <w:color w:val="auto"/>
        </w:rPr>
        <w:t>Responsible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brings any such action or proceeding hereunder, the other Party agrees to be joined as a party plaintiff and to give the Responsible Party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assistance and authority to control, file, and prosecute the suit as necessary. No settlement or consent judgment or other voluntary final disposition of a suit under this Section 11.6(a)(ii) may be entered into without the joint consent of Ardelyx and AstraZeneca, which consent shall not be withheld, delayed or conditioned unreasonably.</w:t>
      </w:r>
    </w:p>
    <w:p>
      <w:pPr>
        <w:spacing w:after="0" w:line="88" w:lineRule="exact"/>
        <w:rPr>
          <w:sz w:val="20"/>
          <w:szCs w:val="20"/>
          <w:color w:val="auto"/>
        </w:rPr>
      </w:pPr>
    </w:p>
    <w:p>
      <w:pPr>
        <w:ind w:left="460" w:right="80" w:firstLine="443"/>
        <w:spacing w:after="0" w:line="256" w:lineRule="auto"/>
        <w:tabs>
          <w:tab w:leader="none" w:pos="121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costs that are incurred by the Party bringing suit under Section 11.6(a)(ii) with respect to a Licensed Product in the Territory (including without limitation the internal costs and expenses specifically attributable to such suit) shall be reimbursed first out of any damages or other monetary awards recovered in favor of the Parties. If such recovery is insufficient to reimburse the Parties’ costs, then each Party shall receive a pro rata portion of the recovery based on such Party’s costs relative to all costs incurred by the Parties in such action. If AstraZeneca is the Party bringing suit, any remaining damages shall be deemed Net Sales for the purposes of Section 9.5. If Ardelyx is the Party bringing suit, [***] of any remaining damages shall be distributed to Ardelyx, and [***] shall be distributed to AstraZeneca.</w:t>
      </w:r>
    </w:p>
    <w:p>
      <w:pPr>
        <w:spacing w:after="0" w:line="115"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266" w:right="259" w:bottom="1440" w:gutter="0" w:footer="0" w:header="0"/>
        </w:sectPr>
      </w:pPr>
    </w:p>
    <w:bookmarkStart w:id="265" w:name="page266"/>
    <w:bookmarkEnd w:id="265"/>
    <w:p>
      <w:pPr>
        <w:ind w:left="-20" w:right="100" w:firstLine="464"/>
        <w:spacing w:after="0" w:line="255" w:lineRule="auto"/>
        <w:tabs>
          <w:tab w:leader="none" w:pos="69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Defense and Settlement of Third-Party Claims Against Licensed Products</w:t>
      </w:r>
      <w:r>
        <w:rPr>
          <w:rFonts w:ascii="Times New Roman" w:cs="Times New Roman" w:eastAsia="Times New Roman" w:hAnsi="Times New Roman"/>
          <w:sz w:val="18"/>
          <w:szCs w:val="18"/>
          <w:color w:val="auto"/>
        </w:rPr>
        <w:t>. If a Third Party asserts that a Patent or other right owned by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infringed by the Development, Manufacture, or Commercialization of any Licensed Compound or Licensed Product, the Party first obtaining knowledge of such a claim shall immediately provide the other Party written notice of such claim and the related facts in reasonable detail. In such event, the intellectual property working group shall discuss how best to control the defense of any such claim. In the event the Parties cannot agree on the defense of any such claim, such defense shall be controlled by AstraZeneca; provided that Ardelyx shall have the right to participate in such defense and to be represented in any such action by counsel of its selection at its sole discretion. The entity that controls the defense of a given claim (whether Ardelyx and AstraZeneca or AstraZeneca) with respect to a Licensed Product, shall also have the right to control settlement of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settlement of any action or suit shall be entered into without the written consent of the other Party, which consent shall not be withheld, delayed or conditioned unreasonably.</w:t>
      </w:r>
    </w:p>
    <w:p>
      <w:pPr>
        <w:spacing w:after="0" w:line="185" w:lineRule="exact"/>
        <w:rPr>
          <w:rFonts w:ascii="Times New Roman" w:cs="Times New Roman" w:eastAsia="Times New Roman" w:hAnsi="Times New Roman"/>
          <w:sz w:val="18"/>
          <w:szCs w:val="18"/>
          <w:color w:val="auto"/>
        </w:rPr>
      </w:pPr>
    </w:p>
    <w:p>
      <w:pPr>
        <w:ind w:left="-20" w:right="140" w:firstLine="464"/>
        <w:spacing w:after="0" w:line="286" w:lineRule="auto"/>
        <w:tabs>
          <w:tab w:leader="none" w:pos="68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Allocation of Expenses Incurred Pursuant to Section 11.6(b) or 11.6(d)</w:t>
      </w:r>
      <w:r>
        <w:rPr>
          <w:rFonts w:ascii="Times New Roman" w:cs="Times New Roman" w:eastAsia="Times New Roman" w:hAnsi="Times New Roman"/>
          <w:sz w:val="18"/>
          <w:szCs w:val="18"/>
          <w:color w:val="auto"/>
        </w:rPr>
        <w:t>. The expenses of patent defense, settlement, and judgments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11.6(b) or any action pursuant to Section 11.6(d) shall be borne solely by AstraZeneca.</w:t>
      </w:r>
    </w:p>
    <w:p>
      <w:pPr>
        <w:spacing w:after="0" w:line="154" w:lineRule="exact"/>
        <w:rPr>
          <w:rFonts w:ascii="Times New Roman" w:cs="Times New Roman" w:eastAsia="Times New Roman" w:hAnsi="Times New Roman"/>
          <w:sz w:val="18"/>
          <w:szCs w:val="18"/>
          <w:color w:val="auto"/>
        </w:rPr>
      </w:pPr>
    </w:p>
    <w:p>
      <w:pPr>
        <w:ind w:left="-20" w:right="20" w:firstLine="464"/>
        <w:spacing w:after="0" w:line="259" w:lineRule="auto"/>
        <w:tabs>
          <w:tab w:leader="none" w:pos="69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Third-Party Claims for Infringement in the Territory; Payment of Third-Party Royalties</w:t>
      </w:r>
      <w:r>
        <w:rPr>
          <w:rFonts w:ascii="Times New Roman" w:cs="Times New Roman" w:eastAsia="Times New Roman" w:hAnsi="Times New Roman"/>
          <w:sz w:val="18"/>
          <w:szCs w:val="18"/>
          <w:color w:val="auto"/>
        </w:rPr>
        <w:t>. If a Third Party asserts that a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right owned by it is infringed by the Development, Manufacture, or Commercialization or other Exploitation of any Licensed Compound or Licensed Product, and as a result of settlement procedures or litigation under Section 11.6(b), AstraZeneca is required to pay the Third Party a royalty or make any payment of any kind for the right to sell a Licensed Product in a particular country, such expense shall be borne solely by AstraZeneca, subject to any applicable reductions under Section 9.5(j).</w:t>
      </w:r>
    </w:p>
    <w:p>
      <w:pPr>
        <w:spacing w:after="0" w:line="179" w:lineRule="exact"/>
        <w:rPr>
          <w:rFonts w:ascii="Times New Roman" w:cs="Times New Roman" w:eastAsia="Times New Roman" w:hAnsi="Times New Roman"/>
          <w:sz w:val="18"/>
          <w:szCs w:val="18"/>
          <w:color w:val="auto"/>
        </w:rPr>
      </w:pPr>
    </w:p>
    <w:p>
      <w:pPr>
        <w:ind w:left="-20" w:right="20" w:firstLine="464"/>
        <w:spacing w:after="0" w:line="256" w:lineRule="auto"/>
        <w:tabs>
          <w:tab w:leader="none" w:pos="68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Oppositions by Parties</w:t>
      </w:r>
      <w:r>
        <w:rPr>
          <w:rFonts w:ascii="Times New Roman" w:cs="Times New Roman" w:eastAsia="Times New Roman" w:hAnsi="Times New Roman"/>
          <w:sz w:val="18"/>
          <w:szCs w:val="18"/>
          <w:color w:val="auto"/>
        </w:rPr>
        <w:t>. If either Party desires to bring an opposition, action for declaratory judgment, nullity action, interference, reexamination,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attack upon the validity, title, or enforceability of any Patents Controlled by a Third Party that cover the Manufacture, use, or sale or other Exploitation of any Licensed Compound or Licensed Product, such Party shall so notify the other Party in writing, and the Parties shall promptly confer to discuss whether to bring such action or the manner in which to settle such action and AstraZeneca shall be entitled to determine the matter after having taken any reasonable views presented by Ardelyx into due consideration. The Party not bringing an action under this Section 11.6(e) shall be entitled to separate representation in such proceeding by counsel of its own choice and at its own expense, and shall otherwise cooperate fully with the Party bringing such action at the other Party’s expense.</w:t>
      </w:r>
    </w:p>
    <w:p>
      <w:pPr>
        <w:spacing w:after="0" w:line="183" w:lineRule="exact"/>
        <w:rPr>
          <w:rFonts w:ascii="Times New Roman" w:cs="Times New Roman" w:eastAsia="Times New Roman" w:hAnsi="Times New Roman"/>
          <w:sz w:val="18"/>
          <w:szCs w:val="18"/>
          <w:color w:val="auto"/>
        </w:rPr>
      </w:pPr>
    </w:p>
    <w:p>
      <w:pPr>
        <w:ind w:left="-20" w:firstLine="464"/>
        <w:spacing w:after="0" w:line="259" w:lineRule="auto"/>
        <w:tabs>
          <w:tab w:leader="none" w:pos="66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Oppositions by Third Parties</w:t>
      </w:r>
      <w:r>
        <w:rPr>
          <w:rFonts w:ascii="Times New Roman" w:cs="Times New Roman" w:eastAsia="Times New Roman" w:hAnsi="Times New Roman"/>
          <w:sz w:val="18"/>
          <w:szCs w:val="18"/>
          <w:color w:val="auto"/>
        </w:rPr>
        <w:t>. If any Patent becomes the subject of any proceeding commenced by a Third Party in connection with an opposition,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reexamination request, action for declaratory judgment, nullity action, interference, or other attack upon the validity, title, or enforceability thereof, then the Party having the right to prosecute such Patent at such time pursuant to Section 11.4 shall control such defense, at its sole cost. The prosecuting Party shall permit the non-prosecuting Party to participate in the proceeding to the extent permissible under Applicable Laws, and to be represented by its own counsel in such proceeding,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60" w:top="266" w:right="259" w:bottom="1440" w:gutter="0" w:footer="0" w:header="0"/>
        </w:sectPr>
      </w:pPr>
    </w:p>
    <w:bookmarkStart w:id="266" w:name="page267"/>
    <w:bookmarkEnd w:id="26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non-prosecuting Party’s expense. If either Party decides that it does not wish to defend against such action, then the other Party shall have a backup right to assume defense of such Third Party action at its own expense. Any awards or amounts received in defending any such Third Party action shall be allocated based on the percentage of costs incurred by the Parties in defending such action. Any recoveries obtained in such action shall be shared, as set forth in Section 11.6(a)(iii).</w:t>
      </w:r>
    </w:p>
    <w:p>
      <w:pPr>
        <w:spacing w:after="0" w:line="176" w:lineRule="exact"/>
        <w:rPr>
          <w:sz w:val="20"/>
          <w:szCs w:val="20"/>
          <w:color w:val="auto"/>
        </w:rPr>
      </w:pPr>
    </w:p>
    <w:p>
      <w:pPr>
        <w:ind w:right="120" w:firstLine="464"/>
        <w:spacing w:after="0" w:line="268" w:lineRule="auto"/>
        <w:tabs>
          <w:tab w:leader="none" w:pos="7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Protective Order</w:t>
      </w:r>
      <w:r>
        <w:rPr>
          <w:rFonts w:ascii="Times New Roman" w:cs="Times New Roman" w:eastAsia="Times New Roman" w:hAnsi="Times New Roman"/>
          <w:sz w:val="18"/>
          <w:szCs w:val="18"/>
          <w:color w:val="auto"/>
        </w:rPr>
        <w:t>. If, in any action brought pursuant to this Section 11.6, any information is the subject of a protective order that may be 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counsel only, the Parties will endeavor to structure such protective order so as to enable their respective internal counsel to be included as permitted reviewers of such information.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11.7 Trademarks, Packaging and Labeling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64"/>
        <w:spacing w:after="0" w:line="258" w:lineRule="auto"/>
        <w:tabs>
          <w:tab w:leader="none" w:pos="70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have the right to select the trademarks to be used specifically for the marketing and sale of all Licensed Products in the Territory (each a “</w:t>
      </w:r>
      <w:r>
        <w:rPr>
          <w:rFonts w:ascii="Times New Roman" w:cs="Times New Roman" w:eastAsia="Times New Roman" w:hAnsi="Times New Roman"/>
          <w:sz w:val="18"/>
          <w:szCs w:val="18"/>
          <w:b w:val="1"/>
          <w:bCs w:val="1"/>
          <w:color w:val="auto"/>
        </w:rPr>
        <w:t>Product Trademark</w:t>
      </w:r>
      <w:r>
        <w:rPr>
          <w:rFonts w:ascii="Times New Roman" w:cs="Times New Roman" w:eastAsia="Times New Roman" w:hAnsi="Times New Roman"/>
          <w:sz w:val="18"/>
          <w:szCs w:val="18"/>
          <w:color w:val="auto"/>
        </w:rPr>
        <w:t>”). AstraZeneca shall own all rights, title and interests in and to the Product Trademarks and all Intellectual Property Rights and other rights and goodwill associated therewith. Ardelyx shall not use any trademark that is the same or confusingly similar to, misleading or deceptive with respect to, or that dilutes any of the Product Trademarks. AstraZeneca shall have the right, using legal counsel of its own choosing and at its sole expense to, file, maintain, defend and enforce the Product Trademarks.</w:t>
      </w:r>
    </w:p>
    <w:p>
      <w:pPr>
        <w:spacing w:after="0" w:line="18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be responsible for the design and procurement of all packaging (non-commercial and commercial) and labeling of the Licensed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w:t>
      </w:r>
    </w:p>
    <w:p>
      <w:pPr>
        <w:spacing w:after="0" w:line="206"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solely bear the full costs and expense of and be responsible for filing, prosecuting and maintaining any Product Trademarks.</w:t>
      </w:r>
    </w:p>
    <w:p>
      <w:pPr>
        <w:spacing w:after="0" w:line="225" w:lineRule="exact"/>
        <w:rPr>
          <w:rFonts w:ascii="Times New Roman" w:cs="Times New Roman" w:eastAsia="Times New Roman" w:hAnsi="Times New Roman"/>
          <w:sz w:val="18"/>
          <w:szCs w:val="18"/>
          <w:color w:val="auto"/>
        </w:rPr>
      </w:pPr>
    </w:p>
    <w:p>
      <w:pPr>
        <w:ind w:right="100" w:firstLine="464"/>
        <w:spacing w:after="0" w:line="258" w:lineRule="auto"/>
        <w:tabs>
          <w:tab w:leader="none" w:pos="71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in its sole discretion, protect, defend, and maintain each Product Trademark for use with Licensed Products in the Territory, and all registrations therefor. Ardelyx shall notify AstraZeneca promptly in writing upon learning of any actual, alleged, or threatened infringement of a Product Trademark used in connection with Licensed Compounds or Licensed Products or of any unfair trade practices, trade dress imitation, passing off of counterfeit goods, or like offenses with respect to Licensed Compounds or Licensed Products. Ardelyx shall cooperate as reasonably requested by AstraZeneca in any actions or proceedings brought by AstraZeneca to halt the infringement.</w:t>
      </w:r>
    </w:p>
    <w:p>
      <w:pPr>
        <w:spacing w:after="0" w:line="183" w:lineRule="exact"/>
        <w:rPr>
          <w:rFonts w:ascii="Times New Roman" w:cs="Times New Roman" w:eastAsia="Times New Roman" w:hAnsi="Times New Roman"/>
          <w:sz w:val="18"/>
          <w:szCs w:val="18"/>
          <w:color w:val="auto"/>
        </w:rPr>
      </w:pPr>
    </w:p>
    <w:p>
      <w:pPr>
        <w:ind w:firstLine="464"/>
        <w:spacing w:after="0" w:line="266" w:lineRule="auto"/>
        <w:tabs>
          <w:tab w:leader="none" w:pos="70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unrecovered costs, expenses, and legal fees (including without limitation internal costs, expenses, and legal fees) in bringing, maintaining, and prosecuting any action to maintain, protect, or defend a Product Trademark (or registration therefor) shall be borne solely by AstraZeneca. Any recovery in any such action that is in excess of the costs, expenses and legal fees incurred shall be [***].</w:t>
      </w:r>
    </w:p>
    <w:p>
      <w:pPr>
        <w:spacing w:after="0" w:line="104"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270" w:right="259" w:bottom="1440" w:gutter="0" w:footer="0" w:header="0"/>
        </w:sectPr>
      </w:pPr>
    </w:p>
    <w:bookmarkStart w:id="267" w:name="page268"/>
    <w:bookmarkEnd w:id="26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0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12.1 Representations, Warranties, and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92" w:hanging="236"/>
        <w:spacing w:after="0"/>
        <w:tabs>
          <w:tab w:leader="none" w:pos="69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represents and warrants to the other Party that:</w:t>
      </w:r>
    </w:p>
    <w:p>
      <w:pPr>
        <w:spacing w:after="0" w:line="117" w:lineRule="exact"/>
        <w:rPr>
          <w:rFonts w:ascii="Times New Roman" w:cs="Times New Roman" w:eastAsia="Times New Roman" w:hAnsi="Times New Roman"/>
          <w:sz w:val="18"/>
          <w:szCs w:val="18"/>
          <w:color w:val="auto"/>
        </w:rPr>
      </w:pPr>
    </w:p>
    <w:p>
      <w:pPr>
        <w:ind w:left="452" w:right="80" w:firstLine="443"/>
        <w:spacing w:after="0" w:line="261" w:lineRule="auto"/>
        <w:tabs>
          <w:tab w:leader="none" w:pos="110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spacing w:after="0" w:line="71" w:lineRule="exact"/>
        <w:rPr>
          <w:rFonts w:ascii="Times New Roman" w:cs="Times New Roman" w:eastAsia="Times New Roman" w:hAnsi="Times New Roman"/>
          <w:sz w:val="18"/>
          <w:szCs w:val="18"/>
          <w:color w:val="auto"/>
        </w:rPr>
      </w:pPr>
    </w:p>
    <w:p>
      <w:pPr>
        <w:ind w:left="1152" w:hanging="257"/>
        <w:spacing w:after="0"/>
        <w:tabs>
          <w:tab w:leader="none" w:pos="115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aware of any government authorization, consent, approval, license, exemption of or filing or registration with any court or</w:t>
      </w:r>
    </w:p>
    <w:p>
      <w:pPr>
        <w:spacing w:after="0" w:line="27" w:lineRule="exact"/>
        <w:rPr>
          <w:rFonts w:ascii="Times New Roman" w:cs="Times New Roman" w:eastAsia="Times New Roman" w:hAnsi="Times New Roman"/>
          <w:sz w:val="18"/>
          <w:szCs w:val="18"/>
          <w:color w:val="auto"/>
        </w:rPr>
      </w:pPr>
    </w:p>
    <w:p>
      <w:pPr>
        <w:ind w:left="452"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Licensed Compounds and Licensed Products as contemplated hereunder);</w:t>
      </w:r>
    </w:p>
    <w:p>
      <w:pPr>
        <w:spacing w:after="0" w:line="79" w:lineRule="exact"/>
        <w:rPr>
          <w:rFonts w:ascii="Times New Roman" w:cs="Times New Roman" w:eastAsia="Times New Roman" w:hAnsi="Times New Roman"/>
          <w:sz w:val="18"/>
          <w:szCs w:val="18"/>
          <w:color w:val="auto"/>
        </w:rPr>
      </w:pPr>
    </w:p>
    <w:p>
      <w:pPr>
        <w:ind w:left="452" w:right="220" w:firstLine="443"/>
        <w:spacing w:after="0" w:line="282" w:lineRule="auto"/>
        <w:tabs>
          <w:tab w:leader="none" w:pos="120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not, and during the Term will not, grant any right to any Third Party relating to its respective Patents and Know How which would conflict with the rights granted to the other Party hereunder; and</w:t>
      </w:r>
    </w:p>
    <w:p>
      <w:pPr>
        <w:spacing w:after="0" w:line="53" w:lineRule="exact"/>
        <w:rPr>
          <w:rFonts w:ascii="Times New Roman" w:cs="Times New Roman" w:eastAsia="Times New Roman" w:hAnsi="Times New Roman"/>
          <w:sz w:val="18"/>
          <w:szCs w:val="18"/>
          <w:color w:val="auto"/>
        </w:rPr>
      </w:pPr>
    </w:p>
    <w:p>
      <w:pPr>
        <w:ind w:left="1192" w:hanging="297"/>
        <w:spacing w:after="0"/>
        <w:tabs>
          <w:tab w:leader="none" w:pos="119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will at all times and in all material respects comply with all Applicable Laws relating to its activities under this Agreement.</w:t>
      </w:r>
    </w:p>
    <w:p>
      <w:pPr>
        <w:spacing w:after="0" w:line="225" w:lineRule="exact"/>
        <w:rPr>
          <w:rFonts w:ascii="Times New Roman" w:cs="Times New Roman" w:eastAsia="Times New Roman" w:hAnsi="Times New Roman"/>
          <w:sz w:val="18"/>
          <w:szCs w:val="18"/>
          <w:color w:val="auto"/>
        </w:rPr>
      </w:pPr>
    </w:p>
    <w:p>
      <w:pPr>
        <w:ind w:left="-8" w:right="280" w:firstLine="464"/>
        <w:spacing w:after="0" w:line="282" w:lineRule="auto"/>
        <w:tabs>
          <w:tab w:leader="none" w:pos="70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represents, warrants and covenants as of the Effective Date (or as of such other /additional time as may be explicitly specified below) to AstraZeneca that:</w:t>
      </w:r>
    </w:p>
    <w:p>
      <w:pPr>
        <w:spacing w:after="0" w:line="53" w:lineRule="exact"/>
        <w:rPr>
          <w:rFonts w:ascii="Times New Roman" w:cs="Times New Roman" w:eastAsia="Times New Roman" w:hAnsi="Times New Roman"/>
          <w:sz w:val="18"/>
          <w:szCs w:val="18"/>
          <w:color w:val="auto"/>
        </w:rPr>
      </w:pPr>
    </w:p>
    <w:p>
      <w:pPr>
        <w:ind w:left="1112" w:hanging="217"/>
        <w:spacing w:after="0"/>
        <w:tabs>
          <w:tab w:leader="none" w:pos="111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is the sole and exclusive owner of the entire right, title and interest in (a) the Listed Patents existing as of the Effective Date and</w:t>
      </w:r>
    </w:p>
    <w:p>
      <w:pPr>
        <w:spacing w:after="0" w:line="27" w:lineRule="exact"/>
        <w:rPr>
          <w:sz w:val="20"/>
          <w:szCs w:val="20"/>
          <w:color w:val="auto"/>
        </w:rPr>
      </w:pPr>
    </w:p>
    <w:p>
      <w:pPr>
        <w:ind w:left="452" w:firstLine="4"/>
        <w:spacing w:after="0" w:line="252" w:lineRule="auto"/>
        <w:tabs>
          <w:tab w:leader="none" w:pos="70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Know-How existing as of the Effective Date. Ardelyx has all rights necessary to grant the licenses under the Licensed Technology existing as of the Effective Date that it grants to AstraZeneca in this Agreement. Neither the Listed Patents nor the Licensed Know-How is subject to any encumbrance, lien or claim of ownership by any Third Party. True, complete and correct copies of the complete file wrapper and other correspondence with patent authorities received or sent by or on behalf of Ardelyx in the course of prosecuting the Listed Patents have been provided to AstraZeneca prior to the Effective Date. For the duration of the Term, Ardelyx shall not encumber the rights granted to AstraZeneca hereunder with respect to the Licensed Technology, Joint Technology or Ardelyx [***] Technology. AstraZeneca shall have no obligation to contribute to any remuneration of any inventor employed or previously employed by Ardelyx or any of its Affiliates in respect of the Licensed Patents, Licensed Know-How, Licensed Compounds</w:t>
      </w:r>
    </w:p>
    <w:p>
      <w:pPr>
        <w:spacing w:after="0" w:line="115"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12"/>
          </w:cols>
          <w:pgMar w:left="248" w:top="266" w:right="239" w:bottom="1440" w:gutter="0" w:footer="0" w:header="0"/>
        </w:sectPr>
      </w:pPr>
    </w:p>
    <w:bookmarkStart w:id="268" w:name="page269"/>
    <w:bookmarkEnd w:id="268"/>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Licensed Products. Ardelyx has paid and will pay all such remuneration due to such inventors with respect to the Licensed Patents, Licensed Know-How, Licensed Compounds and Licensed Products either existing as of the Effective Date or arising in the course of Ardelyx’s activities under this Agreement, and Ardelyx has not received any notification that such payments are deemed by any Person to be insufficient compensation.</w:t>
      </w:r>
    </w:p>
    <w:p>
      <w:pPr>
        <w:spacing w:after="0" w:line="68" w:lineRule="exact"/>
        <w:rPr>
          <w:sz w:val="20"/>
          <w:szCs w:val="20"/>
          <w:color w:val="auto"/>
        </w:rPr>
      </w:pPr>
    </w:p>
    <w:p>
      <w:pPr>
        <w:jc w:val="both"/>
        <w:ind w:right="220" w:firstLine="443"/>
        <w:spacing w:after="0" w:line="261" w:lineRule="auto"/>
        <w:tabs>
          <w:tab w:leader="none" w:pos="70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Ardelyx’s Knowledge, the Listed Patents existing as of the Effective Date are being diligently prosecuted before the respective patent authorities in accordance with Applicable Law. All applicable fees due to patent authorities with respect to the filing and prosecution of the Listed Patents existing as of the Effective Date have been paid on or before the due date for payment (as such due date may be extended in accordance with Applicable Laws or patent authority rules and regulations).</w:t>
      </w:r>
    </w:p>
    <w:p>
      <w:pPr>
        <w:spacing w:after="0" w:line="71" w:lineRule="exact"/>
        <w:rPr>
          <w:rFonts w:ascii="Times New Roman" w:cs="Times New Roman" w:eastAsia="Times New Roman" w:hAnsi="Times New Roman"/>
          <w:sz w:val="18"/>
          <w:szCs w:val="18"/>
          <w:color w:val="auto"/>
        </w:rPr>
      </w:pPr>
    </w:p>
    <w:p>
      <w:pPr>
        <w:ind w:right="100" w:firstLine="443"/>
        <w:spacing w:after="0" w:line="282" w:lineRule="auto"/>
        <w:tabs>
          <w:tab w:leader="none" w:pos="7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to Ardelyx’s Knowledge, there is no actual or threatened infringement or misappropriation of the Licensed Patents or Licensed Know-How by any Person.</w:t>
      </w:r>
    </w:p>
    <w:p>
      <w:pPr>
        <w:spacing w:after="0" w:line="53" w:lineRule="exact"/>
        <w:rPr>
          <w:rFonts w:ascii="Times New Roman" w:cs="Times New Roman" w:eastAsia="Times New Roman" w:hAnsi="Times New Roman"/>
          <w:sz w:val="18"/>
          <w:szCs w:val="18"/>
          <w:color w:val="auto"/>
        </w:rPr>
      </w:pPr>
    </w:p>
    <w:p>
      <w:pPr>
        <w:ind w:right="120" w:firstLine="443"/>
        <w:spacing w:after="0" w:line="282" w:lineRule="auto"/>
        <w:tabs>
          <w:tab w:leader="none" w:pos="74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Ardelyx’s Knowledge, the manufacture, use, sale, offer for sale or import of the Licensed Compounds or Licensed Products as they exist as of the Effective Date in the Field will not infringe or misappropriate the Patents, other IPR or proprietary right of any Third Party.</w:t>
      </w:r>
    </w:p>
    <w:p>
      <w:pPr>
        <w:spacing w:after="0" w:line="53" w:lineRule="exact"/>
        <w:rPr>
          <w:rFonts w:ascii="Times New Roman" w:cs="Times New Roman" w:eastAsia="Times New Roman" w:hAnsi="Times New Roman"/>
          <w:sz w:val="18"/>
          <w:szCs w:val="18"/>
          <w:color w:val="auto"/>
        </w:rPr>
      </w:pPr>
    </w:p>
    <w:p>
      <w:pPr>
        <w:ind w:right="100" w:firstLine="443"/>
        <w:spacing w:after="0" w:line="254" w:lineRule="auto"/>
        <w:tabs>
          <w:tab w:leader="none" w:pos="69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not received any written notice alleging that the Listed Patents existing as of the Effective Date, if issued, would be invalid or unenforceable or that the Patent applications included in such Listed Patents will not proceed to grant. The conception, development and reduction to practice of the Listed Patents and Licensed Know-How existing as of the Effective Date have not constituted or involved the misappropriation of trade secrets or other proprietary rights of any Person. There have been no Third Party claims, judgments or settlements against Ardelyx or any of its Affiliates as a result of legal actions brought by Third Parties relating to the Regulatory Documentation, Listed Patents or Licensed Know-How, or amounts owed by Ardelyx or its Affiliates with respect to any such claims, judgments or settlements. No claim or litigation has been brought or threatened by any Person alleging that (a) the Listed Patents existing as of the Effective Date, if issued, are or will be invalid or unenforceable, or that the Licensed Know-How existing as of the Effective Date is or will be invalid or unenforceable or (b) the Exploitation of the Licensed Compounds or Licensed Products or the filing of the Regulatory Documentation violates, infringes or otherwise conflicts or interferes with any IPR or proprietary right of any Person.</w:t>
      </w:r>
    </w:p>
    <w:p>
      <w:pPr>
        <w:spacing w:after="0" w:line="78" w:lineRule="exact"/>
        <w:rPr>
          <w:rFonts w:ascii="Times New Roman" w:cs="Times New Roman" w:eastAsia="Times New Roman" w:hAnsi="Times New Roman"/>
          <w:sz w:val="18"/>
          <w:szCs w:val="18"/>
          <w:color w:val="auto"/>
        </w:rPr>
      </w:pPr>
    </w:p>
    <w:p>
      <w:pPr>
        <w:ind w:firstLine="443"/>
        <w:spacing w:after="0" w:line="258" w:lineRule="auto"/>
        <w:tabs>
          <w:tab w:leader="none" w:pos="74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not previously entered into any agreement, whether written or oral, with respect to, or otherwise assigned, transferred, licensed, conveyed or otherwise encumbered its right, title or interest in or to, the Listed Patents, Licensed Know-How, Regulatory Documentation, the Licensed Compounds or the Licensed Products, in each case existing as of the Effective Date (including by granting any covenant not to sue with respect thereto) and Ardelyx will not at any time during the Term enter into any such agreements or grant any such right, title or interest to any Person, in each case, that is inconsistent with the rights and licenses granted to AstraZeneca under this Agreement.</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700" w:top="270" w:right="259" w:bottom="1440" w:gutter="0" w:footer="0" w:header="0"/>
        </w:sectPr>
      </w:pPr>
    </w:p>
    <w:bookmarkStart w:id="269" w:name="page270"/>
    <w:bookmarkEnd w:id="269"/>
    <w:p>
      <w:pPr>
        <w:ind w:right="120" w:firstLine="443"/>
        <w:spacing w:after="0" w:line="266" w:lineRule="auto"/>
        <w:tabs>
          <w:tab w:leader="none" w:pos="79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Knowledge of Ardelyx’s management personnel responsible for patent matters, in respect of the pending United States patent applications included in the Listed Patents, Ardelyx has submitted all material prior art of which it is aware in accordance with the requirements of the United States Patent and Trademark Office.</w:t>
      </w:r>
    </w:p>
    <w:p>
      <w:pPr>
        <w:spacing w:after="0" w:line="68" w:lineRule="exact"/>
        <w:rPr>
          <w:rFonts w:ascii="Times New Roman" w:cs="Times New Roman" w:eastAsia="Times New Roman" w:hAnsi="Times New Roman"/>
          <w:sz w:val="18"/>
          <w:szCs w:val="18"/>
          <w:color w:val="auto"/>
        </w:rPr>
      </w:pPr>
    </w:p>
    <w:p>
      <w:pPr>
        <w:ind w:firstLine="443"/>
        <w:spacing w:after="0" w:line="282" w:lineRule="auto"/>
        <w:tabs>
          <w:tab w:leader="none" w:pos="8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Listed Patents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represent all Patents within Ardelyx’s Control that cover or claim any invention necessary or useful for the Exploitation of Licensed Compounds or Licensed Products as of the Effective Date.</w:t>
      </w:r>
    </w:p>
    <w:p>
      <w:pPr>
        <w:spacing w:after="0" w:line="53" w:lineRule="exact"/>
        <w:rPr>
          <w:rFonts w:ascii="Times New Roman" w:cs="Times New Roman" w:eastAsia="Times New Roman" w:hAnsi="Times New Roman"/>
          <w:sz w:val="18"/>
          <w:szCs w:val="18"/>
          <w:color w:val="auto"/>
        </w:rPr>
      </w:pPr>
    </w:p>
    <w:p>
      <w:pPr>
        <w:jc w:val="both"/>
        <w:ind w:right="300" w:firstLine="443"/>
        <w:spacing w:after="0" w:line="266" w:lineRule="auto"/>
        <w:tabs>
          <w:tab w:leader="none" w:pos="7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Ardelyx has properly identified each and every inventor of the claims of the Listed Patents existing as of the Effective Date, recognizing that as the prosecution of such Listed Patents proceeds, such claims and such inventors may need to be adjusted, as determined in accordance with the laws of the jurisdiction in which such Licensed Patent is issued or such application is pending.</w:t>
      </w:r>
    </w:p>
    <w:p>
      <w:pPr>
        <w:spacing w:after="0" w:line="68" w:lineRule="exact"/>
        <w:rPr>
          <w:rFonts w:ascii="Times New Roman" w:cs="Times New Roman" w:eastAsia="Times New Roman" w:hAnsi="Times New Roman"/>
          <w:sz w:val="18"/>
          <w:szCs w:val="18"/>
          <w:color w:val="auto"/>
        </w:rPr>
      </w:pPr>
    </w:p>
    <w:p>
      <w:pPr>
        <w:ind w:right="60" w:firstLine="443"/>
        <w:spacing w:after="0" w:line="258" w:lineRule="auto"/>
        <w:tabs>
          <w:tab w:leader="none" w:pos="69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has contributed to the conception of inventions covered or claimed in the Listed Patents existing as of the Effective Date, or the creation of the Licensed Know-How has duly assigned and has executed an agreement assigning to Ardelyx such Person’s entire right, title and interest in and to such Listed Patents or Licensed Know-How. To Ardelyx’s Knowledge, no current or former officer, employee, agent or consultant of Ardelyx is in violation of any term of any assignment or other equivalent agreement regarding or relevant to the ownership or protection of such Listed Patents or Licensed Know-How.</w:t>
      </w:r>
    </w:p>
    <w:p>
      <w:pPr>
        <w:spacing w:after="0" w:line="75" w:lineRule="exact"/>
        <w:rPr>
          <w:rFonts w:ascii="Times New Roman" w:cs="Times New Roman" w:eastAsia="Times New Roman" w:hAnsi="Times New Roman"/>
          <w:sz w:val="18"/>
          <w:szCs w:val="18"/>
          <w:color w:val="auto"/>
        </w:rPr>
      </w:pPr>
    </w:p>
    <w:p>
      <w:pPr>
        <w:ind w:right="440" w:firstLine="443"/>
        <w:spacing w:after="0" w:line="261" w:lineRule="auto"/>
        <w:tabs>
          <w:tab w:leader="none" w:pos="7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secrets and all other material, previously non-published, information (including the chemical structures of all compounds Exemplified in the Listed Patents) included in the Licensed Know-How existing as of the Effective Date have been kept confidential or have been disclosed to Third Parties only under terms of confidentiality. To the Knowledge of Ardelyx no breach of such confidentiality obligation has been committed by any Third Party.</w:t>
      </w:r>
    </w:p>
    <w:p>
      <w:pPr>
        <w:spacing w:after="0" w:line="71" w:lineRule="exact"/>
        <w:rPr>
          <w:rFonts w:ascii="Times New Roman" w:cs="Times New Roman" w:eastAsia="Times New Roman" w:hAnsi="Times New Roman"/>
          <w:sz w:val="18"/>
          <w:szCs w:val="18"/>
          <w:color w:val="auto"/>
        </w:rPr>
      </w:pPr>
    </w:p>
    <w:p>
      <w:pPr>
        <w:ind w:firstLine="443"/>
        <w:spacing w:after="0" w:line="255" w:lineRule="auto"/>
        <w:tabs>
          <w:tab w:leader="none" w:pos="79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made available to AstraZeneca all Regulatory Documentation, Licensed Know-How and other Information in its possession or Control as of the Effective Date regarding or related to any Licensed Compound or Licensed Product that AstraZeneca has requested in writing Ardelyx to make available, and such items are true, complete and correct in all material respects. To the extent Ardelyx is or becomes obligated to provide to AstraZeneca pursuant to this Agreement any Regulatory Documentation, Licensed Know-How and other Information in its Control after the Effective Date, Ardelyx will use reasonable efforts to provide such items in a form that will be true, complete and correct in all material respects. As of the Effective Date, Ardelyx has prepared, maintained and retained all Regulatory Documentation that Ardelyx is required to maintain or report pursuant to and in accordance with GLP, GCP, regulations and other Applicable Laws and Ardelyx has performed such activities in accordance with such Applicable Laws in all material respects.</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700" w:top="270" w:right="239" w:bottom="1440" w:gutter="0" w:footer="0" w:header="0"/>
        </w:sectPr>
      </w:pPr>
    </w:p>
    <w:bookmarkStart w:id="270" w:name="page271"/>
    <w:bookmarkEnd w:id="270"/>
    <w:p>
      <w:pPr>
        <w:ind w:left="440" w:firstLine="443"/>
        <w:spacing w:after="0" w:line="255" w:lineRule="auto"/>
        <w:tabs>
          <w:tab w:leader="none" w:pos="128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Ardelyx has not been debarred by the FDA, is not subject to any similar sanction of other Regulatory Health Authorities in the Territory, and is not subject to any such debarment or similar sanction by any such Regulatory Health Authority, and Ardelyx has not used, and will not engage, in any capacity, in connection with this Agreement, any Person who either has been debarred by such a Regulatory Health Authority, or is the subject of a conviction described in Section 306 of the FFDCA (21 U.S.C. §335a). Ardelyx shall inform AstraZeneca in writing immediately if it or any Person engaged by Ardelyx who is performing services under this Agreement is debarred or is the subject of a conviction described in Section 306 of the FFDCA (21 U.S.C. §335a) or if any action, suit, claim, investigation or legal or administrative proceeding is pending or, to Ardelyx’s Knowledge, is threatened, relating to the debarment or conviction of Ardelyx or any such Person performing services hereunder.</w:t>
      </w:r>
    </w:p>
    <w:p>
      <w:pPr>
        <w:spacing w:after="0" w:line="81" w:lineRule="exact"/>
        <w:rPr>
          <w:rFonts w:ascii="Times New Roman" w:cs="Times New Roman" w:eastAsia="Times New Roman" w:hAnsi="Times New Roman"/>
          <w:sz w:val="18"/>
          <w:szCs w:val="18"/>
          <w:color w:val="auto"/>
        </w:rPr>
      </w:pPr>
    </w:p>
    <w:p>
      <w:pPr>
        <w:ind w:left="440" w:right="40" w:firstLine="443"/>
        <w:spacing w:after="0" w:line="266" w:lineRule="auto"/>
        <w:tabs>
          <w:tab w:leader="none" w:pos="127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provided by Ardelyx to AstraZeneca (for the purposes of AstraZeneca’s assessment as to whether or not filing is required under the Hart-Scott-Rodino Antitrust Improvements Act of 1976, as amended, with respect to this Agreement or the transactions contemplated herein) regarding Ardelyx’s and its Affiliates’ corporate structure and financial status is, in all material respects, correct, complete and not misleading.</w:t>
      </w:r>
    </w:p>
    <w:p>
      <w:pPr>
        <w:spacing w:after="0" w:line="176" w:lineRule="exact"/>
        <w:rPr>
          <w:rFonts w:ascii="Times New Roman" w:cs="Times New Roman" w:eastAsia="Times New Roman" w:hAnsi="Times New Roman"/>
          <w:sz w:val="18"/>
          <w:szCs w:val="18"/>
          <w:color w:val="auto"/>
        </w:rPr>
      </w:pPr>
    </w:p>
    <w:p>
      <w:pPr>
        <w:ind w:left="-20" w:right="140" w:firstLine="464"/>
        <w:spacing w:after="0" w:line="282" w:lineRule="auto"/>
        <w:tabs>
          <w:tab w:leader="none" w:pos="6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represents, warrants and covenants as of the Effective Date (or as of such other /additional time as may be explicitly specified below) to Ardelyx that:</w:t>
      </w:r>
    </w:p>
    <w:p>
      <w:pPr>
        <w:spacing w:after="0" w:line="53" w:lineRule="exact"/>
        <w:rPr>
          <w:rFonts w:ascii="Times New Roman" w:cs="Times New Roman" w:eastAsia="Times New Roman" w:hAnsi="Times New Roman"/>
          <w:sz w:val="18"/>
          <w:szCs w:val="18"/>
          <w:color w:val="auto"/>
        </w:rPr>
      </w:pPr>
    </w:p>
    <w:p>
      <w:pPr>
        <w:ind w:left="440" w:firstLine="443"/>
        <w:spacing w:after="0" w:line="255" w:lineRule="auto"/>
        <w:tabs>
          <w:tab w:leader="none" w:pos="1083"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has not been debarred by the FDA (and is not subject to any similar sanction of other Regulatory Health Authorities in the Territory), and is not subject to any such debarment or similar sanction by any such Regulatory Health Authority, and AstraZeneca has not used, and will not engage, in any capacity, in connection with this Agreement, any Person who either has been debarred by such a Regulatory Health Authority, or is the subject of a conviction described in Section 306 of the FFDCA (21 U.S.C. §335a). AstraZeneca shall inform Ardelyx in writing immediately if it or any Person engaged by AstraZeneca who is performing services under this Agreement is debarred or is the subject of a conviction described in Section 306 of the FFDCA (21 U.S.C. §335a), or if any action, suit, claim, investigation or legal or administrative proceeding is pending or, to AstraZeneca’s knowledge, is threatened, relating to the debarment or conviction of AstraZeneca or any such Person performing services hereunder.</w:t>
      </w:r>
    </w:p>
    <w:p>
      <w:pPr>
        <w:spacing w:after="0" w:line="81" w:lineRule="exact"/>
        <w:rPr>
          <w:rFonts w:ascii="Times New Roman" w:cs="Times New Roman" w:eastAsia="Times New Roman" w:hAnsi="Times New Roman"/>
          <w:sz w:val="18"/>
          <w:szCs w:val="18"/>
          <w:color w:val="auto"/>
        </w:rPr>
      </w:pPr>
    </w:p>
    <w:p>
      <w:pPr>
        <w:ind w:left="440" w:right="40" w:firstLine="443"/>
        <w:spacing w:after="0" w:line="256" w:lineRule="auto"/>
        <w:tabs>
          <w:tab w:leader="none" w:pos="1143"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of AstraZeneca or its Affiliates performing activities under this Agreement shall be under an obligation to assign all right, title and interest in and to their inventions, Information and discoveries, whether or not patentable, and IPRs therein, to AstraZeneca or its Affiliate(s) as the sole owner thereof. Ardelyx shall have no obligation to contribute to any remuneration of any inventor employed or previously employed by AstraZeneca or any of its Affiliates in respect of any such inventions, Information and discoveries and IPRs therein that are so assigned to AstraZeneca or its Affiliate(s). AstraZeneca will pay all such remuneration due to such inventors with respect to such inventions, Information and discoveries and IPRs therein.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60" w:top="270" w:right="259" w:bottom="1440" w:gutter="0" w:footer="0" w:header="0"/>
        </w:sectPr>
      </w:pPr>
    </w:p>
    <w:bookmarkStart w:id="271" w:name="page272"/>
    <w:bookmarkEnd w:id="271"/>
    <w:p>
      <w:pPr>
        <w:ind w:left="1220" w:hanging="317"/>
        <w:spacing w:after="0"/>
        <w:tabs>
          <w:tab w:leader="none" w:pos="122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Effective Date, AstraZeneca is not actively conducting any research or development program directed to the identification of NHE3</w:t>
      </w:r>
    </w:p>
    <w:p>
      <w:pPr>
        <w:spacing w:after="0" w:line="38"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Products.</w:t>
      </w:r>
    </w:p>
    <w:p>
      <w:pPr>
        <w:spacing w:after="0" w:line="98" w:lineRule="exact"/>
        <w:rPr>
          <w:rFonts w:ascii="Times New Roman" w:cs="Times New Roman" w:eastAsia="Times New Roman" w:hAnsi="Times New Roman"/>
          <w:sz w:val="17"/>
          <w:szCs w:val="17"/>
          <w:color w:val="auto"/>
        </w:rPr>
      </w:pPr>
    </w:p>
    <w:p>
      <w:pPr>
        <w:ind w:left="460" w:right="100" w:firstLine="443"/>
        <w:spacing w:after="0" w:line="282" w:lineRule="auto"/>
        <w:tabs>
          <w:tab w:leader="none" w:pos="120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not knowingly engage in any activities that use the inventions covered or claimed in the Licensed Patents or any Licensed Know-How in a manner that is outside the scope of the license rights expressly granted to it hereunder.</w:t>
      </w:r>
    </w:p>
    <w:p>
      <w:pPr>
        <w:spacing w:after="0" w:line="53" w:lineRule="exact"/>
        <w:rPr>
          <w:rFonts w:ascii="Times New Roman" w:cs="Times New Roman" w:eastAsia="Times New Roman" w:hAnsi="Times New Roman"/>
          <w:sz w:val="18"/>
          <w:szCs w:val="18"/>
          <w:color w:val="auto"/>
        </w:rPr>
      </w:pPr>
    </w:p>
    <w:p>
      <w:pPr>
        <w:ind w:left="460" w:right="240" w:firstLine="443"/>
        <w:spacing w:after="0" w:line="266" w:lineRule="auto"/>
        <w:tabs>
          <w:tab w:leader="none" w:pos="11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has determined in good faith that no filing is required under the Hart-Scott-Rodino Antitrust Improvements Act of 1976, as amended with respect to this Agreement or the transactions contemplated herein, it being understood that AstraZeneca in making such determination has relied on the information provided by Ardelyx regarding Ardelyx’s and its Affiliates’ corporate structure and financial status.</w:t>
      </w:r>
    </w:p>
    <w:p>
      <w:pPr>
        <w:spacing w:after="0" w:line="17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12.2 Manufacturing by AstraZeneca</w:t>
      </w:r>
      <w:r>
        <w:rPr>
          <w:rFonts w:ascii="Times New Roman" w:cs="Times New Roman" w:eastAsia="Times New Roman" w:hAnsi="Times New Roman"/>
          <w:sz w:val="18"/>
          <w:szCs w:val="18"/>
          <w:color w:val="auto"/>
        </w:rPr>
        <w:t>. AstraZeneca covenants to Ardelyx that any Licensed Compound or Licensed Product manufactured for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commercial use by or for AstraZeneca or its Affiliates other than by or for Ardelyx or its Affiliates or independent contractors shall: (a) be manufactured in compliance with Applicable Laws; (b) conform to the applicable Specifications for such Licensed Compound or Licensed Product; (c) not be misbranded within the meaning of the FFDCA; (d) not constitute an article that may not be introduced into interstate commerce under the provisions of Section 505 of the FFDCA (21 U.S.C. §355); (e) conform to the certificates of analysis supplied with the shipment of such Licensed Product; and (f) shall be packaged and shipped in accordance with the applicable Specifications therefor in effect at the time of delivery.</w:t>
      </w:r>
    </w:p>
    <w:p>
      <w:pPr>
        <w:spacing w:after="0" w:line="183"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12.3 Manufacturing by Ardelyx</w:t>
      </w:r>
      <w:r>
        <w:rPr>
          <w:rFonts w:ascii="Times New Roman" w:cs="Times New Roman" w:eastAsia="Times New Roman" w:hAnsi="Times New Roman"/>
          <w:sz w:val="18"/>
          <w:szCs w:val="18"/>
          <w:color w:val="auto"/>
        </w:rPr>
        <w:t>. Ardelyx covenants to AstraZeneca that any Licensed Compound or Licensed Product manufactured for clinical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use by or for Ardelyx or its Affiliates, other than by or for AstraZeneca or its Affiliates or independent contractors retained by AstraZeneca or its Affiliates, shall: (a) be manufactured in compliance with Applicable Laws; (b) conform to the applicable Specifications for such Licensed Compound or Licensed Product; (c) not be misbranded within the meaning of the FFDCA; (d) not constitute an article that may not be introduced into interstate commerce under the provisions of Section 505 of the FFDCA (21 U.S.C. §355); (e) conform to the certificates of analysis supplied with the shipment of such Licensed Product; and (f) shall be packaged and shipped in accordance with the applicable Specifications therefor in effect at the time of delivery.</w:t>
      </w:r>
    </w:p>
    <w:p>
      <w:pPr>
        <w:spacing w:after="0" w:line="18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12.4 No Debarment</w:t>
      </w:r>
      <w:r>
        <w:rPr>
          <w:rFonts w:ascii="Times New Roman" w:cs="Times New Roman" w:eastAsia="Times New Roman" w:hAnsi="Times New Roman"/>
          <w:sz w:val="18"/>
          <w:szCs w:val="18"/>
          <w:color w:val="auto"/>
        </w:rPr>
        <w:t>. In the course of the Development of Licensed Compound and Licensed Product in accordance with this Agreement, neither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used, and during the term of this Agreement neither Party will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Section 12.1(b)(xiii) or in Section 12.1(c)(i).</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0" w:right="239" w:bottom="1440" w:gutter="0" w:footer="0" w:header="0"/>
        </w:sectPr>
      </w:pPr>
    </w:p>
    <w:bookmarkStart w:id="272" w:name="page273"/>
    <w:bookmarkEnd w:id="272"/>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 Anti-Bribery and Anti-Corruption Compliance.</w:t>
      </w:r>
    </w:p>
    <w:p>
      <w:pPr>
        <w:spacing w:after="0" w:line="229" w:lineRule="exact"/>
        <w:rPr>
          <w:sz w:val="20"/>
          <w:szCs w:val="20"/>
          <w:color w:val="auto"/>
        </w:rPr>
      </w:pPr>
    </w:p>
    <w:p>
      <w:pPr>
        <w:ind w:left="-8" w:firstLine="464"/>
        <w:spacing w:after="0" w:line="261" w:lineRule="auto"/>
        <w:tabs>
          <w:tab w:leader="none" w:pos="69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on behalf of itself, its officers, directors and employees and on behalf of its Affiliates, agents, representatives, consultants and subcontractors hired in connection with the subject matter of this Agreement (together with such Party, the “</w:t>
      </w:r>
      <w:r>
        <w:rPr>
          <w:rFonts w:ascii="Times New Roman" w:cs="Times New Roman" w:eastAsia="Times New Roman" w:hAnsi="Times New Roman"/>
          <w:sz w:val="18"/>
          <w:szCs w:val="18"/>
          <w:b w:val="1"/>
          <w:bCs w:val="1"/>
          <w:color w:val="auto"/>
        </w:rPr>
        <w:t>Party Representatives</w:t>
      </w:r>
      <w:r>
        <w:rPr>
          <w:rFonts w:ascii="Times New Roman" w:cs="Times New Roman" w:eastAsia="Times New Roman" w:hAnsi="Times New Roman"/>
          <w:sz w:val="18"/>
          <w:szCs w:val="18"/>
          <w:color w:val="auto"/>
        </w:rPr>
        <w:t>”) that in connection with the performance of its obligations hereunder, the Party Representatives shall not directly or indirectly pay, offer or promise to pay, or authorize the payment of any money, or give, offer or promise to give, or authorize the giving of anything else of value, to:</w:t>
      </w:r>
    </w:p>
    <w:p>
      <w:pPr>
        <w:spacing w:after="0" w:line="71" w:lineRule="exact"/>
        <w:rPr>
          <w:rFonts w:ascii="Times New Roman" w:cs="Times New Roman" w:eastAsia="Times New Roman" w:hAnsi="Times New Roman"/>
          <w:sz w:val="18"/>
          <w:szCs w:val="18"/>
          <w:color w:val="auto"/>
        </w:rPr>
      </w:pPr>
    </w:p>
    <w:p>
      <w:pPr>
        <w:ind w:left="1112" w:hanging="217"/>
        <w:spacing w:after="0"/>
        <w:tabs>
          <w:tab w:leader="none" w:pos="1112"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Official in order to influence official action;</w:t>
      </w:r>
    </w:p>
    <w:p>
      <w:pPr>
        <w:spacing w:after="0" w:line="113" w:lineRule="exact"/>
        <w:rPr>
          <w:rFonts w:ascii="Times New Roman" w:cs="Times New Roman" w:eastAsia="Times New Roman" w:hAnsi="Times New Roman"/>
          <w:sz w:val="18"/>
          <w:szCs w:val="18"/>
          <w:color w:val="auto"/>
        </w:rPr>
      </w:pPr>
    </w:p>
    <w:p>
      <w:pPr>
        <w:ind w:left="452" w:right="140" w:firstLine="443"/>
        <w:spacing w:after="0" w:line="268" w:lineRule="auto"/>
        <w:tabs>
          <w:tab w:leader="none" w:pos="1155"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Official (AA) to influence such Person to act in breach of a duty of good faith, impartiality or trust (“</w:t>
      </w:r>
      <w:r>
        <w:rPr>
          <w:rFonts w:ascii="Times New Roman" w:cs="Times New Roman" w:eastAsia="Times New Roman" w:hAnsi="Times New Roman"/>
          <w:sz w:val="18"/>
          <w:szCs w:val="18"/>
          <w:b w:val="1"/>
          <w:bCs w:val="1"/>
          <w:color w:val="auto"/>
        </w:rPr>
        <w:t>acting improperly</w:t>
      </w:r>
      <w:r>
        <w:rPr>
          <w:rFonts w:ascii="Times New Roman" w:cs="Times New Roman" w:eastAsia="Times New Roman" w:hAnsi="Times New Roman"/>
          <w:sz w:val="18"/>
          <w:szCs w:val="18"/>
          <w:color w:val="auto"/>
        </w:rPr>
        <w:t>”), (BB) to reward such Person for acting improperly, or (CC) where such Person would be acting improperly by receiving the money or other thing of value; or</w:t>
      </w:r>
    </w:p>
    <w:p>
      <w:pPr>
        <w:spacing w:after="0" w:line="66" w:lineRule="exact"/>
        <w:rPr>
          <w:rFonts w:ascii="Times New Roman" w:cs="Times New Roman" w:eastAsia="Times New Roman" w:hAnsi="Times New Roman"/>
          <w:sz w:val="18"/>
          <w:szCs w:val="18"/>
          <w:color w:val="auto"/>
        </w:rPr>
      </w:pPr>
    </w:p>
    <w:p>
      <w:pPr>
        <w:jc w:val="both"/>
        <w:ind w:left="452" w:right="40" w:firstLine="443"/>
        <w:spacing w:after="0" w:line="266" w:lineRule="auto"/>
        <w:tabs>
          <w:tab w:leader="none" w:pos="1205"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while knowing or having reason to believe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w:t>
      </w:r>
    </w:p>
    <w:p>
      <w:pPr>
        <w:spacing w:after="0" w:line="176" w:lineRule="exact"/>
        <w:rPr>
          <w:rFonts w:ascii="Times New Roman" w:cs="Times New Roman" w:eastAsia="Times New Roman" w:hAnsi="Times New Roman"/>
          <w:sz w:val="18"/>
          <w:szCs w:val="18"/>
          <w:color w:val="auto"/>
        </w:rPr>
      </w:pPr>
    </w:p>
    <w:p>
      <w:pPr>
        <w:ind w:left="-8" w:right="400" w:firstLine="464"/>
        <w:spacing w:after="0" w:line="282" w:lineRule="auto"/>
        <w:tabs>
          <w:tab w:leader="none" w:pos="70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Representatives shall not, directly or indirectly, solicit, receive or agree to accept any payment of money or anything else of value in violation of the Anti-Corruption Laws.</w:t>
      </w:r>
    </w:p>
    <w:p>
      <w:pPr>
        <w:spacing w:after="0" w:line="161" w:lineRule="exact"/>
        <w:rPr>
          <w:rFonts w:ascii="Times New Roman" w:cs="Times New Roman" w:eastAsia="Times New Roman" w:hAnsi="Times New Roman"/>
          <w:sz w:val="18"/>
          <w:szCs w:val="18"/>
          <w:color w:val="auto"/>
        </w:rPr>
      </w:pPr>
    </w:p>
    <w:p>
      <w:pPr>
        <w:jc w:val="both"/>
        <w:ind w:left="-8" w:right="140" w:firstLine="464"/>
        <w:spacing w:after="0" w:line="266" w:lineRule="auto"/>
        <w:tabs>
          <w:tab w:leader="none" w:pos="69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on behalf of itself and its other Party Representatives, represents and warrants to the other Party that for the Term and [***] thereafter, such Party shall and shall procure that its other Party Representatives keep and maintain accurate books and reasonably detailed records reasonably required to establish compliance with Sections 12.5(a) and 12.5(b) above.</w:t>
      </w:r>
    </w:p>
    <w:p>
      <w:pPr>
        <w:spacing w:after="0" w:line="176"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provide the other Party with written notice of the following events</w:t>
      </w:r>
    </w:p>
    <w:p>
      <w:pPr>
        <w:spacing w:after="0" w:line="117" w:lineRule="exact"/>
        <w:rPr>
          <w:rFonts w:ascii="Times New Roman" w:cs="Times New Roman" w:eastAsia="Times New Roman" w:hAnsi="Times New Roman"/>
          <w:sz w:val="18"/>
          <w:szCs w:val="18"/>
          <w:color w:val="auto"/>
        </w:rPr>
      </w:pPr>
    </w:p>
    <w:p>
      <w:pPr>
        <w:ind w:left="452" w:right="160" w:firstLine="443"/>
        <w:spacing w:after="0" w:line="282" w:lineRule="auto"/>
        <w:tabs>
          <w:tab w:leader="none" w:pos="1105"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of any breach or violation by the first Party or its Party Representative of any representation, warranty or undertaking set forth in Sections 12.5(a) or 12.5(b).</w:t>
      </w:r>
    </w:p>
    <w:p>
      <w:pPr>
        <w:spacing w:after="0" w:line="53" w:lineRule="exact"/>
        <w:rPr>
          <w:rFonts w:ascii="Times New Roman" w:cs="Times New Roman" w:eastAsia="Times New Roman" w:hAnsi="Times New Roman"/>
          <w:sz w:val="18"/>
          <w:szCs w:val="18"/>
          <w:color w:val="auto"/>
        </w:rPr>
      </w:pPr>
    </w:p>
    <w:p>
      <w:pPr>
        <w:jc w:val="both"/>
        <w:ind w:left="452" w:right="240" w:firstLine="443"/>
        <w:spacing w:after="0" w:line="266" w:lineRule="auto"/>
        <w:tabs>
          <w:tab w:leader="none" w:pos="1155"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receiving a formal notification that it is the target of a formal investigation by a Regulatory Authority for a Material Anti-Corruption Law Violation or upon receipt of information from any of its Party Representatives connected with this Agreement that any of them is the target of a formal investigation by a Regulatory Authority for a Material Anti-Corruption Law Violation.</w:t>
      </w:r>
    </w:p>
    <w:p>
      <w:pPr>
        <w:spacing w:after="0" w:line="176" w:lineRule="exact"/>
        <w:rPr>
          <w:rFonts w:ascii="Times New Roman" w:cs="Times New Roman" w:eastAsia="Times New Roman" w:hAnsi="Times New Roman"/>
          <w:sz w:val="18"/>
          <w:szCs w:val="18"/>
          <w:color w:val="auto"/>
        </w:rPr>
      </w:pPr>
    </w:p>
    <w:p>
      <w:pPr>
        <w:ind w:left="-8" w:right="560" w:firstLine="464"/>
        <w:spacing w:after="0" w:line="282" w:lineRule="auto"/>
        <w:tabs>
          <w:tab w:leader="none" w:pos="69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auditing or inspection rights that are set forth elsewhere in this Agreement, each Party shall, for the Term and [***] thereafter, for the purpose</w:t>
      </w:r>
    </w:p>
    <w:p>
      <w:pPr>
        <w:spacing w:after="0" w:line="89" w:lineRule="exact"/>
        <w:rPr>
          <w:rFonts w:ascii="Times New Roman" w:cs="Times New Roman" w:eastAsia="Times New Roman" w:hAnsi="Times New Roman"/>
          <w:sz w:val="18"/>
          <w:szCs w:val="18"/>
          <w:color w:val="auto"/>
        </w:rPr>
      </w:pPr>
    </w:p>
    <w:p>
      <w:pPr>
        <w:ind w:left="-8" w:right="420" w:firstLine="8"/>
        <w:spacing w:after="0" w:line="262" w:lineRule="auto"/>
        <w:tabs>
          <w:tab w:leader="none" w:pos="34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92"/>
          </w:cols>
          <w:pgMar w:left="248" w:top="266" w:right="259" w:bottom="1440" w:gutter="0" w:footer="0" w:header="0"/>
        </w:sectPr>
      </w:pPr>
    </w:p>
    <w:bookmarkStart w:id="273" w:name="page274"/>
    <w:bookmarkEnd w:id="27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allowing the other Party to audit and monitor the performance of its compliance with this Section 12.5 permit the other Party, its Affiliates, any auditors of any of them and any Regulatory Authority to have access, upon reasonable advance notice, during normal business hours to any premises of such first Party or its other Party Representatives used in connection with this Agreement, together with a right to access personnel and records that relate to this Agreement. The results of any such audit shall constitute Confidential Information of the audited Party, in respect of which the other Party shall comply with the provisions contained in Article 10 (subject to the terms and exceptions set forth therein).</w:t>
      </w:r>
    </w:p>
    <w:p>
      <w:pPr>
        <w:spacing w:after="0" w:line="184" w:lineRule="exact"/>
        <w:rPr>
          <w:sz w:val="20"/>
          <w:szCs w:val="20"/>
          <w:color w:val="auto"/>
        </w:rPr>
      </w:pPr>
    </w:p>
    <w:p>
      <w:pPr>
        <w:ind w:right="40" w:firstLine="464"/>
        <w:spacing w:after="0" w:line="282" w:lineRule="auto"/>
        <w:tabs>
          <w:tab w:leader="none" w:pos="68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responsible for any breach of any representation, warranty, covenant or undertaking in this Article 12 or of the Anti-Corruption Laws by its Party Representatives.</w:t>
      </w:r>
    </w:p>
    <w:p>
      <w:pPr>
        <w:spacing w:after="0" w:line="161" w:lineRule="exact"/>
        <w:rPr>
          <w:rFonts w:ascii="Times New Roman" w:cs="Times New Roman" w:eastAsia="Times New Roman" w:hAnsi="Times New Roman"/>
          <w:sz w:val="18"/>
          <w:szCs w:val="18"/>
          <w:color w:val="auto"/>
        </w:rPr>
      </w:pPr>
    </w:p>
    <w:p>
      <w:pPr>
        <w:ind w:right="200" w:firstLine="464"/>
        <w:spacing w:after="0" w:line="266" w:lineRule="auto"/>
        <w:tabs>
          <w:tab w:leader="none" w:pos="71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disclose the terms of this Agreement or any action taken under this Section 12.5 to prevent a potential violation or address a continuing violation of applicable Anti-Corruption Laws, including the identity of the other Party and the payment terms, to any governmental authority if and to the extent the first Party reasonably determines, upon advice of counsel, that such disclosure is necessary.</w:t>
      </w:r>
    </w:p>
    <w:p>
      <w:pPr>
        <w:spacing w:after="0" w:line="17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12.6 Disclaimer</w:t>
      </w:r>
      <w:r>
        <w:rPr>
          <w:rFonts w:ascii="Times New Roman" w:cs="Times New Roman" w:eastAsia="Times New Roman" w:hAnsi="Times New Roman"/>
          <w:sz w:val="18"/>
          <w:szCs w:val="18"/>
          <w:color w:val="auto"/>
        </w:rPr>
        <w:t>. EXCEPT AS EXPRESSLY SET FORTH IN THIS ARTICLE 12, THE PARTIES MAKE NO REPRESENTATIONS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OF ANY KIND WHATSOEVER, EITHER EXPRESS OR IMPLIED, WRITTEN OR ORAL, INCLUDING WITHOUT LIMITATION ANY IMPLIED WARRANTY OF MERCHANTABILITY, WARRANTY OF FITNESS FOR A PARTICULAR PURPOSE, OR WARRANTY OF NON-INFRINGEMENT.</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RECORD RETENTION, AUDIT AND USE OF NAME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13.1 Records Retention; Audit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64"/>
        <w:spacing w:after="0" w:line="255" w:lineRule="auto"/>
        <w:tabs>
          <w:tab w:leader="none" w:pos="70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keep or cause to be kept accurate records of account in accordance with IFRS, in the case of AstraZeneca, and in accordance with IAS, in the case of Ardelyx, showing information that is necessary for the accurate determination of the royalties and other payments due under Article 9, or any other payment due hereunder. Such records or books of account shall be kept until the third (3rd) anniversary of December 31 of the Calendar Year in which the relevant Licensed Product are sold (in the case of royalty or other payments due under Section 9.5) or in the period for which any other payment hereunder is required to be made. For clarity, each Party shall cause its Affiliates to keep, and shall require pursuant to a written agreement that any Sublicensee, other sublicensee or subcontractor performing activities hereunder keep accurate records or books of account in a manner that will permit such Party to comply with its obligations under the foregoing sentence.</w:t>
      </w:r>
    </w:p>
    <w:p>
      <w:pPr>
        <w:spacing w:after="0" w:line="189" w:lineRule="exact"/>
        <w:rPr>
          <w:rFonts w:ascii="Times New Roman" w:cs="Times New Roman" w:eastAsia="Times New Roman" w:hAnsi="Times New Roman"/>
          <w:sz w:val="18"/>
          <w:szCs w:val="18"/>
          <w:color w:val="auto"/>
        </w:rPr>
      </w:pPr>
    </w:p>
    <w:p>
      <w:pPr>
        <w:ind w:right="140" w:firstLine="464"/>
        <w:spacing w:after="0" w:line="266" w:lineRule="auto"/>
        <w:tabs>
          <w:tab w:leader="none" w:pos="71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other Party, each Party shall permit a qualified accountant or a person possessing similar professional status and associated with an independent accounting firm acceptable to the Parties to inspect during regular business hours and no more than once a year and once in any given Calendar Year, and going back no more than three (3)</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20"/>
          </w:cols>
          <w:pgMar w:left="240" w:top="270" w:right="339" w:bottom="1440" w:gutter="0" w:footer="0" w:header="0"/>
        </w:sectPr>
      </w:pPr>
    </w:p>
    <w:bookmarkStart w:id="274" w:name="page275"/>
    <w:bookmarkEnd w:id="27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years preceding the current Calendar Year, all or any part of the audited Party’s records and books necessary to check the accuracy of any payments made or required to be made hereunder. The accounting firm shall enter into appropriate obligations with the audited Party to treat all information it receives during its inspection in confidence. The accounting firm shall disclose to Ardelyx and AstraZeneca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five percent (5%), the charges will be paid by the Party whose records and books are being inspected. Any failure by a Party to exercise its rights under this Section 13.1 with respect to a Calendar Year within the three (3) year period allotted therefor shall constitute a waiver by such Party of its right to later object to any payments made by the other Party under this Agreement during such Calendar Year.</w:t>
      </w:r>
    </w:p>
    <w:p>
      <w:pPr>
        <w:spacing w:after="0" w:line="18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13.2 Publicity Review</w:t>
      </w:r>
      <w:r>
        <w:rPr>
          <w:rFonts w:ascii="Times New Roman" w:cs="Times New Roman" w:eastAsia="Times New Roman" w:hAnsi="Times New Roman"/>
          <w:sz w:val="18"/>
          <w:szCs w:val="18"/>
          <w:color w:val="auto"/>
        </w:rPr>
        <w:t>. Subject to the further provisions of this Section 13.2, no Party shall originate any written publicity, news release,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relating to this Agreement or to performance hereunder or the existence of an arrangement between the Parties (collectively,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without the prior prompt review and written approval of the other, which approval shall not be unreasonably withheld. Notwithstanding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foregoing provisions of this Section 13.2, any Party may make any public Written Disclosure it believes in good faith based upon the advice of counsel is required by Applicable Laws or any listing or trading agreement concerning its publicly traded securities, provided that, prior to making such Written Disclosure, the disclosing Party shall where reasonably practicable provide the other Party with a copy of the materials proposed to be disclosed and an opportunity to promptly review and comment on the proposed Written Disclosure. To the extent that the receiving Party reasonably requests that any information in the materials proposed to be disclosed be deleted, the disclosing Party shall use reasonable efforts to request confidential treatment of such information pursuant to Rule 406 of the Securities Act of 1933 or Rule 24b-2 of the Securities Exchange Act of 1934, as applicable (or any other applicable regulation relating to the confidential treatment of information) so that any information that the receiving Party reasonably requests to be deleted, to the extent permitted by the applicable government agency, are omitted from such materials. The terms of this Agreement may also be disclosed to (a) government agencies where required by Applicable Laws, provided that the Party making such disclosure seeks a protective order or confidential treatment of this Agreement to the extent allowed under Applicable Laws, (b) Third Parties having a need to know such information for purposes of performing under this Agreement or advising a Party with respect to its performance under this Agreement or its business or legal obligations, or (c) Third Party investment bankers, financial advisors, actual or potential Third Party partners, investors, licensees, sublicensees or acquirers of all or substantially all of the assets to which this Agreement relates; provided, that, disclosures under subsections (b) or (c) shall be made under a binder or equivalent obligation of confidentiality and the Party having made such disclosures shall be liable to the other Party for any breach of such confidentiality obligation by the relevant Third Party recipient. Notwithstanding the foregoing, the Parties intend to issue a joint press release regarding the transaction contemplated by this Agreement, the contents of such press release to be mutually agreed by the Parties in writing (as soon as reasonably practicable after the Effective Date and prior to any publication thereof) substantially in the form of the draft press release attached hereto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subject to such additional modifications as the Parties may mutually agree. The Parties additionally intend to</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270" w:right="259" w:bottom="1440" w:gutter="0" w:footer="0" w:header="0"/>
        </w:sectPr>
      </w:pPr>
    </w:p>
    <w:bookmarkStart w:id="275" w:name="page276"/>
    <w:bookmarkEnd w:id="27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 jointly press releases regarding material events occurring with respect to the Development or Commercialization of Licensed Products pursuant to this Agreement. Such material events may include without limitation the commencement or Completion of a pivotal Clinical Trial for Licensed Products, the filing of a Drug Approval Application, and the receipt of Regulatory Approval for Licensed Products. The content of any such press releases shall be agreed upon by the Parties in advance of any such announcement being provided to any Third Party.</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13.3 Use of Names</w:t>
      </w:r>
      <w:r>
        <w:rPr>
          <w:rFonts w:ascii="Times New Roman" w:cs="Times New Roman" w:eastAsia="Times New Roman" w:hAnsi="Times New Roman"/>
          <w:sz w:val="18"/>
          <w:szCs w:val="18"/>
          <w:color w:val="auto"/>
        </w:rPr>
        <w:t>. Neither Party shall use the name, insignia, symbol, trademark, trade name or logotype of the other Party or its Affiliates in relation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transaction or otherwise in any public announcement, press release, or other public document without the prior written consent of such other Party, which consent shall not be unreasonably withheld, delayed or conditioned, except for those disclosures for which consent has previously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Party may use the name of the other Party in any document required to be filed with any government authority, including without limitation the FDA and the Securities and Exchange Commission or otherwise as may be required by Applicable Laws, provided that such disclosure shall be governed by Section 10.5. Further, the restrictions imposed on each Party under this Section 13.3 are not intended, and shall not be construed, to prohibit a Party from identifying the other Party in its internal business communications, provided that any Confidential Information in such communications remains subject to Article 10. Moreover, and notwithstanding the foregoing, AstraZeneca and its Affiliates and Sublicensees shall have the right to use the name of Ardelyx and its Affiliates to the extent necessary or useful in connection with the Exploitation of the Licensed Compounds or Licensed Products as contemplated by this Agreement in their negotiations and work with subcontracting and sublicensing transactions in connection therewith provided that any Confidential Information in such communications remains subject to Article 10.</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14.1 Term</w:t>
      </w:r>
      <w:r>
        <w:rPr>
          <w:rFonts w:ascii="Times New Roman" w:cs="Times New Roman" w:eastAsia="Times New Roman" w:hAnsi="Times New Roman"/>
          <w:sz w:val="18"/>
          <w:szCs w:val="18"/>
          <w:color w:val="auto"/>
        </w:rPr>
        <w:t>. The term of this Agreement shall commence as of the Effective Date and, unless sooner terminated as provided herein, shall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until the date on which all of AstraZeneca’s payment obligations under Article 9 have been performed or have expired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14.2 Termination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64"/>
        <w:spacing w:after="0" w:line="278" w:lineRule="auto"/>
        <w:tabs>
          <w:tab w:leader="none" w:pos="701"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 for Cause</w:t>
      </w:r>
      <w:r>
        <w:rPr>
          <w:rFonts w:ascii="Times New Roman" w:cs="Times New Roman" w:eastAsia="Times New Roman" w:hAnsi="Times New Roman"/>
          <w:sz w:val="17"/>
          <w:szCs w:val="17"/>
          <w:color w:val="auto"/>
        </w:rPr>
        <w:t>. Subject to the provisions of this Section 14.2(a), if either Party (the “</w:t>
      </w:r>
      <w:r>
        <w:rPr>
          <w:rFonts w:ascii="Times New Roman" w:cs="Times New Roman" w:eastAsia="Times New Roman" w:hAnsi="Times New Roman"/>
          <w:sz w:val="17"/>
          <w:szCs w:val="17"/>
          <w:b w:val="1"/>
          <w:bCs w:val="1"/>
          <w:color w:val="auto"/>
        </w:rPr>
        <w:t>Breaching Party</w:t>
      </w:r>
      <w:r>
        <w:rPr>
          <w:rFonts w:ascii="Times New Roman" w:cs="Times New Roman" w:eastAsia="Times New Roman" w:hAnsi="Times New Roman"/>
          <w:sz w:val="17"/>
          <w:szCs w:val="17"/>
          <w:color w:val="auto"/>
        </w:rPr>
        <w:t>”) shall have committed a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breach of any of its material obligations under this Agreement, and such material breach shall remain uncured and shall be continuing for a period of sixty</w:t>
      </w:r>
    </w:p>
    <w:p>
      <w:pPr>
        <w:spacing w:after="0" w:line="1" w:lineRule="exact"/>
        <w:rPr>
          <w:rFonts w:ascii="Times New Roman" w:cs="Times New Roman" w:eastAsia="Times New Roman" w:hAnsi="Times New Roman"/>
          <w:sz w:val="17"/>
          <w:szCs w:val="17"/>
          <w:color w:val="auto"/>
        </w:rPr>
      </w:pPr>
    </w:p>
    <w:p>
      <w:pPr>
        <w:ind w:right="40" w:firstLine="8"/>
        <w:spacing w:after="0" w:line="253" w:lineRule="auto"/>
        <w:tabs>
          <w:tab w:leader="none" w:pos="34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Breaching Party’s receipt of notice of such breach from the other Party (the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stating the Non-Breaching Party’s intent to terminate this Agreement in its entirety pursuant to this Section 14.2(a) if such breach remains uncured, then, in addition to any and all other rights and remedies that may be available, the Non-Breaching Party shall have the right to terminate this Agreement effective upon the expiration of such sixty (60) day period (subject, however, to the provisions set forth below in this Section 14.2(a)). Notwithstanding the above, if (i) such material breach cannot reasonably be cured within such sixty (60)-day period, (ii) the Breaching Party provides,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60"/>
          </w:cols>
          <w:pgMar w:left="240" w:top="270" w:right="299" w:bottom="1440" w:gutter="0" w:footer="0" w:header="0"/>
        </w:sectPr>
      </w:pPr>
    </w:p>
    <w:bookmarkStart w:id="276" w:name="page277"/>
    <w:bookmarkEnd w:id="27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such sixty (60)-day period, the Non-Breaching Party with a written detailed plan that contains measures that can be reasonably expected to cure such breach as soon as reasonably practicable, and (iii) the Breaching Party commences to perform such measures in accordance with such plan, and (iv) the Breaching Party thereafter diligently continues to perform such measures as detailed in such plan, then the Non-Breaching Party shall not be entitled to terminate this Agreement (and any notice of termination issued pursuant to the foregoing sentence shall not become effective) unless and until the Breaching Party ceases to diligently perform such measures despite then not having cured the breach. Notwithstanding the above, if within the aforementioned sixty (60)-day period either Party takes measures to resolve the dispute (for which termination is being sought) pursuant to Section 16.1 (or Ardelyx initiates mediation pursuant to Section 16.2) and thereafter (if the dispute then remains unresolved) within a period of thirty (30) days after the expiry of the time period set forth in Section 16.1 (and, as the case may be, Section 16.2(a)), initiates arbitration as permitted under Section 16.2(b) to resolve the dispute and diligently pursues such procedure, then the cure period set forth in this Section 14.2(a) shall be suspended and the Non-Breaching Party shall have the right to terminate this Agreement due to the breach for which termination is being sought only if (i) the arbitration tribunal determines through its final resolution of the dispute that such breach exists and (ii) such breach remains uncured for sixty (60) days after such final resolution. Any notice of alleged material breach by the Non-Breaching Party under this Section 14.2(a) shall include without limitation a reasonably detailed description of all relevant facts and circumstances demonstrating, supporting, or relating to each such alleged material breach by the Breaching Party. Actual termination of this Agreement pursuant to this Section 14.2(a) shall only occur upon a separate written notice of termination by the Non-Breaching Party after the end of the applicable cure period. This Section 14.2(a) defines exclusively the Parties’ right to terminate this agreement for any material breach of contract.</w:t>
      </w:r>
    </w:p>
    <w:p>
      <w:pPr>
        <w:spacing w:after="0" w:line="193" w:lineRule="exact"/>
        <w:rPr>
          <w:sz w:val="20"/>
          <w:szCs w:val="20"/>
          <w:color w:val="auto"/>
        </w:rPr>
      </w:pPr>
    </w:p>
    <w:p>
      <w:pPr>
        <w:ind w:left="720" w:hanging="256"/>
        <w:spacing w:after="0"/>
        <w:tabs>
          <w:tab w:leader="none" w:pos="7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Convenience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60" w:right="280" w:firstLine="443"/>
        <w:spacing w:after="0" w:line="261" w:lineRule="auto"/>
        <w:tabs>
          <w:tab w:leader="none" w:pos="1113"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its expiration, this Agreement may be terminated in its entirety at any time by AstraZeneca effective upon one hundred and twenty (120) days (or such longer period as AstraZeneca may elect at its sole discretion) prior written notice to Ardelyx,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termination is made by AstraZeneca pursuant to Section 2.9(d), the termination will be effective thirty (30) days after Ardelyx’s receipt of AstraZeneca’s written notice of such termination.</w:t>
      </w:r>
    </w:p>
    <w:p>
      <w:pPr>
        <w:spacing w:after="0" w:line="67" w:lineRule="exact"/>
        <w:rPr>
          <w:rFonts w:ascii="Times New Roman" w:cs="Times New Roman" w:eastAsia="Times New Roman" w:hAnsi="Times New Roman"/>
          <w:sz w:val="18"/>
          <w:szCs w:val="18"/>
          <w:color w:val="auto"/>
        </w:rPr>
      </w:pPr>
    </w:p>
    <w:p>
      <w:pPr>
        <w:ind w:left="460" w:right="160" w:firstLine="443"/>
        <w:spacing w:after="0" w:line="256" w:lineRule="auto"/>
        <w:tabs>
          <w:tab w:leader="none" w:pos="1163"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if AstraZeneca ceases all Exploitation of Licensed Compounds or Licensed Products for a continuous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AstraZeneca shall, at Ardelyx written request following the expiration of such [***] period (such request to reference explicitly this Section 14.2(b) (ii)), provide to Ardelyx within [***] after AstraZeneca’s receipt of such request a written reasonable plan under which AstraZeneca would recommence Exploitation of Licensed Compounds or Licensed Products under this Agreement within [***] after having provided such plan to Ardelyx. AstraZeneca shall, after providing such plan to Ardelyx, perform substantially in accordance therewith. If AstraZeneca fails to provide such plan to recommence Exploitation of Licensed Products within such [***] period or if AstraZeneca fails to recommence such Exploitation within the aforementioned [***]</w:t>
      </w:r>
    </w:p>
    <w:p>
      <w:pPr>
        <w:spacing w:after="0" w:line="115"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270" w:right="279" w:bottom="1440" w:gutter="0" w:footer="0" w:header="0"/>
        </w:sectPr>
      </w:pPr>
    </w:p>
    <w:bookmarkStart w:id="277" w:name="page278"/>
    <w:bookmarkEnd w:id="277"/>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AstraZeneca shall be deemed to have exercised its right to terminate this Agreement in its entirety pursuant to this Section 14.2(b) effective upon expiration of such [***] or (as the case may be) [***] period.</w:t>
      </w:r>
    </w:p>
    <w:p>
      <w:pPr>
        <w:spacing w:after="0" w:line="158" w:lineRule="exact"/>
        <w:rPr>
          <w:sz w:val="20"/>
          <w:szCs w:val="20"/>
          <w:color w:val="auto"/>
        </w:rPr>
      </w:pPr>
    </w:p>
    <w:p>
      <w:pPr>
        <w:ind w:firstLine="464"/>
        <w:spacing w:after="0" w:line="254" w:lineRule="auto"/>
        <w:tabs>
          <w:tab w:leader="none" w:pos="701"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Challenge of Licensed Patents</w:t>
      </w:r>
      <w:r>
        <w:rPr>
          <w:rFonts w:ascii="Times New Roman" w:cs="Times New Roman" w:eastAsia="Times New Roman" w:hAnsi="Times New Roman"/>
          <w:sz w:val="18"/>
          <w:szCs w:val="18"/>
          <w:color w:val="auto"/>
        </w:rPr>
        <w:t>. Prior to its expiration, Ardelyx may terminate this Agreement in its entirety by written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AstraZeneca if (i) AstraZeneca or its Affiliates challenges the validity, scope or enforceability of or otherwise opposes any Patent included in the Licensed Patents or Ardelyx [***] Patents and (ii) AstraZeneca (a) does not cause such measures to cease within thirty (30) days after having received written notice thereof from Ardelyx, requesting such measures to cease and stating Ardelyx’s intention to terminate this Agreement if such measures are not ceased within the prescribed time or (b), with respect to Ardelyx [***] Patents, does not exercise the Exclusion Option within thirty (30) days after having received such aforementioned written notice from Ardelyx. If a Sublicensee of AstraZeneca challenges the validity, scope or enforceability of or otherwise opposes any Patent included in the Licensed Patents or Ardelyx [***] Patents under which such Sublicensee is sublicensed, then AstraZeneca shall, upon written notice from Ardelyx terminate such sublicense as promptly as possible pursuant to the terms of the sublicense agreement. AstraZeneca shall include provisions in all agreements under which a Sublicensee obtains a sublicense under any Patent included in the Licensed Patents or Ardelyx [***] Patents providing that if the Sublicensee challenges the validity or enforceability of or otherwise opposes any such Patent under which the Sublicensee is sublicensed, AstraZeneca may terminate such sublicense</w:t>
      </w:r>
    </w:p>
    <w:p>
      <w:pPr>
        <w:spacing w:after="0" w:line="183" w:lineRule="exact"/>
        <w:rPr>
          <w:rFonts w:ascii="Times New Roman" w:cs="Times New Roman" w:eastAsia="Times New Roman" w:hAnsi="Times New Roman"/>
          <w:sz w:val="18"/>
          <w:szCs w:val="18"/>
          <w:color w:val="auto"/>
        </w:rPr>
      </w:pPr>
    </w:p>
    <w:p>
      <w:pPr>
        <w:ind w:right="40" w:firstLine="464"/>
        <w:spacing w:after="0" w:line="254" w:lineRule="auto"/>
        <w:tabs>
          <w:tab w:leader="none" w:pos="711"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due to Third Party Patent Issues</w:t>
      </w:r>
      <w:r>
        <w:rPr>
          <w:rFonts w:ascii="Times New Roman" w:cs="Times New Roman" w:eastAsia="Times New Roman" w:hAnsi="Times New Roman"/>
          <w:sz w:val="18"/>
          <w:szCs w:val="18"/>
          <w:color w:val="auto"/>
        </w:rPr>
        <w:t>. If a Third Party asserts that a Patent or other right owned by it is infringed by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Manufacture, or Commercialization of any Licensed Compound or Licensed Product, AstraZeneca shall have the right to terminate, this Agreement with respect to the country or countries concerned effective upon written notice to Ardelyx, or (if commercially reasonable) in its entirety upon sixty (60) days’ prior written notice to Ardelyx, if AstraZeneca, despite having exercised Commercially Reasonable Efforts in good faith to do so, (i) is unable to obtain from such Third Party on commercially reasonable terms such license as would be required to maintain AstraZeneca’s, its Affiliates’ or Sublicensees’ ability to Develop, Manufacture or Commercialize the Licensed Compound or Licensed Product without infringing such third Party’s Patent or other right, and (ii) is unable to modify the Licensed Compound or Licensed Product in a manner that is reasonable and viable from a scientific and commercial point of view and that maintains AstraZeneca’s, its Affiliates’ or Sublicensees’ ability to Develop, Manufacture or Commercialize the Licensed Compound or Licensed Product without infringing such Third Party’s Patent or other right and without resulting in an unreasonable increase of costs. In the event of a termination with respect to one or several countries pursuant to the above, Section 14.3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such country or countries only and the Agreement shall remain in force with respect to all other countries in the Territory not affected by such termination.</w:t>
      </w:r>
    </w:p>
    <w:p>
      <w:pPr>
        <w:spacing w:after="0" w:line="183" w:lineRule="exact"/>
        <w:rPr>
          <w:rFonts w:ascii="Times New Roman" w:cs="Times New Roman" w:eastAsia="Times New Roman" w:hAnsi="Times New Roman"/>
          <w:sz w:val="18"/>
          <w:szCs w:val="18"/>
          <w:color w:val="auto"/>
        </w:rPr>
      </w:pPr>
    </w:p>
    <w:p>
      <w:pPr>
        <w:ind w:right="60" w:firstLine="464"/>
        <w:spacing w:after="0" w:line="268" w:lineRule="auto"/>
        <w:tabs>
          <w:tab w:leader="none" w:pos="701"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Insolvency</w:t>
      </w:r>
      <w:r>
        <w:rPr>
          <w:rFonts w:ascii="Times New Roman" w:cs="Times New Roman" w:eastAsia="Times New Roman" w:hAnsi="Times New Roman"/>
          <w:sz w:val="18"/>
          <w:szCs w:val="18"/>
          <w:color w:val="auto"/>
        </w:rPr>
        <w:t>. A Party may terminate this Agreement effective immediately upon written notice to the other Party if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the other Party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(i) becomes insolvent, (ii) has a case commenced by or against it under the Bankruptcy Code, (iii) files for or is subject to the institution of bankruptcy, liquidation or</w:t>
      </w:r>
    </w:p>
    <w:p>
      <w:pPr>
        <w:spacing w:after="0" w:line="103"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270" w:right="259" w:bottom="1440" w:gutter="0" w:footer="0" w:header="0"/>
        </w:sectPr>
      </w:pPr>
    </w:p>
    <w:bookmarkStart w:id="278" w:name="page279"/>
    <w:bookmarkEnd w:id="278"/>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any involuntary case under the Bankruptcy Code, the first Party shall not be entitled to terminate this Agreement pursuant to this subsection (e) if the case is dismissed within sixty (60) days after the commencement thereof.</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14.3 Consequences of an AZ Triggered Termination</w:t>
      </w:r>
      <w:r>
        <w:rPr>
          <w:rFonts w:ascii="Times New Roman" w:cs="Times New Roman" w:eastAsia="Times New Roman" w:hAnsi="Times New Roman"/>
          <w:sz w:val="18"/>
          <w:szCs w:val="18"/>
          <w:color w:val="auto"/>
        </w:rPr>
        <w:t>. In the event (i) Ardelyx terminates this Agreement pursuant to Section 14.2(a)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AstraZeneca’s material breach; (ii) Ardelyx terminates this Agreement pursuant to Section 14.2(c) for patent challenge by AstraZeneca; (iii) Ardelyx terminates this Agreement pursuant to Section 14.2(e) for AstraZeneca’s insolvency; (iv) AstraZeneca terminates this Agreement pursuant to Section 5.2(a) (i); (v) AstraZeneca terminates this Agreement pursuant to Section 14.2(b); or (vi) AstraZeneca terminates this Agreement entirely, or with respect to the country or countries concerned pursuant to Section 14.2(d) (a termination as per (i) through (vi) being an “</w:t>
      </w:r>
      <w:r>
        <w:rPr>
          <w:rFonts w:ascii="Times New Roman" w:cs="Times New Roman" w:eastAsia="Times New Roman" w:hAnsi="Times New Roman"/>
          <w:sz w:val="18"/>
          <w:szCs w:val="18"/>
          <w:b w:val="1"/>
          <w:bCs w:val="1"/>
          <w:color w:val="auto"/>
        </w:rPr>
        <w:t>AZ Triggered Termination</w:t>
      </w:r>
      <w:r>
        <w:rPr>
          <w:rFonts w:ascii="Times New Roman" w:cs="Times New Roman" w:eastAsia="Times New Roman" w:hAnsi="Times New Roman"/>
          <w:sz w:val="18"/>
          <w:szCs w:val="18"/>
          <w:color w:val="auto"/>
        </w:rPr>
        <w:t>”), AstraZeneca shall, subject to Section 14.3(a), continue to be obligated during the termination notice period (as applicable) to perform as far as reasonably practicable all of its obligations under this Agreement, except in the event of a termination pursuant to Section 14.2(b) for material safety concerns. If an AZ Triggered Termination occurs after the first Regulatory Approval of a Licensed Products, AstraZeneca shall continue to use Commercially Reasonable Efforts to Commercialize such Licensed Product until the earlier of (i), if applicable, the expiration of the one hundred twenty (120) day notice period, in the event of a termination by AstraZeneca pursuant to Section 14.2(b) other than for material safety concerns; (ii) receipt of Ardelyx’s written notice that AstraZeneca may cease such Commercialization activities; or (iii), if applicable, the effective date of the termination notice issued pursuant to Section 14.2(a), Section 14.2(c), Section 14.3(d) or Section 14.3(e). In addition, as a result of an AZ Triggered Termination the following shall apply:</w:t>
      </w:r>
    </w:p>
    <w:p>
      <w:pPr>
        <w:spacing w:after="0" w:line="195" w:lineRule="exact"/>
        <w:rPr>
          <w:sz w:val="20"/>
          <w:szCs w:val="20"/>
          <w:color w:val="auto"/>
        </w:rPr>
      </w:pPr>
    </w:p>
    <w:p>
      <w:pPr>
        <w:ind w:right="20" w:firstLine="464"/>
        <w:spacing w:after="0" w:line="256" w:lineRule="auto"/>
        <w:tabs>
          <w:tab w:leader="none" w:pos="70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and rights to the Licensed Technology granted to AstraZeneca hereunder shall terminate as of the effective date of such termination, except to the extent and for so long as is necessary to permit AstraZeneca to meet its obligations under Section 8.4, to finish work-in-progress and sell any inventory as per Section 14.3(p) and to otherwise perform any responsibilities in connection with any then ongoing Clinical Trial or other activity that cannot be terminated as of such date under Applicable Laws, including GCP,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spacing w:after="0" w:line="187"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of the AZ Triggered Termination is given at a time when the Initial Studies or any other Assigned Activities have been initiated but not yet Completed, then the Parties shall work together in good faith during the termination notice period to ensure that AstraZeneca’s involvement in and responsibilities for such activities will be discontinued and ceased as efficiently and promptly as possible (by way of transitioning such involvement and responsibilities to Ardelyx or by other means agreed to by the Parties), subject to Applicable Laws, including GCP, and provided that the foregoing shall be without prejudice to AstraZeneca’s obligations under Section 8.4 and rights under Section 14.3(p). Notwithstanding the foregoing, following any such AZ Triggered Termination, AstraZeneca shall continue to</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60"/>
          </w:cols>
          <w:pgMar w:left="240" w:top="270" w:right="299" w:bottom="1440" w:gutter="0" w:footer="0" w:header="0"/>
        </w:sectPr>
      </w:pPr>
    </w:p>
    <w:bookmarkStart w:id="279" w:name="page280"/>
    <w:bookmarkEnd w:id="27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Ardelyx for its Development Expenses incurred in the performance of the IBS-C Study, whether incurred prior to, or on or after, the effective date of such termination, up to a maximum amount of [***]. Additionally, AstraZeneca shall reimburse Ardelyx for all other non-cancellable Development Expenses or Additional Assigned Activity Expenses committed by Ardelyx prior to its receipt of, or (as the case may be) provision to AstraZeneca of, the notice of termination, where – as of the effective date of the termination – such expenses have not already been reimbursed by AstraZeneca pursuant to Section 4.3 or Section 4.8 and provided that Ardelyx furnishes AstraZeneca with satisfactory proof that such expenses cannot reasonably be cancelled or recovered and in no event shall such expenses exceed the amount budgeted therefor in the Development Budget approved by the DCC. All sublicense agreements between AstraZeneca and its Sublicensees or other sublicensees shall terminate as of the effective date of the termination, unless Ardelyx provides written consent, which it shall not unreasonably withhold, delay or condition, to the assignment of any such sublicense agreement to Ardelyx (to the extent assignable).</w:t>
      </w:r>
    </w:p>
    <w:p>
      <w:pPr>
        <w:spacing w:after="0" w:line="189" w:lineRule="exact"/>
        <w:rPr>
          <w:sz w:val="20"/>
          <w:szCs w:val="20"/>
          <w:color w:val="auto"/>
        </w:rPr>
      </w:pPr>
    </w:p>
    <w:p>
      <w:pPr>
        <w:ind w:left="700" w:hanging="236"/>
        <w:spacing w:after="0"/>
        <w:tabs>
          <w:tab w:leader="none" w:pos="7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w:t>
      </w:r>
    </w:p>
    <w:p>
      <w:pPr>
        <w:spacing w:after="0" w:line="225" w:lineRule="exact"/>
        <w:rPr>
          <w:rFonts w:ascii="Times New Roman" w:cs="Times New Roman" w:eastAsia="Times New Roman" w:hAnsi="Times New Roman"/>
          <w:sz w:val="18"/>
          <w:szCs w:val="18"/>
          <w:color w:val="auto"/>
        </w:rPr>
      </w:pPr>
    </w:p>
    <w:p>
      <w:pPr>
        <w:ind w:right="80" w:firstLine="464"/>
        <w:spacing w:after="0" w:line="282" w:lineRule="auto"/>
        <w:tabs>
          <w:tab w:leader="none" w:pos="71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have the right (but not the obligation) to enforce the AstraZeneca Sole Invention Patents against a Competitive Product Infringement relating to Licensed Products.</w:t>
      </w:r>
    </w:p>
    <w:p>
      <w:pPr>
        <w:spacing w:after="0" w:line="161" w:lineRule="exact"/>
        <w:rPr>
          <w:rFonts w:ascii="Times New Roman" w:cs="Times New Roman" w:eastAsia="Times New Roman" w:hAnsi="Times New Roman"/>
          <w:sz w:val="18"/>
          <w:szCs w:val="18"/>
          <w:color w:val="auto"/>
        </w:rPr>
      </w:pPr>
    </w:p>
    <w:p>
      <w:pPr>
        <w:ind w:right="40" w:firstLine="464"/>
        <w:spacing w:after="0" w:line="261" w:lineRule="auto"/>
        <w:tabs>
          <w:tab w:leader="none" w:pos="70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have the right (but not the obligation) to prosecute, maintain, enforce and defend all Licensed Patents and Joint Patents and AstraZeneca shall, as promptly as reasonably practicable, and to a reasonable extent take such other actions and execute such other instruments, assignments, and documents as may be necessary to enable Ardelyx to practice the rights set forth in this subsection (e), with such cooperation to be provided at Ardelyx’s sole cost and expense.</w:t>
      </w:r>
    </w:p>
    <w:p>
      <w:pPr>
        <w:spacing w:after="0" w:line="180" w:lineRule="exact"/>
        <w:rPr>
          <w:rFonts w:ascii="Times New Roman" w:cs="Times New Roman" w:eastAsia="Times New Roman" w:hAnsi="Times New Roman"/>
          <w:sz w:val="18"/>
          <w:szCs w:val="18"/>
          <w:color w:val="auto"/>
        </w:rPr>
      </w:pPr>
    </w:p>
    <w:p>
      <w:pPr>
        <w:ind w:firstLine="464"/>
        <w:spacing w:after="0" w:line="266" w:lineRule="auto"/>
        <w:tabs>
          <w:tab w:leader="none" w:pos="68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return all data, files, records and other materials in its possession or Control containing or comprising the other Party’s Confidential Information to which such first Party does not retain rights hereunder (except one copy thereof, which may be retained by the returning Party solely for legal archive purposes).</w:t>
      </w:r>
    </w:p>
    <w:p>
      <w:pPr>
        <w:spacing w:after="0" w:line="104"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80"/>
          </w:cols>
          <w:pgMar w:left="240" w:top="270" w:right="279" w:bottom="1440" w:gutter="0" w:footer="0" w:header="0"/>
        </w:sectPr>
      </w:pPr>
    </w:p>
    <w:bookmarkStart w:id="280" w:name="page281"/>
    <w:bookmarkEnd w:id="280"/>
    <w:p>
      <w:pPr>
        <w:ind w:firstLine="464"/>
        <w:spacing w:after="0" w:line="253" w:lineRule="auto"/>
        <w:tabs>
          <w:tab w:leader="none" w:pos="71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AstraZeneca shall, where permitted under Applicable Laws, as promptly as reasonably practical transfer to Ardelyx all INDs, Drug Approval Applications, and Regulatory Approvals with respect to Licensed Compounds and Licensed Products (but not with respect to any other compounds or products), and shall take such other actions and execute such other instruments, assignments, and documents as may be necessary to effect the transfer of rights hereunder to Ardelyx. Without limiting the generality of the foregoing, AstraZeneca agrees to submit to the FDA and other Regulatory Authorities where reasonably appropriate and permitted under Applicable Laws in jurisdictions in which any regulatory filings have been made with respect to the Licensed Product, within ten (10) days after the effective date of such termination, a letter (with copy to Ardelyx) notifying the FDA and such other Regulatory Authorities of the transfer of any regulatory filings for the Licensed Product in such jurisdictions from AstraZeneca to Ardelyx. Additionally, AstraZeneca will provide Ardelyx with copies of regulatory filings necessary to practice the rights granted to it under this Section 14.3(g). All transfers described in this Section 14.3(g) shall be at Ardelyx’s expense. Ardelyx shall indemnify and hold harmless AstraZeneca, its Affiliates and each of its and their respective employees, officers, directors, agents and Sublicensees as set forth in Section 15.1(b) from and against any Losses arising out of or resulting from Third Party Claims that arise or result from Ardelyx’s, its Affiliates’ or its sublicensees’ Exploitation of the Licensed Compounds or Licensed Products under any INDs, Drug Approval Applications or Regulatory Approvals transferred hereunder.</w:t>
      </w:r>
    </w:p>
    <w:p>
      <w:pPr>
        <w:spacing w:after="0" w:line="190" w:lineRule="exact"/>
        <w:rPr>
          <w:rFonts w:ascii="Times New Roman" w:cs="Times New Roman" w:eastAsia="Times New Roman" w:hAnsi="Times New Roman"/>
          <w:sz w:val="18"/>
          <w:szCs w:val="18"/>
          <w:color w:val="auto"/>
        </w:rPr>
      </w:pPr>
    </w:p>
    <w:p>
      <w:pPr>
        <w:ind w:right="40" w:firstLine="464"/>
        <w:spacing w:after="0" w:line="254" w:lineRule="auto"/>
        <w:tabs>
          <w:tab w:leader="none" w:pos="71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will assign (or cause its Affiliates to assign) to Ardelyx, at Ardelyx’s request, all of AstraZeneca’s (or its Affiliates’) rights and obligations under agreements with Third Parties with respect to (i) the conduct of Clinical Trials for each Licensed Product, including Agreements with contract research organizations, clinical sites and investigators that relate to Clinical Trials in support of Regulatory Approvals in the Territory, (ii) the Manufacture of Licensed Compound or Licensed Product (subject to AstraZeneca’s obligations under Section 8.4), and (iii) any other Third Party agreements involving the Development or Commercialization of the Licensed Products, unless in each of (i) through (iii), such agreement is not permitted to be assigned pursuant to its terms or relates to products other than Licensed Products, in which case AstraZeneca will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spacing w:after="0" w:line="189"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at Ardelyx’s sole cost and expense assign all of its rights in and to all Product Trademarks for Licensed Products (and all</w:t>
      </w:r>
    </w:p>
    <w:p>
      <w:pPr>
        <w:spacing w:after="0" w:line="27" w:lineRule="exact"/>
        <w:rPr>
          <w:rFonts w:ascii="Times New Roman" w:cs="Times New Roman" w:eastAsia="Times New Roman" w:hAnsi="Times New Roman"/>
          <w:sz w:val="18"/>
          <w:szCs w:val="18"/>
          <w:color w:val="auto"/>
        </w:rPr>
      </w:pPr>
    </w:p>
    <w:p>
      <w:pPr>
        <w:ind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registrations and applications for registration therefor) that it owns pursuant to Section 11.7 to Ardelyx and Ardelyx shall have the exclusive right (but not the obligation) to enforce the Product Trademark rights against infringers.</w:t>
      </w:r>
    </w:p>
    <w:p>
      <w:pPr>
        <w:spacing w:after="0" w:line="179" w:lineRule="exact"/>
        <w:rPr>
          <w:rFonts w:ascii="Times New Roman" w:cs="Times New Roman" w:eastAsia="Times New Roman" w:hAnsi="Times New Roman"/>
          <w:sz w:val="18"/>
          <w:szCs w:val="18"/>
          <w:color w:val="auto"/>
        </w:rPr>
      </w:pPr>
    </w:p>
    <w:p>
      <w:pPr>
        <w:ind w:right="360" w:firstLine="464"/>
        <w:spacing w:after="0" w:line="282" w:lineRule="auto"/>
        <w:tabs>
          <w:tab w:leader="none" w:pos="67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they are assignable and as requested by Ardelyx, AstraZeneca shall execute any documents necessary to transfer to Ardelyx rights under any Third Party licenses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270" w:right="259" w:bottom="1440" w:gutter="0" w:footer="0" w:header="0"/>
        </w:sectPr>
      </w:pPr>
    </w:p>
    <w:bookmarkStart w:id="281" w:name="page282"/>
    <w:bookmarkEnd w:id="281"/>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obtained by AstraZeneca pursuant to and during the course of the term of this Agreement for the purpose of Exploiting the Licensed Compounds or Licensed Products, and Ardelyx shall thereafter be responsible for all costs, expenses and obligations associated with such Third Party licenses.</w:t>
      </w:r>
    </w:p>
    <w:p>
      <w:pPr>
        <w:spacing w:after="0" w:line="162" w:lineRule="exact"/>
        <w:rPr>
          <w:sz w:val="20"/>
          <w:szCs w:val="20"/>
          <w:color w:val="auto"/>
        </w:rPr>
      </w:pPr>
    </w:p>
    <w:p>
      <w:pPr>
        <w:ind w:right="640" w:firstLine="464"/>
        <w:spacing w:after="0" w:line="282" w:lineRule="auto"/>
        <w:tabs>
          <w:tab w:leader="none" w:pos="71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at the time of termination was Manufacturing Licensed Product or Licensed Compound, AstraZeneca shall comply with the obligations set forth in Section 8.4.</w:t>
      </w:r>
    </w:p>
    <w:p>
      <w:pPr>
        <w:spacing w:after="0" w:line="161" w:lineRule="exact"/>
        <w:rPr>
          <w:rFonts w:ascii="Times New Roman" w:cs="Times New Roman" w:eastAsia="Times New Roman" w:hAnsi="Times New Roman"/>
          <w:sz w:val="18"/>
          <w:szCs w:val="18"/>
          <w:color w:val="auto"/>
        </w:rPr>
      </w:pPr>
    </w:p>
    <w:p>
      <w:pPr>
        <w:ind w:firstLine="464"/>
        <w:spacing w:after="0" w:line="255" w:lineRule="auto"/>
        <w:tabs>
          <w:tab w:leader="none" w:pos="67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Ardelyx’s request, AstraZeneca shall transfer to Ardelyx copies of all materials, data, results, analyses, reports, websites, marketing materials, technology, regulatory filings and other Information and Materials existing in tangible or electronic form at the effective date of the AZ Triggered Termination, that is Controlled by AstraZeneca and has been generated on or before the effective date of such termination by or on behalf of AstraZeneca, its Affiliates or Sublicensees with respect to the Licensed Products (“</w:t>
      </w:r>
      <w:r>
        <w:rPr>
          <w:rFonts w:ascii="Times New Roman" w:cs="Times New Roman" w:eastAsia="Times New Roman" w:hAnsi="Times New Roman"/>
          <w:sz w:val="18"/>
          <w:szCs w:val="18"/>
          <w:b w:val="1"/>
          <w:bCs w:val="1"/>
          <w:color w:val="auto"/>
        </w:rPr>
        <w:t>AZ Product Data</w:t>
      </w:r>
      <w:r>
        <w:rPr>
          <w:rFonts w:ascii="Times New Roman" w:cs="Times New Roman" w:eastAsia="Times New Roman" w:hAnsi="Times New Roman"/>
          <w:sz w:val="18"/>
          <w:szCs w:val="18"/>
          <w:color w:val="auto"/>
        </w:rPr>
        <w:t>”) and Ardelyx shall have the right to use on a non-exclusive basis such AZ Product Data only to the extent necessary to enable Ardelyx to proceed to Develop, Manufacture and Commercialize Licensed Products upon and after termination of this Agreement, provided that Ardelyx shall indemnify and hold harmless AstraZeneca, its Affiliates and each of its and their respective employees, officers, directors, agents and Sublicensees as set forth in Section 15.1(b) from and against any Losses arising out of or resulting from Third Party Claims that arise or result from the use of any AZ Product Data hereunder.</w:t>
      </w:r>
    </w:p>
    <w:p>
      <w:pPr>
        <w:spacing w:after="0" w:line="185" w:lineRule="exact"/>
        <w:rPr>
          <w:rFonts w:ascii="Times New Roman" w:cs="Times New Roman" w:eastAsia="Times New Roman" w:hAnsi="Times New Roman"/>
          <w:sz w:val="18"/>
          <w:szCs w:val="18"/>
          <w:color w:val="auto"/>
        </w:rPr>
      </w:pPr>
    </w:p>
    <w:p>
      <w:pPr>
        <w:ind w:right="160" w:firstLine="464"/>
        <w:spacing w:after="0" w:line="261" w:lineRule="auto"/>
        <w:tabs>
          <w:tab w:leader="none" w:pos="76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foregoing transfer of AZ Product Data and, if applicable, INDs, Drug Approval Applications, Regulatory Approvals, Product Trademarks as well as [***] and any other rights granted under the above provisions in this Section 14.3, if this Agreement is terminated [***], Ardelyx shall [***], and (iii) any such [***], and (to the extent such costs are not to be borne by Ardelyx pursuant to the above provisions) any [***] under this Agreement to Ardelyx or its sublicensees. In addition, if the termination occurs [***].</w:t>
      </w:r>
    </w:p>
    <w:p>
      <w:pPr>
        <w:spacing w:after="0" w:line="180" w:lineRule="exact"/>
        <w:rPr>
          <w:rFonts w:ascii="Times New Roman" w:cs="Times New Roman" w:eastAsia="Times New Roman" w:hAnsi="Times New Roman"/>
          <w:sz w:val="18"/>
          <w:szCs w:val="18"/>
          <w:color w:val="auto"/>
        </w:rPr>
      </w:pPr>
    </w:p>
    <w:p>
      <w:pPr>
        <w:ind w:right="140" w:firstLine="464"/>
        <w:spacing w:after="0" w:line="282" w:lineRule="auto"/>
        <w:tabs>
          <w:tab w:leader="none" w:pos="711"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rights granted to Ardelyx under this Section 14.3 are restricted to Licensed Compounds and Licensed Products and AstraZeneca does not grant any rights whatsoever to any other compounds or products or to any Intellectual Property Rights</w:t>
      </w:r>
    </w:p>
    <w:p>
      <w:pPr>
        <w:spacing w:after="0" w:line="89"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270" w:right="279" w:bottom="1440" w:gutter="0" w:footer="0" w:header="0"/>
        </w:sectPr>
      </w:pPr>
    </w:p>
    <w:bookmarkStart w:id="282" w:name="page283"/>
    <w:bookmarkEnd w:id="282"/>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as set forth in Section 14.3(c). Moreover, AstraZeneca shall not be obligated to provide Ardelyx with any other IPR or other rights or services than that which is explicitly provided for under this Section 14.3.</w:t>
      </w:r>
    </w:p>
    <w:p>
      <w:pPr>
        <w:spacing w:after="0" w:line="162" w:lineRule="exact"/>
        <w:rPr>
          <w:sz w:val="20"/>
          <w:szCs w:val="20"/>
          <w:color w:val="auto"/>
        </w:rPr>
      </w:pPr>
    </w:p>
    <w:p>
      <w:pPr>
        <w:ind w:firstLine="464"/>
        <w:spacing w:after="0" w:line="258" w:lineRule="auto"/>
        <w:tabs>
          <w:tab w:leader="none" w:pos="71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Section 14.3 shall survive in addition to others specified in this Agreement to survive in such event.</w:t>
      </w:r>
    </w:p>
    <w:p>
      <w:pPr>
        <w:spacing w:after="0" w:line="183" w:lineRule="exact"/>
        <w:rPr>
          <w:rFonts w:ascii="Times New Roman" w:cs="Times New Roman" w:eastAsia="Times New Roman" w:hAnsi="Times New Roman"/>
          <w:sz w:val="18"/>
          <w:szCs w:val="18"/>
          <w:color w:val="auto"/>
        </w:rPr>
      </w:pPr>
    </w:p>
    <w:p>
      <w:pPr>
        <w:ind w:right="40" w:firstLine="464"/>
        <w:spacing w:after="0" w:line="258" w:lineRule="auto"/>
        <w:tabs>
          <w:tab w:leader="none" w:pos="71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be entitled, during a period of [***] following the AZ Triggered Termination, to finish any work-in-progress and, unless Ardelyx requests the transfer thereof in accordance with the terms of Section 8.4, to sell any inventory of the Licensed Product that remains on hand as of the date of the termination, so long as AstraZeneca pays to Ardelyx the royalties applicable to said subsequent sales in accordance with the terms and conditions set forth in this Agreement; provided that if such termination is by Ardelyx pursuant to Section 14.2(a), that AstraZeneca’s rights under this Section 14.3(p) shall be subject to Ardelyx’s prior written consent, which shall not be unreasonably withheld, delayed or conditioned.</w:t>
      </w:r>
    </w:p>
    <w:p>
      <w:pPr>
        <w:spacing w:after="0" w:line="183" w:lineRule="exact"/>
        <w:rPr>
          <w:rFonts w:ascii="Times New Roman" w:cs="Times New Roman" w:eastAsia="Times New Roman" w:hAnsi="Times New Roman"/>
          <w:sz w:val="18"/>
          <w:szCs w:val="18"/>
          <w:color w:val="auto"/>
        </w:rPr>
      </w:pPr>
    </w:p>
    <w:p>
      <w:pPr>
        <w:ind w:right="60" w:firstLine="464"/>
        <w:spacing w:after="0" w:line="255" w:lineRule="auto"/>
        <w:tabs>
          <w:tab w:leader="none" w:pos="71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set forth in this Agreement, (i) AstraZeneca shall not have any obligations to continue any Development, Manufacture or Commercialization of the relevant Licensed Compound or Licensed Product if AstraZeneca has terminated this Agreement pursuant to Section 14.2(b) with reference to any material safety concerns; and (ii) should Ardelyx elect to pursue any Development, Manufacture or Commercialization of the relevant Licensed Compound or Licensed Product following any such termination by AstraZeneca, Ardelyx shall - without prejudice to or limitation of any other or further obligations Ardelyx may have to AstraZeneca under this Agreement (including Section 15.1(b)) - indemnify AstraZeneca for any Third Party claims arising from Ardelyx’s Development, Manufacture or Commercialization after the effective date of the termination of the relevant Licensed Compound or Licensed Product as set forth in Section 15.1(b).</w:t>
      </w:r>
    </w:p>
    <w:p>
      <w:pPr>
        <w:spacing w:after="0" w:line="189"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continue to comply with its non-compete obligations pursuant to Sections 2.9(b) for the period set forth in Section 2.9(b).</w:t>
      </w:r>
    </w:p>
    <w:p>
      <w:pPr>
        <w:spacing w:after="0" w:line="221"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14.4 Consequences of Termination (or Right to Terminate) by AstraZeneca for Ardelyx’s breach or insolvency</w:t>
      </w:r>
      <w:r>
        <w:rPr>
          <w:rFonts w:ascii="Times New Roman" w:cs="Times New Roman" w:eastAsia="Times New Roman" w:hAnsi="Times New Roman"/>
          <w:sz w:val="18"/>
          <w:szCs w:val="18"/>
          <w:color w:val="auto"/>
        </w:rPr>
        <w:t>. If AstraZeneca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this Agreement pursuant to Section 14.2(a) as a result of a material breach by Ardelyx or Section 14.2(e) for an insolvency or other transaction described therein affecting Ardelyx, AstraZeneca may elect to terminate this Agreement subject to the provisions set forth in Section 14.4(a), or to continue the Agreement subject to the provisions set forth in Section 14.4(b).</w:t>
      </w:r>
    </w:p>
    <w:p>
      <w:pPr>
        <w:spacing w:after="0" w:line="181" w:lineRule="exact"/>
        <w:rPr>
          <w:sz w:val="20"/>
          <w:szCs w:val="20"/>
          <w:color w:val="auto"/>
        </w:rPr>
      </w:pPr>
    </w:p>
    <w:p>
      <w:pPr>
        <w:ind w:right="20" w:firstLine="464"/>
        <w:spacing w:after="0" w:line="282" w:lineRule="auto"/>
        <w:tabs>
          <w:tab w:leader="none" w:pos="70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terminates the Agreement under Section 14.2(a) or under Section 14.2(e), Section 14.3 shall apply as if such termination were an AZ Triggered Termination,</w:t>
      </w:r>
    </w:p>
    <w:p>
      <w:pPr>
        <w:spacing w:after="0" w:line="89"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270" w:right="239" w:bottom="1440" w:gutter="0" w:footer="0" w:header="0"/>
        </w:sectPr>
      </w:pPr>
    </w:p>
    <w:bookmarkStart w:id="283" w:name="page284"/>
    <w:bookmarkEnd w:id="28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that (AA) notwithstanding anything set forth to the contrary in Section 14.3, Ardelyx shall compensate AstraZeneca for any costs or expenses incurred by it or its Affiliates in connection with performing any of the activities contemplated by Section 14.3, (BB) Section 14.3(r) shall not apply and AstraZeneca</w:t>
      </w:r>
    </w:p>
    <w:p>
      <w:pPr>
        <w:ind w:right="480" w:firstLine="8"/>
        <w:spacing w:after="0" w:line="261" w:lineRule="auto"/>
        <w:tabs>
          <w:tab w:leader="none" w:pos="4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from the effective date of the termination, (CC) Ardelyx shall continue to comply with its non-compete obligations under Section 2.9(c) for the period stated therein, and (DD) Section 14.3(m) shall not apply, and instead, the following shall apply:</w:t>
      </w:r>
    </w:p>
    <w:p>
      <w:pPr>
        <w:spacing w:after="0" w:line="72"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In consideration of the foregoing transfer of AZ Product Data and, if applicable, INDs, Drug Approval Applications, and Regulatory Approvals as well as the license granted under Section 14.3(c) and any other rights granted under the above provisions in Section 14.3, if this Agreement is terminated pursuant to Section 14.2(a) by AstraZeneca, Ardelyx shall [***]. The foregoing shall be in addition and without prejudice to any other remedies that may be available to AstraZeneca due to Ardelyx’s breach, including [***].</w:t>
      </w:r>
    </w:p>
    <w:p>
      <w:pPr>
        <w:spacing w:after="0" w:line="180" w:lineRule="exact"/>
        <w:rPr>
          <w:sz w:val="20"/>
          <w:szCs w:val="20"/>
          <w:color w:val="auto"/>
        </w:rPr>
      </w:pPr>
    </w:p>
    <w:p>
      <w:pPr>
        <w:ind w:right="580" w:firstLine="464"/>
        <w:spacing w:after="0" w:line="282" w:lineRule="auto"/>
        <w:tabs>
          <w:tab w:leader="none" w:pos="711"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has the right to terminate this Agreement under Section 14.2(a) or Section 14.2(e), but elects to continue this Agreement, this Agreement shall continue in full force and effect except as follows:</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Ardelyx’s rights under the Co-Promote Option (whether or not exercised prior to the termination) shall terminate.</w:t>
      </w:r>
    </w:p>
    <w:p>
      <w:pPr>
        <w:spacing w:after="0" w:line="117" w:lineRule="exact"/>
        <w:rPr>
          <w:rFonts w:ascii="Times New Roman" w:cs="Times New Roman" w:eastAsia="Times New Roman" w:hAnsi="Times New Roman"/>
          <w:sz w:val="18"/>
          <w:szCs w:val="18"/>
          <w:color w:val="auto"/>
        </w:rPr>
      </w:pPr>
    </w:p>
    <w:p>
      <w:pPr>
        <w:ind w:left="460" w:right="180" w:firstLine="443"/>
        <w:spacing w:after="0" w:line="261" w:lineRule="auto"/>
        <w:tabs>
          <w:tab w:leader="none" w:pos="1163"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at AstraZeneca’s request, cease any Development, Manufacturing or Commercialization activities performed by Ardelyx pursuant to this Agreement, Ardelyx shall cease to have the right to participate in the DCC and SCC, and, upon such request, Ardelyx shall furnish AstraZeneca with reasonable cooperation to assure a smooth transition to AstraZeneca (or its designee) of any such activities then being conducted or performed by Ardelyx.</w:t>
      </w:r>
    </w:p>
    <w:p>
      <w:pPr>
        <w:spacing w:after="0" w:line="71" w:lineRule="exact"/>
        <w:rPr>
          <w:rFonts w:ascii="Times New Roman" w:cs="Times New Roman" w:eastAsia="Times New Roman" w:hAnsi="Times New Roman"/>
          <w:sz w:val="18"/>
          <w:szCs w:val="18"/>
          <w:color w:val="auto"/>
        </w:rPr>
      </w:pPr>
    </w:p>
    <w:p>
      <w:pPr>
        <w:ind w:left="460" w:right="280" w:firstLine="443"/>
        <w:spacing w:after="0" w:line="266" w:lineRule="auto"/>
        <w:tabs>
          <w:tab w:leader="none" w:pos="1213"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return all data, files, records and other materials in its possession or Control containing or comprising the other Party’s Confidential Information to which such first Party does not retain rights hereunder (except one copy thereof, which may be retained by the returning Party solely for legal archive purposes).</w:t>
      </w:r>
    </w:p>
    <w:p>
      <w:pPr>
        <w:spacing w:after="0" w:line="68"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203"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AstraZeneca being entitled to terminate this Agreement under Section 14.2(a) due to Ardelyx breach (but not if AstraZeneca’s right to terminate is based solely on Ardelyx’s insolvency pursuant to Section 14.2(e)), the [***]</w:t>
      </w:r>
    </w:p>
    <w:p>
      <w:pPr>
        <w:spacing w:after="0" w:line="89"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270" w:right="239" w:bottom="1440" w:gutter="0" w:footer="0" w:header="0"/>
        </w:sectPr>
      </w:pPr>
    </w:p>
    <w:bookmarkStart w:id="284" w:name="page285"/>
    <w:bookmarkEnd w:id="284"/>
    <w:p>
      <w:pPr>
        <w:ind w:left="452" w:right="760" w:firstLine="4"/>
        <w:spacing w:after="0" w:line="282" w:lineRule="auto"/>
        <w:tabs>
          <w:tab w:leader="none" w:pos="88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set forth in Section [***], taking into account any [***], shall each be [***], provided that any such [***], and any costs incurred by AstraZeneca in connection with the [***].</w:t>
      </w:r>
    </w:p>
    <w:p>
      <w:pPr>
        <w:spacing w:after="0" w:line="162" w:lineRule="exact"/>
        <w:rPr>
          <w:sz w:val="20"/>
          <w:szCs w:val="20"/>
          <w:color w:val="auto"/>
        </w:rPr>
      </w:pPr>
    </w:p>
    <w:p>
      <w:pPr>
        <w:ind w:left="-8" w:firstLine="464"/>
        <w:spacing w:after="0" w:line="258" w:lineRule="auto"/>
        <w:tabs>
          <w:tab w:leader="none" w:pos="69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Section 14.4 shall survive in addition to others specified in this Agreement to survive in such event.</w:t>
      </w:r>
    </w:p>
    <w:p>
      <w:pPr>
        <w:spacing w:after="0" w:line="180"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14.5 Change of Control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right="300" w:firstLine="464"/>
        <w:spacing w:after="0" w:line="266" w:lineRule="auto"/>
        <w:tabs>
          <w:tab w:leader="none" w:pos="69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provide to AstraZeneca written notice of any Change of Control of Ardelyx as soon as practicable after the effective date of an agreement pursuant to which such Change of Control would be effected, but in any event within five (5) Business Days thereafter. AZ shall maintain such notice in confidence as Confidential Information of Ardelyx, subject to the provisions contained in Article 10.</w:t>
      </w:r>
    </w:p>
    <w:p>
      <w:pPr>
        <w:spacing w:after="0" w:line="176" w:lineRule="exact"/>
        <w:rPr>
          <w:rFonts w:ascii="Times New Roman" w:cs="Times New Roman" w:eastAsia="Times New Roman" w:hAnsi="Times New Roman"/>
          <w:sz w:val="18"/>
          <w:szCs w:val="18"/>
          <w:color w:val="auto"/>
        </w:rPr>
      </w:pPr>
    </w:p>
    <w:p>
      <w:pPr>
        <w:ind w:left="-8" w:right="20" w:firstLine="464"/>
        <w:spacing w:after="0" w:line="253" w:lineRule="auto"/>
        <w:tabs>
          <w:tab w:leader="none" w:pos="70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may request by written notice to AstraZeneca within [***] after the effective date of a Change of Control of Ardelyx that the Parties meet to discuss any modifications that Ardelyx wishes to propose to subsections (i) through (iii) of Section 14.5(c). If Ardelyx requests such a meeting, Ardelyx and AstraZeneca shall meet within [***] after AstraZeneca’s receipt of such meeting request to allow Ardelyx to present to AstraZeneca its proposal to modify any or all of subsections (i) through (iii) of Section 14.5(c). Following such meeting, AstraZeneca shall have a period of [***] to provide Ardelyx with written notice as to whether or not any, or all, of the modifications proposed by Ardelyx are accepted by AstraZeneca and, to the extent so accepted, as from what date such modifications shall apply, it being acknowledged and agreed that AstraZeneca shall be entitled to accept or reject any such proposed modifications entirely at its own discretion. In the event that AstraZeneca fails to notify Ardelyx pursuant to the foregoing sentence with such [***] period, then Ardelyx’s proposal shall be deemed rejected by AstraZeneca upon the expiry of such [***] period. For the avoidance of doubt, regardless of any request for a meeting and proposal for modifications made by Ardelyx pursuant to this Section 14.5(b), Section 14.5(c) shall apply in its entirety as from the effective date of a Change of Control of Ardelyx, unless and until AstraZeneca has accepted in writing within the aforesaid [***] period that any modifications proposed by Ardelyx shall take effect.</w:t>
      </w:r>
    </w:p>
    <w:p>
      <w:pPr>
        <w:spacing w:after="0" w:line="192" w:lineRule="exact"/>
        <w:rPr>
          <w:rFonts w:ascii="Times New Roman" w:cs="Times New Roman" w:eastAsia="Times New Roman" w:hAnsi="Times New Roman"/>
          <w:sz w:val="18"/>
          <w:szCs w:val="18"/>
          <w:color w:val="auto"/>
        </w:rPr>
      </w:pPr>
    </w:p>
    <w:p>
      <w:pPr>
        <w:ind w:left="-8" w:right="340" w:firstLine="464"/>
        <w:spacing w:after="0" w:line="282" w:lineRule="auto"/>
        <w:tabs>
          <w:tab w:leader="none" w:pos="69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Change of Control of Ardelyx, subject to any modifications mutually agreed by the Parties in writing pursuant to Section 14.5(b), the following shall apply [***]</w:t>
      </w:r>
    </w:p>
    <w:p>
      <w:pPr>
        <w:spacing w:after="0" w:line="89" w:lineRule="exact"/>
        <w:rPr>
          <w:rFonts w:ascii="Times New Roman" w:cs="Times New Roman" w:eastAsia="Times New Roman" w:hAnsi="Times New Roman"/>
          <w:sz w:val="18"/>
          <w:szCs w:val="18"/>
          <w:color w:val="auto"/>
        </w:rPr>
      </w:pPr>
    </w:p>
    <w:p>
      <w:pPr>
        <w:ind w:left="-8" w:right="420" w:firstLine="8"/>
        <w:spacing w:after="0" w:line="262" w:lineRule="auto"/>
        <w:tabs>
          <w:tab w:leader="none" w:pos="34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92"/>
          </w:cols>
          <w:pgMar w:left="248" w:top="270" w:right="259"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ind w:right="80" w:firstLine="464"/>
        <w:spacing w:after="0" w:line="266" w:lineRule="auto"/>
        <w:tabs>
          <w:tab w:leader="none" w:pos="71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AstraZeneca is subject to a Change of Control, AstraZeneca, or its successor in interest, shall remain obligated to use Commercially Reasonable Efforts to Develop, Manufacture and Commercialize the Licensed Products in the Major Markets as set forth in Section 4.4 and to perform all other obligations set forth in this Agreement.</w:t>
      </w:r>
    </w:p>
    <w:p>
      <w:pPr>
        <w:spacing w:after="0" w:line="172"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14.6 Bankruptcy</w:t>
      </w:r>
      <w:r>
        <w:rPr>
          <w:rFonts w:ascii="Times New Roman" w:cs="Times New Roman" w:eastAsia="Times New Roman" w:hAnsi="Times New Roman"/>
          <w:sz w:val="18"/>
          <w:szCs w:val="18"/>
          <w:color w:val="auto"/>
        </w:rPr>
        <w:t>. All rights and licenses granted under or pursuant to this Agreement by a Party are, and shall otherwise be deemed to be,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14.7 Surviving Rights and Obligations</w:t>
      </w:r>
      <w:r>
        <w:rPr>
          <w:rFonts w:ascii="Times New Roman" w:cs="Times New Roman" w:eastAsia="Times New Roman" w:hAnsi="Times New Roman"/>
          <w:sz w:val="18"/>
          <w:szCs w:val="18"/>
          <w:color w:val="auto"/>
        </w:rPr>
        <w:t>. The rights and obligations set forth in this Agreement shall extend beyond the expiration or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 In the event of expiration or termination of this Agreement for any reason, the following provisions shall survive in addition to others specified in this Agreement to survive in such event: Articles 1, 10, 13,15 (solely as to actions arising during the term of this Agreement, or as to activities conducted in the course of a Party’s exercise of licenses surviving after the term of this Agreement), 16 and 17, and Sections 2.9(b), 2.9(c) and 2.9(d) (as applicable),</w:t>
      </w:r>
    </w:p>
    <w:p>
      <w:pPr>
        <w:spacing w:after="0" w:line="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4.1(d), 5.2(a)(i), 8.4, 9.5 through 9.8 (solely to the extent provided in Sections 14.3 and 14.4), 9.9 through 9.13 (solely with respect to payments received following the effective date of termination or expiration), 11.2, 12.5(c), 12.5(d), 12.5(e), 12.5(f), 12.5(g), 14.2, 14.3, 14.4, 14.6, 14.7 and 14.8.</w:t>
      </w:r>
    </w:p>
    <w:p>
      <w:pPr>
        <w:spacing w:after="0" w:line="108" w:lineRule="exact"/>
        <w:rPr>
          <w:sz w:val="20"/>
          <w:szCs w:val="20"/>
          <w:color w:val="auto"/>
        </w:rPr>
      </w:pPr>
    </w:p>
    <w:p>
      <w:pPr>
        <w:ind w:right="420" w:firstLine="8"/>
        <w:spacing w:after="0" w:line="262" w:lineRule="auto"/>
        <w:tabs>
          <w:tab w:leader="none" w:pos="348"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270" w:right="259" w:bottom="1440" w:gutter="0" w:footer="0" w:header="0"/>
        </w:sectPr>
      </w:pPr>
    </w:p>
    <w:bookmarkStart w:id="286" w:name="page287"/>
    <w:bookmarkEnd w:id="286"/>
    <w:p>
      <w:pPr>
        <w:ind w:right="3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14.8 Accrued Rights</w:t>
      </w:r>
      <w:r>
        <w:rPr>
          <w:rFonts w:ascii="Times New Roman" w:cs="Times New Roman" w:eastAsia="Times New Roman" w:hAnsi="Times New Roman"/>
          <w:sz w:val="18"/>
          <w:szCs w:val="18"/>
          <w:color w:val="auto"/>
        </w:rPr>
        <w:t>. Termination, relinquishment, or expiration of the Agreement for any reason shall be without prejudice to any rights that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accrued to the benefit of either Party prior to such termination, relinquishment, or expiration, including without limitation damages arising from any breach hereunder. Such termination, relinquishment, or expiration shall not relieve either Party from obligations that are expressly indicated to survive termination or expiration of the Agreement.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15.1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64"/>
        <w:spacing w:after="0" w:line="253" w:lineRule="auto"/>
        <w:tabs>
          <w:tab w:leader="none" w:pos="70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or demands made or brought by a Sublicensee or other Third Party (collectively, “</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against Ardelyx, its Affiliates or their respective employees, officers, directors or agents, that result from or arise out of (i) the Manufacture, use, handling, storage, sale, or other disposition of Licensed Products by AstraZeneca or its Affiliates, agents, Distributors, Sublicensees or other sublicensees in the Territory, (including, without limitation, Ardelyx’s participation in the Detailing, Pre-Approval Activities and Other Promotional Activities associated with the disposition of Licensed Products in the U.S. Territory by Ardelyx), (ii) any AstraZeneca representation or warranty set forth herein being untrue in any material respect when made, (iii) the negligence or willful misconduct by or on behalf of AstraZeneca, its Affiliates, agents, Distributors, Sublicensees or other sublicensees, and (iv) breach of this Agreement by or on behalf of AstraZeneca or its Affiliates, except in any case, to the extent such Losses are Losses for which Ardelyx has an obligation to indemnify AstraZeneca, its Affiliates or their respective employees, officers, directors or agents pursuant to Section 14.3(l), 14.3(q) or Section 15.1(b), as to which Losses each Party shall indemnify the other to the extent of their respective liability for such Losses.</w:t>
      </w:r>
    </w:p>
    <w:p>
      <w:pPr>
        <w:spacing w:after="0" w:line="192" w:lineRule="exact"/>
        <w:rPr>
          <w:rFonts w:ascii="Times New Roman" w:cs="Times New Roman" w:eastAsia="Times New Roman" w:hAnsi="Times New Roman"/>
          <w:sz w:val="18"/>
          <w:szCs w:val="18"/>
          <w:color w:val="auto"/>
        </w:rPr>
      </w:pPr>
    </w:p>
    <w:p>
      <w:pPr>
        <w:ind w:firstLine="464"/>
        <w:spacing w:after="0" w:line="254" w:lineRule="auto"/>
        <w:tabs>
          <w:tab w:leader="none" w:pos="71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hereby agrees to indemnify, defend and hold harmless AstraZeneca, its Affiliates, and each of its and their respective employees, officers, directors and agents from an against any and all Losses incurred by them resulting from or arising out of or in connection with any Third Party Claims against AstraZeneca, its Affiliates or their respective employees, officers, directors or agents, that result from or arise out of (i) the Manufacture, use, handling, storage, sale or other disposition of Licensed Products by Ardelyx or its Affiliates, agents, distributors or sublicensees prior to the Effective Date or following the effective date of any termination of this Agreement, (ii) the negligence or willful misconduct by or on behalf of Ardelyx, its Affiliates, agents, distributors or sublicensees, (iii) any Ardelyx representation or warranty set forth herein being untrue in any material respect when made, (iv) breach of this Agreement by or on behalf of Ardelyx or its Affiliates, or (v) those activities for which Ardelyx agrees to indemnify AstraZeneca pursuant to Article 14; except in any case, to the extent such Losses are Losses for which AstraZeneca has an obligation to indemnify Ardelyx, its Affiliates or their respective employees, officers, directors or agents pursuant to Section 15.1(a), as to which Losses each Party shall indemnify the other to the extent of their respective liability for such Losses.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266" w:right="259"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 Mechanism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4" w:lineRule="auto"/>
        <w:tabs>
          <w:tab w:leader="none" w:pos="70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is seeking indemnification under Section 15.1(a) or 15.1(b), it shall notify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 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spacing w:after="0" w:line="187" w:lineRule="exact"/>
        <w:rPr>
          <w:rFonts w:ascii="Times New Roman" w:cs="Times New Roman" w:eastAsia="Times New Roman" w:hAnsi="Times New Roman"/>
          <w:sz w:val="18"/>
          <w:szCs w:val="18"/>
          <w:color w:val="auto"/>
        </w:rPr>
      </w:pPr>
    </w:p>
    <w:p>
      <w:pPr>
        <w:ind w:right="40" w:firstLine="464"/>
        <w:spacing w:after="0" w:line="254" w:lineRule="auto"/>
        <w:tabs>
          <w:tab w:leader="none" w:pos="71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 15.1,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 Section 15.2(a) 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spacing w:after="0" w:line="182" w:lineRule="exact"/>
        <w:rPr>
          <w:sz w:val="20"/>
          <w:szCs w:val="20"/>
          <w:color w:val="auto"/>
        </w:rPr>
      </w:pPr>
    </w:p>
    <w:p>
      <w:pPr>
        <w:jc w:val="both"/>
        <w:ind w:right="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15.3 Insurance</w:t>
      </w:r>
      <w:r>
        <w:rPr>
          <w:rFonts w:ascii="Times New Roman" w:cs="Times New Roman" w:eastAsia="Times New Roman" w:hAnsi="Times New Roman"/>
          <w:sz w:val="18"/>
          <w:szCs w:val="18"/>
          <w:color w:val="auto"/>
        </w:rPr>
        <w:t>. Each Party shall have and maintain such type and amounts of liability insurance covering the Manufacture, supply, use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Compounds and the Licensed Products as is normal and customary in the pharmaceutical industry generally for Persons similarly situated, and shall upon request provide the other Party with a copy of its policies of insurance in that regard, along with any amendments and revisions thereto.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266" w:right="259" w:bottom="1440" w:gutter="0" w:footer="0" w:header="0"/>
        </w:sectPr>
      </w:pPr>
    </w:p>
    <w:bookmarkStart w:id="288" w:name="page289"/>
    <w:bookmarkEnd w:id="2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3" w:lineRule="exact"/>
        <w:rPr>
          <w:sz w:val="20"/>
          <w:szCs w:val="20"/>
          <w:color w:val="auto"/>
        </w:rPr>
      </w:pPr>
    </w:p>
    <w:p>
      <w:pPr>
        <w:ind w:right="2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16.1 Referral of Disputes to the Parties Senior Executives</w:t>
      </w:r>
      <w:r>
        <w:rPr>
          <w:rFonts w:ascii="Times New Roman" w:cs="Times New Roman" w:eastAsia="Times New Roman" w:hAnsi="Times New Roman"/>
          <w:sz w:val="18"/>
          <w:szCs w:val="18"/>
          <w:color w:val="auto"/>
        </w:rPr>
        <w:t>. In the event of any dispute between the Parties arising out of or in connection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either Party may, by written notice to the other, have such dispute referred to the Senior Executives for attempted resolution by good faith negotiations within [***] after such notice is received.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16.2 Mechanism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464"/>
        <w:spacing w:after="0" w:line="254" w:lineRule="auto"/>
        <w:tabs>
          <w:tab w:leader="none" w:pos="70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Ardelyx at any time has a good faith belief that AstraZeneca may be in material breach of its obligations under Section 4.4, (ii) Ardelyx has notified AstraZeneca of its belief in writing and the Parties are not in agreement as to whether or not such breach under Section 4.4 exists, and (iii) the Parties have not resolved the dispute through good faith negotiations pursuant to Section 16.1 within the prescribed time, then Ardelyx shall have the right (but not the obligation) to request, through written notice to AstraZeneca (a “</w:t>
      </w:r>
      <w:r>
        <w:rPr>
          <w:rFonts w:ascii="Times New Roman" w:cs="Times New Roman" w:eastAsia="Times New Roman" w:hAnsi="Times New Roman"/>
          <w:sz w:val="18"/>
          <w:szCs w:val="18"/>
          <w:b w:val="1"/>
          <w:bCs w:val="1"/>
          <w:color w:val="auto"/>
        </w:rPr>
        <w:t>Mediation Notice</w:t>
      </w:r>
      <w:r>
        <w:rPr>
          <w:rFonts w:ascii="Times New Roman" w:cs="Times New Roman" w:eastAsia="Times New Roman" w:hAnsi="Times New Roman"/>
          <w:sz w:val="18"/>
          <w:szCs w:val="18"/>
          <w:color w:val="auto"/>
        </w:rPr>
        <w:t>”) within thirty (30) days after the expiry of the time period set forth in Section 16.1, that the Parties shall attempt in good faith to settle such dispute by mediation administered by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under its Commercial Mediation Procedures. For clarity, Ardelyx shall not be obligated to exercise its right to initiate mediation pursuant to this</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16.2(a) before initiating arbitration pursuant to Section 16.2(b). If Ardelyx’s elects to exercise its right to initiate mediation within the prescribed time, then the following shall apply: If the Parties are unable to reach agreement on the selection of the mediator within fifteen (15) Business Days after AstraZeneca’s receipt of the Mediation Notice from Ardelyx, then either or both Parties shall immediately request the AAA to select a mediator with the requisite background, experience and expertise in the biopharmaceutical industry to assist the Parties in resolving the dispute amicably. The place of mediation shall be New York City, New York,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AAA to mediate such matter. Any decisions or recommendations of the mediator shall be confidential and non-binding on the Parties. If the Parties are unable to resolve the dispute through mediation pursuant to this Section 16.2(a) within a period of ninety (90) days following AstraZeneca’s receipt of the Mediation Notice from Ardelyx, then either Party shall thereafter have the right to refer the dispute to arbitration pursuant to Section 16.2(b).</w:t>
      </w:r>
    </w:p>
    <w:p>
      <w:pPr>
        <w:spacing w:after="0" w:line="193" w:lineRule="exact"/>
        <w:rPr>
          <w:rFonts w:ascii="Times New Roman" w:cs="Times New Roman" w:eastAsia="Times New Roman" w:hAnsi="Times New Roman"/>
          <w:sz w:val="18"/>
          <w:szCs w:val="18"/>
          <w:color w:val="auto"/>
        </w:rPr>
      </w:pPr>
    </w:p>
    <w:p>
      <w:pPr>
        <w:ind w:right="140" w:firstLine="464"/>
        <w:spacing w:after="0" w:line="255" w:lineRule="auto"/>
        <w:tabs>
          <w:tab w:leader="none" w:pos="71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16.1 and 16.2(a), any dispute, controversy or claim arising out of or relating to this Agreement, including the existence, negotiation, validity, formation, interpretation, breach, performance or application of this Agreement shall be settled by binding arbitration administered by the AAA in accordance with its Commercial Arbitration Rules (or the AAA International Arbitration Rules, if recommended under the AAA guidelines), as such rules may be modified by this Section 16.2(b) or otherwise by subsequent written agreement of the Parties.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place of arbitration shall be New York City, New York, and all</w:t>
      </w:r>
    </w:p>
    <w:p>
      <w:pPr>
        <w:spacing w:after="0" w:line="117"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266" w:right="239" w:bottom="1440" w:gutter="0" w:footer="0" w:header="0"/>
        </w:sectPr>
      </w:pPr>
    </w:p>
    <w:bookmarkStart w:id="289" w:name="page290"/>
    <w:bookmarkEnd w:id="289"/>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proceedings and communications shall be in English. The Parties shall have the right to be represented by counsel. Any judgment or award rendered by the arbitrators shall be final and binding on the Parties. The Parties agree that such judgment or award may be enforced in any court of competent jurisdiction.</w:t>
      </w:r>
    </w:p>
    <w:p>
      <w:pPr>
        <w:spacing w:after="0" w:line="158"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16.3 Preliminary Injunctions</w:t>
      </w:r>
      <w:r>
        <w:rPr>
          <w:rFonts w:ascii="Times New Roman" w:cs="Times New Roman" w:eastAsia="Times New Roman" w:hAnsi="Times New Roman"/>
          <w:sz w:val="18"/>
          <w:szCs w:val="18"/>
          <w:color w:val="auto"/>
        </w:rPr>
        <w:t>. Notwithstanding anything to the contrary, a Party may seek a temporary restraining order or a preliminary injunction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court of competent jurisdiction in order to prevent immediate and irreparable injury, loss, or damage on a provisional basis, pending the decision of the arbitrator(s) on the ultimate merits of any dispute.</w:t>
      </w:r>
    </w:p>
    <w:p>
      <w:pPr>
        <w:spacing w:after="0" w:line="171"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16.4 Patent Disputes</w:t>
      </w:r>
      <w:r>
        <w:rPr>
          <w:rFonts w:ascii="Times New Roman" w:cs="Times New Roman" w:eastAsia="Times New Roman" w:hAnsi="Times New Roman"/>
          <w:sz w:val="18"/>
          <w:szCs w:val="18"/>
          <w:color w:val="auto"/>
        </w:rPr>
        <w:t>. Notwithstanding anything to the contrary, any and all issues regarding the scope, inventorship, construction,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Patents shall be determined in a court of competent jurisdiction under the local patent laws of the jurisdictions having issued the Patents in question.</w:t>
      </w:r>
    </w:p>
    <w:p>
      <w:pPr>
        <w:spacing w:after="0" w:line="171"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16.5 Confidentiality</w:t>
      </w:r>
      <w:r>
        <w:rPr>
          <w:rFonts w:ascii="Times New Roman" w:cs="Times New Roman" w:eastAsia="Times New Roman" w:hAnsi="Times New Roman"/>
          <w:sz w:val="18"/>
          <w:szCs w:val="18"/>
          <w:color w:val="auto"/>
        </w:rPr>
        <w:t>. All proceedings and decisions of the arbitrator(s) in connection with an arbitral proceeding pursuant to Section 16.2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Confidential Information of each of the Parties and shall be subject to Article 10.</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17.1 Assignment; Performance by Affiliates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4" w:lineRule="auto"/>
        <w:tabs>
          <w:tab w:leader="none" w:pos="701"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assign any of its rights or obligations under this Agreement in any country in whole or in part without the prior written consent of the other Party, except that each Party shall have the right, without such consent, (i) to perform any of its obligations and exercise any of its rights under this Agreement through, and to assign all of its rights and obligations under this Agreement to, any of its Affiliates, so long as, [***]; and (ii) on written notice to the other Party, to assign all of its rights and obligations under this Agreement to a non-Affiliate successor in interest, whether by merger, consolidation, reorganization, acquisition, stock purchase, asset purchase or other similar transaction, to all or substantially all of the business to which this Agreement relates. In the event that a Party performs its obligations or exercises its rights under this Agreement through an Affiliate (without having assigned all of its rights and obligations to such Affiliate as permitted under this Section 17.1),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spacing w:after="0" w:line="117"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270" w:right="259" w:bottom="1440" w:gutter="0" w:footer="0" w:header="0"/>
        </w:sectPr>
      </w:pPr>
    </w:p>
    <w:bookmarkStart w:id="290" w:name="page291"/>
    <w:bookmarkEnd w:id="290"/>
    <w:p>
      <w:pPr>
        <w:ind w:right="20" w:firstLine="464"/>
        <w:spacing w:after="0" w:line="282" w:lineRule="auto"/>
        <w:tabs>
          <w:tab w:leader="none" w:pos="71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survive any succession of interest permitted pursuant to Section 17.1(a)(ii), whether by merger, consolidation, reorganization, acquisition, stock purchase, asset purchase or other similar transaction, provided, that, in the event of such merger,</w:t>
      </w:r>
    </w:p>
    <w:p>
      <w:pPr>
        <w:spacing w:after="0" w:line="16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spacing w:after="0" w:line="176" w:lineRule="exact"/>
        <w:rPr>
          <w:sz w:val="20"/>
          <w:szCs w:val="20"/>
          <w:color w:val="auto"/>
        </w:rPr>
      </w:pPr>
    </w:p>
    <w:p>
      <w:pPr>
        <w:ind w:right="620" w:firstLine="464"/>
        <w:spacing w:after="0" w:line="282" w:lineRule="auto"/>
        <w:tabs>
          <w:tab w:leader="none" w:pos="70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successors and permitted assigns of the Parties. Any assignment not in accordance with this Agreement shall be void.</w:t>
      </w:r>
    </w:p>
    <w:p>
      <w:pPr>
        <w:spacing w:after="0" w:line="15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17.2 Force Majeure</w:t>
      </w:r>
      <w:r>
        <w:rPr>
          <w:rFonts w:ascii="Times New Roman" w:cs="Times New Roman" w:eastAsia="Times New Roman" w:hAnsi="Times New Roman"/>
          <w:sz w:val="18"/>
          <w:szCs w:val="18"/>
          <w:color w:val="auto"/>
        </w:rPr>
        <w:t>. In this Agreement,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 event which is beyond a non-performing Party’s reasonable control, including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 regulation or direction, whether or not it is later held to be invalid. A Party that is prevented or delayed in its performance under this Agreement by an event of Force Majeure (a “</w:t>
      </w:r>
      <w:r>
        <w:rPr>
          <w:rFonts w:ascii="Times New Roman" w:cs="Times New Roman" w:eastAsia="Times New Roman" w:hAnsi="Times New Roman"/>
          <w:sz w:val="18"/>
          <w:szCs w:val="18"/>
          <w:b w:val="1"/>
          <w:bCs w:val="1"/>
          <w:color w:val="auto"/>
        </w:rPr>
        <w:t>Force Majeure Party</w:t>
      </w:r>
      <w:r>
        <w:rPr>
          <w:rFonts w:ascii="Times New Roman" w:cs="Times New Roman" w:eastAsia="Times New Roman" w:hAnsi="Times New Roman"/>
          <w:sz w:val="18"/>
          <w:szCs w:val="18"/>
          <w:color w:val="auto"/>
        </w:rPr>
        <w:t>”) shall, as soon as reasonably practical but no later than thirty (30) days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Section 17.2,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spacing w:after="0" w:line="183"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17.3 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in order to carry out the purposes and intent of this Agreement.</w:t>
      </w:r>
    </w:p>
    <w:p>
      <w:pPr>
        <w:spacing w:after="0" w:line="15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17.4 Notices</w:t>
      </w:r>
      <w:r>
        <w:rPr>
          <w:rFonts w:ascii="Times New Roman" w:cs="Times New Roman" w:eastAsia="Times New Roman" w:hAnsi="Times New Roman"/>
          <w:sz w:val="18"/>
          <w:szCs w:val="18"/>
          <w:color w:val="auto"/>
        </w:rPr>
        <w:t>. All notices hereunder shall be in writing and shall be deemed given if delivered personally or by facsimile transmission (receipt verified),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mailed by registered or certified mail (return receipt requested),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w:t>
      </w:r>
    </w:p>
    <w:p>
      <w:pPr>
        <w:sectPr>
          <w:pgSz w:w="11900" w:h="16838" w:orient="portrait"/>
          <w:cols w:equalWidth="0" w:num="1">
            <w:col w:w="11380"/>
          </w:cols>
          <w:pgMar w:left="240" w:top="270" w:right="279" w:bottom="1440" w:gutter="0" w:footer="0" w:header="0"/>
        </w:sect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Ardelyx, addressed 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Michael Raab, CEO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510-745-0493</w:t>
      </w:r>
    </w:p>
    <w:p>
      <w:pPr>
        <w:spacing w:after="0" w:line="153" w:lineRule="exact"/>
        <w:rPr>
          <w:sz w:val="20"/>
          <w:szCs w:val="20"/>
          <w:color w:val="auto"/>
        </w:rPr>
      </w:pPr>
    </w:p>
    <w:p>
      <w:pPr>
        <w:sectPr>
          <w:pgSz w:w="11900" w:h="16838" w:orient="portrait"/>
          <w:cols w:equalWidth="0" w:num="2">
            <w:col w:w="2940" w:space="720"/>
            <w:col w:w="7720"/>
          </w:cols>
          <w:pgMar w:left="240" w:top="270"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80"/>
          </w:cols>
          <w:pgMar w:left="240" w:top="270" w:right="279" w:bottom="1440" w:gutter="0" w:footer="0" w:header="0"/>
          <w:type w:val="continuous"/>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-281940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Scott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94025-1008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Judith A. Hasko, Esq.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(650) 463-2600</w:t>
      </w:r>
    </w:p>
    <w:p>
      <w:pPr>
        <w:spacing w:after="0" w:line="112" w:lineRule="exact"/>
        <w:rPr>
          <w:sz w:val="20"/>
          <w:szCs w:val="20"/>
          <w:color w:val="auto"/>
        </w:rPr>
      </w:pPr>
    </w:p>
    <w:p>
      <w:pPr>
        <w:sectPr>
          <w:pgSz w:w="11900" w:h="16838" w:orient="portrait"/>
          <w:cols w:equalWidth="0" w:num="2">
            <w:col w:w="2940" w:space="720"/>
            <w:col w:w="7740"/>
          </w:cols>
          <w:pgMar w:left="240" w:top="378" w:right="259"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If to AstraZeneca, addressed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AstraZeneca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R&amp;D Mölndal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S-431 83 Mölndal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112" w:lineRule="exact"/>
        <w:rPr>
          <w:sz w:val="20"/>
          <w:szCs w:val="20"/>
          <w:color w:val="auto"/>
        </w:rPr>
      </w:pPr>
    </w:p>
    <w:p>
      <w:pPr>
        <w:sectPr>
          <w:pgSz w:w="11900" w:h="16838" w:orient="portrait"/>
          <w:cols w:equalWidth="0" w:num="2">
            <w:col w:w="2940" w:space="720"/>
            <w:col w:w="7740"/>
          </w:cols>
          <w:pgMar w:left="240" w:top="378"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AstraZeneca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Legal Department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S-431 83 Mölndal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200" w:lineRule="exact"/>
        <w:rPr>
          <w:sz w:val="20"/>
          <w:szCs w:val="20"/>
          <w:color w:val="auto"/>
        </w:rPr>
      </w:pPr>
    </w:p>
    <w:p>
      <w:pPr>
        <w:sectPr>
          <w:pgSz w:w="11900" w:h="16838" w:orient="portrait"/>
          <w:cols w:equalWidth="0" w:num="2">
            <w:col w:w="2940" w:space="720"/>
            <w:col w:w="7740"/>
          </w:cols>
          <w:pgMar w:left="240" w:top="378" w:right="259" w:bottom="1440" w:gutter="0" w:footer="0" w:header="0"/>
          <w:type w:val="continuous"/>
        </w:sectPr>
      </w:pPr>
    </w:p>
    <w:p>
      <w:pPr>
        <w:spacing w:after="0" w:line="16"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17.5 Waiver</w:t>
      </w:r>
      <w:r>
        <w:rPr>
          <w:rFonts w:ascii="Times New Roman" w:cs="Times New Roman" w:eastAsia="Times New Roman" w:hAnsi="Times New Roman"/>
          <w:sz w:val="18"/>
          <w:szCs w:val="18"/>
          <w:color w:val="auto"/>
        </w:rPr>
        <w:t>. Except as specifically provided for herein, the waiver from time to time by either of the Parties of any of their rights or their failure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any remedy shall not operate or be construed as a waiver of any other of such Party’s rights or remedies provided in this Agreement.</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17.6 Severability</w:t>
      </w:r>
      <w:r>
        <w:rPr>
          <w:rFonts w:ascii="Times New Roman" w:cs="Times New Roman" w:eastAsia="Times New Roman" w:hAnsi="Times New Roman"/>
          <w:sz w:val="18"/>
          <w:szCs w:val="18"/>
          <w:color w:val="auto"/>
        </w:rPr>
        <w:t>. If any term, covenant or condition of this Agreement or the application thereof to any Party or circumstance shall, to any extent,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 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spacing w:after="0" w:line="183"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17.7 Governing Law</w:t>
      </w:r>
      <w:r>
        <w:rPr>
          <w:rFonts w:ascii="Times New Roman" w:cs="Times New Roman" w:eastAsia="Times New Roman" w:hAnsi="Times New Roman"/>
          <w:sz w:val="18"/>
          <w:szCs w:val="18"/>
          <w:color w:val="auto"/>
        </w:rPr>
        <w:t>. This Agreement shall be governed by and interpreted under the laws of the State of Delaware,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 principle that would otherwise result in the application of the laws of any State or jurisdiction other than the State of Delaware.</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17.8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5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17.9 Entire Agreement</w:t>
      </w:r>
      <w:r>
        <w:rPr>
          <w:rFonts w:ascii="Times New Roman" w:cs="Times New Roman" w:eastAsia="Times New Roman" w:hAnsi="Times New Roman"/>
          <w:sz w:val="18"/>
          <w:szCs w:val="18"/>
          <w:color w:val="auto"/>
        </w:rPr>
        <w:t>. This Agreement, including without limitation all exhibits attached hereto, sets forth all the covenants, promises,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representations, conditions, and understandings between the Parties and supersedes and terminates all prior and contemporaneous agreements and understanding between the Parties, including without</w:t>
      </w:r>
    </w:p>
    <w:p>
      <w:pPr>
        <w:spacing w:after="0" w:line="103" w:lineRule="exact"/>
        <w:rPr>
          <w:sz w:val="20"/>
          <w:szCs w:val="20"/>
          <w:color w:val="auto"/>
        </w:rPr>
      </w:pPr>
    </w:p>
    <w:p>
      <w:pPr>
        <w:ind w:right="420" w:firstLine="8"/>
        <w:spacing w:after="0" w:line="262" w:lineRule="auto"/>
        <w:tabs>
          <w:tab w:leader="none" w:pos="348"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378" w:right="259" w:bottom="1440" w:gutter="0" w:footer="0" w:header="0"/>
          <w:type w:val="continuous"/>
        </w:sectPr>
      </w:pPr>
    </w:p>
    <w:bookmarkStart w:id="292" w:name="page293"/>
    <w:bookmarkEnd w:id="29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the agreements and amendments set forth in Section 10.7.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spacing w:after="0" w:line="172"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17.10 Limitation of Liability</w:t>
      </w:r>
      <w:r>
        <w:rPr>
          <w:rFonts w:ascii="Times New Roman" w:cs="Times New Roman" w:eastAsia="Times New Roman" w:hAnsi="Times New Roman"/>
          <w:sz w:val="18"/>
          <w:szCs w:val="18"/>
          <w:color w:val="auto"/>
        </w:rPr>
        <w:t>. EXCEPT IN CIRCUMSTANCES OF GROSS NEGLIGENCE OR INTENTIONAL MISCONDUCT BY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AFFILIATES, OR WITH RESPECT TO THIRD PARTY CLAIMS UNDER SECTION 15.1, IN NO EVENT SHALL EITHER PARTY OR ITS RESPECTIVE AFFILIATES AND SUBLICENSEES BE LIABLE FOR SPECIAL, INDIRECT, INCIDENTAL, OR CONSEQUENTIAL DAMAGES, WHETHER IN CONTRACT, WARRANTY, TORT, STRICT LIABILITY, OR OTHERWISE, INCLUDING BUT NOT LIMITED TO LOSS OF PROFITS, REVENUE, MILESTONES OR ROYALTIES. This Section 17.10 shall not limit either Party’s obligations under Article 15.</w:t>
      </w:r>
    </w:p>
    <w:p>
      <w:pPr>
        <w:spacing w:after="0" w:line="180" w:lineRule="exact"/>
        <w:rPr>
          <w:sz w:val="20"/>
          <w:szCs w:val="20"/>
          <w:color w:val="auto"/>
        </w:rPr>
      </w:pPr>
    </w:p>
    <w:p>
      <w:pPr>
        <w:jc w:val="both"/>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17.11 No Partnership</w:t>
      </w:r>
      <w:r>
        <w:rPr>
          <w:rFonts w:ascii="Times New Roman" w:cs="Times New Roman" w:eastAsia="Times New Roman" w:hAnsi="Times New Roman"/>
          <w:sz w:val="18"/>
          <w:szCs w:val="18"/>
          <w:color w:val="auto"/>
        </w:rPr>
        <w:t>. It is expressly agreed that the relationship between Ardelyx and AstraZeneca shall not constitute a partnership, joint venture,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Neither Ardelyx nor AstraZeneca shall have the authority to make any statements, representations, or commitments of any kind, or to take any action, which shall be binding on the other Party, without the prior consent of such other Party to do so.</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5"/>
          <w:szCs w:val="15"/>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AGE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OLLOWS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80"/>
          </w:cols>
          <w:pgMar w:left="240" w:top="270" w:right="279"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in duplicate originals by their proper officers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Ardelyx, Inc.</w:t>
            </w:r>
          </w:p>
        </w:tc>
        <w:tc>
          <w:tcPr>
            <w:tcW w:w="60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AstraZeneca AB (publ)</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Mike Raab</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Gunnar Olsen</w:t>
            </w:r>
          </w:p>
        </w:tc>
      </w:tr>
      <w:tr>
        <w:trPr>
          <w:trHeight w:val="3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spacing w:after="0"/>
              <w:rPr>
                <w:sz w:val="24"/>
                <w:szCs w:val="24"/>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License Agreement]</w:t>
      </w:r>
    </w:p>
    <w:p>
      <w:pPr>
        <w:sectPr>
          <w:pgSz w:w="11900" w:h="16838" w:orient="portrait"/>
          <w:cols w:equalWidth="0" w:num="1">
            <w:col w:w="11420"/>
          </w:cols>
          <w:pgMar w:left="240" w:top="266" w:right="239" w:bottom="1440" w:gutter="0" w:footer="0" w:header="0"/>
        </w:sectPr>
      </w:pPr>
    </w:p>
    <w:bookmarkStart w:id="294" w:name="page295"/>
    <w:bookmarkEnd w:id="29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OUTLINE OF MATERIAL TERMS TO BE DESCRIBED IN THE INITIAL DEVELOPMENT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outline of the key items to be included in the initial development plan is described here separated by discipline. The activities set forth in this Exhibit A will be described in greater detail in the Initial Development Plan and may be amended from time to time by the JPT or the DCC.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 to License Agreement]</w:t>
      </w:r>
    </w:p>
    <w:p>
      <w:pPr>
        <w:spacing w:after="0" w:line="223" w:lineRule="exact"/>
        <w:rPr>
          <w:sz w:val="20"/>
          <w:szCs w:val="20"/>
          <w:color w:val="auto"/>
        </w:rPr>
      </w:pPr>
    </w:p>
    <w:p>
      <w:pPr>
        <w:ind w:right="180" w:firstLine="8"/>
        <w:spacing w:after="0" w:line="262" w:lineRule="auto"/>
        <w:tabs>
          <w:tab w:leader="none" w:pos="348"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160"/>
          </w:cols>
          <w:pgMar w:left="240" w:top="266" w:right="499" w:bottom="1440" w:gutter="0" w:footer="0" w:header="0"/>
        </w:sectPr>
      </w:pPr>
    </w:p>
    <w:bookmarkStart w:id="295" w:name="page296"/>
    <w:bookmarkEnd w:id="295"/>
    <w:p>
      <w:pPr>
        <w:ind w:left="4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LISTED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8"/>
        <w:spacing w:after="0" w:line="262" w:lineRule="auto"/>
        <w:tabs>
          <w:tab w:leader="none" w:pos="348"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6" w:right="6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1" w:lineRule="exact"/>
        <w:rPr>
          <w:sz w:val="20"/>
          <w:szCs w:val="20"/>
          <w:color w:val="auto"/>
        </w:rPr>
      </w:pPr>
    </w:p>
    <w:p>
      <w:pPr>
        <w:ind w:firstLine="8"/>
        <w:spacing w:after="0" w:line="262" w:lineRule="auto"/>
        <w:tabs>
          <w:tab w:leader="none" w:pos="348"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70" w:right="679" w:bottom="1440" w:gutter="0" w:footer="0" w:header="0"/>
        </w:sectPr>
      </w:pPr>
    </w:p>
    <w:bookmarkStart w:id="297" w:name="page298"/>
    <w:bookmarkEnd w:id="2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SHORT FORM CONFIRMATORY LICENSE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ectPr>
          <w:pgSz w:w="11900" w:h="16838" w:orient="portrait"/>
          <w:cols w:equalWidth="0" w:num="1">
            <w:col w:w="11360"/>
          </w:cols>
          <w:pgMar w:left="240" w:top="266" w:right="299" w:bottom="1440" w:gutter="0" w:footer="0" w:header="0"/>
        </w:sectPr>
      </w:pPr>
    </w:p>
    <w:p>
      <w:pPr>
        <w:spacing w:after="0" w:line="1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(1)</w:t>
        <w:tab/>
        <w:t>The “</w:t>
      </w:r>
      <w:r>
        <w:rPr>
          <w:rFonts w:ascii="Times New Roman" w:cs="Times New Roman" w:eastAsia="Times New Roman" w:hAnsi="Times New Roman"/>
          <w:sz w:val="17"/>
          <w:szCs w:val="17"/>
          <w:b w:val="1"/>
          <w:bCs w:val="1"/>
          <w:color w:val="auto"/>
        </w:rPr>
        <w:t>Licensor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having its registered office at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ectPr>
          <w:pgSz w:w="11900" w:h="16838" w:orient="portrait"/>
          <w:cols w:equalWidth="0" w:num="3">
            <w:col w:w="1920" w:space="720"/>
            <w:col w:w="2320" w:space="720"/>
            <w:col w:w="5680"/>
          </w:cols>
          <w:pgMar w:left="240" w:top="266" w:right="299" w:bottom="1440" w:gutter="0" w:footer="0" w:header="0"/>
          <w:type w:val="continuous"/>
        </w:sect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(2)</w:t>
        <w:tab/>
        <w:t>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Times New Roman" w:cs="Times New Roman" w:eastAsia="Times New Roman" w:hAnsi="Times New Roman"/>
          <w:sz w:val="17"/>
          <w:szCs w:val="17"/>
          <w:color w:val="auto"/>
        </w:rPr>
        <w:t>having its registered office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11" w:lineRule="exact"/>
        <w:rPr>
          <w:sz w:val="20"/>
          <w:szCs w:val="20"/>
          <w:color w:val="auto"/>
        </w:rPr>
      </w:pPr>
    </w:p>
    <w:p>
      <w:pPr>
        <w:sectPr>
          <w:pgSz w:w="11900" w:h="16838" w:orient="portrait"/>
          <w:cols w:equalWidth="0" w:num="3">
            <w:col w:w="1920" w:space="720"/>
            <w:col w:w="2320" w:space="720"/>
            <w:col w:w="5680"/>
          </w:cols>
          <w:pgMar w:left="240" w:top="266"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By an Agreement (the “</w:t>
      </w:r>
      <w:r>
        <w:rPr>
          <w:rFonts w:ascii="Times New Roman" w:cs="Times New Roman" w:eastAsia="Times New Roman" w:hAnsi="Times New Roman"/>
          <w:sz w:val="18"/>
          <w:szCs w:val="18"/>
          <w:b w:val="1"/>
          <w:bCs w:val="1"/>
          <w:color w:val="auto"/>
        </w:rPr>
        <w:t>Main Agreement”</w:t>
      </w:r>
      <w:r>
        <w:rPr>
          <w:rFonts w:ascii="Times New Roman" w:cs="Times New Roman" w:eastAsia="Times New Roman" w:hAnsi="Times New Roman"/>
          <w:sz w:val="18"/>
          <w:szCs w:val="18"/>
          <w:color w:val="auto"/>
        </w:rPr>
        <w:t>) dated and made effective as of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between the Licensor and the Licensee the Licensor granted for the consideration therein contained to the Licensee a license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Patent No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w:t>
      </w:r>
    </w:p>
    <w:p>
      <w:pPr>
        <w:sectPr>
          <w:pgSz w:w="11900" w:h="16838" w:orient="portrait"/>
          <w:cols w:equalWidth="0" w:num="1">
            <w:col w:w="11360"/>
          </w:cols>
          <w:pgMar w:left="240" w:top="266" w:right="299"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Operative provisions:</w:t>
      </w:r>
    </w:p>
    <w:p>
      <w:pPr>
        <w:spacing w:after="0" w:line="131" w:lineRule="exact"/>
        <w:rPr>
          <w:sz w:val="20"/>
          <w:szCs w:val="20"/>
          <w:color w:val="auto"/>
        </w:rPr>
      </w:pPr>
    </w:p>
    <w:p>
      <w:pPr>
        <w:ind w:left="900" w:hanging="446"/>
        <w:spacing w:after="0" w:line="258" w:lineRule="auto"/>
        <w:tabs>
          <w:tab w:leader="none" w:pos="9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and for the consideration referred to in, the Main Agreement the Licensor hereby confirms that it has granted to the Licensee an exclusive license as of the Effective Date of the Main Agreement and for the term specified therein, under certain intellectual property rights, including the Patent, to research, develop, make, use, sell, offer for sale and import, and otherwise exploit Licensed Compounds and Licensed Products for the purpose of Developing, Manufacturing and Commercializing Licensed Products, on the terms set forth in the Main Agreement. Any capitalized terms not defined herein shall have the meaning provided in the Main Agreement.</w:t>
      </w:r>
    </w:p>
    <w:p>
      <w:pPr>
        <w:spacing w:after="0" w:line="89"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Main Agreement is terminated in accordance with its terms, this License shall terminate upon the effective date of the termination of the Main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of which this Agreement has been executed as a deed and delivered the day and year first above written.</w:t>
      </w:r>
    </w:p>
    <w:p>
      <w:pPr>
        <w:sectPr>
          <w:pgSz w:w="11900" w:h="16838" w:orient="portrait"/>
          <w:cols w:equalWidth="0" w:num="1">
            <w:col w:w="11360"/>
          </w:cols>
          <w:pgMar w:left="240" w:top="26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of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of director/secretary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w:t>
      </w:r>
    </w:p>
    <w:p>
      <w:pPr>
        <w:spacing w:after="0" w:line="650" w:lineRule="exact"/>
        <w:rPr>
          <w:sz w:val="20"/>
          <w:szCs w:val="20"/>
          <w:color w:val="auto"/>
        </w:rPr>
      </w:pPr>
    </w:p>
    <w:p>
      <w:pPr>
        <w:sectPr>
          <w:pgSz w:w="11900" w:h="16838" w:orient="portrait"/>
          <w:cols w:equalWidth="0" w:num="2">
            <w:col w:w="2200" w:space="720"/>
            <w:col w:w="8440"/>
          </w:cols>
          <w:pgMar w:left="240" w:top="266"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a Deed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of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name of director/secretary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acting by:</w:t>
      </w:r>
    </w:p>
    <w:p>
      <w:pPr>
        <w:sectPr>
          <w:pgSz w:w="11900" w:h="16838" w:orient="portrait"/>
          <w:cols w:equalWidth="0" w:num="2">
            <w:col w:w="2200" w:space="720"/>
            <w:col w:w="8440"/>
          </w:cols>
          <w:pgMar w:left="240" w:top="266" w:right="299" w:bottom="1440" w:gutter="0" w:footer="0" w:header="0"/>
          <w:type w:val="continuous"/>
        </w:sectPr>
      </w:pPr>
    </w:p>
    <w:bookmarkStart w:id="298" w:name="page299"/>
    <w:bookmarkEnd w:id="298"/>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EXHIBIT D</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MEMBERS OF THE JOINT PROJECT TEAM</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STRA</w:t>
            </w:r>
            <w:r>
              <w:rPr>
                <w:rFonts w:ascii="Times New Roman" w:cs="Times New Roman" w:eastAsia="Times New Roman" w:hAnsi="Times New Roman"/>
                <w:sz w:val="18"/>
                <w:szCs w:val="18"/>
                <w:b w:val="1"/>
                <w:bCs w:val="1"/>
                <w:color w:val="auto"/>
              </w:rPr>
              <w:t>Z</w:t>
            </w:r>
            <w:r>
              <w:rPr>
                <w:rFonts w:ascii="Times New Roman" w:cs="Times New Roman" w:eastAsia="Times New Roman" w:hAnsi="Times New Roman"/>
                <w:sz w:val="15"/>
                <w:szCs w:val="15"/>
                <w:b w:val="1"/>
                <w:bCs w:val="1"/>
                <w:color w:val="auto"/>
              </w:rPr>
              <w:t>ENECA</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Project Leader</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32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Email</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87"/>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Members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32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Email</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5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TBD</w:t>
            </w:r>
          </w:p>
        </w:tc>
        <w:tc>
          <w:tcPr>
            <w:tcW w:w="1420" w:type="dxa"/>
            <w:vAlign w:val="bottom"/>
            <w:vMerge w:val="continue"/>
          </w:tcPr>
          <w:p>
            <w:pPr>
              <w:spacing w:after="0"/>
              <w:rPr>
                <w:sz w:val="16"/>
                <w:szCs w:val="16"/>
                <w:color w:val="auto"/>
              </w:rPr>
            </w:pPr>
          </w:p>
        </w:tc>
        <w:tc>
          <w:tcPr>
            <w:tcW w:w="3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2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 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12. 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 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 TBD</w:t>
            </w:r>
          </w:p>
        </w:tc>
        <w:tc>
          <w:tcPr>
            <w:tcW w:w="50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AZ note on “TBD”: project members will be deployed to the JPT promptly following the Effective Date.</w:t>
      </w:r>
    </w:p>
    <w:p>
      <w:pPr>
        <w:spacing w:after="0" w:line="221" w:lineRule="exact"/>
        <w:rPr>
          <w:sz w:val="20"/>
          <w:szCs w:val="20"/>
          <w:color w:val="auto"/>
        </w:rPr>
      </w:pPr>
    </w:p>
    <w:p>
      <w:pPr>
        <w:ind w:firstLine="8"/>
        <w:spacing w:after="0" w:line="262" w:lineRule="auto"/>
        <w:tabs>
          <w:tab w:leader="none" w:pos="348"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6" w:right="6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rFonts w:ascii="Times New Roman" w:cs="Times New Roman" w:eastAsia="Times New Roman" w:hAnsi="Times New Roman"/>
          <w:sz w:val="15"/>
          <w:szCs w:val="15"/>
          <w:b w:val="1"/>
          <w:bCs w:val="1"/>
          <w:u w:val="single" w:color="auto"/>
          <w:color w:val="auto"/>
        </w:rPr>
        <w:t>OR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5"/>
          <w:szCs w:val="15"/>
          <w:b w:val="1"/>
          <w:bCs w:val="1"/>
          <w:u w:val="single" w:color="auto"/>
          <w:color w:val="auto"/>
        </w:rPr>
        <w:t>RDELYX</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5"/>
          <w:szCs w:val="15"/>
          <w:b w:val="1"/>
          <w:bCs w:val="1"/>
          <w:u w:val="single" w:color="auto"/>
          <w:color w:val="auto"/>
        </w:rPr>
        <w:t>NC</w:t>
      </w:r>
      <w:r>
        <w:rPr>
          <w:rFonts w:ascii="Times New Roman" w:cs="Times New Roman" w:eastAsia="Times New Roman" w:hAnsi="Times New Roman"/>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Leader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spacing w:after="0"/>
              <w:rPr>
                <w:sz w:val="15"/>
                <w:szCs w:val="15"/>
                <w:color w:val="auto"/>
              </w:rPr>
            </w:pP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Email</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87"/>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Members</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60" w:type="dxa"/>
            <w:vAlign w:val="bottom"/>
          </w:tcPr>
          <w:p>
            <w:pPr>
              <w:spacing w:after="0"/>
              <w:rPr>
                <w:sz w:val="24"/>
                <w:szCs w:val="24"/>
                <w:color w:val="auto"/>
              </w:rPr>
            </w:pP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4"/>
                <w:szCs w:val="14"/>
                <w:b w:val="1"/>
                <w:bCs w:val="1"/>
                <w:color w:val="auto"/>
              </w:rPr>
              <w:t>Email</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1. [***]</w:t>
            </w:r>
          </w:p>
        </w:tc>
        <w:tc>
          <w:tcPr>
            <w:tcW w:w="2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continue"/>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30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TBD</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w w:val="99"/>
              </w:rPr>
              <w:t>TBD</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62" w:lineRule="auto"/>
        <w:tabs>
          <w:tab w:leader="none" w:pos="348"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6" w:right="679" w:bottom="1440" w:gutter="0" w:footer="0" w:header="0"/>
        </w:sectPr>
      </w:pPr>
    </w:p>
    <w:bookmarkStart w:id="300" w:name="page301"/>
    <w:bookmarkEnd w:id="30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MEMBERS OF THE DEVELOPMENT COLLABORATION COMMITTEE (DCC)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5"/>
          <w:szCs w:val="15"/>
          <w:b w:val="1"/>
          <w:bCs w:val="1"/>
          <w:u w:val="single" w:color="auto"/>
          <w:color w:val="auto"/>
        </w:rPr>
        <w:t>OR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5"/>
          <w:szCs w:val="15"/>
          <w:b w:val="1"/>
          <w:bCs w:val="1"/>
          <w:u w:val="single" w:color="auto"/>
          <w:color w:val="auto"/>
        </w:rPr>
        <w:t>STRA</w:t>
      </w:r>
      <w:r>
        <w:rPr>
          <w:rFonts w:ascii="Times New Roman" w:cs="Times New Roman" w:eastAsia="Times New Roman" w:hAnsi="Times New Roman"/>
          <w:sz w:val="18"/>
          <w:szCs w:val="18"/>
          <w:b w:val="1"/>
          <w:bCs w:val="1"/>
          <w:u w:val="single" w:color="auto"/>
          <w:color w:val="auto"/>
        </w:rPr>
        <w:t>Z</w:t>
      </w:r>
      <w:r>
        <w:rPr>
          <w:rFonts w:ascii="Times New Roman" w:cs="Times New Roman" w:eastAsia="Times New Roman" w:hAnsi="Times New Roman"/>
          <w:sz w:val="15"/>
          <w:szCs w:val="15"/>
          <w:b w:val="1"/>
          <w:bCs w:val="1"/>
          <w:u w:val="single" w:color="auto"/>
          <w:color w:val="auto"/>
        </w:rPr>
        <w:t>ENECA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5"/>
          <w:szCs w:val="15"/>
          <w:b w:val="1"/>
          <w:bCs w:val="1"/>
          <w:u w:val="single" w:color="auto"/>
          <w:color w:val="auto"/>
        </w:rPr>
        <w:t>OR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5"/>
          <w:szCs w:val="15"/>
          <w:b w:val="1"/>
          <w:bCs w:val="1"/>
          <w:u w:val="single" w:color="auto"/>
          <w:color w:val="auto"/>
        </w:rPr>
        <w:t>RDELYX</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5"/>
          <w:szCs w:val="15"/>
          <w:b w:val="1"/>
          <w:bCs w:val="1"/>
          <w:u w:val="single" w:color="auto"/>
          <w:color w:val="auto"/>
        </w:rPr>
        <w:t>NC</w:t>
      </w:r>
      <w:r>
        <w:rPr>
          <w:rFonts w:ascii="Times New Roman" w:cs="Times New Roman" w:eastAsia="Times New Roman" w:hAnsi="Times New Roman"/>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8"/>
        <w:spacing w:after="0" w:line="262" w:lineRule="auto"/>
        <w:tabs>
          <w:tab w:leader="none" w:pos="348"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6" w:right="67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F</w:t>
            </w:r>
          </w:p>
        </w:tc>
      </w:tr>
      <w:tr>
        <w:trPr>
          <w:trHeight w:val="432"/>
        </w:trPr>
        <w:tc>
          <w:tcPr>
            <w:tcW w:w="700" w:type="dxa"/>
            <w:vAlign w:val="bottom"/>
          </w:tcPr>
          <w:p>
            <w:pPr>
              <w:spacing w:after="0"/>
              <w:rPr>
                <w:sz w:val="24"/>
                <w:szCs w:val="24"/>
                <w:color w:val="auto"/>
              </w:rPr>
            </w:pPr>
          </w:p>
        </w:tc>
        <w:tc>
          <w:tcPr>
            <w:tcW w:w="7900" w:type="dxa"/>
            <w:vAlign w:val="bottom"/>
            <w:gridSpan w:val="6"/>
          </w:tcPr>
          <w:p>
            <w:pPr>
              <w:ind w:left="2140"/>
              <w:spacing w:after="0"/>
              <w:rPr>
                <w:sz w:val="20"/>
                <w:szCs w:val="20"/>
                <w:color w:val="auto"/>
              </w:rPr>
            </w:pPr>
            <w:r>
              <w:rPr>
                <w:rFonts w:ascii="Times New Roman" w:cs="Times New Roman" w:eastAsia="Times New Roman" w:hAnsi="Times New Roman"/>
                <w:sz w:val="18"/>
                <w:szCs w:val="18"/>
                <w:b w:val="1"/>
                <w:bCs w:val="1"/>
                <w:color w:val="auto"/>
                <w:w w:val="99"/>
              </w:rPr>
              <w:t>THIRD PARTY CONTRACTORS APPROVED FOR USE BY ARDELYX</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Contractor</w:t>
            </w:r>
          </w:p>
        </w:tc>
        <w:tc>
          <w:tcPr>
            <w:tcW w:w="34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3660" w:type="dxa"/>
            <w:vAlign w:val="bottom"/>
            <w:gridSpan w:val="3"/>
          </w:tcPr>
          <w:p>
            <w:pPr>
              <w:ind w:left="2960"/>
              <w:spacing w:after="0"/>
              <w:rPr>
                <w:sz w:val="20"/>
                <w:szCs w:val="20"/>
                <w:color w:val="auto"/>
              </w:rPr>
            </w:pPr>
            <w:r>
              <w:rPr>
                <w:rFonts w:ascii="Times New Roman" w:cs="Times New Roman" w:eastAsia="Times New Roman" w:hAnsi="Times New Roman"/>
                <w:sz w:val="14"/>
                <w:szCs w:val="14"/>
                <w:b w:val="1"/>
                <w:bCs w:val="1"/>
                <w:color w:val="auto"/>
              </w:rPr>
              <w:t>Address</w:t>
            </w:r>
          </w:p>
        </w:tc>
      </w:tr>
      <w:tr>
        <w:trPr>
          <w:trHeight w:val="228"/>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8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30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46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8"/>
        <w:spacing w:after="0" w:line="262" w:lineRule="auto"/>
        <w:tabs>
          <w:tab w:leader="none" w:pos="348"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6" w:right="67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[INTENTIONALLY OMITTED]</w:t>
      </w:r>
    </w:p>
    <w:p>
      <w:pPr>
        <w:sectPr>
          <w:pgSz w:w="11900" w:h="16838" w:orient="portrait"/>
          <w:cols w:equalWidth="0" w:num="1">
            <w:col w:w="9019"/>
          </w:cols>
          <w:pgMar w:left="1440" w:top="266" w:right="1440" w:bottom="1440" w:gutter="0" w:footer="0" w:header="0"/>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ON INITIAL STUDIES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Exhibit H sets out certain provisions regarding the conduct of the Initial Studies pursuant to Article 5 of the License Agreement entered into between AstraZeneca AB (Publ) (“AstraZeneca”) and Ardelyx Inc. (“Ardelyx”) on October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2012 (the “Main Agreement”). Terms used but not separately defined in this Exhibit H shall have the meaning ascribed to such terms in the Main Agreement.</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H.1</w:t>
      </w:r>
      <w:r>
        <w:rPr>
          <w:sz w:val="20"/>
          <w:szCs w:val="20"/>
          <w:color w:val="auto"/>
        </w:rPr>
        <w:tab/>
      </w:r>
      <w:r>
        <w:rPr>
          <w:rFonts w:ascii="Times New Roman" w:cs="Times New Roman" w:eastAsia="Times New Roman" w:hAnsi="Times New Roman"/>
          <w:sz w:val="17"/>
          <w:szCs w:val="17"/>
          <w:b w:val="1"/>
          <w:bCs w:val="1"/>
          <w:color w:val="auto"/>
        </w:rPr>
        <w:t>CLINICAL STUDY CONTRACTING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Sponsor of the Initial Studies AstraZeneca shall have full review and approval rights of any clinical study agreement to be entered into with any study sites before finalization. The DCC shall promptly establish a process for the prompt and efficient approval of such clinical study agreements. Ardelyx will collaborate with AstraZeneca to comply with all necessary industry and regulatory requirement associated with contracting any contract research organization (“CRO”) or other clinical research providers for the purpose of the Initial Studies. AstraZeneca is, if deemed suitable by both Parties, willing to contribute with a suitable agreement format for contracting CROs or other clinical research providers.</w:t>
      </w:r>
    </w:p>
    <w:p>
      <w:pPr>
        <w:spacing w:after="0" w:line="3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H.2</w:t>
      </w:r>
      <w:r>
        <w:rPr>
          <w:sz w:val="20"/>
          <w:szCs w:val="20"/>
          <w:color w:val="auto"/>
        </w:rPr>
        <w:tab/>
      </w:r>
      <w:r>
        <w:rPr>
          <w:rFonts w:ascii="Times New Roman" w:cs="Times New Roman" w:eastAsia="Times New Roman" w:hAnsi="Times New Roman"/>
          <w:sz w:val="17"/>
          <w:szCs w:val="17"/>
          <w:b w:val="1"/>
          <w:bCs w:val="1"/>
          <w:color w:val="auto"/>
        </w:rPr>
        <w:t>INVOICING REQUIREMENTS RELATED TO HEALTH CARE PROFESSIONALS AND HEALTH CARE ORGANISATIONS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AstraZeneca has developed a special invoicing procedure to comply with certain reporting obligations of payments to health care professionals and health care organizations </w:t>
      </w:r>
      <w:r>
        <w:rPr>
          <w:rFonts w:ascii="Times New Roman" w:cs="Times New Roman" w:eastAsia="Times New Roman" w:hAnsi="Times New Roman"/>
          <w:sz w:val="18"/>
          <w:szCs w:val="18"/>
          <w:b w:val="1"/>
          <w:bCs w:val="1"/>
          <w:color w:val="auto"/>
        </w:rPr>
        <w:t>(“ASPEN”)</w:t>
      </w:r>
      <w:r>
        <w:rPr>
          <w:rFonts w:ascii="Times New Roman" w:cs="Times New Roman" w:eastAsia="Times New Roman" w:hAnsi="Times New Roman"/>
          <w:sz w:val="18"/>
          <w:szCs w:val="18"/>
          <w:color w:val="auto"/>
        </w:rPr>
        <w:t>. Ardelyx will comply with the ASPEN process. AstraZeneca will make the process requirements available to Ardelyx.</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H.3</w:t>
      </w:r>
      <w:r>
        <w:rPr>
          <w:sz w:val="20"/>
          <w:szCs w:val="20"/>
          <w:color w:val="auto"/>
        </w:rPr>
        <w:tab/>
      </w:r>
      <w:r>
        <w:rPr>
          <w:rFonts w:ascii="Times New Roman" w:cs="Times New Roman" w:eastAsia="Times New Roman" w:hAnsi="Times New Roman"/>
          <w:sz w:val="17"/>
          <w:szCs w:val="17"/>
          <w:b w:val="1"/>
          <w:bCs w:val="1"/>
          <w:color w:val="auto"/>
        </w:rPr>
        <w:t>CORPORATE INTEGRITY AGREEMENT</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AstraZeneca has signed a Corporate Integrity Agreement (“</w:t>
      </w:r>
      <w:r>
        <w:rPr>
          <w:rFonts w:ascii="Times New Roman" w:cs="Times New Roman" w:eastAsia="Times New Roman" w:hAnsi="Times New Roman"/>
          <w:sz w:val="18"/>
          <w:szCs w:val="18"/>
          <w:b w:val="1"/>
          <w:bCs w:val="1"/>
          <w:color w:val="auto"/>
        </w:rPr>
        <w:t>CIA</w:t>
      </w:r>
      <w:r>
        <w:rPr>
          <w:rFonts w:ascii="Times New Roman" w:cs="Times New Roman" w:eastAsia="Times New Roman" w:hAnsi="Times New Roman"/>
          <w:sz w:val="18"/>
          <w:szCs w:val="18"/>
          <w:color w:val="auto"/>
        </w:rPr>
        <w:t xml:space="preserve">”) with the Office of Inspector General of the US Department of Health and Human Services, and the terms of that CIA impose obligations on AstraZeneca and certain vendors, contractors, subcontractors and agents of AstraZeneca who fall within the definition of CIA Covered Persons, as defined below. The CIA is posted at </w:t>
      </w:r>
      <w:r>
        <w:rPr>
          <w:rFonts w:ascii="Times New Roman" w:cs="Times New Roman" w:eastAsia="Times New Roman" w:hAnsi="Times New Roman"/>
          <w:sz w:val="18"/>
          <w:szCs w:val="18"/>
          <w:u w:val="single" w:color="auto"/>
          <w:color w:val="auto"/>
        </w:rPr>
        <w:t>http://oig.hhs.gov/fraud/cia/agreements/astrazeneca_04272010.pdf</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Ardelyx will comply with the AstraZeneca specific process developed to ensure compliance with CIA. Ardelyx agrees to require and ensure that any employee, agent, contractor or subcontractor of Ardelyx who meets the definition of a “CIA Covered Person” shall abide by the applicable CIA requirements. AstraZeneca will make the process requirements available to Ardelyx.</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H.4</w:t>
      </w:r>
      <w:r>
        <w:rPr>
          <w:sz w:val="20"/>
          <w:szCs w:val="20"/>
          <w:color w:val="auto"/>
        </w:rPr>
        <w:tab/>
      </w:r>
      <w:r>
        <w:rPr>
          <w:rFonts w:ascii="Times New Roman" w:cs="Times New Roman" w:eastAsia="Times New Roman" w:hAnsi="Times New Roman"/>
          <w:sz w:val="17"/>
          <w:szCs w:val="17"/>
          <w:b w:val="1"/>
          <w:bCs w:val="1"/>
          <w:color w:val="auto"/>
        </w:rPr>
        <w:t>COMMITMENT TO RESPONSIBLE PRACTICES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copy of the full AstraZeneca commitment to responsible sales and marketing practices document is set out in this Section H4 (including also the original signatures at the end.) Ardelyx acknowledges and agrees that, as AstraZeneca’s contractor and partner, it will need to comply with all of the below provisions. When used below the words “we” or “us” or “our” or the like all refer to AstraZeneca.</w:t>
      </w:r>
    </w:p>
    <w:p>
      <w:pPr>
        <w:sectPr>
          <w:pgSz w:w="11900" w:h="16838" w:orient="portrait"/>
          <w:cols w:equalWidth="0" w:num="1">
            <w:col w:w="11420"/>
          </w:cols>
          <w:pgMar w:left="240" w:top="266" w:right="239" w:bottom="1440" w:gutter="0" w:footer="0" w:header="0"/>
        </w:sectPr>
      </w:pPr>
    </w:p>
    <w:bookmarkStart w:id="304" w:name="page305"/>
    <w:bookmarkEnd w:id="30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AstraZeneca is dedicated to discovering and marketing new medicines designed to improve the health and quality of life of patients around the world, a mission that carries with it a responsibility to conduct business in a manner that ensures that we continue to be welcomed as a valued and trusted member of the scientific, healthcare, and global communities. We place great value on the quality of our relationships with healthcare professionals. Individual integrity, ethical conduct, and full compliance with the many laws and regulations that govern the healthcare community in the United States are essential constituents of these relationships.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ensure that our sales and marketing practices are conducted in a responsible manner, we make the following commitments: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PhRMA Code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will comply with the PhRMA Code on Interactions with Healthcare Professionals. Our relationships with healthcare professionals will focus on the meaningful exchange of medical, scientific, and other health-related information, enhancement of the practice of medicine, and patient health.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for Medical Education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will support medical education through grants to appropriate institutions or entities, not to individuals or physician practices. Where applicable, grants comply with ACCME and FDA guidelines, and we have no influence over the content of the program or the selection of speakers. AstraZeneca funds are not used to pay for the costs of travel, lodging, or other personal expenses of non-faculty healthcare professionals attending educational conferences or meetings.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Meals, Gifts, and Entertainment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provide a modest meal with a healthcare professional as a business courtesy under certain circumstances if the meal occurs in the context of providing health-related information. Because these meals are intended to facilitate a professional discussion, spouses or guests are not permitted to participate. Personal gifts or entertainment of any kind are not permitted. Educational items that enhance a healthcare professional’s medical knowledge or assist with patient education may be offered to healthcare professionals if they are not of substantial value and are offered only occasionally. Under the same conditions, items primarily intended to educate patients or to enhance a patient’s appropriate use of an AstraZeneca medicine may also be provided to healthcare professionals to offer to patients.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for Services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will compensate appropriately selected healthcare professionals for legitimate services actually rendered, provided a signed contract exists and compensation is at fair market value.</w:t>
      </w:r>
    </w:p>
    <w:p>
      <w:pPr>
        <w:sectPr>
          <w:pgSz w:w="11900" w:h="16838" w:orient="portrait"/>
          <w:cols w:equalWidth="0" w:num="1">
            <w:col w:w="11320"/>
          </w:cols>
          <w:pgMar w:left="240" w:top="269"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Discussions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will provide accurate and balanced information about our products that complies with FDA regulations and conforms to the full FDA-approved prescribing information. We do not promote off-label uses of our products, and we require healthcare professionals who speak on behalf of AstraZeneca to receive appropriate FDA regulatory training, including requirements related to on-label promotion, and to comply with all applicable AstraZeneca policies related to product promotion.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Privacy</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AstraZeneca respects the personal health information of patients. AstraZeneca will not disclose or otherwise use such personal health information without consent.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Samples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distribute samples in compliance with regulations to provide an opportunity for the physician and patient to determine tolerability and effectiveness in an appropriate patient. Samples may never be sold, redistributed, or submitted for payment.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Help Line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AstraZeneca offers a Code of Conduct Help Line staffed by an independent third party to provide an opportunity to report concerns of potential violations of the AstraZeneca Code of Conduct or business policies or of unlawful conduct.</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If you have questions or concerns relating to AstraZeneca sales and marketing practices, please visit www.azethics.com. You may also send e-mail to </w:t>
      </w:r>
      <w:r>
        <w:rPr>
          <w:rFonts w:ascii="Times New Roman" w:cs="Times New Roman" w:eastAsia="Times New Roman" w:hAnsi="Times New Roman"/>
          <w:sz w:val="18"/>
          <w:szCs w:val="18"/>
          <w:u w:val="single" w:color="auto"/>
          <w:color w:val="auto"/>
        </w:rPr>
        <w:t>Compliance.Connection@AstraZeneca.com</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265" w:right="2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 Fante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Marie Martino</w:t>
      </w:r>
    </w:p>
    <w:p>
      <w:pPr>
        <w:spacing w:after="0" w:line="129" w:lineRule="exact"/>
        <w:rPr>
          <w:sz w:val="20"/>
          <w:szCs w:val="20"/>
          <w:color w:val="auto"/>
        </w:rPr>
      </w:pPr>
    </w:p>
    <w:p>
      <w:pPr>
        <w:sectPr>
          <w:pgSz w:w="11900" w:h="16838" w:orient="portrait"/>
          <w:cols w:equalWidth="0" w:num="2">
            <w:col w:w="5340" w:space="720"/>
            <w:col w:w="5360"/>
          </w:cols>
          <w:pgMar w:left="240" w:top="26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Rich Fante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Marie Martino</w:t>
      </w:r>
    </w:p>
    <w:p>
      <w:pPr>
        <w:spacing w:after="0" w:line="117" w:lineRule="exact"/>
        <w:rPr>
          <w:sz w:val="20"/>
          <w:szCs w:val="20"/>
          <w:color w:val="auto"/>
        </w:rPr>
      </w:pPr>
    </w:p>
    <w:p>
      <w:pPr>
        <w:sectPr>
          <w:pgSz w:w="11900" w:h="16838" w:orient="portrait"/>
          <w:cols w:equalWidth="0" w:num="2">
            <w:col w:w="5340" w:space="720"/>
            <w:col w:w="5360"/>
          </w:cols>
          <w:pgMar w:left="240" w:top="26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President, AstraZeneca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Compliance Officer</w:t>
      </w:r>
    </w:p>
    <w:p>
      <w:pPr>
        <w:sectPr>
          <w:pgSz w:w="11900" w:h="16838" w:orient="portrait"/>
          <w:cols w:equalWidth="0" w:num="2">
            <w:col w:w="5340" w:space="720"/>
            <w:col w:w="5360"/>
          </w:cols>
          <w:pgMar w:left="240" w:top="265" w:right="239" w:bottom="1440" w:gutter="0" w:footer="0" w:header="0"/>
          <w:type w:val="continuous"/>
        </w:sectPr>
      </w:pPr>
    </w:p>
    <w:bookmarkStart w:id="306" w:name="page307"/>
    <w:bookmarkEnd w:id="306"/>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H.5</w:t>
      </w:r>
      <w:r>
        <w:rPr>
          <w:sz w:val="20"/>
          <w:szCs w:val="20"/>
          <w:color w:val="auto"/>
        </w:rPr>
        <w:tab/>
      </w:r>
      <w:r>
        <w:rPr>
          <w:rFonts w:ascii="Times New Roman" w:cs="Times New Roman" w:eastAsia="Times New Roman" w:hAnsi="Times New Roman"/>
          <w:sz w:val="17"/>
          <w:szCs w:val="17"/>
          <w:b w:val="1"/>
          <w:bCs w:val="1"/>
          <w:color w:val="auto"/>
        </w:rPr>
        <w:t>TRANSFER OF OBLIGATION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21CFR Part 312, Subpart D (responsibilities of Sponsor) Transfer of Obligations needs to be in written format and if decided upon by the AstraZeneca clinical team also be agreed at a more detailed level through a separate “Roles and Responsibility” document to be included/reflected in any clinical study agreement with the study sites and/or the CRO or other clinical research providers contracted for the purpose of the Initial Studies.</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H.6</w:t>
      </w:r>
      <w:r>
        <w:rPr>
          <w:sz w:val="20"/>
          <w:szCs w:val="20"/>
          <w:color w:val="auto"/>
        </w:rPr>
        <w:tab/>
      </w:r>
      <w:r>
        <w:rPr>
          <w:rFonts w:ascii="Times New Roman" w:cs="Times New Roman" w:eastAsia="Times New Roman" w:hAnsi="Times New Roman"/>
          <w:sz w:val="17"/>
          <w:szCs w:val="17"/>
          <w:b w:val="1"/>
          <w:bCs w:val="1"/>
          <w:color w:val="auto"/>
        </w:rPr>
        <w:t>CLINICAL CAPABILITY PROCESS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AstraZeneca as a Sponsor of the Initial Studies needs to have assurances about the quality of the facilities, quality control systems and documentation, accreditations, etc. of the clinic performing the contracted work.</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 basic process (“</w:t>
      </w:r>
      <w:r>
        <w:rPr>
          <w:rFonts w:ascii="Times New Roman" w:cs="Times New Roman" w:eastAsia="Times New Roman" w:hAnsi="Times New Roman"/>
          <w:sz w:val="18"/>
          <w:szCs w:val="18"/>
          <w:b w:val="1"/>
          <w:bCs w:val="1"/>
          <w:color w:val="auto"/>
        </w:rPr>
        <w:t>Clinical Capability Process</w:t>
      </w:r>
      <w:r>
        <w:rPr>
          <w:rFonts w:ascii="Times New Roman" w:cs="Times New Roman" w:eastAsia="Times New Roman" w:hAnsi="Times New Roman"/>
          <w:sz w:val="18"/>
          <w:szCs w:val="18"/>
          <w:color w:val="auto"/>
        </w:rPr>
        <w:t>”) shall be authorized by the DCC to evaluate study sites, CROs and/or other clinical research providers before initiating any clinical study with respect to which AstraZeneca is the Sponsor, in relation to this Agreement.</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Clinical Capability Process may be modified depending on previous AstraZeneca knowledge or any assessments made by Ardelyx. The final decision about the manner and depth of the Clinical Capability Process will be made by the DCC once each study site, CRO other clinical research provider is identified.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AstraZeneca shall make Commercially Reasonable Efforts to assure that the Clinical Capability Process shall not be unduly burdensome or cause unreasonable delay in the conduct of any Clinical Study. If Ardelyx is conducting a Clinical Study and believes that a Clinical Capability Process is causing or will cause a delay in the conduct of a Clinical Study, it shall bring such concern to the attention of the JPT and the DCC, and the Parties shall work in accordance with the procedures outlined in the Agreement to resolve such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Outline of Clinical Capability Process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While the operational details of the Clinical Capability Process shall be determined on a case-by-case basis for the DCC, each Clinical Capability Process shall have the general format provided in this section. AstraZeneca may first issue a CRO- or study site assessment-questionnaire covering the following areas:</w:t>
      </w:r>
    </w:p>
    <w:p>
      <w:pPr>
        <w:spacing w:after="0" w:line="82" w:lineRule="exact"/>
        <w:rPr>
          <w:sz w:val="20"/>
          <w:szCs w:val="20"/>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information about CRO/study site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Organisation/personnel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Qualifications/training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Facilities/Equipment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capability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product 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Handling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Assurance/audit function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Studies conducted/references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Second, AstraZeneca personnel, including Medical Safety, IS/IT, Study Delivery Specialist and usually a co-ordinator, may visit the study site / CRO. This would typically involve evaluation of the CRO/study site capabilities by covering the following areas:</w:t>
      </w:r>
    </w:p>
    <w:p>
      <w:pPr>
        <w:spacing w:after="0" w:line="67" w:lineRule="exact"/>
        <w:rPr>
          <w:sz w:val="20"/>
          <w:szCs w:val="20"/>
          <w:color w:val="auto"/>
        </w:rPr>
      </w:pPr>
    </w:p>
    <w:p>
      <w:pPr>
        <w:ind w:left="900" w:hanging="446"/>
        <w:spacing w:after="0"/>
        <w:tabs>
          <w:tab w:leader="none" w:pos="9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CRO/study site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Information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CRO/study site Personnel and Training</w:t>
      </w:r>
    </w:p>
    <w:p>
      <w:pPr>
        <w:sectPr>
          <w:pgSz w:w="11900" w:h="16838" w:orient="portrait"/>
          <w:cols w:equalWidth="0" w:num="1">
            <w:col w:w="11380"/>
          </w:cols>
          <w:pgMar w:left="240" w:top="266" w:right="279" w:bottom="1440" w:gutter="0" w:footer="0" w:header="0"/>
        </w:sectPr>
      </w:pPr>
    </w:p>
    <w:bookmarkStart w:id="307" w:name="page308"/>
    <w:bookmarkEnd w:id="307"/>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Investigator Recruitment and Monitoring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Drug Handling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software and communication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Data Capture (Standard Operating Procedures), Coding, Programming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Archiving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 Laboratory Processing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 Details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Operating Procedures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AstraZeneca will make the full </w:t>
      </w:r>
      <w:r>
        <w:rPr>
          <w:rFonts w:ascii="Times New Roman" w:cs="Times New Roman" w:eastAsia="Times New Roman" w:hAnsi="Times New Roman"/>
          <w:sz w:val="18"/>
          <w:szCs w:val="18"/>
          <w:u w:val="single" w:color="auto"/>
          <w:color w:val="auto"/>
        </w:rPr>
        <w:t>Clinical Capability Process</w:t>
      </w:r>
      <w:r>
        <w:rPr>
          <w:rFonts w:ascii="Times New Roman" w:cs="Times New Roman" w:eastAsia="Times New Roman" w:hAnsi="Times New Roman"/>
          <w:sz w:val="18"/>
          <w:szCs w:val="18"/>
          <w:color w:val="auto"/>
        </w:rPr>
        <w:t xml:space="preserve"> documents available to Ardelyx.</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H.7</w:t>
      </w:r>
      <w:r>
        <w:rPr>
          <w:sz w:val="20"/>
          <w:szCs w:val="20"/>
          <w:color w:val="auto"/>
        </w:rPr>
        <w:tab/>
      </w:r>
      <w:r>
        <w:rPr>
          <w:rFonts w:ascii="Times New Roman" w:cs="Times New Roman" w:eastAsia="Times New Roman" w:hAnsi="Times New Roman"/>
          <w:sz w:val="17"/>
          <w:szCs w:val="17"/>
          <w:b w:val="1"/>
          <w:bCs w:val="1"/>
          <w:color w:val="auto"/>
        </w:rPr>
        <w:t>CODE OF CONDUCT</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Ardelyx represents, warrants and covenants that Ardelyx will comply with the ethical standards that are consistent with AstraZeneca’s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http://www.astrazeneca.com/responsibility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described in AstraZeneca’s </w:t>
      </w:r>
      <w:r>
        <w:rPr>
          <w:rFonts w:ascii="Times New Roman" w:cs="Times New Roman" w:eastAsia="Times New Roman" w:hAnsi="Times New Roman"/>
          <w:sz w:val="18"/>
          <w:szCs w:val="18"/>
          <w:i w:val="1"/>
          <w:iCs w:val="1"/>
          <w:color w:val="auto"/>
        </w:rPr>
        <w:t>Responsible Procurement Supplier Expectation (v0.3May09)</w:t>
      </w:r>
      <w:r>
        <w:rPr>
          <w:rFonts w:ascii="Times New Roman" w:cs="Times New Roman" w:eastAsia="Times New Roman" w:hAnsi="Times New Roman"/>
          <w:sz w:val="18"/>
          <w:szCs w:val="18"/>
          <w:color w:val="auto"/>
        </w:rPr>
        <w:t>.</w:t>
      </w:r>
    </w:p>
    <w:p>
      <w:pPr>
        <w:sectPr>
          <w:pgSz w:w="11900" w:h="16838" w:orient="portrait"/>
          <w:cols w:equalWidth="0" w:num="1">
            <w:col w:w="10940"/>
          </w:cols>
          <w:pgMar w:left="240" w:top="270" w:right="719" w:bottom="1440" w:gutter="0" w:footer="0" w:header="0"/>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MAIN TERMS FOR CO-PROMOTE AGREEMENT</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Co-Promote Agreement to be negotiated by the Parties pursuant to Section 7.8(b) of the Agreement shall contain the following main terms and conditions. Capitalized terms used but not separately defined in this Exhibit I shall have the meaning ascribed to such terms in the Agreement.</w:t>
      </w:r>
    </w:p>
    <w:p>
      <w:pPr>
        <w:spacing w:after="0" w:line="162" w:lineRule="exact"/>
        <w:rPr>
          <w:sz w:val="20"/>
          <w:szCs w:val="20"/>
          <w:color w:val="auto"/>
        </w:rPr>
      </w:pPr>
    </w:p>
    <w:p>
      <w:pPr>
        <w:ind w:firstLine="464"/>
        <w:spacing w:after="0" w:line="256" w:lineRule="auto"/>
        <w:tabs>
          <w:tab w:leader="none" w:pos="6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Detail the Co-Promote Product to the designated target audience and perform agreed Pre-Approval Activities and Other Promotional Activities in accordance with the Commercialization Plan and in compliance with all Applicable Laws, including all relevant regulations and ethical standards regarding interactions with healthcare professionals. Ardelyx shall receive prior approval from AstraZeneca for any payments to health care professionals or health care institutions to safeguard that any fees paid are also in line with the AstraZeneca view on Fair Market Value health care professionals. Ardelyx shall further comply with AstraZeneca’s then-current compliance and business policies for promoting pharmaceutical products and the applicable provisions of any corporate integrity agreement (“</w:t>
      </w:r>
      <w:r>
        <w:rPr>
          <w:rFonts w:ascii="Times New Roman" w:cs="Times New Roman" w:eastAsia="Times New Roman" w:hAnsi="Times New Roman"/>
          <w:sz w:val="18"/>
          <w:szCs w:val="18"/>
          <w:b w:val="1"/>
          <w:bCs w:val="1"/>
          <w:color w:val="auto"/>
        </w:rPr>
        <w:t>CIA</w:t>
      </w:r>
      <w:r>
        <w:rPr>
          <w:rFonts w:ascii="Times New Roman" w:cs="Times New Roman" w:eastAsia="Times New Roman" w:hAnsi="Times New Roman"/>
          <w:sz w:val="18"/>
          <w:szCs w:val="18"/>
          <w:color w:val="auto"/>
        </w:rPr>
        <w:t>”) to which AZ (or its applicable Affiliate) is then subject.</w:t>
      </w:r>
    </w:p>
    <w:p>
      <w:pPr>
        <w:spacing w:after="0" w:line="187" w:lineRule="exact"/>
        <w:rPr>
          <w:rFonts w:ascii="Times New Roman" w:cs="Times New Roman" w:eastAsia="Times New Roman" w:hAnsi="Times New Roman"/>
          <w:sz w:val="18"/>
          <w:szCs w:val="18"/>
          <w:color w:val="auto"/>
        </w:rPr>
      </w:pPr>
    </w:p>
    <w:p>
      <w:pPr>
        <w:jc w:val="both"/>
        <w:ind w:right="260" w:firstLine="464"/>
        <w:spacing w:after="0" w:line="261" w:lineRule="auto"/>
        <w:tabs>
          <w:tab w:leader="none" w:pos="72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provide a fully trained sales force with a designated number of sales representatives for the promotion of the Co-Promote Product under the terms of the Co-Promote Agreement (the “</w:t>
      </w:r>
      <w:r>
        <w:rPr>
          <w:rFonts w:ascii="Times New Roman" w:cs="Times New Roman" w:eastAsia="Times New Roman" w:hAnsi="Times New Roman"/>
          <w:sz w:val="18"/>
          <w:szCs w:val="18"/>
          <w:b w:val="1"/>
          <w:bCs w:val="1"/>
          <w:color w:val="auto"/>
        </w:rPr>
        <w:t>Ardelyx Sales Force</w:t>
      </w:r>
      <w:r>
        <w:rPr>
          <w:rFonts w:ascii="Times New Roman" w:cs="Times New Roman" w:eastAsia="Times New Roman" w:hAnsi="Times New Roman"/>
          <w:sz w:val="18"/>
          <w:szCs w:val="18"/>
          <w:color w:val="auto"/>
        </w:rPr>
        <w:t>”). Ardelyx shall bear all costs of general training of its sales force. The Ardelyx Sales Force shall meet AstraZeneca’s requirements (which shall be consistent with industry standards and AstraZeneca’s requirements for its own internal sales force, and which shall be set out in the Co-Promote Agreement).</w:t>
      </w:r>
    </w:p>
    <w:p>
      <w:pPr>
        <w:spacing w:after="0" w:line="180" w:lineRule="exact"/>
        <w:rPr>
          <w:rFonts w:ascii="Times New Roman" w:cs="Times New Roman" w:eastAsia="Times New Roman" w:hAnsi="Times New Roman"/>
          <w:sz w:val="18"/>
          <w:szCs w:val="18"/>
          <w:color w:val="auto"/>
        </w:rPr>
      </w:pPr>
    </w:p>
    <w:p>
      <w:pPr>
        <w:jc w:val="both"/>
        <w:ind w:right="240" w:firstLine="464"/>
        <w:spacing w:after="0" w:line="266" w:lineRule="auto"/>
        <w:tabs>
          <w:tab w:leader="none" w:pos="7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permit AstraZeneca’s compliance and sales and marketing management personnel, upon the request of AstraZeneca, to attend and participate in sales meetings of the Ardelyx Sales Force that relate to the Co-Promote Product, provided that AstraZeneca shall bear the costs of travel and attendance at such meetings for its own personnel.</w:t>
      </w:r>
    </w:p>
    <w:p>
      <w:pPr>
        <w:spacing w:after="0" w:line="176" w:lineRule="exact"/>
        <w:rPr>
          <w:rFonts w:ascii="Times New Roman" w:cs="Times New Roman" w:eastAsia="Times New Roman" w:hAnsi="Times New Roman"/>
          <w:sz w:val="18"/>
          <w:szCs w:val="18"/>
          <w:color w:val="auto"/>
        </w:rPr>
      </w:pPr>
    </w:p>
    <w:p>
      <w:pPr>
        <w:ind w:right="300" w:firstLine="464"/>
        <w:spacing w:after="0" w:line="261" w:lineRule="auto"/>
        <w:tabs>
          <w:tab w:leader="none" w:pos="76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have the right to review the guidelines for the use of its trademarks (if any) in connection with the Co-Promote Product. Such guidelines shall be subject to Ardelyx’s prior written approval, not to be unreasonably withheld, and all promotional materials containing such trademarks shall comply in all material respects with such guidelines. Any such materials that specifically refer to Ardelyx shall be subject to prior review and, to the extent of references to Ardelyx, approval by Ardelyx, such approval not to be unreasonably withheld.</w:t>
      </w:r>
    </w:p>
    <w:p>
      <w:pPr>
        <w:spacing w:after="0" w:line="18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bear all costs and expenses of preparing and producing advertising and education materials for Co-Promote Product.</w:t>
      </w:r>
    </w:p>
    <w:p>
      <w:pPr>
        <w:spacing w:after="0" w:line="225" w:lineRule="exact"/>
        <w:rPr>
          <w:rFonts w:ascii="Times New Roman" w:cs="Times New Roman" w:eastAsia="Times New Roman" w:hAnsi="Times New Roman"/>
          <w:sz w:val="18"/>
          <w:szCs w:val="18"/>
          <w:color w:val="auto"/>
        </w:rPr>
      </w:pPr>
    </w:p>
    <w:p>
      <w:pPr>
        <w:jc w:val="both"/>
        <w:ind w:firstLine="464"/>
        <w:spacing w:after="0" w:line="261" w:lineRule="auto"/>
        <w:tabs>
          <w:tab w:leader="none" w:pos="76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reimburse Ardelyx for its activities on a per-Detail fee basis at the Detail Rate, such reimbursement to be paid for each Calendar Quarter during which such activities have been performed (where such fee shall amount to the number of reimbursable Details actually performed by Ardelyx during each foregoing Calendar Quarter, multiplied by the Detail Fee). In no event shall AstraZeneca pay any compensation to Ardelyx for Details performed by Ardelyx in excess of the target number agreed in the Commercialization Plan,</w:t>
      </w:r>
    </w:p>
    <w:p>
      <w:pPr>
        <w:sectPr>
          <w:pgSz w:w="11900" w:h="16838" w:orient="portrait"/>
          <w:cols w:equalWidth="0" w:num="1">
            <w:col w:w="11400"/>
          </w:cols>
          <w:pgMar w:left="240" w:top="266" w:right="259" w:bottom="1440" w:gutter="0" w:footer="0" w:header="0"/>
        </w:sectPr>
      </w:pPr>
    </w:p>
    <w:bookmarkStart w:id="309" w:name="page310"/>
    <w:bookmarkEnd w:id="309"/>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to the extent otherwise approved by AstraZeneca in writing. AstraZeneca shall reimburse Ardelyx for its Other Promotional Activities and Pre-Approval Activities (if any) at the Promotion FTE Rate for each Calendar Quarter during which such activities have been performed (where such fee shall amount to the time allocated to such activities actually performed by Ardelyx during each foregoing Calendar Quarter, multiplied by the Promotion FTE Rate). Ardelyx shall submit invoices to AstraZeneca for reimbursement hereunder at the beginning of each Calendar Quarter, which invoices shall provide information regarding the number of Details, and (if applicable) Other Promotional Activities and Pre-Approval Activities, performed by Ardelyx during the previous Calendar Quarter. AstraZeneca shall pay such invoices within thirty (30) days of receipt thereof.</w:t>
      </w:r>
    </w:p>
    <w:p>
      <w:pPr>
        <w:spacing w:after="0" w:line="188" w:lineRule="exact"/>
        <w:rPr>
          <w:sz w:val="20"/>
          <w:szCs w:val="20"/>
          <w:color w:val="auto"/>
        </w:rPr>
      </w:pPr>
    </w:p>
    <w:p>
      <w:pPr>
        <w:ind w:firstLine="464"/>
        <w:spacing w:after="0" w:line="266" w:lineRule="auto"/>
        <w:tabs>
          <w:tab w:leader="none" w:pos="81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Ardelyx Sales Force shall not promote products that compete with the Co-Promote Product or with any other product being actively promoted by or on behalf of AstraZeneca or its Affiliates. The Parties will further define in the Co-Promote Agreement what constitutes a competing product for the purpose of the foregoing.</w:t>
      </w:r>
    </w:p>
    <w:p>
      <w:pPr>
        <w:spacing w:after="0" w:line="176" w:lineRule="exact"/>
        <w:rPr>
          <w:rFonts w:ascii="Times New Roman" w:cs="Times New Roman" w:eastAsia="Times New Roman" w:hAnsi="Times New Roman"/>
          <w:sz w:val="18"/>
          <w:szCs w:val="18"/>
          <w:color w:val="auto"/>
        </w:rPr>
      </w:pPr>
    </w:p>
    <w:p>
      <w:pPr>
        <w:ind w:right="180" w:firstLine="464"/>
        <w:spacing w:after="0" w:line="266" w:lineRule="auto"/>
        <w:tabs>
          <w:tab w:leader="none" w:pos="86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keep complete and accurate books and records pertaining to the performance of its obligations under the Co-Promote Agreement. Ardelyx shall further cause the Ardelyx Sales Force to report all Detailing activities, and Other Promotional Activities and Pre-Approval Activities, in accordance with procedures specified in the Commercialization Plan or the Co-Promote Agreement.</w:t>
      </w:r>
    </w:p>
    <w:p>
      <w:pPr>
        <w:spacing w:after="0" w:line="176" w:lineRule="exact"/>
        <w:rPr>
          <w:rFonts w:ascii="Times New Roman" w:cs="Times New Roman" w:eastAsia="Times New Roman" w:hAnsi="Times New Roman"/>
          <w:sz w:val="18"/>
          <w:szCs w:val="18"/>
          <w:color w:val="auto"/>
        </w:rPr>
      </w:pPr>
    </w:p>
    <w:p>
      <w:pPr>
        <w:ind w:right="340" w:firstLine="464"/>
        <w:spacing w:after="0" w:line="266" w:lineRule="auto"/>
        <w:tabs>
          <w:tab w:leader="none" w:pos="76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have the right to engage an independent third party auditor to conduct an audit of Ardelyx’s Detailing activities, which audit shall include the number of target physicians visited. AstraZeneca shall further have the right, at its sole expense, to engage an independent Third Party auditor to conduct market research on the Details performed by Ardelyx to assess the effectiveness of the Details performed by Ardelyx.</w:t>
      </w:r>
    </w:p>
    <w:p>
      <w:pPr>
        <w:spacing w:after="0" w:line="176" w:lineRule="exact"/>
        <w:rPr>
          <w:rFonts w:ascii="Times New Roman" w:cs="Times New Roman" w:eastAsia="Times New Roman" w:hAnsi="Times New Roman"/>
          <w:sz w:val="18"/>
          <w:szCs w:val="18"/>
          <w:color w:val="auto"/>
        </w:rPr>
      </w:pPr>
    </w:p>
    <w:p>
      <w:pPr>
        <w:ind w:right="20" w:firstLine="464"/>
        <w:spacing w:after="0" w:line="255" w:lineRule="auto"/>
        <w:tabs>
          <w:tab w:leader="none" w:pos="71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AstraZeneca commences an internal product quality investigation with respect to the Co-Promote Product in the U.S. Territory, it shall promptly notify and consult with Ardelyx regarding such investigation. Further, if either Party believes that a recall or withdrawal of the Co-Promote Product is necessary in the U.S. Territory, such Party shall notify and consult with the other Party within five (5) Business Days of its determination and both Parties shall cooperate, through the SCC, to effect such recall or withdrawal. In the event of a dispute about whether to recall or withdraw the Co-Promote Product in the U.S. Territory, AstraZeneca shall make such determination. In all circumstances, all expenses relating to the conduct of any recall or withdrawal of Licensed Products, including, without limitation, all expenses related to establishing and maintaining a call center and responding to consumer and physician inquiries, shall be borne solely by AstraZeneca.</w:t>
      </w:r>
    </w:p>
    <w:p>
      <w:pPr>
        <w:sectPr>
          <w:pgSz w:w="11900" w:h="16838" w:orient="portrait"/>
          <w:cols w:equalWidth="0" w:num="1">
            <w:col w:w="11380"/>
          </w:cols>
          <w:pgMar w:left="240" w:top="269" w:right="279" w:bottom="1440" w:gutter="0" w:footer="0" w:header="0"/>
        </w:sectPr>
      </w:pPr>
    </w:p>
    <w:bookmarkStart w:id="310" w:name="page311"/>
    <w:bookmarkEnd w:id="3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INITIAL SUPPLY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capitalized terms used but not separately defined in this Exhibit J shall have the meaning ascribed to them in the main body of the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Supply from Ardelyx to AstraZeneca, or to Ardelyx internally where Ardelyx has been assigned (either by the DCC or under the terms of the Agreement) the lead responsibility for the conduct of the Clinical Trial for which the supply is intended, shall include those GMP quantities of Lead Licensed Compound or Lead Licensed Product, and those development activities, in either case, approved by the DCC. As of the Effective Date of the Agreement, the DCC has not been convened. Therefore, the Parties have agreed that the following provisions shall govern the Manufacture and delivery of the Initial Supplies necessary to conduct the Initial Studies and the IBS-C Study, as well as those additional Initial Supplies discussed below.</w:t>
      </w:r>
    </w:p>
    <w:p>
      <w:pPr>
        <w:spacing w:after="0" w:line="89" w:lineRule="exact"/>
        <w:rPr>
          <w:sz w:val="20"/>
          <w:szCs w:val="20"/>
          <w:color w:val="auto"/>
        </w:rPr>
      </w:pPr>
    </w:p>
    <w:p>
      <w:pPr>
        <w:ind w:left="900" w:hanging="446"/>
        <w:spacing w:after="0" w:line="261" w:lineRule="auto"/>
        <w:tabs>
          <w:tab w:leader="none" w:pos="9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supply between [***] of drug substance (with the exact amounts to be determined by the Parties as soon as possible) for the conduct of 6 and 9 month general toxicity studies and two (2) year carcinogenecity studies including a [***] and necessary quality documentation. Such quantities shall be delivered between [***] and [***] after the Effective Date in a [***] which is jointly agreed between the Parties.</w:t>
      </w:r>
    </w:p>
    <w:p>
      <w:pPr>
        <w:spacing w:after="0" w:line="85"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supply approximately [***] of drug substance to AstraZeneca to enable AstraZeneca to [***] by AstraZeneca . Such drug substance shall be [***] which shall be agreed by the Parties as soon as possible and suitable for the process development and scale up of a solid formulation. Such drug substance shall be delivered as soon as possible after the Effective Date and no later six (6) months after the Effective Date.</w:t>
      </w:r>
    </w:p>
    <w:p>
      <w:pPr>
        <w:spacing w:after="0" w:line="85"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supply approximately [***] of GMP grade drug substance to AstraZeneca to enable [***] for the [***]. Such drug substance shall be delivered [***] to [***] after the Effective Date in a form suitable for the introduction into product manufacture, as agreed by the Parties.</w:t>
      </w:r>
    </w:p>
    <w:p>
      <w:pPr>
        <w:spacing w:after="0" w:line="67" w:lineRule="exact"/>
        <w:rPr>
          <w:rFonts w:ascii="Times New Roman" w:cs="Times New Roman" w:eastAsia="Times New Roman" w:hAnsi="Times New Roman"/>
          <w:sz w:val="18"/>
          <w:szCs w:val="18"/>
          <w:color w:val="auto"/>
        </w:rPr>
      </w:pPr>
    </w:p>
    <w:p>
      <w:pPr>
        <w:ind w:left="900" w:right="60" w:hanging="446"/>
        <w:spacing w:after="0" w:line="256" w:lineRule="auto"/>
        <w:tabs>
          <w:tab w:leader="none" w:pos="9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has not already done so, Ardelyx shall make available to AstraZeneca in a format reasonably requested by AstraZeneca, all Information relating to development and manufacturing of Lead Licensed Compound including development and manufacturing reports, quality and regulatory documentation necessary or useful to enable AstraZeneca to successfully continue development of the Lead Licensed Compound manufacturing methodology for the conduct of Phase 2b and Phase 3 Clinical Trials and the compilation of regulatory submissions for the conduct of the Clinical Trials as soon as possible after the Effective Date and continuously as is reasonably necessary until AstraZeneca is in a position to assume responsibility for the development and supplies without the aid of Ardelyx.</w:t>
      </w:r>
    </w:p>
    <w:p>
      <w:pPr>
        <w:spacing w:after="0" w:line="93"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manufacture and supply between [***] and [***] units of Lead Licensed Product (i.e. drug product) for the conduct of the Initial Studies and Clinical Pharmacology Studies including regulatory submissions and distribution to study sites for</w:t>
      </w:r>
    </w:p>
    <w:p>
      <w:pPr>
        <w:spacing w:after="0" w:line="157" w:lineRule="exact"/>
        <w:rPr>
          <w:rFonts w:ascii="Times New Roman" w:cs="Times New Roman" w:eastAsia="Times New Roman" w:hAnsi="Times New Roman"/>
          <w:sz w:val="18"/>
          <w:szCs w:val="18"/>
          <w:color w:val="auto"/>
        </w:rPr>
      </w:pPr>
    </w:p>
    <w:p>
      <w:pPr>
        <w:ind w:right="380" w:firstLine="8"/>
        <w:spacing w:after="0" w:line="262" w:lineRule="auto"/>
        <w:tabs>
          <w:tab w:leader="none" w:pos="348"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265" w:right="299" w:bottom="1440" w:gutter="0" w:footer="0" w:header="0"/>
        </w:sectPr>
      </w:pPr>
    </w:p>
    <w:bookmarkStart w:id="311" w:name="page312"/>
    <w:bookmarkEnd w:id="311"/>
    <w:p>
      <w:pPr>
        <w:ind w:left="92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Studies. The Parties shall agree upon more exact quantities as soon as possible. Such unit numbers shall include matching placebo and varying drug strengths for the ESRD Study and shall be delivered within [***] to [***] after the Effective Date. In addition, Ardelyx shall manufacture and supply between [***] and [***] units including placebo and varying drug strengths (with the more exact amounts to be agreed upon by the Parties as soon as possible) for the CKD Study, and such quantities shall be delivered [***] to [***] after the Effective Date.</w:t>
      </w:r>
    </w:p>
    <w:p>
      <w:pPr>
        <w:spacing w:after="0" w:line="86" w:lineRule="exact"/>
        <w:rPr>
          <w:sz w:val="20"/>
          <w:szCs w:val="20"/>
          <w:color w:val="auto"/>
        </w:rPr>
      </w:pPr>
    </w:p>
    <w:p>
      <w:pPr>
        <w:ind w:left="900" w:right="140" w:hanging="446"/>
        <w:spacing w:after="0" w:line="266" w:lineRule="auto"/>
        <w:tabs>
          <w:tab w:leader="none" w:pos="9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continue its already started development of [***]. Ardelyx shall undertake sufficient in vitro testing and manufacture of drug product to [***], and including providing the relevant Regulatory documentation, to support the Clinical Pharmacology Studies, , which testing and manufacture shall be completed no later than [***] after the Effective Date.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supplies and activities set forth in this Exhibit J may be amended from time to time by the JPT or the DCC; provided, should the DCC or JPT alter any of the provisions hereof after the Effective Date and after Ardelyx has signed contracts to commence the performance of its obligations hereunder, any costs and expenses incurred by Ardelyx as a result of the amendment of the supplies and activities set forth herein shall be Development Expenses reimbursed to Ardelyx by AstraZeneca in accordance with the Agreement. Ardelyx shall report the progress of the items listed above to AstraZeneca’s appointed Pharmaceutical Development contacts, on a weekly basis. Ardelyx shall also consult AstraZeneca prior to making any critical decisions with material impact on further development, e.g. [***] and packaging materials, stability testing protocols, quality specifications and analytical testing methodology, choice of starting materials and sourcing of these etc.</w:t>
      </w:r>
    </w:p>
    <w:p>
      <w:pPr>
        <w:spacing w:after="0" w:line="185" w:lineRule="exact"/>
        <w:rPr>
          <w:sz w:val="20"/>
          <w:szCs w:val="20"/>
          <w:color w:val="auto"/>
        </w:rPr>
      </w:pPr>
    </w:p>
    <w:p>
      <w:pPr>
        <w:ind w:right="400" w:firstLine="8"/>
        <w:spacing w:after="0" w:line="262" w:lineRule="auto"/>
        <w:tabs>
          <w:tab w:leader="none" w:pos="348"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12" w:name="page313"/>
    <w:bookmarkEnd w:id="3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MAIN TERMS FOR MANUFACTURING AND SUPPLY AGREEMENT AND QA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Manufacturing and Supply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and Quality Assurance Agreement (“</w:t>
      </w:r>
      <w:r>
        <w:rPr>
          <w:rFonts w:ascii="Times New Roman" w:cs="Times New Roman" w:eastAsia="Times New Roman" w:hAnsi="Times New Roman"/>
          <w:sz w:val="18"/>
          <w:szCs w:val="18"/>
          <w:b w:val="1"/>
          <w:bCs w:val="1"/>
          <w:color w:val="auto"/>
        </w:rPr>
        <w:t>QAA</w:t>
      </w:r>
      <w:r>
        <w:rPr>
          <w:rFonts w:ascii="Times New Roman" w:cs="Times New Roman" w:eastAsia="Times New Roman" w:hAnsi="Times New Roman"/>
          <w:sz w:val="18"/>
          <w:szCs w:val="18"/>
          <w:color w:val="auto"/>
        </w:rPr>
        <w:t>”) to be executed by the Parties pursuant to Section 8.1 of the License Agreement entered into between AstraZeneca AB (publ) and Ardelyx Inc. on October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2012 (the “</w:t>
      </w:r>
      <w:r>
        <w:rPr>
          <w:rFonts w:ascii="Times New Roman" w:cs="Times New Roman" w:eastAsia="Times New Roman" w:hAnsi="Times New Roman"/>
          <w:sz w:val="18"/>
          <w:szCs w:val="18"/>
          <w:b w:val="1"/>
          <w:bCs w:val="1"/>
          <w:color w:val="auto"/>
        </w:rPr>
        <w:t>Main Agreement</w:t>
      </w:r>
      <w:r>
        <w:rPr>
          <w:rFonts w:ascii="Times New Roman" w:cs="Times New Roman" w:eastAsia="Times New Roman" w:hAnsi="Times New Roman"/>
          <w:sz w:val="18"/>
          <w:szCs w:val="18"/>
          <w:color w:val="auto"/>
        </w:rPr>
        <w:t>”) shall contain the following main terms and conditions. Capitalized terms used but not separately defined in this Exhibit K shall have the meaning ascribed to such terms in the Main Agreement.</w:t>
      </w:r>
    </w:p>
    <w:p>
      <w:pPr>
        <w:spacing w:after="0" w:line="325" w:lineRule="exact"/>
        <w:rPr>
          <w:sz w:val="20"/>
          <w:szCs w:val="20"/>
          <w:color w:val="auto"/>
        </w:rPr>
      </w:pPr>
    </w:p>
    <w:p>
      <w:pPr>
        <w:ind w:left="460" w:hanging="452"/>
        <w:spacing w:after="0"/>
        <w:tabs>
          <w:tab w:leader="none" w:pos="4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UPPLY</w:t>
      </w:r>
    </w:p>
    <w:p>
      <w:pPr>
        <w:spacing w:after="0" w:line="134" w:lineRule="exact"/>
        <w:rPr>
          <w:rFonts w:ascii="Times New Roman" w:cs="Times New Roman" w:eastAsia="Times New Roman" w:hAnsi="Times New Roman"/>
          <w:sz w:val="18"/>
          <w:szCs w:val="18"/>
          <w:b w:val="1"/>
          <w:bCs w:val="1"/>
          <w:color w:val="auto"/>
        </w:rPr>
      </w:pPr>
    </w:p>
    <w:p>
      <w:pPr>
        <w:ind w:left="900" w:hanging="446"/>
        <w:spacing w:after="0" w:line="256" w:lineRule="auto"/>
        <w:tabs>
          <w:tab w:leader="none" w:pos="9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will use subcontractors to manufacture and supply Lead Licensed Product and Lead Licensed Compound for use by the Parties under the Main Agreement, and Ardelyx shall enter into, or maintain contractual relationships with its subcontractors that are consistent with the provisions set forth herein. Ardelyx shall not engage or make use of any subcontractors other than those expressly authorized in the Main Agreement or otherwise expressly authorized by the DCC (each, an “</w:t>
      </w:r>
      <w:r>
        <w:rPr>
          <w:rFonts w:ascii="Times New Roman" w:cs="Times New Roman" w:eastAsia="Times New Roman" w:hAnsi="Times New Roman"/>
          <w:sz w:val="18"/>
          <w:szCs w:val="18"/>
          <w:b w:val="1"/>
          <w:bCs w:val="1"/>
          <w:color w:val="auto"/>
        </w:rPr>
        <w:t>Approved Subcontractor</w:t>
      </w:r>
      <w:r>
        <w:rPr>
          <w:rFonts w:ascii="Times New Roman" w:cs="Times New Roman" w:eastAsia="Times New Roman" w:hAnsi="Times New Roman"/>
          <w:sz w:val="18"/>
          <w:szCs w:val="18"/>
          <w:color w:val="auto"/>
        </w:rPr>
        <w:t>”). No such subcontract shall release Ardelyx from any of its obligations under the MSA or the QAA except to the extent such obligations are satisfactorily performed by such Approved Subcontractor in accordance with the MSA and the QAA.</w:t>
      </w:r>
    </w:p>
    <w:p>
      <w:pPr>
        <w:spacing w:after="0" w:line="93" w:lineRule="exact"/>
        <w:rPr>
          <w:rFonts w:ascii="Times New Roman" w:cs="Times New Roman" w:eastAsia="Times New Roman" w:hAnsi="Times New Roman"/>
          <w:sz w:val="18"/>
          <w:szCs w:val="18"/>
          <w:color w:val="auto"/>
        </w:rPr>
      </w:pPr>
    </w:p>
    <w:p>
      <w:pPr>
        <w:ind w:left="900" w:right="80" w:hanging="446"/>
        <w:spacing w:after="0" w:line="258" w:lineRule="auto"/>
        <w:tabs>
          <w:tab w:leader="none" w:pos="9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those quantities of Lead Licensed Product and Lead Licensed Compound to be utilized by Ardelyx in the performance of the Assigned Activities (“</w:t>
      </w:r>
      <w:r>
        <w:rPr>
          <w:rFonts w:ascii="Times New Roman" w:cs="Times New Roman" w:eastAsia="Times New Roman" w:hAnsi="Times New Roman"/>
          <w:sz w:val="18"/>
          <w:szCs w:val="18"/>
          <w:b w:val="1"/>
          <w:bCs w:val="1"/>
          <w:color w:val="auto"/>
        </w:rPr>
        <w:t>Ardelyx Consumed Materials</w:t>
      </w:r>
      <w:r>
        <w:rPr>
          <w:rFonts w:ascii="Times New Roman" w:cs="Times New Roman" w:eastAsia="Times New Roman" w:hAnsi="Times New Roman"/>
          <w:sz w:val="18"/>
          <w:szCs w:val="18"/>
          <w:color w:val="auto"/>
        </w:rPr>
        <w:t>”), Ardelyx shall place orders directly with the Approved Subcontractors and arrange for delivery as necessary to permit Ardelyx to complete its Assigned Activities. Title and risk of loss for the Ardelyx Consumed Materials shall pass directly from the Approved Subcontractor to Ardelyx. Ardelyx shall be reimbursed for the Ardelyx Consumed Materials as Development Expenses under the Main Agreement.</w:t>
      </w:r>
    </w:p>
    <w:p>
      <w:pPr>
        <w:spacing w:after="0" w:line="89" w:lineRule="exact"/>
        <w:rPr>
          <w:rFonts w:ascii="Times New Roman" w:cs="Times New Roman" w:eastAsia="Times New Roman" w:hAnsi="Times New Roman"/>
          <w:sz w:val="18"/>
          <w:szCs w:val="18"/>
          <w:color w:val="auto"/>
        </w:rPr>
      </w:pPr>
    </w:p>
    <w:p>
      <w:pPr>
        <w:ind w:left="900" w:right="40" w:hanging="446"/>
        <w:spacing w:after="0" w:line="256" w:lineRule="auto"/>
        <w:tabs>
          <w:tab w:leader="none" w:pos="9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those quantities of Lead Licensed Product to be utilized by AstraZeneca in the exercise of its rights or the performance of its obligations under the Main Agreement (the “</w:t>
      </w:r>
      <w:r>
        <w:rPr>
          <w:rFonts w:ascii="Times New Roman" w:cs="Times New Roman" w:eastAsia="Times New Roman" w:hAnsi="Times New Roman"/>
          <w:sz w:val="18"/>
          <w:szCs w:val="18"/>
          <w:b w:val="1"/>
          <w:bCs w:val="1"/>
          <w:color w:val="auto"/>
        </w:rPr>
        <w:t>AstraZeneca Consumed Materials</w:t>
      </w:r>
      <w:r>
        <w:rPr>
          <w:rFonts w:ascii="Times New Roman" w:cs="Times New Roman" w:eastAsia="Times New Roman" w:hAnsi="Times New Roman"/>
          <w:sz w:val="18"/>
          <w:szCs w:val="18"/>
          <w:color w:val="auto"/>
        </w:rPr>
        <w:t>”), the MSA shall set forth provisions under which AstraZeneca shall place purchase orders with Ardelyx, or utilize other suitable procedures to formally buy Lead Licensed Products and Lead Licensed Compounds from Ardelyx and the Parties shall agree and include in the MSA, a mechanism for defining the lead-times for all such AstraZeneca Consumed Materials ordered thereby. Delivery shall be DDP in accordance with the INCOTERMS 2010 to an address specified by AstraZeneca. Title shall pass to AstraZeneca on delivery to AstraZeneca or its designee.</w:t>
      </w:r>
    </w:p>
    <w:p>
      <w:pPr>
        <w:sectPr>
          <w:pgSz w:w="11900" w:h="16838" w:orient="portrait"/>
          <w:cols w:equalWidth="0" w:num="1">
            <w:col w:w="11400"/>
          </w:cols>
          <w:pgMar w:left="240" w:top="265" w:right="259" w:bottom="1440" w:gutter="0" w:footer="0" w:header="0"/>
        </w:sectPr>
      </w:pPr>
    </w:p>
    <w:bookmarkStart w:id="313" w:name="page314"/>
    <w:bookmarkEnd w:id="313"/>
    <w:p>
      <w:pPr>
        <w:ind w:left="452" w:hanging="452"/>
        <w:spacing w:after="0"/>
        <w:tabs>
          <w:tab w:leader="none" w:pos="452"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w:t>
      </w:r>
      <w:r>
        <w:rPr>
          <w:rFonts w:ascii="Times New Roman" w:cs="Times New Roman" w:eastAsia="Times New Roman" w:hAnsi="Times New Roman"/>
          <w:sz w:val="15"/>
          <w:szCs w:val="15"/>
          <w:b w:val="1"/>
          <w:bCs w:val="1"/>
          <w:color w:val="auto"/>
        </w:rPr>
        <w:t>UALITY</w:t>
      </w:r>
    </w:p>
    <w:p>
      <w:pPr>
        <w:spacing w:after="0" w:line="134" w:lineRule="exact"/>
        <w:rPr>
          <w:rFonts w:ascii="Times New Roman" w:cs="Times New Roman" w:eastAsia="Times New Roman" w:hAnsi="Times New Roman"/>
          <w:sz w:val="18"/>
          <w:szCs w:val="18"/>
          <w:b w:val="1"/>
          <w:bCs w:val="1"/>
          <w:color w:val="auto"/>
        </w:rPr>
      </w:pPr>
    </w:p>
    <w:p>
      <w:pPr>
        <w:ind w:left="892" w:right="500" w:hanging="446"/>
        <w:spacing w:after="0" w:line="282" w:lineRule="auto"/>
        <w:tabs>
          <w:tab w:leader="none" w:pos="892"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Quality Assurance Agreement shall be negotiated in good faith between the Parties and shall include all appropriate provisions as would normally be contained in such an agreement.</w:t>
      </w:r>
    </w:p>
    <w:p>
      <w:pPr>
        <w:spacing w:after="0" w:line="67" w:lineRule="exact"/>
        <w:rPr>
          <w:rFonts w:ascii="Times New Roman" w:cs="Times New Roman" w:eastAsia="Times New Roman" w:hAnsi="Times New Roman"/>
          <w:sz w:val="18"/>
          <w:szCs w:val="18"/>
          <w:color w:val="auto"/>
        </w:rPr>
      </w:pPr>
    </w:p>
    <w:p>
      <w:pPr>
        <w:ind w:left="892" w:right="260" w:hanging="446"/>
        <w:spacing w:after="0" w:line="266" w:lineRule="auto"/>
        <w:tabs>
          <w:tab w:leader="none" w:pos="892"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 and acknowledge that the Lead Licensed Products and Lead Licensed Compounds must satisfy appropriate specifications and associated tests, details of which shall be set out in the QAA, and a mechanism for handling any defective products shall be agreed and included in the QAA.</w:t>
      </w:r>
    </w:p>
    <w:p>
      <w:pPr>
        <w:spacing w:after="0" w:line="321" w:lineRule="exact"/>
        <w:rPr>
          <w:sz w:val="20"/>
          <w:szCs w:val="20"/>
          <w:color w:val="auto"/>
        </w:rPr>
      </w:pPr>
    </w:p>
    <w:p>
      <w:pPr>
        <w:ind w:left="452" w:hanging="452"/>
        <w:spacing w:after="0"/>
        <w:tabs>
          <w:tab w:leader="none" w:pos="452"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RICING</w:t>
      </w:r>
    </w:p>
    <w:p>
      <w:pPr>
        <w:spacing w:after="0" w:line="1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Each Party agrees that the pricing provisions set out in Section 8.1 of the Main Agreement shall be incorporated into the terms of the MSA.</w:t>
      </w:r>
    </w:p>
    <w:p>
      <w:pPr>
        <w:spacing w:after="0" w:line="370" w:lineRule="exact"/>
        <w:rPr>
          <w:sz w:val="20"/>
          <w:szCs w:val="20"/>
          <w:color w:val="auto"/>
        </w:rPr>
      </w:pPr>
    </w:p>
    <w:p>
      <w:pPr>
        <w:ind w:left="452" w:hanging="452"/>
        <w:spacing w:after="0"/>
        <w:tabs>
          <w:tab w:leader="none" w:pos="452"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EGAL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EGULATORY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EQUIREMENTS</w:t>
      </w:r>
    </w:p>
    <w:p>
      <w:pPr>
        <w:spacing w:after="0" w:line="121" w:lineRule="exact"/>
        <w:rPr>
          <w:sz w:val="20"/>
          <w:szCs w:val="20"/>
          <w:color w:val="auto"/>
        </w:rPr>
      </w:pPr>
    </w:p>
    <w:p>
      <w:pPr>
        <w:ind w:left="912" w:right="20"/>
        <w:spacing w:after="0" w:line="266" w:lineRule="auto"/>
        <w:rPr>
          <w:sz w:val="20"/>
          <w:szCs w:val="20"/>
          <w:color w:val="auto"/>
        </w:rPr>
      </w:pPr>
      <w:r>
        <w:rPr>
          <w:rFonts w:ascii="Times New Roman" w:cs="Times New Roman" w:eastAsia="Times New Roman" w:hAnsi="Times New Roman"/>
          <w:sz w:val="18"/>
          <w:szCs w:val="18"/>
          <w:color w:val="auto"/>
        </w:rPr>
        <w:t>Appropriate provisions shall be included in the MSA to ensure that each Party complies with all relevant local, national and international legal or regulatory requirements and other relevant requirements applicable to the manufacture, handing, transport and storage of all Lead Licensed Products and Lead Licensed Compounds at all times.</w:t>
      </w:r>
    </w:p>
    <w:p>
      <w:pPr>
        <w:spacing w:after="0" w:line="321" w:lineRule="exact"/>
        <w:rPr>
          <w:sz w:val="20"/>
          <w:szCs w:val="20"/>
          <w:color w:val="auto"/>
        </w:rPr>
      </w:pPr>
    </w:p>
    <w:p>
      <w:pPr>
        <w:ind w:left="452" w:hanging="452"/>
        <w:spacing w:after="0"/>
        <w:tabs>
          <w:tab w:leader="none" w:pos="452"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OCUMENT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ETENTION</w:t>
      </w:r>
    </w:p>
    <w:p>
      <w:pPr>
        <w:spacing w:after="0" w:line="121" w:lineRule="exact"/>
        <w:rPr>
          <w:sz w:val="20"/>
          <w:szCs w:val="20"/>
          <w:color w:val="auto"/>
        </w:rPr>
      </w:pPr>
    </w:p>
    <w:p>
      <w:pPr>
        <w:ind w:left="912" w:right="220"/>
        <w:spacing w:after="0" w:line="282" w:lineRule="auto"/>
        <w:rPr>
          <w:sz w:val="20"/>
          <w:szCs w:val="20"/>
          <w:color w:val="auto"/>
        </w:rPr>
      </w:pPr>
      <w:r>
        <w:rPr>
          <w:rFonts w:ascii="Times New Roman" w:cs="Times New Roman" w:eastAsia="Times New Roman" w:hAnsi="Times New Roman"/>
          <w:sz w:val="18"/>
          <w:szCs w:val="18"/>
          <w:color w:val="auto"/>
        </w:rPr>
        <w:t>Appropriate provisions shall be included in the MSA with regard to maintaining appropriate documentation for patent and regulatory purposes and in full compliance with all Applicable Laws.</w:t>
      </w:r>
    </w:p>
    <w:p>
      <w:pPr>
        <w:spacing w:after="0" w:line="306" w:lineRule="exact"/>
        <w:rPr>
          <w:sz w:val="20"/>
          <w:szCs w:val="20"/>
          <w:color w:val="auto"/>
        </w:rPr>
      </w:pPr>
    </w:p>
    <w:p>
      <w:pPr>
        <w:ind w:left="452" w:hanging="452"/>
        <w:spacing w:after="0"/>
        <w:tabs>
          <w:tab w:leader="none" w:pos="452"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RODUCT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ECURITY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ASTE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ISPOSAL</w:t>
      </w:r>
    </w:p>
    <w:p>
      <w:pPr>
        <w:spacing w:after="0" w:line="1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Appropriate provisions shall be included in the MSA with regard to product security and waste handling.</w:t>
      </w:r>
    </w:p>
    <w:p>
      <w:pPr>
        <w:spacing w:after="0" w:line="370" w:lineRule="exact"/>
        <w:rPr>
          <w:sz w:val="20"/>
          <w:szCs w:val="20"/>
          <w:color w:val="auto"/>
        </w:rPr>
      </w:pPr>
    </w:p>
    <w:p>
      <w:pPr>
        <w:ind w:left="452" w:hanging="452"/>
        <w:spacing w:after="0"/>
        <w:tabs>
          <w:tab w:leader="none" w:pos="452"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ODE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ONDUCT</w:t>
      </w:r>
    </w:p>
    <w:p>
      <w:pPr>
        <w:spacing w:after="0" w:line="121" w:lineRule="exact"/>
        <w:rPr>
          <w:sz w:val="20"/>
          <w:szCs w:val="20"/>
          <w:color w:val="auto"/>
        </w:rPr>
      </w:pPr>
    </w:p>
    <w:p>
      <w:pPr>
        <w:ind w:left="912"/>
        <w:spacing w:after="0" w:line="282" w:lineRule="auto"/>
        <w:rPr>
          <w:sz w:val="20"/>
          <w:szCs w:val="20"/>
          <w:color w:val="auto"/>
        </w:rPr>
      </w:pPr>
      <w:r>
        <w:rPr>
          <w:rFonts w:ascii="Times New Roman" w:cs="Times New Roman" w:eastAsia="Times New Roman" w:hAnsi="Times New Roman"/>
          <w:sz w:val="18"/>
          <w:szCs w:val="18"/>
          <w:color w:val="auto"/>
        </w:rPr>
        <w:t>Appropriate provisions shall be included in the MSA with regard to Ardelyx’s compliance with AstraZeneca’s Responsible Procurement Supplier Expectation.</w:t>
      </w:r>
    </w:p>
    <w:p>
      <w:pPr>
        <w:spacing w:after="0" w:line="306" w:lineRule="exact"/>
        <w:rPr>
          <w:sz w:val="20"/>
          <w:szCs w:val="20"/>
          <w:color w:val="auto"/>
        </w:rPr>
      </w:pPr>
    </w:p>
    <w:p>
      <w:pPr>
        <w:ind w:left="452" w:hanging="452"/>
        <w:spacing w:after="0"/>
        <w:tabs>
          <w:tab w:leader="none" w:pos="452"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WNERSHIP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ESULTS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ACKGROUND</w:t>
      </w:r>
      <w:r>
        <w:rPr>
          <w:rFonts w:ascii="Times New Roman" w:cs="Times New Roman" w:eastAsia="Times New Roman" w:hAnsi="Times New Roman"/>
          <w:sz w:val="18"/>
          <w:szCs w:val="18"/>
          <w:b w:val="1"/>
          <w:bCs w:val="1"/>
          <w:color w:val="auto"/>
        </w:rPr>
        <w:t xml:space="preserve"> IPR</w:t>
      </w:r>
    </w:p>
    <w:p>
      <w:pPr>
        <w:spacing w:after="0" w:line="1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The provisions regarding ownership of results and IPR in the Main Agreement will be reflected as appropriate in the MSA.</w:t>
      </w:r>
    </w:p>
    <w:p>
      <w:pPr>
        <w:sectPr>
          <w:pgSz w:w="11900" w:h="16838" w:orient="portrait"/>
          <w:cols w:equalWidth="0" w:num="1">
            <w:col w:w="11392"/>
          </w:cols>
          <w:pgMar w:left="248" w:top="266" w:right="259" w:bottom="1440" w:gutter="0" w:footer="0" w:header="0"/>
        </w:sectPr>
      </w:pPr>
    </w:p>
    <w:bookmarkStart w:id="314" w:name="page315"/>
    <w:bookmarkEnd w:id="314"/>
    <w:p>
      <w:pPr>
        <w:ind w:left="452" w:hanging="452"/>
        <w:spacing w:after="0"/>
        <w:tabs>
          <w:tab w:leader="none" w:pos="452"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Times New Roman" w:cs="Times New Roman" w:eastAsia="Times New Roman" w:hAnsi="Times New Roman"/>
          <w:sz w:val="15"/>
          <w:szCs w:val="15"/>
          <w:b w:val="1"/>
          <w:bCs w:val="1"/>
          <w:color w:val="auto"/>
        </w:rPr>
        <w:t>EPRESENTATIONS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5"/>
          <w:szCs w:val="15"/>
          <w:b w:val="1"/>
          <w:bCs w:val="1"/>
          <w:color w:val="auto"/>
        </w:rPr>
        <w:t>ARRANTIES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OVENANTS</w:t>
      </w:r>
    </w:p>
    <w:p>
      <w:pPr>
        <w:spacing w:after="0" w:line="134" w:lineRule="exact"/>
        <w:rPr>
          <w:rFonts w:ascii="Times New Roman" w:cs="Times New Roman" w:eastAsia="Times New Roman" w:hAnsi="Times New Roman"/>
          <w:sz w:val="18"/>
          <w:szCs w:val="18"/>
          <w:b w:val="1"/>
          <w:bCs w:val="1"/>
          <w:color w:val="auto"/>
        </w:rPr>
      </w:pPr>
    </w:p>
    <w:p>
      <w:pPr>
        <w:ind w:left="892" w:right="400" w:hanging="446"/>
        <w:spacing w:after="0" w:line="282" w:lineRule="auto"/>
        <w:tabs>
          <w:tab w:leader="none" w:pos="892"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agrees and acknowledges that in addition to the representations and warranties contained in the Main Agreement, Ardelyx will be required to provide additional representations and warranties within the MSA, including (but not limited to) as to the following:</w:t>
      </w:r>
    </w:p>
    <w:p>
      <w:pPr>
        <w:spacing w:after="0" w:line="53" w:lineRule="exact"/>
        <w:rPr>
          <w:rFonts w:ascii="Times New Roman" w:cs="Times New Roman" w:eastAsia="Times New Roman" w:hAnsi="Times New Roman"/>
          <w:sz w:val="18"/>
          <w:szCs w:val="18"/>
          <w:color w:val="auto"/>
        </w:rPr>
      </w:pPr>
    </w:p>
    <w:p>
      <w:pPr>
        <w:ind w:left="1492" w:right="460" w:hanging="8"/>
        <w:spacing w:after="0" w:line="282" w:lineRule="auto"/>
        <w:tabs>
          <w:tab w:leader="none" w:pos="173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full power and authority, and has taken all necessary actions and has obtained all necessary authorizations, licenses, consents and approvals required, to execute and perform the MSA, and</w:t>
      </w:r>
    </w:p>
    <w:p>
      <w:pPr>
        <w:spacing w:after="0" w:line="53" w:lineRule="exact"/>
        <w:rPr>
          <w:rFonts w:ascii="Times New Roman" w:cs="Times New Roman" w:eastAsia="Times New Roman" w:hAnsi="Times New Roman"/>
          <w:sz w:val="18"/>
          <w:szCs w:val="18"/>
          <w:color w:val="auto"/>
        </w:rPr>
      </w:pPr>
    </w:p>
    <w:p>
      <w:pPr>
        <w:ind w:left="1492" w:hanging="8"/>
        <w:spacing w:after="0" w:line="282" w:lineRule="auto"/>
        <w:tabs>
          <w:tab w:leader="none" w:pos="174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retention as a supplier by AstraZeneca and its performance of the MSA do not, and shall not, breach any agreement with any other third party.</w:t>
      </w:r>
    </w:p>
    <w:p>
      <w:pPr>
        <w:spacing w:after="0" w:line="67"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warranties set out in Section 12.3 of the main agreement shall be repeated in the MSA.</w:t>
      </w:r>
    </w:p>
    <w:p>
      <w:pPr>
        <w:spacing w:after="0" w:line="370" w:lineRule="exact"/>
        <w:rPr>
          <w:sz w:val="20"/>
          <w:szCs w:val="20"/>
          <w:color w:val="auto"/>
        </w:rPr>
      </w:pPr>
    </w:p>
    <w:p>
      <w:pPr>
        <w:ind w:left="452" w:hanging="452"/>
        <w:spacing w:after="0"/>
        <w:tabs>
          <w:tab w:leader="none" w:pos="452"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ERM</w:t>
      </w:r>
    </w:p>
    <w:p>
      <w:pPr>
        <w:spacing w:after="0" w:line="121" w:lineRule="exact"/>
        <w:rPr>
          <w:sz w:val="20"/>
          <w:szCs w:val="20"/>
          <w:color w:val="auto"/>
        </w:rPr>
      </w:pPr>
    </w:p>
    <w:p>
      <w:pPr>
        <w:ind w:left="912" w:right="80"/>
        <w:spacing w:after="0" w:line="282" w:lineRule="auto"/>
        <w:rPr>
          <w:sz w:val="20"/>
          <w:szCs w:val="20"/>
          <w:color w:val="auto"/>
        </w:rPr>
      </w:pPr>
      <w:r>
        <w:rPr>
          <w:rFonts w:ascii="Times New Roman" w:cs="Times New Roman" w:eastAsia="Times New Roman" w:hAnsi="Times New Roman"/>
          <w:sz w:val="18"/>
          <w:szCs w:val="18"/>
          <w:color w:val="auto"/>
        </w:rPr>
        <w:t>The MSA shall remain in place until such time as AstraZeneca has established its manufacturing capability in accordance with Article 8 of the Main Agreement.</w:t>
      </w:r>
    </w:p>
    <w:p>
      <w:pPr>
        <w:spacing w:after="0" w:line="306" w:lineRule="exact"/>
        <w:rPr>
          <w:sz w:val="20"/>
          <w:szCs w:val="20"/>
          <w:color w:val="auto"/>
        </w:rPr>
      </w:pPr>
    </w:p>
    <w:p>
      <w:pPr>
        <w:ind w:left="452" w:hanging="452"/>
        <w:spacing w:after="0"/>
        <w:tabs>
          <w:tab w:leader="none" w:pos="452"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ROVISIONS</w:t>
      </w:r>
    </w:p>
    <w:p>
      <w:pPr>
        <w:spacing w:after="0" w:line="121" w:lineRule="exact"/>
        <w:rPr>
          <w:sz w:val="20"/>
          <w:szCs w:val="20"/>
          <w:color w:val="auto"/>
        </w:rPr>
      </w:pPr>
    </w:p>
    <w:p>
      <w:pPr>
        <w:ind w:left="912" w:right="160"/>
        <w:spacing w:after="0" w:line="282" w:lineRule="auto"/>
        <w:rPr>
          <w:sz w:val="20"/>
          <w:szCs w:val="20"/>
          <w:color w:val="auto"/>
        </w:rPr>
      </w:pPr>
      <w:r>
        <w:rPr>
          <w:rFonts w:ascii="Times New Roman" w:cs="Times New Roman" w:eastAsia="Times New Roman" w:hAnsi="Times New Roman"/>
          <w:sz w:val="18"/>
          <w:szCs w:val="18"/>
          <w:color w:val="auto"/>
        </w:rPr>
        <w:t>Each of the Parties agree and acknowledge that the MSA will contain a number of provisions which shall be consistent with provisions in the body of the Main Agreement, including Confidentiality, Assignment, Governing Law and Dispute Resolution.</w:t>
      </w:r>
    </w:p>
    <w:p>
      <w:pPr>
        <w:sectPr>
          <w:pgSz w:w="11900" w:h="16838" w:orient="portrait"/>
          <w:cols w:equalWidth="0" w:num="1">
            <w:col w:w="11252"/>
          </w:cols>
          <w:pgMar w:left="248" w:top="265" w:right="399" w:bottom="1440" w:gutter="0" w:footer="0" w:header="0"/>
        </w:sectPr>
      </w:pPr>
    </w:p>
    <w:bookmarkStart w:id="315" w:name="page316"/>
    <w:bookmarkEnd w:id="31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INVOICING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instructions below regarding payments to Health Care Professionals or Health Care Organizations, invoices should be sent to:</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AstraZeneca AB</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Invoice shall contain the following information:</w:t>
      </w:r>
    </w:p>
    <w:p>
      <w:pPr>
        <w:spacing w:after="0" w:line="131" w:lineRule="exact"/>
        <w:rPr>
          <w:sz w:val="20"/>
          <w:szCs w:val="20"/>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AstraZeneca’s Agreement ID: [***]</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date of invoice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latest date of payment according to Agreement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Ardelyx</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VAT registration number or EIN/TaxID,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AstraZeneca’s VAT registration number SE556011748201(in EC),</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rate (%),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amount per VAT rate,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amount,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reference or explanation when VAT is excluded,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 amount and currency,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details, preferably IBAN code, otherwise account number and bank code,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SWIFT-address.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Invoicing related to payments made to Health Care Professionals or Health Care Organizations should be invoiced according to ASPEN invoicing requirements described in Exhibit H of this Agreement</w:t>
      </w:r>
    </w:p>
    <w:p>
      <w:pPr>
        <w:spacing w:after="0" w:line="157" w:lineRule="exact"/>
        <w:rPr>
          <w:sz w:val="20"/>
          <w:szCs w:val="20"/>
          <w:color w:val="auto"/>
        </w:rPr>
      </w:pPr>
    </w:p>
    <w:p>
      <w:pPr>
        <w:ind w:firstLine="8"/>
        <w:spacing w:after="0" w:line="262" w:lineRule="auto"/>
        <w:tabs>
          <w:tab w:leader="none" w:pos="348"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5" w:right="67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w w:val="99"/>
              </w:rPr>
              <w:t>EXHIBIT M</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40" w:type="dxa"/>
            <w:vAlign w:val="bottom"/>
            <w:gridSpan w:val="5"/>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SUBJECT MATTER OF PROPOSED PUBLICATIONS BY ARDELYX</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Short title</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Main content</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000000"/>
          </w:tcPr>
          <w:p>
            <w:pPr>
              <w:spacing w:after="0" w:line="20" w:lineRule="exact"/>
              <w:rPr>
                <w:sz w:val="1"/>
                <w:szCs w:val="1"/>
                <w:color w:val="auto"/>
              </w:rPr>
            </w:pPr>
          </w:p>
        </w:tc>
        <w:tc>
          <w:tcPr>
            <w:tcW w:w="22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 a preclinical model of</w:t>
            </w:r>
          </w:p>
        </w:tc>
        <w:tc>
          <w:tcPr>
            <w:tcW w:w="8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0" w:type="dxa"/>
            <w:vAlign w:val="bottom"/>
            <w:vMerge w:val="continue"/>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1"/>
              </w:rPr>
              <w:t>RDX5791</w:t>
            </w:r>
          </w:p>
        </w:tc>
        <w:tc>
          <w:tcPr>
            <w:tcW w:w="22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980" w:type="dxa"/>
            <w:vAlign w:val="bottom"/>
            <w:gridSpan w:val="3"/>
          </w:tcPr>
          <w:p>
            <w:pPr>
              <w:ind w:left="360"/>
              <w:spacing w:after="0" w:line="191" w:lineRule="exact"/>
              <w:rPr>
                <w:sz w:val="20"/>
                <w:szCs w:val="20"/>
                <w:color w:val="auto"/>
              </w:rPr>
            </w:pPr>
            <w:r>
              <w:rPr>
                <w:rFonts w:ascii="Times New Roman" w:cs="Times New Roman" w:eastAsia="Times New Roman" w:hAnsi="Times New Roman"/>
                <w:sz w:val="18"/>
                <w:szCs w:val="18"/>
                <w:color w:val="auto"/>
              </w:rPr>
              <w:t>Pharmacodynamic response (Urine Na, fecal Na) and pharmacokinetics in rats.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hypertension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9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Evaluation of RDX5791 in a 5/6th rat model with high Na diet, alone or combined with enalapril. Study</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endpoints: Hemodynamics, bioimpedance, proteinuria, heart and renal damage</w:t>
            </w: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Reference studies:</w:t>
            </w: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RDX5791-PK-01 to RDX5791-PK-10</w:t>
            </w: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RDX5791-EF-03</w:t>
            </w: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RDX5791-EF-08</w:t>
            </w: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RDX5791-EF-09</w:t>
            </w:r>
          </w:p>
        </w:tc>
        <w:tc>
          <w:tcPr>
            <w:tcW w:w="0" w:type="dxa"/>
            <w:vAlign w:val="bottom"/>
          </w:tcPr>
          <w:p>
            <w:pPr>
              <w:spacing w:after="0"/>
              <w:rPr>
                <w:sz w:val="1"/>
                <w:szCs w:val="1"/>
                <w:color w:val="auto"/>
              </w:rPr>
            </w:pPr>
          </w:p>
        </w:tc>
      </w:tr>
      <w:tr>
        <w:trPr>
          <w:trHeight w:val="427"/>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RDX5791 in preclinical models of IBS</w:t>
            </w:r>
          </w:p>
        </w:tc>
        <w:tc>
          <w:tcPr>
            <w:tcW w:w="80" w:type="dxa"/>
            <w:vAlign w:val="bottom"/>
          </w:tcPr>
          <w:p>
            <w:pPr>
              <w:spacing w:after="0"/>
              <w:rPr>
                <w:sz w:val="24"/>
                <w:szCs w:val="24"/>
                <w:color w:val="auto"/>
              </w:rPr>
            </w:pPr>
          </w:p>
        </w:tc>
        <w:tc>
          <w:tcPr>
            <w:tcW w:w="79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Evaluation of RDX5791 in a stress-induced visceral hypersensitivity model (colorectal distension) in rats.</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700"/>
        <w:spacing w:after="0"/>
        <w:rPr>
          <w:sz w:val="20"/>
          <w:szCs w:val="20"/>
          <w:color w:val="auto"/>
        </w:rPr>
      </w:pPr>
      <w:r>
        <w:rPr>
          <w:rFonts w:ascii="Times New Roman" w:cs="Times New Roman" w:eastAsia="Times New Roman" w:hAnsi="Times New Roman"/>
          <w:sz w:val="18"/>
          <w:szCs w:val="18"/>
          <w:color w:val="auto"/>
        </w:rPr>
        <w:t>Referenced studies:</w:t>
      </w:r>
    </w:p>
    <w:p>
      <w:pPr>
        <w:spacing w:after="0" w:line="131" w:lineRule="exact"/>
        <w:rPr>
          <w:sz w:val="20"/>
          <w:szCs w:val="20"/>
          <w:color w:val="auto"/>
        </w:rPr>
      </w:pPr>
    </w:p>
    <w:p>
      <w:pPr>
        <w:ind w:left="4040" w:hanging="246"/>
        <w:spacing w:after="0"/>
        <w:tabs>
          <w:tab w:leader="none" w:pos="40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RDX5791-PK-08.00</w:t>
      </w:r>
    </w:p>
    <w:p>
      <w:pPr>
        <w:spacing w:after="0" w:line="130" w:lineRule="exact"/>
        <w:rPr>
          <w:rFonts w:ascii="Times New Roman" w:cs="Times New Roman" w:eastAsia="Times New Roman" w:hAnsi="Times New Roman"/>
          <w:sz w:val="18"/>
          <w:szCs w:val="18"/>
          <w:color w:val="auto"/>
        </w:rPr>
      </w:pPr>
    </w:p>
    <w:p>
      <w:pPr>
        <w:ind w:left="4040" w:hanging="246"/>
        <w:spacing w:after="0"/>
        <w:tabs>
          <w:tab w:leader="none" w:pos="40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RDX5791-EF-05</w:t>
      </w:r>
    </w:p>
    <w:p>
      <w:pPr>
        <w:spacing w:after="0" w:line="130" w:lineRule="exact"/>
        <w:rPr>
          <w:rFonts w:ascii="Times New Roman" w:cs="Times New Roman" w:eastAsia="Times New Roman" w:hAnsi="Times New Roman"/>
          <w:sz w:val="18"/>
          <w:szCs w:val="18"/>
          <w:color w:val="auto"/>
        </w:rPr>
      </w:pPr>
    </w:p>
    <w:p>
      <w:pPr>
        <w:ind w:left="4040" w:hanging="246"/>
        <w:spacing w:after="0"/>
        <w:tabs>
          <w:tab w:leader="none" w:pos="40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266" w:right="259" w:bottom="1440" w:gutter="0" w:footer="0" w:header="0"/>
        </w:sectPr>
      </w:pPr>
    </w:p>
    <w:p>
      <w:pPr>
        <w:spacing w:after="0" w:line="239" w:lineRule="exact"/>
        <w:rPr>
          <w:sz w:val="20"/>
          <w:szCs w:val="20"/>
          <w:color w:val="auto"/>
        </w:rPr>
      </w:pPr>
    </w:p>
    <w:p>
      <w:pPr>
        <w:ind w:left="360" w:hanging="352"/>
        <w:spacing w:after="0" w:line="282" w:lineRule="auto"/>
        <w:tabs>
          <w:tab w:leader="none" w:pos="3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 evaluation in healthy volunteers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Pharmacodynamic response (Urine Na, fecal Na, urine K, Ca) and pharmacokinetics in healthy volunteers; Effect of dose regimen and escalation.</w:t>
      </w:r>
    </w:p>
    <w:p>
      <w:pPr>
        <w:spacing w:after="0" w:line="189" w:lineRule="exact"/>
        <w:rPr>
          <w:sz w:val="20"/>
          <w:szCs w:val="20"/>
          <w:color w:val="auto"/>
        </w:rPr>
      </w:pPr>
    </w:p>
    <w:p>
      <w:pPr>
        <w:sectPr>
          <w:pgSz w:w="11900" w:h="16838" w:orient="portrait"/>
          <w:cols w:equalWidth="0" w:num="2">
            <w:col w:w="2660" w:space="680"/>
            <w:col w:w="8060"/>
          </w:cols>
          <w:pgMar w:left="240" w:top="266" w:right="25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8"/>
          <w:szCs w:val="18"/>
          <w:color w:val="auto"/>
        </w:rPr>
        <w:t>Reference Studies:</w:t>
      </w:r>
    </w:p>
    <w:p>
      <w:pPr>
        <w:spacing w:after="0" w:line="131" w:lineRule="exact"/>
        <w:rPr>
          <w:sz w:val="20"/>
          <w:szCs w:val="20"/>
          <w:color w:val="auto"/>
        </w:rPr>
      </w:pPr>
    </w:p>
    <w:p>
      <w:pPr>
        <w:ind w:left="4040" w:hanging="246"/>
        <w:spacing w:after="0"/>
        <w:tabs>
          <w:tab w:leader="none" w:pos="40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RDX5791-101</w:t>
      </w:r>
    </w:p>
    <w:p>
      <w:pPr>
        <w:spacing w:after="0" w:line="130" w:lineRule="exact"/>
        <w:rPr>
          <w:rFonts w:ascii="Times New Roman" w:cs="Times New Roman" w:eastAsia="Times New Roman" w:hAnsi="Times New Roman"/>
          <w:sz w:val="18"/>
          <w:szCs w:val="18"/>
          <w:color w:val="auto"/>
        </w:rPr>
      </w:pPr>
    </w:p>
    <w:p>
      <w:pPr>
        <w:ind w:left="4040" w:hanging="246"/>
        <w:spacing w:after="0"/>
        <w:tabs>
          <w:tab w:leader="none" w:pos="40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RDX5791-102</w:t>
      </w:r>
    </w:p>
    <w:p>
      <w:pPr>
        <w:spacing w:after="0" w:line="234"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6" w:right="259" w:bottom="1440" w:gutter="0" w:footer="0" w:header="0"/>
          <w:type w:val="continuous"/>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DRAFT PRESS RELEASE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5"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 Logo]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Draft not for distribution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ASTRAZENECA AND ARDELYX ANNOUNCE WORLDWIDE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LICENSING DEAL FOR NHE3 INHIBITOR PROGRAMME 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COMPLICATIONS OF RENAL DISEASE INCLUDING DIABETES-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INDUCED RENAL DISEASE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October 2012</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AstraZeneca and Ardelyx today announced a worldwide exclusive licensing agreement for Ardelyx’s NHE3 inhibitor programme, including the Phase 2-ready lead compound RDX5791, for the treatment of complications associated with end-stage renal disease (ESRD) and chronic kidney disease (CKD). NHE3 is the sodium–hydrogen antiporter 3, a protein essential in the re-absorption of sodium in the intestines.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Ardelyx has evaluated RDX5791 in a Phase 2a clinical trial in constipation-predominant irritable bowel syndrome (IBS-C) and in two Phase 1 clinical studies in healthy subjects for its ability to divert sodium absorption in the gastrointestinal tract. Through its unique mechanism of action, RDX5791 is believed to decrease the absorption of dietary sodium and thus divert sodium excretion from the kidney (urine) to the faeces, sparing the kidney and the cardiovascular system from unhealthy exposure of both sodium and fluid accumulation. On this basis, the companies plan to develop RDX5791 for use in ESRD and CKD in addition to IBS-C, and intend to evaluate possible development in other diseases that are a consequence of sodium and fluid overload.</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AstraZeneca will pay $35 million up front, with development milestones of $237.5 million and milestones related to launch and commercialization, as well as tiered, double-digit royalties. AstraZeneca will assume the subsequent development costs and Ardelyx will conduct clinical trials through Phase 2. As part of the transaction, Ardelyx has secured an option to co-promote the product in the US. Additional financial details were not disclosed.</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licensing agreement accelerates our strong commitment to developing new medicines for people with renal complications, including those resulting from diabetes,” said Gunnar Olsson, Vice President and Head of CVGI Innovative Medicines, AstraZeneca. “There is a significant unmet medical need to address the challenges caused by sodium and excess fluid in people with renal impairment. With a novel mechanism of action, RDX5791 has the potential to have a major impact on how doctors treat these patients. We are tremendously excited to join forces with the Ardelyx team and draw on their depth of knowledge and insight.”</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“We’ve been impressed with our interactions with AstraZeneca throughout this process and are confident with their commitment to develop this molecule successfully. AstraZeneca has been aggressive about pursuing novel medicines, making them</w:t>
      </w:r>
    </w:p>
    <w:p>
      <w:pPr>
        <w:sectPr>
          <w:pgSz w:w="11900" w:h="16838" w:orient="portrait"/>
          <w:cols w:equalWidth="0" w:num="1">
            <w:col w:w="11420"/>
          </w:cols>
          <w:pgMar w:left="240" w:top="268" w:right="239" w:bottom="1440" w:gutter="0" w:footer="0" w:header="0"/>
        </w:sectPr>
      </w:pPr>
    </w:p>
    <w:bookmarkStart w:id="319" w:name="page320"/>
    <w:bookmarkEnd w:id="319"/>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among the best possible worldwide partners for validating Ardelyx’s unique approach to drug development,” commented Mike Raab, CEO of Ardelyx. “RDX5791 is our first clinical example of how our technology can be used to develop non-absorbed, small molecule therapeutics. We are delighted that AstraZeneca recognizes the potential of this compound.”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ENDS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EDITORS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Ardelyx</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Ardelyx targets specific gut transporters and receptors with drugs that address important medical issues in cardiovascular disease, diabetes and chronic kidney disease. With its approach, Ardelyx has developed drug candidates that exhibit restricted absorption across the gastrointestinal (GI) epithelia, thereby acting locally and specifically in the GI tract while avoiding systemic exposure and the potential for related systemic side effects. Until today, relatively few examples of non-systemic drugs have been developed and most of those are based on polymeric binders; Ardelyx is pioneering novel non-systemic drugs based on small molecules which may require lower doses and exhibit improved drug properties.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lead product, RDX5791, a minimally-absorbed, orally administered NHE3 sodium transport inhibitor, is being developed both for constipation-predominant irritable bowel syndrome (IBS-C) and for prevention of sodium overload in patients with kidney and heart disease. Additionally, Ardelyx has other products in early development for type 2 diabetes and renal disease. To date, Ardelyx has raised $56.0 million in venture and angel funding since it was founded in 2007. Ardelyx is located in Fremont, California. For more information, visit Ardelyx’s website at </w:t>
      </w:r>
      <w:r>
        <w:rPr>
          <w:rFonts w:ascii="Times New Roman" w:cs="Times New Roman" w:eastAsia="Times New Roman" w:hAnsi="Times New Roman"/>
          <w:sz w:val="18"/>
          <w:szCs w:val="18"/>
          <w:u w:val="single" w:color="auto"/>
          <w:color w:val="auto"/>
        </w:rPr>
        <w:t>www.ardelyx.com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AstraZeneca</w:t>
      </w:r>
    </w:p>
    <w:p>
      <w:pPr>
        <w:spacing w:after="0" w:line="121"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 xml:space="preserve">AstraZeneca is a global, innovation-driven biopharmaceutical business with a primary focus on the discovery, development and commercialisation of prescription medicines for gastrointestinal, cardiovascular, neuroscience, respiratory and inflammation, oncology and infectious disease. AstraZeneca operates in over 100 countries and its innovative medicines are used by millions of patients worldwide. For more information please visit: </w:t>
      </w:r>
      <w:r>
        <w:rPr>
          <w:rFonts w:ascii="Times New Roman" w:cs="Times New Roman" w:eastAsia="Times New Roman" w:hAnsi="Times New Roman"/>
          <w:sz w:val="18"/>
          <w:szCs w:val="18"/>
          <w:u w:val="single" w:color="auto"/>
          <w:color w:val="auto"/>
        </w:rPr>
        <w:t>www.astrazeneca.com</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ASTRAZENECA CONTACTS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Enquiries UK</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Esra Erkal-Paler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20 7604 8030</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Sarah Lindgreen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20 7604 8033</w:t>
            </w:r>
          </w:p>
        </w:tc>
      </w:tr>
      <w:tr>
        <w:trPr>
          <w:trHeight w:val="432"/>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Enquiries Sweden</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Ann-Leena Mikiver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8 553 260 20</w:t>
            </w:r>
          </w:p>
        </w:tc>
      </w:tr>
    </w:tbl>
    <w:p>
      <w:pPr>
        <w:sectPr>
          <w:pgSz w:w="11900" w:h="16838" w:orient="portrait"/>
          <w:cols w:equalWidth="0" w:num="1">
            <w:col w:w="11400"/>
          </w:cols>
          <w:pgMar w:left="240" w:top="270" w:right="2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Enquiries</w:t>
      </w:r>
    </w:p>
    <w:p>
      <w:pPr>
        <w:sectPr>
          <w:pgSz w:w="11900" w:h="16838" w:orient="portrait"/>
          <w:cols w:equalWidth="0" w:num="1">
            <w:col w:w="10219"/>
          </w:cols>
          <w:pgMar w:left="240" w:top="266" w:right="1440"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Ward-Lilley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 Hård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Nicklas Westerholm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Seage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20 7604 8122 mob: +44 7785 432613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20 7604 8123 mob: +44 7789 654364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 20 7604 8124 mob: +44 7585 404950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+1 302 886 4065 mob: +1 302 373 1361</w:t>
      </w:r>
    </w:p>
    <w:p>
      <w:pPr>
        <w:spacing w:after="0" w:line="200" w:lineRule="exact"/>
        <w:rPr>
          <w:sz w:val="20"/>
          <w:szCs w:val="20"/>
          <w:color w:val="auto"/>
        </w:rPr>
      </w:pPr>
    </w:p>
    <w:p>
      <w:pPr>
        <w:sectPr>
          <w:pgSz w:w="11900" w:h="16838" w:orient="portrait"/>
          <w:cols w:equalWidth="0" w:num="2">
            <w:col w:w="1820" w:space="720"/>
            <w:col w:w="7679"/>
          </w:cols>
          <w:pgMar w:left="240" w:top="266" w:right="1440"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ARDELYX 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Enquiries</w:t>
      </w:r>
    </w:p>
    <w:p>
      <w:pPr>
        <w:sectPr>
          <w:pgSz w:w="11900" w:h="16838" w:orient="portrait"/>
          <w:cols w:equalWidth="0" w:num="1">
            <w:col w:w="10219"/>
          </w:cols>
          <w:pgMar w:left="240" w:top="266" w:right="1440"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510-745-1751</w:t>
      </w:r>
    </w:p>
    <w:p>
      <w:pPr>
        <w:sectPr>
          <w:pgSz w:w="11900" w:h="16838" w:orient="portrait"/>
          <w:cols w:equalWidth="0" w:num="2">
            <w:col w:w="1820" w:space="720"/>
            <w:col w:w="7679"/>
          </w:cols>
          <w:pgMar w:left="240" w:top="266" w:right="1440" w:bottom="1440" w:gutter="0" w:footer="0" w:header="0"/>
          <w:type w:val="continuous"/>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10.1(b)</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AMENDMENT NUMBER ONE</w:t>
      </w:r>
    </w:p>
    <w:p>
      <w:pPr>
        <w:spacing w:after="0" w:line="2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DECEMBER 23, 2013</w:t>
      </w:r>
    </w:p>
    <w:p>
      <w:pPr>
        <w:spacing w:after="0" w:line="16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Page 1 of 9 Pages</w:t>
      </w:r>
    </w:p>
    <w:p>
      <w:pPr>
        <w:sectPr>
          <w:pgSz w:w="11900" w:h="16838" w:orient="portrait"/>
          <w:cols w:equalWidth="0" w:num="1">
            <w:col w:w="10220"/>
          </w:cols>
          <w:pgMar w:left="1440" w:top="117" w:right="239" w:bottom="1440" w:gutter="0" w:footer="0" w:header="0"/>
        </w:sectPr>
      </w:pPr>
    </w:p>
    <w:bookmarkStart w:id="322" w:name="page323"/>
    <w:bookmarkEnd w:id="3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NUMBER ONE TO LICENSE AGREEMENT</w:t>
      </w:r>
    </w:p>
    <w:p>
      <w:pPr>
        <w:spacing w:after="0" w:line="225"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This Amendment Number One to License Agreement (“</w:t>
      </w:r>
      <w:r>
        <w:rPr>
          <w:rFonts w:ascii="Times New Roman" w:cs="Times New Roman" w:eastAsia="Times New Roman" w:hAnsi="Times New Roman"/>
          <w:sz w:val="18"/>
          <w:szCs w:val="18"/>
          <w:b w:val="1"/>
          <w:bCs w:val="1"/>
          <w:color w:val="auto"/>
        </w:rPr>
        <w:t>Amendment One</w:t>
      </w:r>
      <w:r>
        <w:rPr>
          <w:rFonts w:ascii="Times New Roman" w:cs="Times New Roman" w:eastAsia="Times New Roman" w:hAnsi="Times New Roman"/>
          <w:sz w:val="18"/>
          <w:szCs w:val="18"/>
          <w:color w:val="auto"/>
        </w:rPr>
        <w:t>”) is entered into as of the 23rd day of December, 2013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One 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AstraZeneca AB (publ)</w:t>
      </w:r>
      <w:r>
        <w:rPr>
          <w:rFonts w:ascii="Times New Roman" w:cs="Times New Roman" w:eastAsia="Times New Roman" w:hAnsi="Times New Roman"/>
          <w:sz w:val="18"/>
          <w:szCs w:val="18"/>
          <w:color w:val="auto"/>
        </w:rPr>
        <w:t>, a Swedish corporation with corporate identity no. 556011-7482 and a place of business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431 83 Molndal, Sweden (“</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Ardelyx, Inc.</w:t>
      </w:r>
      <w:r>
        <w:rPr>
          <w:rFonts w:ascii="Times New Roman" w:cs="Times New Roman" w:eastAsia="Times New Roman" w:hAnsi="Times New Roman"/>
          <w:sz w:val="18"/>
          <w:szCs w:val="18"/>
          <w:color w:val="auto"/>
        </w:rPr>
        <w:t xml:space="preserve"> a Delaware corporation having its principal place of business at 34175 Ardenwood Boulevard, Fremont, California United States of America 94555 (“</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xml:space="preserve">”). Ardelyx and AstraZeneca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AstraZeneca and Ardelyx are parties to that certain License Agreement dated as of October 4, 2012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establishing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and collaboration between the Parties for the further development and commercialization of RDX5791 (known as of the Amendment One Effective Date as AZD1722) and its back-up compounds.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certain terms and conditions of the Agreement in the manner set forth in this Amendment One.</w:t>
      </w:r>
    </w:p>
    <w:p>
      <w:pPr>
        <w:spacing w:after="0" w:line="22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below,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the Parties agree as follows:</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Capitalized Terms. </w:t>
      </w:r>
      <w:r>
        <w:rPr>
          <w:rFonts w:ascii="Times New Roman" w:cs="Times New Roman" w:eastAsia="Times New Roman" w:hAnsi="Times New Roman"/>
          <w:sz w:val="18"/>
          <w:szCs w:val="18"/>
          <w:color w:val="auto"/>
        </w:rPr>
        <w:t>Capitalized terms not defined in this Amendment One shall have the meaning assigned in the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Ardelyx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Patents. </w:t>
      </w:r>
      <w:r>
        <w:rPr>
          <w:rFonts w:ascii="Times New Roman" w:cs="Times New Roman" w:eastAsia="Times New Roman" w:hAnsi="Times New Roman"/>
          <w:sz w:val="18"/>
          <w:szCs w:val="18"/>
          <w:color w:val="auto"/>
        </w:rPr>
        <w:t>The definition of Ardelyx [***] Patents shall be revised to read in full as follows:</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xml:space="preserve"> shall mean Patents (i) [***], (ii) that cover or claim inventions necessary or useful to Develop, Manufacture or Commercialize any Licensed Compound or Licensed Product, and (iii) with respect to which AstraZeneca has not exercised the Exclusion Option.”</w:t>
      </w:r>
    </w:p>
    <w:p>
      <w:pPr>
        <w:spacing w:after="0" w:line="87" w:lineRule="exact"/>
        <w:rPr>
          <w:sz w:val="20"/>
          <w:szCs w:val="20"/>
          <w:color w:val="auto"/>
        </w:rPr>
      </w:pPr>
    </w:p>
    <w:p>
      <w:pPr>
        <w:ind w:right="380" w:firstLine="8"/>
        <w:spacing w:after="0" w:line="262" w:lineRule="auto"/>
        <w:tabs>
          <w:tab w:leader="none" w:pos="348"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 of 9 Pages</w:t>
      </w:r>
    </w:p>
    <w:p>
      <w:pPr>
        <w:sectPr>
          <w:pgSz w:w="11900" w:h="16838" w:orient="portrait"/>
          <w:cols w:equalWidth="0" w:num="1">
            <w:col w:w="11360"/>
          </w:cols>
          <w:pgMar w:left="240" w:top="265" w:right="299" w:bottom="1440" w:gutter="0" w:footer="0" w:header="0"/>
        </w:sectPr>
      </w:pPr>
    </w:p>
    <w:bookmarkStart w:id="323" w:name="page324"/>
    <w:bookmarkEnd w:id="32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Licensed Patents. </w:t>
      </w:r>
      <w:r>
        <w:rPr>
          <w:rFonts w:ascii="Times New Roman" w:cs="Times New Roman" w:eastAsia="Times New Roman" w:hAnsi="Times New Roman"/>
          <w:sz w:val="18"/>
          <w:szCs w:val="18"/>
          <w:color w:val="auto"/>
        </w:rPr>
        <w:t>The definition of Licensed Patents shall be revised to read in full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xml:space="preserve"> shall mean (i) all of the Listed Patents, (ii) [***], and (iii) all Ardelyx Sole Invention Patents; provided that in the case of (ii) and</w:t>
      </w:r>
    </w:p>
    <w:p>
      <w:pPr>
        <w:spacing w:after="0" w:line="31" w:lineRule="exact"/>
        <w:rPr>
          <w:sz w:val="20"/>
          <w:szCs w:val="20"/>
          <w:color w:val="auto"/>
        </w:rPr>
      </w:pPr>
    </w:p>
    <w:p>
      <w:pPr>
        <w:ind w:right="440" w:firstLine="8"/>
        <w:spacing w:after="0" w:line="255" w:lineRule="auto"/>
        <w:tabs>
          <w:tab w:leader="none" w:pos="31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Patents (a) cover or claim any Licensed Compound or Licensed Product, or (b) cover or claim any invention necessary or useful for the Exploitation of Licensed Compounds or Licensed Products; and provided, further that prior to the Amendment One Effective Date, [***] shall not be Licensed Patents. Licensed Patents exclude Ardelyx [***] Patents.”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1.4 New Definitions. </w:t>
      </w:r>
      <w:r>
        <w:rPr>
          <w:rFonts w:ascii="Times New Roman" w:cs="Times New Roman" w:eastAsia="Times New Roman" w:hAnsi="Times New Roman"/>
          <w:sz w:val="18"/>
          <w:szCs w:val="18"/>
          <w:color w:val="auto"/>
        </w:rPr>
        <w:t>The following shall be added as new defined terms in Section 1.1 of the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“Constipation Related Disorder Indication Demonstration of Decision to Proceed” </w:t>
      </w:r>
      <w:r>
        <w:rPr>
          <w:rFonts w:ascii="Times New Roman" w:cs="Times New Roman" w:eastAsia="Times New Roman" w:hAnsi="Times New Roman"/>
          <w:sz w:val="18"/>
          <w:szCs w:val="18"/>
          <w:color w:val="auto"/>
        </w:rPr>
        <w:t>shall have the meaning assigned in Section 5.2(a)(iii).”</w:t>
      </w:r>
    </w:p>
    <w:p>
      <w:pPr>
        <w:spacing w:after="0" w:line="225"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Demonstration of Decision to Proceed”</w:t>
      </w:r>
      <w:r>
        <w:rPr>
          <w:rFonts w:ascii="Times New Roman" w:cs="Times New Roman" w:eastAsia="Times New Roman" w:hAnsi="Times New Roman"/>
          <w:sz w:val="18"/>
          <w:szCs w:val="18"/>
          <w:color w:val="auto"/>
        </w:rPr>
        <w:t xml:space="preserve"> shall mean the Constipation Related Disorder Indication Demonstration of Decision to Proceed and the Other Indications Demonstration of Decision to Proceed.”</w:t>
      </w:r>
    </w:p>
    <w:p>
      <w:pPr>
        <w:spacing w:after="0" w:line="15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“International Co-ordinating Investigator</w:t>
      </w:r>
      <w:r>
        <w:rPr>
          <w:rFonts w:ascii="Times New Roman" w:cs="Times New Roman" w:eastAsia="Times New Roman" w:hAnsi="Times New Roman"/>
          <w:sz w:val="18"/>
          <w:szCs w:val="18"/>
          <w:color w:val="auto"/>
        </w:rPr>
        <w:t>” shall mean an external (i.e. not employed by AstraZeneca or its Affiliates) physician assigned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AstraZeneca or its Affiliates with the responsibility for the coordination of investigators at different centres participating in a multicentre Clinical Trial for a Licensed Product. AstraZeneca agrees to provide Ardelyx with written notice of the designation of each International Co-ordinating Investigator so assigned by AstraZeneca prior to the end of the Notification Period, and written notice of any change to such designation within five (5) days of such change being made. “</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Indications Demonstration of Decision to Proceed</w:t>
      </w:r>
      <w:r>
        <w:rPr>
          <w:rFonts w:ascii="Times New Roman" w:cs="Times New Roman" w:eastAsia="Times New Roman" w:hAnsi="Times New Roman"/>
          <w:sz w:val="18"/>
          <w:szCs w:val="18"/>
          <w:color w:val="auto"/>
        </w:rPr>
        <w:t>” shall have the meaning assigned in Section 5.2(a)(ii).”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Patents” </w:t>
      </w:r>
      <w:r>
        <w:rPr>
          <w:rFonts w:ascii="Times New Roman" w:cs="Times New Roman" w:eastAsia="Times New Roman" w:hAnsi="Times New Roman"/>
          <w:sz w:val="18"/>
          <w:szCs w:val="18"/>
          <w:color w:val="auto"/>
        </w:rPr>
        <w:t>shall mean the following United States Provisional Patent Applications: [***], and any such Patents claiming priority to such Patents.”</w:t>
      </w:r>
    </w:p>
    <w:p>
      <w:pPr>
        <w:spacing w:after="0" w:line="225" w:lineRule="exact"/>
        <w:rPr>
          <w:sz w:val="20"/>
          <w:szCs w:val="20"/>
          <w:color w:val="auto"/>
        </w:rPr>
      </w:pPr>
    </w:p>
    <w:p>
      <w:pPr>
        <w:ind w:right="4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“Planned Phosphate 2b Clinical Trial” </w:t>
      </w:r>
      <w:r>
        <w:rPr>
          <w:rFonts w:ascii="Times New Roman" w:cs="Times New Roman" w:eastAsia="Times New Roman" w:hAnsi="Times New Roman"/>
          <w:sz w:val="18"/>
          <w:szCs w:val="18"/>
          <w:color w:val="auto"/>
        </w:rPr>
        <w:t>means the Phase 2b Clinical Trial (No. D5613C00001) of the Lead Licensed Compound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hyperphosphatemia in patients with ESRD that is – as of the Amendment One Effective Date – planned to be conducted by or on behalf of AstraZeneca.</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acknowledge and agree that for the purposes of this Agreement the Planned Phosphate 2b Clinical Trial, as currently (as of the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w:t>
      </w:r>
    </w:p>
    <w:p>
      <w:pPr>
        <w:spacing w:after="0" w:line="135" w:lineRule="exact"/>
        <w:rPr>
          <w:sz w:val="20"/>
          <w:szCs w:val="20"/>
          <w:color w:val="auto"/>
        </w:rPr>
      </w:pPr>
    </w:p>
    <w:p>
      <w:pPr>
        <w:ind w:right="420" w:firstLine="8"/>
        <w:spacing w:after="0" w:line="262" w:lineRule="auto"/>
        <w:tabs>
          <w:tab w:leader="none" w:pos="34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9 Pages</w:t>
      </w:r>
    </w:p>
    <w:p>
      <w:pPr>
        <w:sectPr>
          <w:pgSz w:w="11900" w:h="16838" w:orient="portrait"/>
          <w:cols w:equalWidth="0" w:num="1">
            <w:col w:w="11400"/>
          </w:cols>
          <w:pgMar w:left="240" w:top="265" w:right="259" w:bottom="1440" w:gutter="0" w:footer="0" w:header="0"/>
        </w:sectPr>
      </w:pPr>
    </w:p>
    <w:bookmarkStart w:id="324" w:name="page325"/>
    <w:bookmarkEnd w:id="32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proposed to be designed, shall not be deemed to constitute a Phase 3 Clinical Trial. However, the Parties further acknowledge and agree that the Planned Phosphate 2b Clinical Trial may be deemed to constitute a Phase 3 Clinical Trial solely in the event that (a) the design of the Planned Phosphate 2b Clinical Trial, as manifested by a subsequent (i.e. following the Amendment One Effective Date) submission to the applicable Regulatory Health Authority, is modified in any material respect, including, without limitation, a material extension of the treatment duration of the Planned Phosphate 2b Clinical Trial, such that the Planned Phosphate 2b Clinical Trial can actually be used as a pivotal study for purposes of seeking Regulatory Approval or (b), following completion of the Planned Phosphate 2b Clinical Trial, AstraZeneca seeks and obtains confirmation from the Regulatory Health Authority that the Planned Phosphate 2b Clinical Trial can be used as a pivotal study for purposes of seeking Regulatory Approval, where such confirmation shall be deemed to have been obtained when (but not before) (i) the first meeting with the Regulatory Health Authority that is convened for the purpose of discussing the end of the Planned Phosphate 2b Clinical Trial has occurred, and (ii) the minutes of such meeting prepared by the Regulatory Health Authority confirm concurrence by the Regulatory Health Authority that the Planned Phosphate 2b Clinical Trial can be used as a pivotal study for the purposes of seeking Regulatory Approval.</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ARTICLE 2. SECTION 2.9(e) OF THE AGREEMENT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2.9(e) of the Agreement shall be deleted in its entirety and replaced with the following:</w:t>
      </w:r>
    </w:p>
    <w:p>
      <w:pPr>
        <w:spacing w:after="0" w:line="225"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“(e) With respect to the Listed Patents and [***], Ardelyx covenants that for the duration of the Term, neither Ardelyx nor any of it Affiliates shall directly or indirectly (i) seek to [***], or [***] any rights to, any [***], (ii) grant any [***] in respect of the [***]; or (iii) seek to [***] unless expressly permitted by this Agreement.”</w:t>
      </w:r>
    </w:p>
    <w:p>
      <w:pPr>
        <w:spacing w:after="0" w:line="38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ARTICLE 3. SECTION 5.2 OF THE AGREEMENT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5.2 of the Agreement shall be deleted in its entirety and replaced with the following: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5.2 AstraZeneca’s Option During the Notification Period.</w:t>
      </w:r>
    </w:p>
    <w:p>
      <w:pPr>
        <w:spacing w:after="0" w:line="229" w:lineRule="exact"/>
        <w:rPr>
          <w:sz w:val="20"/>
          <w:szCs w:val="20"/>
          <w:color w:val="auto"/>
        </w:rPr>
      </w:pPr>
    </w:p>
    <w:p>
      <w:pPr>
        <w:ind w:left="700" w:hanging="236"/>
        <w:spacing w:after="0"/>
        <w:tabs>
          <w:tab w:leader="none" w:pos="70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Amendment One Effective Date and prior to [***]</w:t>
      </w:r>
    </w:p>
    <w:p>
      <w:pPr>
        <w:spacing w:after="0" w:line="153" w:lineRule="exact"/>
        <w:rPr>
          <w:rFonts w:ascii="Times New Roman" w:cs="Times New Roman" w:eastAsia="Times New Roman" w:hAnsi="Times New Roman"/>
          <w:sz w:val="18"/>
          <w:szCs w:val="18"/>
          <w:color w:val="auto"/>
        </w:rPr>
      </w:pPr>
    </w:p>
    <w:p>
      <w:pPr>
        <w:ind w:right="380" w:firstLine="8"/>
        <w:spacing w:after="0" w:line="262" w:lineRule="auto"/>
        <w:tabs>
          <w:tab w:leader="none" w:pos="348"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4 of 9 Pages</w:t>
      </w:r>
    </w:p>
    <w:p>
      <w:pPr>
        <w:sectPr>
          <w:pgSz w:w="11900" w:h="16838" w:orient="portrait"/>
          <w:cols w:equalWidth="0" w:num="1">
            <w:col w:w="11360"/>
          </w:cols>
          <w:pgMar w:left="240" w:top="270" w:right="299" w:bottom="1440" w:gutter="0" w:footer="0" w:header="0"/>
        </w:sectPr>
      </w:pPr>
    </w:p>
    <w:bookmarkStart w:id="325" w:name="page326"/>
    <w:bookmarkEnd w:id="325"/>
    <w:p>
      <w:pPr>
        <w:ind w:left="440" w:hanging="432"/>
        <w:spacing w:after="0"/>
        <w:tabs>
          <w:tab w:leader="none" w:pos="4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Notification Period”</w:t>
      </w:r>
      <w:r>
        <w:rPr>
          <w:rFonts w:ascii="Times New Roman" w:cs="Times New Roman" w:eastAsia="Times New Roman" w:hAnsi="Times New Roman"/>
          <w:sz w:val="18"/>
          <w:szCs w:val="18"/>
          <w:color w:val="auto"/>
        </w:rPr>
        <w:t>), AstraZeneca may either,</w:t>
      </w:r>
    </w:p>
    <w:p>
      <w:pPr>
        <w:spacing w:after="0" w:line="121" w:lineRule="exact"/>
        <w:rPr>
          <w:rFonts w:ascii="Times New Roman" w:cs="Times New Roman" w:eastAsia="Times New Roman" w:hAnsi="Times New Roman"/>
          <w:sz w:val="18"/>
          <w:szCs w:val="18"/>
          <w:color w:val="auto"/>
        </w:rPr>
      </w:pPr>
    </w:p>
    <w:p>
      <w:pPr>
        <w:ind w:left="460" w:right="180" w:firstLine="443"/>
        <w:spacing w:after="0" w:line="258" w:lineRule="auto"/>
        <w:tabs>
          <w:tab w:leader="none" w:pos="1113"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in its entirety effective thirty (30) days after having provided written notice of termination to Ardelyx, which termination shall be an AZ Triggered Termination subject to the provisions of Section 14.3. Notwithstanding the termination of this Agreement under this Section 5.2(a)(i), or any other termination at will under Section 14.2(b), AstraZeneca shall remain obligated to reimburse Ardelyx for its Development Expenses incurred in connection with its performance of the IBS-C Study, whether incurred prior to or on or after the effective date of such termination, up to a maximum amount of [***]; or</w:t>
      </w:r>
    </w:p>
    <w:p>
      <w:pPr>
        <w:spacing w:after="0" w:line="75" w:lineRule="exact"/>
        <w:rPr>
          <w:rFonts w:ascii="Times New Roman" w:cs="Times New Roman" w:eastAsia="Times New Roman" w:hAnsi="Times New Roman"/>
          <w:sz w:val="18"/>
          <w:szCs w:val="18"/>
          <w:color w:val="auto"/>
        </w:rPr>
      </w:pPr>
    </w:p>
    <w:p>
      <w:pPr>
        <w:ind w:left="460" w:right="20" w:firstLine="443"/>
        <w:spacing w:after="0" w:line="277" w:lineRule="auto"/>
        <w:tabs>
          <w:tab w:leader="none" w:pos="1163"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 its decision to proceed with Clinical Development of a Licensed Product for any indication other than a Constipation Related Disorder Indication, and pay the amount set forth in Section 9.2(b) of this Agreement, with such demonstration of its decision to so proceed being deemed to have been made at the earlier to occur of [***]; (the earlier to occur of (X), (Y) and (Z) being an “</w:t>
      </w:r>
      <w:r>
        <w:rPr>
          <w:rFonts w:ascii="Times New Roman" w:cs="Times New Roman" w:eastAsia="Times New Roman" w:hAnsi="Times New Roman"/>
          <w:sz w:val="17"/>
          <w:szCs w:val="17"/>
          <w:b w:val="1"/>
          <w:bCs w:val="1"/>
          <w:color w:val="auto"/>
        </w:rPr>
        <w:t>Other Indications Demonstration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Decision to Proceed</w:t>
      </w:r>
      <w:r>
        <w:rPr>
          <w:rFonts w:ascii="Times New Roman" w:cs="Times New Roman" w:eastAsia="Times New Roman" w:hAnsi="Times New Roman"/>
          <w:sz w:val="17"/>
          <w:szCs w:val="17"/>
          <w:color w:val="auto"/>
        </w:rPr>
        <w:t>”); it being agreed that no event or circumstance other than (X), (Y) or (Z) as per this Section 5.2(a)(ii) or a notification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5.2(a)(iv), occurring within the Notification Period, shall trigger an obligation for AstraZeneca to pay the amount set forth in Section 9.2(b)); or</w:t>
      </w:r>
    </w:p>
    <w:p>
      <w:pPr>
        <w:spacing w:after="0" w:line="60" w:lineRule="exact"/>
        <w:rPr>
          <w:rFonts w:ascii="Times New Roman" w:cs="Times New Roman" w:eastAsia="Times New Roman" w:hAnsi="Times New Roman"/>
          <w:sz w:val="17"/>
          <w:szCs w:val="17"/>
          <w:color w:val="auto"/>
        </w:rPr>
      </w:pPr>
    </w:p>
    <w:p>
      <w:pPr>
        <w:ind w:left="460" w:firstLine="443"/>
        <w:spacing w:after="0" w:line="266" w:lineRule="auto"/>
        <w:tabs>
          <w:tab w:leader="none" w:pos="1213"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its decision to proceed with Clinical Development of a Licensed Product for a Constipation Related Disorder Indication, and pay the amount set forth in Section 9.2(c) of this Agreement, with such demonstration of its decision to so proceed being deemed to have been made at the earlier to occur of [***]</w:t>
      </w:r>
    </w:p>
    <w:p>
      <w:pPr>
        <w:spacing w:after="0" w:line="10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portions.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9 Pages</w:t>
      </w:r>
    </w:p>
    <w:p>
      <w:pPr>
        <w:sectPr>
          <w:pgSz w:w="11900" w:h="16838" w:orient="portrait"/>
          <w:cols w:equalWidth="0" w:num="1">
            <w:col w:w="11420"/>
          </w:cols>
          <w:pgMar w:left="240" w:top="266" w:right="239" w:bottom="1440" w:gutter="0" w:footer="0" w:header="0"/>
        </w:sectPr>
      </w:pPr>
    </w:p>
    <w:bookmarkStart w:id="326" w:name="page327"/>
    <w:bookmarkEnd w:id="326"/>
    <w:p>
      <w:pPr>
        <w:ind w:left="452" w:right="60" w:firstLine="4"/>
        <w:spacing w:after="0" w:line="268" w:lineRule="auto"/>
        <w:tabs>
          <w:tab w:leader="none" w:pos="88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earlier to occur of (X), (Y) and (Z) being a “</w:t>
      </w:r>
      <w:r>
        <w:rPr>
          <w:rFonts w:ascii="Times New Roman" w:cs="Times New Roman" w:eastAsia="Times New Roman" w:hAnsi="Times New Roman"/>
          <w:sz w:val="18"/>
          <w:szCs w:val="18"/>
          <w:b w:val="1"/>
          <w:bCs w:val="1"/>
          <w:color w:val="auto"/>
        </w:rPr>
        <w:t>Constipation Related Disorder Indication Demonstration of Decision to Proceed</w:t>
      </w:r>
      <w:r>
        <w:rPr>
          <w:rFonts w:ascii="Times New Roman" w:cs="Times New Roman" w:eastAsia="Times New Roman" w:hAnsi="Times New Roman"/>
          <w:sz w:val="18"/>
          <w:szCs w:val="18"/>
          <w:color w:val="auto"/>
        </w:rPr>
        <w:t>”); it being agreed that no event or circumstance other than (X), (Y) or (Z) as per this Section 5.2(a)(iii), occurring within the Notification Period, shall trigger an obligation for AstraZeneca to pay the amount set forth in Section 9.2(c); or</w:t>
      </w:r>
    </w:p>
    <w:p>
      <w:pPr>
        <w:spacing w:after="0" w:line="66" w:lineRule="exact"/>
        <w:rPr>
          <w:rFonts w:ascii="Times New Roman" w:cs="Times New Roman" w:eastAsia="Times New Roman" w:hAnsi="Times New Roman"/>
          <w:sz w:val="18"/>
          <w:szCs w:val="18"/>
          <w:color w:val="auto"/>
        </w:rPr>
      </w:pPr>
    </w:p>
    <w:p>
      <w:pPr>
        <w:ind w:left="452" w:right="40" w:firstLine="443"/>
        <w:spacing w:after="0" w:line="282" w:lineRule="auto"/>
        <w:tabs>
          <w:tab w:leader="none" w:pos="1195"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Ardelyx in writing, such notice given in accordance with Section 17.4 and expressly referencing this Section 5.2(a)(iv), of its decision to make the payment under Section 9.2(b).</w:t>
      </w:r>
    </w:p>
    <w:p>
      <w:pPr>
        <w:spacing w:after="0" w:line="162" w:lineRule="exact"/>
        <w:rPr>
          <w:sz w:val="20"/>
          <w:szCs w:val="20"/>
          <w:color w:val="auto"/>
        </w:rPr>
      </w:pPr>
    </w:p>
    <w:p>
      <w:pPr>
        <w:ind w:left="-8" w:right="20" w:firstLine="464"/>
        <w:spacing w:after="0" w:line="255" w:lineRule="auto"/>
        <w:tabs>
          <w:tab w:leader="none" w:pos="70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end of the Notification Period, a Demonstration of Decision to Proceed has not occurred under subsections (ii) or (iii) of Section 5.2(a); AstraZeneca has not provided Ardelyx with the written notification described in subsection (iv) of Section 5.2(a); or AstraZeneca has not terminated this Agreement under subsection (i) of Section 5.2(a), then this Agreement shall be deemed terminated by AstraZeneca in its entirety upon the expiry of the Notification Period, and the consequences set forth in subsection (i) of Section 5.2(a) shall apply. Furthermore and for the avoidance of doubt, if an Other Indications Demonstration of Decision to Proceed occurs, then Section 4.4 shall not be construed to require AstraZeneca to use Commercially Reasonable Efforts to pursue Development of Licensed Products for a Constipation Related Disorder Indication for so long as AstraZeneca pursues any indication that is not a Constipation Related Disorder Indication.</w:t>
      </w:r>
    </w:p>
    <w:p>
      <w:pPr>
        <w:spacing w:after="0" w:line="189" w:lineRule="exact"/>
        <w:rPr>
          <w:rFonts w:ascii="Times New Roman" w:cs="Times New Roman" w:eastAsia="Times New Roman" w:hAnsi="Times New Roman"/>
          <w:sz w:val="18"/>
          <w:szCs w:val="18"/>
          <w:color w:val="auto"/>
        </w:rPr>
      </w:pPr>
    </w:p>
    <w:p>
      <w:pPr>
        <w:ind w:left="-8" w:firstLine="464"/>
        <w:spacing w:after="0" w:line="261" w:lineRule="auto"/>
        <w:tabs>
          <w:tab w:leader="none" w:pos="69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Section 5.2 sets out AstraZeneca’s options during the Notification Period and AstraZeneca’s obligations to make certain payment upon the occurrence of the relevant triggering event as set forth in this Section 5.2 and Section 9.2. However, this Section 5.2 is not intended, and shall not be construed to, limit in any way AstraZeneca’s ability to Exploit the Licensed Compounds or Licensed Product or otherwise exercise the License and other rights granted to it under this Agreement during the Term.”</w:t>
      </w:r>
    </w:p>
    <w:p>
      <w:pPr>
        <w:spacing w:after="0" w:line="108" w:lineRule="exact"/>
        <w:rPr>
          <w:rFonts w:ascii="Times New Roman" w:cs="Times New Roman" w:eastAsia="Times New Roman" w:hAnsi="Times New Roman"/>
          <w:sz w:val="18"/>
          <w:szCs w:val="18"/>
          <w:color w:val="auto"/>
        </w:rPr>
      </w:pPr>
    </w:p>
    <w:p>
      <w:pPr>
        <w:ind w:left="-8" w:right="400" w:firstLine="8"/>
        <w:spacing w:after="0" w:line="262" w:lineRule="auto"/>
        <w:tabs>
          <w:tab w:leader="none" w:pos="340"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Page 6 of 9 Pages</w:t>
      </w:r>
    </w:p>
    <w:p>
      <w:pPr>
        <w:sectPr>
          <w:pgSz w:w="11900" w:h="16838" w:orient="portrait"/>
          <w:cols w:equalWidth="0" w:num="1">
            <w:col w:w="11372"/>
          </w:cols>
          <w:pgMar w:left="248" w:top="266" w:right="279" w:bottom="1440" w:gutter="0" w:footer="0" w:header="0"/>
        </w:sectPr>
      </w:pPr>
    </w:p>
    <w:bookmarkStart w:id="327" w:name="page328"/>
    <w:bookmarkEnd w:id="327"/>
    <w:p>
      <w:pPr>
        <w:ind w:left="36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SECTION 9.2 OF THE AGREEMENT</w:t>
      </w:r>
    </w:p>
    <w:p>
      <w:pPr>
        <w:spacing w:after="0" w:line="22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Section 9.2 of the Agreement shall be deleted in its entirety and replaced with the following:</w:t>
      </w:r>
    </w:p>
    <w:p>
      <w:pPr>
        <w:spacing w:after="0" w:line="22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color w:val="auto"/>
        </w:rPr>
        <w:t>“Section 9.2 Additional Payments.</w:t>
      </w:r>
    </w:p>
    <w:p>
      <w:pPr>
        <w:spacing w:after="0" w:line="229" w:lineRule="exact"/>
        <w:rPr>
          <w:sz w:val="20"/>
          <w:szCs w:val="20"/>
          <w:color w:val="auto"/>
        </w:rPr>
      </w:pPr>
    </w:p>
    <w:p>
      <w:pPr>
        <w:ind w:left="-8" w:right="60" w:firstLine="464"/>
        <w:spacing w:after="0" w:line="261" w:lineRule="auto"/>
        <w:tabs>
          <w:tab w:leader="none" w:pos="69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the Amendment One Effective Date, AstraZeneca shall pay to Ardelyx a nonrefundable, one-time amount of fifteen million U.S. dollars (U.S. $15,000,000), against an invoice received by AstraZeneca from Ardelyx fulfilling the requirements set forth in Section 9.12, which invoice may be sent on or after the Amendment One Effective Date. The payment pursuant to this Section 9.2(a) shall not be creditable against any other payments AstraZeneca is obligated to make to Ardelyx under the Agreement or this Amendment One.</w:t>
      </w:r>
    </w:p>
    <w:p>
      <w:pPr>
        <w:spacing w:after="0" w:line="180" w:lineRule="exact"/>
        <w:rPr>
          <w:rFonts w:ascii="Times New Roman" w:cs="Times New Roman" w:eastAsia="Times New Roman" w:hAnsi="Times New Roman"/>
          <w:sz w:val="18"/>
          <w:szCs w:val="18"/>
          <w:color w:val="auto"/>
        </w:rPr>
      </w:pPr>
    </w:p>
    <w:p>
      <w:pPr>
        <w:ind w:left="-8" w:firstLine="464"/>
        <w:spacing w:after="0" w:line="258" w:lineRule="auto"/>
        <w:tabs>
          <w:tab w:leader="none" w:pos="70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 AstraZeneca shall pay Ardelyx a nonrefundable, one-time amount of twenty million U.S. dollars (U.S. $20,000,000); provided, however, that if at such time as a payment is due under this Section 9.2(b), [***], then the amount due under this Section 9.2(b) shall be reduced to ten million U.S. dollars (U.S. $10,000,000). Payment under this Section 9.2(b) shall be made to Ardelyx within [***] after AstraZeneca’s receipt of an invoice from Ardelyx (fulfilling the requirements set forth in Section 9.12) following such [***]. The payment pursuant to this Section 9.2(b) shall not be creditable against any other payments that AstraZeneca is obligated to make to Ardelyx under this Agreement or this Amendment One.</w:t>
      </w:r>
    </w:p>
    <w:p>
      <w:pPr>
        <w:spacing w:after="0" w:line="183" w:lineRule="exact"/>
        <w:rPr>
          <w:rFonts w:ascii="Times New Roman" w:cs="Times New Roman" w:eastAsia="Times New Roman" w:hAnsi="Times New Roman"/>
          <w:sz w:val="18"/>
          <w:szCs w:val="18"/>
          <w:color w:val="auto"/>
        </w:rPr>
      </w:pPr>
    </w:p>
    <w:p>
      <w:pPr>
        <w:ind w:left="-8" w:right="40" w:firstLine="464"/>
        <w:spacing w:after="0" w:line="258" w:lineRule="auto"/>
        <w:tabs>
          <w:tab w:leader="none" w:pos="69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 AstraZeneca shall pay Ardelyx a nonrefundable, one-time payment of ten million U.S. dollars (U.S. $10,000,000); provided, however, that if at such time as a payment is due under this Section 9.2(c), [***], then no additional payment shall be due under this Section 9.2(c). Payment under this Section 9.2(c) shall be made to Ardelyx within [***] after AstraZeneca’s receipt of an invoice from Ardelyx (fulfilling the requirements set forth in Section 9.12) following such [***]. The payment pursuant to this Section 9.2(c) shall not be creditable against any other payments that AstraZeneca is obligated to make to Ardelyx under this Agreement or this Amendment One.</w:t>
      </w:r>
    </w:p>
    <w:p>
      <w:pPr>
        <w:spacing w:after="0" w:line="183"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within a period of [***] after the end of the Notification Period, [***], (ii) [***], and (iii) [***], then AstraZeneca shall pay Ardelyx a</w:t>
      </w:r>
    </w:p>
    <w:p>
      <w:pPr>
        <w:spacing w:after="0" w:line="153"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7 of 9 Pages</w:t>
      </w:r>
    </w:p>
    <w:p>
      <w:pPr>
        <w:sectPr>
          <w:pgSz w:w="11900" w:h="16838" w:orient="portrait"/>
          <w:cols w:equalWidth="0" w:num="1">
            <w:col w:w="11412"/>
          </w:cols>
          <w:pgMar w:left="248" w:top="265" w:right="239" w:bottom="1440" w:gutter="0" w:footer="0" w:header="0"/>
        </w:sectPr>
      </w:pPr>
    </w:p>
    <w:bookmarkStart w:id="328" w:name="page329"/>
    <w:bookmarkEnd w:id="328"/>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nonrefundable, one-time payment of ten million U.S. dollars (U.S. $10,000,000) within [***] after AstraZeneca’s receipt of an invoice from Ardelyx (fulfilling the requirements set forth in Section 9.12) following such [***]. The payment pursuant to this Section 9.2(d) shall not be creditable against any other payments that AstraZeneca is obligated to make to Ardelyx under this Agreement or this Amendment One.”</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ARTICLE 5. SECTION 11.4(d) OF THE AGREEMENT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11.4(d) of the Agreement shall be deleted in its entirety and replaced with the following:</w:t>
      </w:r>
    </w:p>
    <w:p>
      <w:pPr>
        <w:spacing w:after="0" w:line="225"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7"/>
          <w:szCs w:val="17"/>
          <w:color w:val="auto"/>
        </w:rPr>
        <w:t>“(d) Other than as described in Section 11.4(e) and 11.4(f) below, after the Effective Date, the Party prosecuting patent applications and maintaining Patents pursuant to this Section 11.4 shall be solely responsible for all costs and expenses associated with the filing, prosecution and maintenance of such Patents. For the avoidance of doubt, Ardelyx is responsible for all costs and expenses incurred prior to the Amendment One Effective Date in filing [***].”</w:t>
      </w: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6. SECTION 14.3(c) OF THE AGREEMENT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14.3(c) of the Agreement shall be amended to add [***] such that those subsections shall each read in full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7. MISCELLANEOUS</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7.1 Governing Law</w:t>
      </w:r>
      <w:r>
        <w:rPr>
          <w:rFonts w:ascii="Times New Roman" w:cs="Times New Roman" w:eastAsia="Times New Roman" w:hAnsi="Times New Roman"/>
          <w:sz w:val="18"/>
          <w:szCs w:val="18"/>
          <w:color w:val="auto"/>
        </w:rPr>
        <w:t>. This Amendment One shall be governed by and interpreted under the laws of the State of Delaware,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 provision that would otherwise result in the application of the laws of any State or jurisdiction other than the State of Delaware.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7.2 Entire Agreement. </w:t>
      </w:r>
      <w:r>
        <w:rPr>
          <w:rFonts w:ascii="Times New Roman" w:cs="Times New Roman" w:eastAsia="Times New Roman" w:hAnsi="Times New Roman"/>
          <w:sz w:val="18"/>
          <w:szCs w:val="18"/>
          <w:color w:val="auto"/>
        </w:rPr>
        <w:t>This Amendment One, together with the Agreement, constitutes the entire agreement between the Parties with respect to</w:t>
      </w:r>
    </w:p>
    <w:p>
      <w:pPr>
        <w:spacing w:after="0" w:line="157" w:lineRule="exact"/>
        <w:rPr>
          <w:sz w:val="20"/>
          <w:szCs w:val="20"/>
          <w:color w:val="auto"/>
        </w:rPr>
      </w:pPr>
    </w:p>
    <w:p>
      <w:pPr>
        <w:ind w:right="300" w:firstLine="8"/>
        <w:spacing w:after="0" w:line="262" w:lineRule="auto"/>
        <w:tabs>
          <w:tab w:leader="none" w:pos="348"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8 of 9 Pages</w:t>
      </w:r>
    </w:p>
    <w:p>
      <w:pPr>
        <w:sectPr>
          <w:pgSz w:w="11900" w:h="16838" w:orient="portrait"/>
          <w:cols w:equalWidth="0" w:num="1">
            <w:col w:w="11280"/>
          </w:cols>
          <w:pgMar w:left="240" w:top="269" w:right="379" w:bottom="1440" w:gutter="0" w:footer="0" w:header="0"/>
        </w:sectPr>
      </w:pPr>
    </w:p>
    <w:bookmarkStart w:id="329" w:name="page330"/>
    <w:bookmarkEnd w:id="32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subject matter of the Agreement. The Agreement together with this Amendment One supersedes all prior agreements, whether written or oral, with respect to the subject matter of the Agreement, as amended by this Amendment One. Each Party confirms that it is not relying on any statements, representations, warranties or covenants of any person (whether a Party to this Agreement or not) except as specifically set out in the Agreement as hereby amended. Nothing in this Amendment is intended to limit or exclude any liability for fraud. The Parties hereby agree that subject to the modifications specifically stated in this Amendment One, all terms and conditions of the Agreement shall remain in full force and effect.</w:t>
      </w:r>
    </w:p>
    <w:p>
      <w:pPr>
        <w:spacing w:after="0" w:line="180"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Counterparts. </w:t>
      </w:r>
      <w:r>
        <w:rPr>
          <w:rFonts w:ascii="Times New Roman" w:cs="Times New Roman" w:eastAsia="Times New Roman" w:hAnsi="Times New Roman"/>
          <w:sz w:val="18"/>
          <w:szCs w:val="18"/>
          <w:color w:val="auto"/>
        </w:rPr>
        <w:t>This Amendment One may be executed in two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in duplicate originals by their proper officers as of the Amendment One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ARDELYX, INC.</w:t>
            </w:r>
          </w:p>
        </w:tc>
        <w:tc>
          <w:tcPr>
            <w:tcW w:w="1940" w:type="dxa"/>
            <w:vAlign w:val="bottom"/>
          </w:tcPr>
          <w:p>
            <w:pPr>
              <w:spacing w:after="0"/>
              <w:rPr>
                <w:sz w:val="20"/>
                <w:szCs w:val="20"/>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ASTRAZENECA (PUBL)</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Raab</w:t>
            </w:r>
          </w:p>
        </w:tc>
        <w:tc>
          <w:tcPr>
            <w:tcW w:w="194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Marcus Schindler</w:t>
            </w:r>
          </w:p>
        </w:tc>
      </w:tr>
      <w:tr>
        <w:trPr>
          <w:trHeight w:val="3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94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Marcus Schindler</w:t>
            </w:r>
          </w:p>
        </w:tc>
      </w:tr>
      <w:tr>
        <w:trPr>
          <w:trHeight w:val="3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194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VP, Head of CVM</w:t>
            </w:r>
          </w:p>
        </w:tc>
      </w:tr>
      <w:tr>
        <w:trPr>
          <w:trHeight w:val="372"/>
        </w:trPr>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Page 9 of 9 Pages</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ind w:right="180" w:firstLine="8"/>
        <w:spacing w:after="0" w:line="282" w:lineRule="auto"/>
        <w:tabs>
          <w:tab w:leader="none" w:pos="43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omitted and filed separately with the Securities and Exchange Commission. Confidential treatment has been requested with respect to the omitted portions.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OPTION AND LICENSE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FEBRUARY 21, 2014</w:t>
      </w:r>
    </w:p>
    <w:p>
      <w:pPr>
        <w:sectPr>
          <w:pgSz w:w="11900" w:h="16838" w:orient="portrait"/>
          <w:cols w:equalWidth="0" w:num="1">
            <w:col w:w="11420"/>
          </w:cols>
          <w:pgMar w:left="240" w:top="117" w:right="239" w:bottom="1440" w:gutter="0" w:footer="0" w:header="0"/>
        </w:sectPr>
      </w:pPr>
    </w:p>
    <w:bookmarkStart w:id="331" w:name="page332"/>
    <w:bookmarkEnd w:id="331"/>
    <w:p>
      <w:pPr>
        <w:ind w:left="5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ectPr>
          <w:pgSz w:w="11900" w:h="16838" w:orient="portrait"/>
          <w:cols w:equalWidth="0" w:num="1">
            <w:col w:w="10219"/>
          </w:cols>
          <w:pgMar w:left="240" w:top="266"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Costs Incurred By Ardelyx for Prosecution And Maintenance Prior to the Effective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Countries for Prosecution and Maintenance of Listed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Press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Transfer Deliverables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Disclosure Process</w:t>
      </w:r>
    </w:p>
    <w:p>
      <w:pPr>
        <w:spacing w:after="0" w:line="139" w:lineRule="exact"/>
        <w:rPr>
          <w:sz w:val="20"/>
          <w:szCs w:val="20"/>
          <w:color w:val="auto"/>
        </w:rPr>
      </w:pPr>
    </w:p>
    <w:p>
      <w:pPr>
        <w:sectPr>
          <w:pgSz w:w="11900" w:h="16838" w:orient="portrait"/>
          <w:cols w:equalWidth="0" w:num="2">
            <w:col w:w="760" w:space="620"/>
            <w:col w:w="8839"/>
          </w:cols>
          <w:pgMar w:left="240" w:top="266" w:right="1440" w:bottom="1440" w:gutter="0" w:footer="0" w:header="0"/>
          <w:type w:val="continuous"/>
        </w:sectPr>
      </w:pPr>
    </w:p>
    <w:p>
      <w:pPr>
        <w:ind w:left="566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219"/>
          </w:cols>
          <w:pgMar w:left="240" w:top="266" w:right="1440" w:bottom="1440" w:gutter="0" w:footer="0" w:header="0"/>
          <w:type w:val="continuous"/>
        </w:sectPr>
      </w:pPr>
    </w:p>
    <w:bookmarkStart w:id="332" w:name="page333"/>
    <w:bookmarkEnd w:id="3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OPTION AND LICENSE AGREEMENT</w:t>
      </w:r>
    </w:p>
    <w:p>
      <w:pPr>
        <w:spacing w:after="0" w:line="22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This License Option and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the 21 day of February, 2014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Sanofi, a French corporation with a place of business at 54, rue La Boétie, 75008 Paris, France (“</w:t>
      </w:r>
      <w:r>
        <w:rPr>
          <w:rFonts w:ascii="Times New Roman" w:cs="Times New Roman" w:eastAsia="Times New Roman" w:hAnsi="Times New Roman"/>
          <w:sz w:val="18"/>
          <w:szCs w:val="18"/>
          <w:b w:val="1"/>
          <w:bCs w:val="1"/>
          <w:color w:val="auto"/>
        </w:rPr>
        <w:t>Sanofi</w:t>
      </w:r>
      <w:r>
        <w:rPr>
          <w:rFonts w:ascii="Times New Roman" w:cs="Times New Roman" w:eastAsia="Times New Roman" w:hAnsi="Times New Roman"/>
          <w:sz w:val="18"/>
          <w:szCs w:val="18"/>
          <w:color w:val="auto"/>
        </w:rPr>
        <w:t>”) and Ardelyx, Inc., a Delaware corporation having its principal place of business at 34175 Ardenwood Boulevard, Fremont, California United States of America 94555 (“</w:t>
      </w:r>
      <w:r>
        <w:rPr>
          <w:rFonts w:ascii="Times New Roman" w:cs="Times New Roman" w:eastAsia="Times New Roman" w:hAnsi="Times New Roman"/>
          <w:sz w:val="18"/>
          <w:szCs w:val="18"/>
          <w:b w:val="1"/>
          <w:bCs w:val="1"/>
          <w:color w:val="auto"/>
        </w:rPr>
        <w:t>Ardelyx</w:t>
      </w:r>
      <w:r>
        <w:rPr>
          <w:rFonts w:ascii="Times New Roman" w:cs="Times New Roman" w:eastAsia="Times New Roman" w:hAnsi="Times New Roman"/>
          <w:sz w:val="18"/>
          <w:szCs w:val="18"/>
          <w:color w:val="auto"/>
        </w:rPr>
        <w:t>”). Ardelyx and Sanofi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Sanofi is a pharmaceutical company engaged in the research, development and commercialization of products useful in the amelioration,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or prevention of human diseases and conditions.</w:t>
      </w:r>
    </w:p>
    <w:p>
      <w:pPr>
        <w:spacing w:after="0" w:line="155"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Ardelyx is a biotechnology company developing certain proprietary compounds known as NaP2b inhibitors for use in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and disorders, and has identified a lead compound, designated as NTX1942.</w:t>
      </w:r>
    </w:p>
    <w:p>
      <w:pPr>
        <w:spacing w:after="0" w:line="155" w:lineRule="exact"/>
        <w:rPr>
          <w:sz w:val="20"/>
          <w:szCs w:val="20"/>
          <w:color w:val="auto"/>
        </w:rPr>
      </w:pPr>
    </w:p>
    <w:p>
      <w:pPr>
        <w:ind w:right="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Sanofi and Ardelyx desire to establish a patent and know-how license agreement to allow Sanofi to conduct research,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NaP2b inhibitors, with the objective of providing pharmaceutical products to patients derived from application of the expertise of each of Ardelyx and Sanofi.</w:t>
      </w:r>
    </w:p>
    <w:p>
      <w:pPr>
        <w:spacing w:after="0" w:line="171"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below,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following terms shall have the following meanings as used in this Agreement:</w:t>
      </w:r>
    </w:p>
    <w:p>
      <w:pPr>
        <w:spacing w:after="0" w:line="225" w:lineRule="exact"/>
        <w:rPr>
          <w:sz w:val="20"/>
          <w:szCs w:val="20"/>
          <w:color w:val="auto"/>
        </w:rPr>
      </w:pPr>
    </w:p>
    <w:p>
      <w:pPr>
        <w:jc w:val="both"/>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shall mean the formal acceptance of a Drug Approval Application by the applicable Regulatory Health Authority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If the Regulatory Health Authority does not have an Acceptance procedure, then a failure to reject a Filing within thirty (30) days shall constitute an Acceptance.</w:t>
      </w:r>
    </w:p>
    <w:p>
      <w:pPr>
        <w:spacing w:after="0" w:line="171"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shall mean with respect to either Party, any Person controlling, controlled by or under common control with such Party,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so long as such control exists. For purposes of this definition of Affiliate, “control” (and, with correlative meanings, the terms “controlled by” and “under common control with”) means (i) direct or indirect ownership of fifty percent (50%) or more of the ownership interest or securities having the right to vote for the election of directors of a Person or (ii) the possession, directly or indirectly, of the power to direct, or cause the direction of, the management or policies of a Person, whether through the ownership of voting securities, by contract or otherwise.</w:t>
      </w:r>
    </w:p>
    <w:p>
      <w:pPr>
        <w:sectPr>
          <w:pgSz w:w="11900" w:h="16838" w:orient="portrait"/>
          <w:cols w:equalWidth="0" w:num="1">
            <w:col w:w="11360"/>
          </w:cols>
          <w:pgMar w:left="240" w:top="265" w:right="299" w:bottom="1440" w:gutter="0" w:footer="0" w:header="0"/>
        </w:sectPr>
      </w:pPr>
    </w:p>
    <w:bookmarkStart w:id="333" w:name="page334"/>
    <w:bookmarkEnd w:id="333"/>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w:t>
      </w:r>
      <w:r>
        <w:rPr>
          <w:rFonts w:ascii="Times New Roman" w:cs="Times New Roman" w:eastAsia="Times New Roman" w:hAnsi="Times New Roman"/>
          <w:sz w:val="18"/>
          <w:szCs w:val="18"/>
          <w:color w:val="auto"/>
        </w:rPr>
        <w:t>shall have the meaning assigned in the first paragraph of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“American Arbitration Association”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shall have the meaning assigned in Section 13.2(a).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“Annual Net Sales” </w:t>
      </w:r>
      <w:r>
        <w:rPr>
          <w:rFonts w:ascii="Times New Roman" w:cs="Times New Roman" w:eastAsia="Times New Roman" w:hAnsi="Times New Roman"/>
          <w:sz w:val="18"/>
          <w:szCs w:val="18"/>
          <w:color w:val="auto"/>
        </w:rPr>
        <w:t>shall mean the Net Sales made during any given Calendar Year.</w:t>
      </w:r>
    </w:p>
    <w:p>
      <w:pPr>
        <w:spacing w:after="0" w:line="225"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“Anti-Corruption Laws” </w:t>
      </w:r>
      <w:r>
        <w:rPr>
          <w:rFonts w:ascii="Times New Roman" w:cs="Times New Roman" w:eastAsia="Times New Roman" w:hAnsi="Times New Roman"/>
          <w:sz w:val="18"/>
          <w:szCs w:val="18"/>
          <w:color w:val="auto"/>
        </w:rPr>
        <w:t>shall mean the U.S. Foreign Corrupt Practices Act, as amended, the UK Bribery Act 2010, as amended,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anti-corruption laws and laws for the prevention of fraud, racketeering, money laundering or terrorism.</w:t>
      </w:r>
    </w:p>
    <w:p>
      <w:pPr>
        <w:spacing w:after="0" w:line="155"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“Applicable Laws” </w:t>
      </w:r>
      <w:r>
        <w:rPr>
          <w:rFonts w:ascii="Times New Roman" w:cs="Times New Roman" w:eastAsia="Times New Roman" w:hAnsi="Times New Roman"/>
          <w:sz w:val="18"/>
          <w:szCs w:val="18"/>
          <w:color w:val="auto"/>
        </w:rPr>
        <w:t>shall mean all applicable statutes, ordinances, codes, executive or governmental orders, laws, rules and regulations,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any rules, regulations, guidelines or other requirements of Regulatory Authorities or Regulatory Health Authorities, that may be in effect from time to time.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“Ardelyx” </w:t>
      </w:r>
      <w:r>
        <w:rPr>
          <w:rFonts w:ascii="Times New Roman" w:cs="Times New Roman" w:eastAsia="Times New Roman" w:hAnsi="Times New Roman"/>
          <w:sz w:val="18"/>
          <w:szCs w:val="18"/>
          <w:color w:val="auto"/>
        </w:rPr>
        <w:t>shall have the meaning assigned in the first paragraph of this Agreement.</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“Ardelyx Background Know-How” </w:t>
      </w:r>
      <w:r>
        <w:rPr>
          <w:rFonts w:ascii="Times New Roman" w:cs="Times New Roman" w:eastAsia="Times New Roman" w:hAnsi="Times New Roman"/>
          <w:sz w:val="18"/>
          <w:szCs w:val="18"/>
          <w:color w:val="auto"/>
        </w:rPr>
        <w:t>shall mean Know-How that Ardelyx Controls as of the Effective Date that was developed by Ardelyx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Ardelyx’s research and Development efforts relating to Ardelyx Compounds, as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right="4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“Ardelyx Compound” </w:t>
      </w:r>
      <w:r>
        <w:rPr>
          <w:rFonts w:ascii="Times New Roman" w:cs="Times New Roman" w:eastAsia="Times New Roman" w:hAnsi="Times New Roman"/>
          <w:sz w:val="18"/>
          <w:szCs w:val="18"/>
          <w:color w:val="auto"/>
        </w:rPr>
        <w:t>shall mean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and (ii) any other compound, that is (a)</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or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and in the case of (i) and (ii) above,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metabolites, salts, esters, free acid forms, crystal forms, free base forms, pro-drug forms, racemates and all optically active forms of any such foregoing compound.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“Ardelyx Sole Invention Patent” </w:t>
      </w:r>
      <w:r>
        <w:rPr>
          <w:rFonts w:ascii="Times New Roman" w:cs="Times New Roman" w:eastAsia="Times New Roman" w:hAnsi="Times New Roman"/>
          <w:sz w:val="18"/>
          <w:szCs w:val="18"/>
          <w:color w:val="auto"/>
        </w:rPr>
        <w:t>shall mean any Patent covering or claiming Sole Program Know-How owned solely by Ardelyx or its Affiliates.</w:t>
      </w:r>
    </w:p>
    <w:p>
      <w:pPr>
        <w:spacing w:after="0" w:line="225"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“Ardelyx Sole Invention Technology” </w:t>
      </w:r>
      <w:r>
        <w:rPr>
          <w:rFonts w:ascii="Times New Roman" w:cs="Times New Roman" w:eastAsia="Times New Roman" w:hAnsi="Times New Roman"/>
          <w:sz w:val="18"/>
          <w:szCs w:val="18"/>
          <w:color w:val="auto"/>
        </w:rPr>
        <w:t>shall mean all Ardelyx Sole Invention Patents and all Sole Program Know-How owned solely Ardelyx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“Ardelyx Trademark” </w:t>
      </w:r>
      <w:r>
        <w:rPr>
          <w:rFonts w:ascii="Times New Roman" w:cs="Times New Roman" w:eastAsia="Times New Roman" w:hAnsi="Times New Roman"/>
          <w:sz w:val="18"/>
          <w:szCs w:val="18"/>
          <w:color w:val="auto"/>
        </w:rPr>
        <w:t>shall mean the company Trademark or logo of Ardelyx, as Ardelyx may designate in writing from time to time.</w:t>
      </w:r>
    </w:p>
    <w:p>
      <w:pPr>
        <w:spacing w:after="0" w:line="225"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“Assigned Activities” </w:t>
      </w:r>
      <w:r>
        <w:rPr>
          <w:rFonts w:ascii="Times New Roman" w:cs="Times New Roman" w:eastAsia="Times New Roman" w:hAnsi="Times New Roman"/>
          <w:sz w:val="18"/>
          <w:szCs w:val="18"/>
          <w:color w:val="auto"/>
        </w:rPr>
        <w:t>shall have the meaning assigned in Section 2.6. For the sake of clarity, neither Ardelyx’s participation on the DAC,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carried out by Ardelyx or its Affiliates under Section 3.4 (Technology Transfer) shall be considered Assigned Activities.</w:t>
      </w:r>
    </w:p>
    <w:p>
      <w:pPr>
        <w:spacing w:after="0" w:line="15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“Assigned Activities Expenses” </w:t>
      </w:r>
      <w:r>
        <w:rPr>
          <w:rFonts w:ascii="Times New Roman" w:cs="Times New Roman" w:eastAsia="Times New Roman" w:hAnsi="Times New Roman"/>
          <w:sz w:val="18"/>
          <w:szCs w:val="18"/>
          <w:color w:val="auto"/>
        </w:rPr>
        <w:t>shall mean the expenses incurred by Ardelyx or for its account in the performance of Assigned Activities.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Activities Expenses shall include amounts paid by Ardelyx to a Third Party involved in the performance of the Assigned Activities (subject to Sanofi’s prior approval of the involvement of such Third Party) and all internal costs (calculated on an FTE basis at an annual rate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incurred by Ardelyx in connection with the performance of the Assigned Activities. Assigned Activities Expenses shall not include expenses incurred by Ardelyx in the performance of its obligations under the Co-Promote Agreement.</w:t>
      </w:r>
    </w:p>
    <w:p>
      <w:pPr>
        <w:spacing w:after="0" w:line="112" w:lineRule="exact"/>
        <w:rPr>
          <w:sz w:val="20"/>
          <w:szCs w:val="20"/>
          <w:color w:val="auto"/>
        </w:rPr>
      </w:pPr>
    </w:p>
    <w:p>
      <w:pPr>
        <w:ind w:right="380" w:firstLine="8"/>
        <w:spacing w:after="0" w:line="262" w:lineRule="auto"/>
        <w:tabs>
          <w:tab w:leader="none" w:pos="348"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265" w:right="299" w:bottom="1440" w:gutter="0" w:footer="0" w:header="0"/>
        </w:sectPr>
      </w:pPr>
    </w:p>
    <w:bookmarkStart w:id="334" w:name="page335"/>
    <w:bookmarkEnd w:id="334"/>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“AstraZeneca License Agreement” </w:t>
      </w:r>
      <w:r>
        <w:rPr>
          <w:rFonts w:ascii="Times New Roman" w:cs="Times New Roman" w:eastAsia="Times New Roman" w:hAnsi="Times New Roman"/>
          <w:sz w:val="18"/>
          <w:szCs w:val="18"/>
          <w:color w:val="auto"/>
        </w:rPr>
        <w:t>shall mean that certain agreement by and between Ardelyx and AstraZeneca AB, dated as of October 4, 2012.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“Bankruptcy Code” </w:t>
      </w:r>
      <w:r>
        <w:rPr>
          <w:rFonts w:ascii="Times New Roman" w:cs="Times New Roman" w:eastAsia="Times New Roman" w:hAnsi="Times New Roman"/>
          <w:sz w:val="18"/>
          <w:szCs w:val="18"/>
          <w:color w:val="auto"/>
        </w:rPr>
        <w:t>shall mean Title 11, United States Code, as amended, or analogous provisions of Applicable Laws outside the United States.</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“Bayh-Dole Act” </w:t>
      </w:r>
      <w:r>
        <w:rPr>
          <w:rFonts w:ascii="Times New Roman" w:cs="Times New Roman" w:eastAsia="Times New Roman" w:hAnsi="Times New Roman"/>
          <w:sz w:val="18"/>
          <w:szCs w:val="18"/>
          <w:color w:val="auto"/>
        </w:rPr>
        <w:t>shall mean the Patent and Trademark Law Amendments Act of 1980, as amended, codified at 35 U.S.C. §§ 200-212, as amended,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any regulations promulgated pursuant thereto, including in 37 C.F.R. Part 401.</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“Breaching Party” </w:t>
      </w:r>
      <w:r>
        <w:rPr>
          <w:rFonts w:ascii="Times New Roman" w:cs="Times New Roman" w:eastAsia="Times New Roman" w:hAnsi="Times New Roman"/>
          <w:sz w:val="18"/>
          <w:szCs w:val="18"/>
          <w:color w:val="auto"/>
        </w:rPr>
        <w:t>shall have the meaning assigned in Section 11.2(a).</w:t>
      </w:r>
    </w:p>
    <w:p>
      <w:pPr>
        <w:spacing w:after="0" w:line="225"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shall mean any day other than (i) a Saturday or a Sunday or (ii) a day on which commercial banking institutions are authorized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Laws to be closed in New York City, New York or in Paris (France).</w:t>
      </w:r>
    </w:p>
    <w:p>
      <w:pPr>
        <w:spacing w:after="0" w:line="15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“Calendar Quarter” </w:t>
      </w:r>
      <w:r>
        <w:rPr>
          <w:rFonts w:ascii="Times New Roman" w:cs="Times New Roman" w:eastAsia="Times New Roman" w:hAnsi="Times New Roman"/>
          <w:sz w:val="18"/>
          <w:szCs w:val="18"/>
          <w:color w:val="auto"/>
        </w:rPr>
        <w:t>shall mean each successive period of three (3) consecutive calendar months commencing on 1st January, 1st April, 1st July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1st October.</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“Calendar Year” </w:t>
      </w:r>
      <w:r>
        <w:rPr>
          <w:rFonts w:ascii="Times New Roman" w:cs="Times New Roman" w:eastAsia="Times New Roman" w:hAnsi="Times New Roman"/>
          <w:sz w:val="18"/>
          <w:szCs w:val="18"/>
          <w:color w:val="auto"/>
        </w:rPr>
        <w:t>shall mean each successive period of twelve (12) consecutive calendar months commencing on 1st January.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“CDA” </w:t>
      </w:r>
      <w:r>
        <w:rPr>
          <w:rFonts w:ascii="Times New Roman" w:cs="Times New Roman" w:eastAsia="Times New Roman" w:hAnsi="Times New Roman"/>
          <w:sz w:val="18"/>
          <w:szCs w:val="18"/>
          <w:color w:val="auto"/>
        </w:rPr>
        <w:t>shall have the meaning assigned in Section 7.7.</w:t>
      </w:r>
    </w:p>
    <w:p>
      <w:pPr>
        <w:spacing w:after="0" w:line="22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“Clinical Pharmacology Studies” </w:t>
      </w:r>
      <w:r>
        <w:rPr>
          <w:rFonts w:ascii="Times New Roman" w:cs="Times New Roman" w:eastAsia="Times New Roman" w:hAnsi="Times New Roman"/>
          <w:sz w:val="18"/>
          <w:szCs w:val="18"/>
          <w:color w:val="auto"/>
        </w:rPr>
        <w:t>shall mean studies in healthy volunteers or patients investigating the relationships between dose, drug exposure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as further described in the Development Plan.</w:t>
      </w:r>
    </w:p>
    <w:p>
      <w:pPr>
        <w:spacing w:after="0" w:line="155"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“Clinical Trials” </w:t>
      </w:r>
      <w:r>
        <w:rPr>
          <w:rFonts w:ascii="Times New Roman" w:cs="Times New Roman" w:eastAsia="Times New Roman" w:hAnsi="Times New Roman"/>
          <w:sz w:val="18"/>
          <w:szCs w:val="18"/>
          <w:color w:val="auto"/>
        </w:rPr>
        <w:t>shall mean Phase 1 Clinical Trials, Clinical Pharmacology Studies, Phase 2 Clinical Trials, Phase 3 Clinical Trials, Phase 4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Trials, or variations of such trials (for example, Phase 2/3 and Phase 2b), and any other clinical study conducted in human subjects in connection with the Development of a Program Product.</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“Combination Product” </w:t>
      </w:r>
      <w:r>
        <w:rPr>
          <w:rFonts w:ascii="Times New Roman" w:cs="Times New Roman" w:eastAsia="Times New Roman" w:hAnsi="Times New Roman"/>
          <w:sz w:val="18"/>
          <w:szCs w:val="18"/>
          <w:color w:val="auto"/>
        </w:rPr>
        <w:t>shall mean a pharmaceutical product in a form suitable for human or animal applications containing a Program Compound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active ingredient and containing one or more other active ingredients, in any and all forms, presentations, delivery systems, dosages and formulations, that is sold either as a fixed dose or as separate doses in a single package;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any such other active ingredient is Controlled by Ardelyx, it is understood that Sanofi is not being granted any license under such Intellectual Property Rights to Exploit such other active ingredient.</w:t>
      </w:r>
    </w:p>
    <w:p>
      <w:pPr>
        <w:spacing w:after="0" w:line="177"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Information” </w:t>
      </w:r>
      <w:r>
        <w:rPr>
          <w:rFonts w:ascii="Times New Roman" w:cs="Times New Roman" w:eastAsia="Times New Roman" w:hAnsi="Times New Roman"/>
          <w:sz w:val="18"/>
          <w:szCs w:val="18"/>
          <w:color w:val="auto"/>
        </w:rPr>
        <w:t>shall mean information and data, including Know-How, marketing, pricing, distribution, cost, sales, and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or descriptions, in each case within the Control of Sanofi, in each case that is necessary or useful to Ardelyx with respect to its Co-Promotion of the Co-Promote Products in the United States, or with respect to its Commercialization of Program Products following the termination or expiration of this Agreement.</w:t>
      </w:r>
    </w:p>
    <w:p>
      <w:pPr>
        <w:sectPr>
          <w:pgSz w:w="11900" w:h="16838" w:orient="portrait"/>
          <w:cols w:equalWidth="0" w:num="1">
            <w:col w:w="11380"/>
          </w:cols>
          <w:pgMar w:left="240" w:top="266" w:right="279" w:bottom="1440" w:gutter="0" w:footer="0" w:header="0"/>
        </w:sectPr>
      </w:pPr>
    </w:p>
    <w:bookmarkStart w:id="335" w:name="page336"/>
    <w:bookmarkEnd w:id="335"/>
    <w:p>
      <w:pPr>
        <w:ind w:right="1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“Commercialization” </w:t>
      </w:r>
      <w:r>
        <w:rPr>
          <w:rFonts w:ascii="Times New Roman" w:cs="Times New Roman" w:eastAsia="Times New Roman" w:hAnsi="Times New Roman"/>
          <w:sz w:val="18"/>
          <w:szCs w:val="18"/>
          <w:color w:val="auto"/>
        </w:rPr>
        <w:t>shall mean all activities directed to the preparation for sale of, offering for sale of or sale of a Program Product,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of commercial supplies, and the marketing and sale of a Program Product, including without limitation Pre-Approval Activities, advertising, education, planning, marketing, Detailing, promotion, distribution, selling or having sold, offering for sale, market and product support, and, if commenced after the First Commercial Sale of the Program Product anywhere in the Territory, Phase 4 Clinical Trials.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“Commercialize” </w:t>
      </w:r>
      <w:r>
        <w:rPr>
          <w:rFonts w:ascii="Times New Roman" w:cs="Times New Roman" w:eastAsia="Times New Roman" w:hAnsi="Times New Roman"/>
          <w:sz w:val="18"/>
          <w:szCs w:val="18"/>
          <w:color w:val="auto"/>
        </w:rPr>
        <w:t>shall mean the conduct of Commercialization activities.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“Commercially Reasonable Efforts” </w:t>
      </w:r>
      <w:r>
        <w:rPr>
          <w:rFonts w:ascii="Times New Roman" w:cs="Times New Roman" w:eastAsia="Times New Roman" w:hAnsi="Times New Roman"/>
          <w:sz w:val="18"/>
          <w:szCs w:val="18"/>
          <w:color w:val="auto"/>
        </w:rPr>
        <w:t>shall mean (with respect to the efforts to be expended by a Party with respect to any objective)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diligent, good faith efforts to accomplish such objective as such Party would generally use, in accordance with its usual business practices to accomplish a similar objective under similar circumstances for such Party’s benefit exclusive of the other Party. With respect to any objective relating to the Development, Manufacture or Commercialization of a Program Product by a Party, “Commercially Reasonable Efforts” means efforts and resources generally used by such Party, in accordance with its usual business practices, with respect to a product owned by such Party, or to which such Party has similar rights, that is of similar market and therapeutic potential at a similar stage in the Development or life of such product, taking into account issues of safety, efficacy, costs of development, product profile, the proprietary position of the product including the nature and extent of its market exclusivity (including Patent coverage and regulatory exclusivity), the regulatory structure involved and the likelihood of approval, profitability of the product, and other relevant scientific, technical and commercial factors.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“Comparable Program Product” </w:t>
      </w:r>
      <w:r>
        <w:rPr>
          <w:rFonts w:ascii="Times New Roman" w:cs="Times New Roman" w:eastAsia="Times New Roman" w:hAnsi="Times New Roman"/>
          <w:sz w:val="18"/>
          <w:szCs w:val="18"/>
          <w:color w:val="auto"/>
        </w:rPr>
        <w:t>shall have the meaning assigned in Section 6.5.</w:t>
      </w:r>
    </w:p>
    <w:p>
      <w:pPr>
        <w:spacing w:after="0" w:line="225"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of a Clinical Trial shall mean, with respect to such Clinical Trial, the date upon which the final study report for such Clinical Trial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and approved in accordance with the responsible Party’s quality assurance procedures.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“Compulsory License” </w:t>
      </w:r>
      <w:r>
        <w:rPr>
          <w:rFonts w:ascii="Times New Roman" w:cs="Times New Roman" w:eastAsia="Times New Roman" w:hAnsi="Times New Roman"/>
          <w:sz w:val="18"/>
          <w:szCs w:val="18"/>
          <w:color w:val="auto"/>
        </w:rPr>
        <w:t>shall have the meaning assigned in Section 6.4(f).</w:t>
      </w:r>
    </w:p>
    <w:p>
      <w:pPr>
        <w:spacing w:after="0" w:line="22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shall mean any and all (i) Know-How relating to the Exploitation of Program Compounds or Program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Licensed Know-How) or relating to other aspects of the collaboration between the Parties under this Agreement, (ii) information and Materials, whether oral or in writing or in any other form, disclosed before, on or after the date of this Agreement by one Party to the other Party, including the terms of this Agreement, and (iii) in the case of Ardelyx, information Sanofi may receive from Ardelyx as a result of Ardelyx’s compliance with the special disclosure process outlined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“Continuation Milestone” </w:t>
      </w:r>
      <w:r>
        <w:rPr>
          <w:rFonts w:ascii="Times New Roman" w:cs="Times New Roman" w:eastAsia="Times New Roman" w:hAnsi="Times New Roman"/>
          <w:sz w:val="18"/>
          <w:szCs w:val="18"/>
          <w:color w:val="auto"/>
        </w:rPr>
        <w:t>shall have the meaning assigned in Section 4.1(b).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“Contravening Product” </w:t>
      </w:r>
      <w:r>
        <w:rPr>
          <w:rFonts w:ascii="Times New Roman" w:cs="Times New Roman" w:eastAsia="Times New Roman" w:hAnsi="Times New Roman"/>
          <w:sz w:val="18"/>
          <w:szCs w:val="18"/>
          <w:color w:val="auto"/>
        </w:rPr>
        <w:t>shall have the meaning assigned in Section 2.9(d)(ii).</w:t>
      </w:r>
    </w:p>
    <w:p>
      <w:pPr>
        <w:spacing w:after="0" w:line="225" w:lineRule="exact"/>
        <w:rPr>
          <w:sz w:val="20"/>
          <w:szCs w:val="20"/>
          <w:color w:val="auto"/>
        </w:rPr>
      </w:pPr>
    </w:p>
    <w:p>
      <w:pPr>
        <w:ind w:right="3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shall mean, with respect to an item of Know-How, Patent or other Intellectual Property Rights, the ability and authority of a Party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whether arising by ownership, possession, or pursuant to a license or sublicense, to grant licenses, sublicenses, or</w:t>
      </w:r>
    </w:p>
    <w:p>
      <w:pPr>
        <w:sectPr>
          <w:pgSz w:w="11900" w:h="16838" w:orient="portrait"/>
          <w:cols w:equalWidth="0" w:num="1">
            <w:col w:w="11360"/>
          </w:cols>
          <w:pgMar w:left="240" w:top="266" w:right="299" w:bottom="1440" w:gutter="0" w:footer="0" w:header="0"/>
        </w:sectPr>
      </w:pPr>
    </w:p>
    <w:bookmarkStart w:id="336" w:name="page337"/>
    <w:bookmarkEnd w:id="33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rights to the other Party under or to such item of Know-How, Patent or Intellectual Property Rights as provided for in this Agreement, without breaching the terms of any agreement between such Party and any Third Party.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“Co-Promote Agreement” </w:t>
      </w:r>
      <w:r>
        <w:rPr>
          <w:rFonts w:ascii="Times New Roman" w:cs="Times New Roman" w:eastAsia="Times New Roman" w:hAnsi="Times New Roman"/>
          <w:sz w:val="18"/>
          <w:szCs w:val="18"/>
          <w:color w:val="auto"/>
        </w:rPr>
        <w:t>shall have the meaning assigned in Section 5.8(b).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“Co-Promote Option” </w:t>
      </w:r>
      <w:r>
        <w:rPr>
          <w:rFonts w:ascii="Times New Roman" w:cs="Times New Roman" w:eastAsia="Times New Roman" w:hAnsi="Times New Roman"/>
          <w:sz w:val="18"/>
          <w:szCs w:val="18"/>
          <w:color w:val="auto"/>
        </w:rPr>
        <w:t>shall have the meaning assigned in Section 5.1(b).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“Co-Promote Product” </w:t>
      </w:r>
      <w:r>
        <w:rPr>
          <w:rFonts w:ascii="Times New Roman" w:cs="Times New Roman" w:eastAsia="Times New Roman" w:hAnsi="Times New Roman"/>
          <w:sz w:val="18"/>
          <w:szCs w:val="18"/>
          <w:color w:val="auto"/>
        </w:rPr>
        <w:t>shall have the meaning assigned in Section 5.1(c).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“Counterparty” </w:t>
      </w:r>
      <w:r>
        <w:rPr>
          <w:rFonts w:ascii="Times New Roman" w:cs="Times New Roman" w:eastAsia="Times New Roman" w:hAnsi="Times New Roman"/>
          <w:sz w:val="18"/>
          <w:szCs w:val="18"/>
          <w:color w:val="auto"/>
        </w:rPr>
        <w:t>shall have the meaning assigned in Section 14.1(c).</w:t>
      </w:r>
    </w:p>
    <w:p>
      <w:pPr>
        <w:spacing w:after="0" w:line="225"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“Covered Compound” </w:t>
      </w:r>
      <w:r>
        <w:rPr>
          <w:rFonts w:ascii="Times New Roman" w:cs="Times New Roman" w:eastAsia="Times New Roman" w:hAnsi="Times New Roman"/>
          <w:sz w:val="18"/>
          <w:szCs w:val="18"/>
          <w:color w:val="auto"/>
        </w:rPr>
        <w:t>shall mean any compound that is covered or claimed by a Sanofi Sole Invention Patent or a Joint Patent, in either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metabolites, salts, esters, free acid forms, crystal forms, free base forms, pro-drug forms, racemates and all optically active forms of any such foregoing compound.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“CREATE ACT” </w:t>
      </w:r>
      <w:r>
        <w:rPr>
          <w:rFonts w:ascii="Times New Roman" w:cs="Times New Roman" w:eastAsia="Times New Roman" w:hAnsi="Times New Roman"/>
          <w:sz w:val="18"/>
          <w:szCs w:val="18"/>
          <w:color w:val="auto"/>
        </w:rPr>
        <w:t>shall have the meaning assigned in Section 8.4(h)</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“Debtor” </w:t>
      </w:r>
      <w:r>
        <w:rPr>
          <w:rFonts w:ascii="Times New Roman" w:cs="Times New Roman" w:eastAsia="Times New Roman" w:hAnsi="Times New Roman"/>
          <w:sz w:val="18"/>
          <w:szCs w:val="18"/>
          <w:color w:val="auto"/>
        </w:rPr>
        <w:t>shall have the meaning assigned in Section 11.2(d).</w:t>
      </w:r>
    </w:p>
    <w:p>
      <w:pPr>
        <w:spacing w:after="0" w:line="22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“Detail” </w:t>
      </w:r>
      <w:r>
        <w:rPr>
          <w:rFonts w:ascii="Times New Roman" w:cs="Times New Roman" w:eastAsia="Times New Roman" w:hAnsi="Times New Roman"/>
          <w:sz w:val="18"/>
          <w:szCs w:val="18"/>
          <w:color w:val="auto"/>
        </w:rPr>
        <w:t>shall mean a sales presentation or interaction by a professional sales representative to or with a target physician or other professional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prescribing authority involved in prescribing a Co-Promote Product or to other individuals influencing prescription activity with respect to a Co-Promote Product, in any case, in which the primary purpose is to discuss the benefits and features of the Co-Promote Product. The term Detail will be further defined in the Co-Promote Agreement. When used as a verb, “</w:t>
      </w:r>
      <w:r>
        <w:rPr>
          <w:rFonts w:ascii="Times New Roman" w:cs="Times New Roman" w:eastAsia="Times New Roman" w:hAnsi="Times New Roman"/>
          <w:sz w:val="18"/>
          <w:szCs w:val="18"/>
          <w:b w:val="1"/>
          <w:bCs w:val="1"/>
          <w:color w:val="auto"/>
        </w:rPr>
        <w:t>Detail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Detailing</w:t>
      </w:r>
      <w:r>
        <w:rPr>
          <w:rFonts w:ascii="Times New Roman" w:cs="Times New Roman" w:eastAsia="Times New Roman" w:hAnsi="Times New Roman"/>
          <w:sz w:val="18"/>
          <w:szCs w:val="18"/>
          <w:color w:val="auto"/>
        </w:rPr>
        <w:t>” means to perform a Detail.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“Detail Rate” </w:t>
      </w:r>
      <w:r>
        <w:rPr>
          <w:rFonts w:ascii="Times New Roman" w:cs="Times New Roman" w:eastAsia="Times New Roman" w:hAnsi="Times New Roman"/>
          <w:sz w:val="18"/>
          <w:szCs w:val="18"/>
          <w:color w:val="auto"/>
        </w:rPr>
        <w:t>shall have the meaning assigned in Section 5.8(b).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“Develop” </w:t>
      </w:r>
      <w:r>
        <w:rPr>
          <w:rFonts w:ascii="Times New Roman" w:cs="Times New Roman" w:eastAsia="Times New Roman" w:hAnsi="Times New Roman"/>
          <w:sz w:val="18"/>
          <w:szCs w:val="18"/>
          <w:color w:val="auto"/>
        </w:rPr>
        <w:t>shall mean to engage in Development.</w:t>
      </w:r>
    </w:p>
    <w:p>
      <w:pPr>
        <w:spacing w:after="0" w:line="225" w:lineRule="exact"/>
        <w:rPr>
          <w:sz w:val="20"/>
          <w:szCs w:val="20"/>
          <w:color w:val="auto"/>
        </w:rPr>
      </w:pPr>
    </w:p>
    <w:p>
      <w:pPr>
        <w:ind w:right="60" w:firstLine="45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“Development” </w:t>
      </w:r>
      <w:r>
        <w:rPr>
          <w:rFonts w:ascii="Times New Roman" w:cs="Times New Roman" w:eastAsia="Times New Roman" w:hAnsi="Times New Roman"/>
          <w:sz w:val="18"/>
          <w:szCs w:val="18"/>
          <w:color w:val="auto"/>
        </w:rPr>
        <w:t>shall mean all activities relating to obtaining Regulatory Approval of a Program Product, Program Product line extensions, alternative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systems and new indications therefor, and all activities relating to developing the ability to Manufacture the same. This includes, for example,</w:t>
      </w:r>
    </w:p>
    <w:p>
      <w:pPr>
        <w:spacing w:after="0" w:line="1" w:lineRule="exact"/>
        <w:rPr>
          <w:sz w:val="20"/>
          <w:szCs w:val="20"/>
          <w:color w:val="auto"/>
        </w:rPr>
      </w:pPr>
    </w:p>
    <w:p>
      <w:pPr>
        <w:ind w:right="100" w:firstLine="8"/>
        <w:spacing w:after="0" w:line="253" w:lineRule="auto"/>
        <w:tabs>
          <w:tab w:leader="none" w:pos="21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testing, toxicology, formulation, Clinical Trials (other than Phase 4 Clinical Trials commenced after the First Commercial Sale of the Program Product anywhere in the Territory), regulatory affairs, and outside counsel regulatory legal services, (ii) manufacturing process development for bulk and finished forms of Program Compounds and Program Products, and manufacturing and quality assurance technical support activities prior to the First Commercial Sale of a Program Product anywhere in the Territory and (iii) the conduct of advisory boards with relevant experts, e.g. clinical experts or payer representatives, as such conduct relates to obtaining or maintaining Regulatory Approval of a Program Product.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“Development Advisory Committee”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color w:val="auto"/>
        </w:rPr>
        <w:t>DAC</w:t>
      </w:r>
      <w:r>
        <w:rPr>
          <w:rFonts w:ascii="Times New Roman" w:cs="Times New Roman" w:eastAsia="Times New Roman" w:hAnsi="Times New Roman"/>
          <w:sz w:val="18"/>
          <w:szCs w:val="18"/>
          <w:color w:val="auto"/>
        </w:rPr>
        <w:t>” shall mean the committee described in Section 3.1.</w:t>
      </w:r>
    </w:p>
    <w:p>
      <w:pPr>
        <w:sectPr>
          <w:pgSz w:w="11900" w:h="16838" w:orient="portrait"/>
          <w:cols w:equalWidth="0" w:num="1">
            <w:col w:w="11400"/>
          </w:cols>
          <w:pgMar w:left="240" w:top="270" w:right="259" w:bottom="1440" w:gutter="0" w:footer="0" w:header="0"/>
        </w:sectPr>
      </w:pPr>
    </w:p>
    <w:bookmarkStart w:id="337" w:name="page338"/>
    <w:bookmarkEnd w:id="337"/>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“Development Plan” </w:t>
      </w:r>
      <w:r>
        <w:rPr>
          <w:rFonts w:ascii="Times New Roman" w:cs="Times New Roman" w:eastAsia="Times New Roman" w:hAnsi="Times New Roman"/>
          <w:sz w:val="18"/>
          <w:szCs w:val="18"/>
          <w:color w:val="auto"/>
        </w:rPr>
        <w:t>shall have the meaning assigned in Section 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“Distributor” </w:t>
      </w:r>
      <w:r>
        <w:rPr>
          <w:rFonts w:ascii="Times New Roman" w:cs="Times New Roman" w:eastAsia="Times New Roman" w:hAnsi="Times New Roman"/>
          <w:sz w:val="18"/>
          <w:szCs w:val="18"/>
          <w:color w:val="auto"/>
        </w:rPr>
        <w:t>shall have the meaning assigned in Section 2.5.</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“Drug Approval Application” </w:t>
      </w:r>
      <w:r>
        <w:rPr>
          <w:rFonts w:ascii="Times New Roman" w:cs="Times New Roman" w:eastAsia="Times New Roman" w:hAnsi="Times New Roman"/>
          <w:sz w:val="18"/>
          <w:szCs w:val="18"/>
          <w:color w:val="auto"/>
        </w:rPr>
        <w:t>shall mean an application for Regulatory Approval required before commercial sale of a Program Product as a drug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regulatory jurisdiction (but for clarity, excluding any IND or a foreign equivalent thereof and excluding pricing and reimbursement approvals).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in the definition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in the definition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shall have the meaning assigned in the first paragraph of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“EMA” </w:t>
      </w:r>
      <w:r>
        <w:rPr>
          <w:rFonts w:ascii="Times New Roman" w:cs="Times New Roman" w:eastAsia="Times New Roman" w:hAnsi="Times New Roman"/>
          <w:sz w:val="18"/>
          <w:szCs w:val="18"/>
          <w:color w:val="auto"/>
        </w:rPr>
        <w:t>shall mean the European Medicines Agency or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“Europe” </w:t>
      </w:r>
      <w:r>
        <w:rPr>
          <w:rFonts w:ascii="Times New Roman" w:cs="Times New Roman" w:eastAsia="Times New Roman" w:hAnsi="Times New Roman"/>
          <w:sz w:val="18"/>
          <w:szCs w:val="18"/>
          <w:color w:val="auto"/>
        </w:rPr>
        <w:t>shall mean the European Union as it may be constituted from time to time.</w:t>
      </w:r>
    </w:p>
    <w:p>
      <w:pPr>
        <w:spacing w:after="0" w:line="2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“European Union” </w:t>
      </w:r>
      <w:r>
        <w:rPr>
          <w:rFonts w:ascii="Times New Roman" w:cs="Times New Roman" w:eastAsia="Times New Roman" w:hAnsi="Times New Roman"/>
          <w:sz w:val="18"/>
          <w:szCs w:val="18"/>
          <w:color w:val="auto"/>
        </w:rPr>
        <w:t>shall mean the economic, scientific and political organization of European member states, as its membership may be altered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any successor thereto, and 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and that certain portion of Cyprus included in such organization.</w:t>
      </w:r>
    </w:p>
    <w:p>
      <w:pPr>
        <w:spacing w:after="0" w:line="177" w:lineRule="exact"/>
        <w:rPr>
          <w:sz w:val="20"/>
          <w:szCs w:val="20"/>
          <w:color w:val="auto"/>
        </w:rPr>
      </w:pPr>
    </w:p>
    <w:p>
      <w:pPr>
        <w:jc w:val="both"/>
        <w:ind w:right="4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“Exploit” </w:t>
      </w:r>
      <w:r>
        <w:rPr>
          <w:rFonts w:ascii="Times New Roman" w:cs="Times New Roman" w:eastAsia="Times New Roman" w:hAnsi="Times New Roman"/>
          <w:sz w:val="18"/>
          <w:szCs w:val="18"/>
          <w:color w:val="auto"/>
        </w:rPr>
        <w:t>shall mean to make, have made, import, use, sell, or offer for sale, including to research, Develop, register, modify, enhance, improve,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have Manufactured, Commercialize, hold/keep (whether for disposal or otherwise), formulate, optimize, have used, export, transport, or otherwise dispose of or offer to dispose of a product or process.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“Exploitation” </w:t>
      </w:r>
      <w:r>
        <w:rPr>
          <w:rFonts w:ascii="Times New Roman" w:cs="Times New Roman" w:eastAsia="Times New Roman" w:hAnsi="Times New Roman"/>
          <w:sz w:val="18"/>
          <w:szCs w:val="18"/>
          <w:color w:val="auto"/>
        </w:rPr>
        <w:t>shall mean the act of Exploiting a product or process.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“FDA” </w:t>
      </w:r>
      <w:r>
        <w:rPr>
          <w:rFonts w:ascii="Times New Roman" w:cs="Times New Roman" w:eastAsia="Times New Roman" w:hAnsi="Times New Roman"/>
          <w:sz w:val="18"/>
          <w:szCs w:val="18"/>
          <w:color w:val="auto"/>
        </w:rPr>
        <w:t>shall mean the United States Food and Drug Administration or any successor 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“FFDCA” </w:t>
      </w:r>
      <w:r>
        <w:rPr>
          <w:rFonts w:ascii="Times New Roman" w:cs="Times New Roman" w:eastAsia="Times New Roman" w:hAnsi="Times New Roman"/>
          <w:sz w:val="18"/>
          <w:szCs w:val="18"/>
          <w:color w:val="auto"/>
        </w:rPr>
        <w:t>shall mean the Federal Food, Drug, and Cosmetic Act, 21 U.S.C. §§ 301, et seq., as amended from time to time.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“Field” </w:t>
      </w:r>
      <w:r>
        <w:rPr>
          <w:rFonts w:ascii="Times New Roman" w:cs="Times New Roman" w:eastAsia="Times New Roman" w:hAnsi="Times New Roman"/>
          <w:sz w:val="18"/>
          <w:szCs w:val="18"/>
          <w:color w:val="auto"/>
        </w:rPr>
        <w:t>shall mean the diagnosis, prevention, and treatment of diseases and conditions in humans or animals.</w:t>
      </w:r>
    </w:p>
    <w:p>
      <w:pPr>
        <w:spacing w:after="0" w:line="22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“Filing” </w:t>
      </w:r>
      <w:r>
        <w:rPr>
          <w:rFonts w:ascii="Times New Roman" w:cs="Times New Roman" w:eastAsia="Times New Roman" w:hAnsi="Times New Roman"/>
          <w:sz w:val="18"/>
          <w:szCs w:val="18"/>
          <w:color w:val="auto"/>
        </w:rPr>
        <w:t>shall mean, with respect to a submission to a Regulatory Health Authority, the date that such submission is confirmed to have been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relevant Regulatory Health Authority.</w:t>
      </w:r>
    </w:p>
    <w:p>
      <w:pPr>
        <w:spacing w:after="0" w:line="87" w:lineRule="exact"/>
        <w:rPr>
          <w:sz w:val="20"/>
          <w:szCs w:val="20"/>
          <w:color w:val="auto"/>
        </w:rPr>
      </w:pPr>
    </w:p>
    <w:p>
      <w:pPr>
        <w:ind w:right="320" w:firstLine="8"/>
        <w:spacing w:after="0" w:line="262" w:lineRule="auto"/>
        <w:tabs>
          <w:tab w:leader="none" w:pos="348"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00"/>
          </w:cols>
          <w:pgMar w:left="240" w:top="265" w:right="359" w:bottom="1440" w:gutter="0" w:footer="0" w:header="0"/>
        </w:sectPr>
      </w:pPr>
    </w:p>
    <w:bookmarkStart w:id="338" w:name="page339"/>
    <w:bookmarkEnd w:id="338"/>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“First Commercial Sale” </w:t>
      </w:r>
      <w:r>
        <w:rPr>
          <w:rFonts w:ascii="Times New Roman" w:cs="Times New Roman" w:eastAsia="Times New Roman" w:hAnsi="Times New Roman"/>
          <w:sz w:val="18"/>
          <w:szCs w:val="18"/>
          <w:color w:val="auto"/>
        </w:rPr>
        <w:t>shall mean, with respect to any Program Product, the first arm’s length sale for monetary value by Sanofi, its Affiliate,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Sublicensees or a Sanofi Licensee to a Third Party for end use or consumption by the general public of such Program Product in a country where Regulatory Approval of such Program Product has been obtained by Sanofi, its Affiliates, its Sublicensees or a Sanofi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sale or distribution of a Program Product for Pre-Approval Activities or use in a Clinical Trial or otherwise any sales prior to receipt of all Regulatory Approvals necessary to commence regular commercial sales (including so-called “treatment IND sales” and “compassionate use sales”) be deemed a First Commercial Sale.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shall have the meaning assigned in Section 14.2.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“Force Majeure Party” </w:t>
      </w:r>
      <w:r>
        <w:rPr>
          <w:rFonts w:ascii="Times New Roman" w:cs="Times New Roman" w:eastAsia="Times New Roman" w:hAnsi="Times New Roman"/>
          <w:sz w:val="18"/>
          <w:szCs w:val="18"/>
          <w:color w:val="auto"/>
        </w:rPr>
        <w:t>shall have the meaning assigned in Section 14.2.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“FTE” </w:t>
      </w:r>
      <w:r>
        <w:rPr>
          <w:rFonts w:ascii="Times New Roman" w:cs="Times New Roman" w:eastAsia="Times New Roman" w:hAnsi="Times New Roman"/>
          <w:sz w:val="18"/>
          <w:szCs w:val="18"/>
          <w:color w:val="auto"/>
        </w:rPr>
        <w:t>shall mean a full time equivalent person year of eighteen hundred eighty (1,880) hours of scientific, administrative, technical or operational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w:t>
      </w:r>
    </w:p>
    <w:p>
      <w:pPr>
        <w:spacing w:after="0" w:line="20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“GCP”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“Good Clinical Practices” </w:t>
      </w:r>
      <w:r>
        <w:rPr>
          <w:rFonts w:ascii="Times New Roman" w:cs="Times New Roman" w:eastAsia="Times New Roman" w:hAnsi="Times New Roman"/>
          <w:sz w:val="18"/>
          <w:szCs w:val="18"/>
          <w:color w:val="auto"/>
        </w:rPr>
        <w:t>shall mean the current standards for clinical trials for pharmaceuticals, as set forth in the United States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Regulations, ICH guidelines and Applicable Laws as promulgated thereunder, as amended from time to time, and such standards of good clinical practice as are required by the European Union and other organizations and governmental agencies in countries in which a Program Product is intended to be sold to the extent such standards are not less stringent than United States GCP.</w:t>
      </w:r>
    </w:p>
    <w:p>
      <w:pPr>
        <w:spacing w:after="0" w:line="177"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“Generic Product” </w:t>
      </w:r>
      <w:r>
        <w:rPr>
          <w:rFonts w:ascii="Times New Roman" w:cs="Times New Roman" w:eastAsia="Times New Roman" w:hAnsi="Times New Roman"/>
          <w:sz w:val="18"/>
          <w:szCs w:val="18"/>
          <w:color w:val="auto"/>
        </w:rPr>
        <w:t>shall mean with respect to a Program Product in a particular country any product (i) that is sold in such particular country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who is not a Sublicensee, Distributor or a Sanofi Licensee selling such product under authorization from Sanofi or its Affiliates, (ii) that has received Regulatory Approval necessary for sale in such country, (iii)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(iv) that contains as the active ingredient the same compound, including the same salt form thereof.</w:t>
      </w:r>
    </w:p>
    <w:p>
      <w:pPr>
        <w:spacing w:after="0" w:line="177"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“GLP”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“Good Laboratory Practices” </w:t>
      </w:r>
      <w:r>
        <w:rPr>
          <w:rFonts w:ascii="Times New Roman" w:cs="Times New Roman" w:eastAsia="Times New Roman" w:hAnsi="Times New Roman"/>
          <w:sz w:val="18"/>
          <w:szCs w:val="18"/>
          <w:color w:val="auto"/>
        </w:rPr>
        <w:t>shall mean good laboratory practices required under the regulations set forth in 21 C.F.R. Part 58, as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during the term of this Agreement, and the requirements thereunder imposed by the FDA, and the equivalent thereof in any jurisdiction.</w:t>
      </w:r>
    </w:p>
    <w:p>
      <w:pPr>
        <w:spacing w:after="0" w:line="155" w:lineRule="exact"/>
        <w:rPr>
          <w:sz w:val="20"/>
          <w:szCs w:val="20"/>
          <w:color w:val="auto"/>
        </w:rPr>
      </w:pPr>
    </w:p>
    <w:p>
      <w:pPr>
        <w:jc w:val="both"/>
        <w:ind w:right="640" w:firstLine="456"/>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“GMP”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“Good Manufacturing Practices” </w:t>
      </w:r>
      <w:r>
        <w:rPr>
          <w:rFonts w:ascii="Times New Roman" w:cs="Times New Roman" w:eastAsia="Times New Roman" w:hAnsi="Times New Roman"/>
          <w:sz w:val="17"/>
          <w:szCs w:val="17"/>
          <w:color w:val="auto"/>
        </w:rPr>
        <w:t>shall mean the laws, regulations, guidelines, guidance, pharmaceutical industry standards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in force from time to time that apply to the Manufacture of each Program Compound or Program Product in each relevant jurisdiction, including, with respect to the U.S. Territory, the current good manufacturing practices required under the applicable regulations set forth in 21 C.F.R.</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Subchapter C (Drugs) and Subchapter H (Medical Devices), including without limitation Parts 210–211, 808, 812, and 820, and the requirements thereunder imposed by the FDA.</w:t>
      </w:r>
    </w:p>
    <w:p>
      <w:pPr>
        <w:spacing w:after="0" w:line="176"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Body” </w:t>
      </w:r>
      <w:r>
        <w:rPr>
          <w:rFonts w:ascii="Times New Roman" w:cs="Times New Roman" w:eastAsia="Times New Roman" w:hAnsi="Times New Roman"/>
          <w:sz w:val="18"/>
          <w:szCs w:val="18"/>
          <w:color w:val="auto"/>
        </w:rPr>
        <w:t>shall mean any: (i) nation, state, commonwealth, province, territory, county, municipality, district or other jurisdiction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(ii) supranational, federal, state, local, municipal, foreign or other government; (iii) governmental or quasi-governmental authority of any nature (including any governmental division, department, agency,</w:t>
      </w:r>
    </w:p>
    <w:p>
      <w:pPr>
        <w:spacing w:after="0" w:line="103" w:lineRule="exact"/>
        <w:rPr>
          <w:sz w:val="20"/>
          <w:szCs w:val="20"/>
          <w:color w:val="auto"/>
        </w:rPr>
      </w:pPr>
    </w:p>
    <w:p>
      <w:pPr>
        <w:ind w:right="400" w:firstLine="8"/>
        <w:spacing w:after="0" w:line="262" w:lineRule="auto"/>
        <w:tabs>
          <w:tab w:leader="none" w:pos="348"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65" w:right="279" w:bottom="1440" w:gutter="0" w:footer="0" w:header="0"/>
        </w:sectPr>
      </w:pPr>
    </w:p>
    <w:bookmarkStart w:id="339" w:name="page340"/>
    <w:bookmarkEnd w:id="339"/>
    <w:p>
      <w:pPr>
        <w:ind w:right="5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 instrumentality, official, ministry, fund, foundation, center, organization, unit, body or entity and any court or other tribunal); or (iv) self-regulatory organization (including the NASDAQ Global Market and the NASDAQ Global Select Market).</w:t>
      </w:r>
    </w:p>
    <w:p>
      <w:pPr>
        <w:spacing w:after="0" w:line="158"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“Government Official” </w:t>
      </w:r>
      <w:r>
        <w:rPr>
          <w:rFonts w:ascii="Times New Roman" w:cs="Times New Roman" w:eastAsia="Times New Roman" w:hAnsi="Times New Roman"/>
          <w:sz w:val="18"/>
          <w:szCs w:val="18"/>
          <w:color w:val="auto"/>
        </w:rPr>
        <w:t>shall mean any Person employed by or acting on behalf of a Governmental Body, government-controlled entity or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organization.</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“Grantback License” </w:t>
      </w:r>
      <w:r>
        <w:rPr>
          <w:rFonts w:ascii="Times New Roman" w:cs="Times New Roman" w:eastAsia="Times New Roman" w:hAnsi="Times New Roman"/>
          <w:sz w:val="18"/>
          <w:szCs w:val="18"/>
          <w:color w:val="auto"/>
        </w:rPr>
        <w:t>shall have the meaning assigned in Section 2.8(b).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“Grantback Products” </w:t>
      </w:r>
      <w:r>
        <w:rPr>
          <w:rFonts w:ascii="Times New Roman" w:cs="Times New Roman" w:eastAsia="Times New Roman" w:hAnsi="Times New Roman"/>
          <w:sz w:val="18"/>
          <w:szCs w:val="18"/>
          <w:color w:val="auto"/>
        </w:rPr>
        <w:t>shall have the meaning assigned in Section 2.8(b).</w:t>
      </w:r>
    </w:p>
    <w:p>
      <w:pPr>
        <w:spacing w:after="0" w:line="22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“IFRS” </w:t>
      </w:r>
      <w:r>
        <w:rPr>
          <w:rFonts w:ascii="Times New Roman" w:cs="Times New Roman" w:eastAsia="Times New Roman" w:hAnsi="Times New Roman"/>
          <w:sz w:val="18"/>
          <w:szCs w:val="18"/>
          <w:color w:val="auto"/>
        </w:rPr>
        <w:t>shall mean International Financial Reporting Standards as issued by the International Accounting Standards Board (IASB) and as adopted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European Union.</w:t>
      </w:r>
    </w:p>
    <w:p>
      <w:pPr>
        <w:spacing w:after="0" w:line="155" w:lineRule="exact"/>
        <w:rPr>
          <w:sz w:val="20"/>
          <w:szCs w:val="20"/>
          <w:color w:val="auto"/>
        </w:rPr>
      </w:pPr>
    </w:p>
    <w:p>
      <w:pPr>
        <w:ind w:right="4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 </w:t>
      </w:r>
      <w:r>
        <w:rPr>
          <w:rFonts w:ascii="Times New Roman" w:cs="Times New Roman" w:eastAsia="Times New Roman" w:hAnsi="Times New Roman"/>
          <w:sz w:val="18"/>
          <w:szCs w:val="18"/>
          <w:color w:val="auto"/>
        </w:rPr>
        <w:t>shall mean an Investigational New Drug application or the equivalent filed with or submitted to the relevant Regulatory Health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for example, the FDA, for authorization to commence human clinical trials.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“Indemnified Party” </w:t>
      </w:r>
      <w:r>
        <w:rPr>
          <w:rFonts w:ascii="Times New Roman" w:cs="Times New Roman" w:eastAsia="Times New Roman" w:hAnsi="Times New Roman"/>
          <w:sz w:val="18"/>
          <w:szCs w:val="18"/>
          <w:color w:val="auto"/>
        </w:rPr>
        <w:t>shall have the meaning assigned in Section 12.2(a).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“Indemnifying Party” </w:t>
      </w:r>
      <w:r>
        <w:rPr>
          <w:rFonts w:ascii="Times New Roman" w:cs="Times New Roman" w:eastAsia="Times New Roman" w:hAnsi="Times New Roman"/>
          <w:sz w:val="18"/>
          <w:szCs w:val="18"/>
          <w:color w:val="auto"/>
        </w:rPr>
        <w:t>shall have the meaning assigned in Section 12.2(a).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“Indirect Taxes” </w:t>
      </w:r>
      <w:r>
        <w:rPr>
          <w:rFonts w:ascii="Times New Roman" w:cs="Times New Roman" w:eastAsia="Times New Roman" w:hAnsi="Times New Roman"/>
          <w:sz w:val="18"/>
          <w:szCs w:val="18"/>
          <w:color w:val="auto"/>
        </w:rPr>
        <w:t>shall mean value added taxes, sales taxes, consumption taxes and other similar taxes.</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“Intellectual Property Rights”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“IPR” </w:t>
      </w:r>
      <w:r>
        <w:rPr>
          <w:rFonts w:ascii="Times New Roman" w:cs="Times New Roman" w:eastAsia="Times New Roman" w:hAnsi="Times New Roman"/>
          <w:sz w:val="18"/>
          <w:szCs w:val="18"/>
          <w:color w:val="auto"/>
        </w:rPr>
        <w:t>shall mean Patents, trademarks, service marks, trade secrets, trade names, registered designs, design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“Joint Patent” </w:t>
      </w:r>
      <w:r>
        <w:rPr>
          <w:rFonts w:ascii="Times New Roman" w:cs="Times New Roman" w:eastAsia="Times New Roman" w:hAnsi="Times New Roman"/>
          <w:sz w:val="18"/>
          <w:szCs w:val="18"/>
          <w:color w:val="auto"/>
        </w:rPr>
        <w:t>shall mean any Patent covering or claiming any invention within the Joint Program Know-How.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“Joint Program Know-How” </w:t>
      </w:r>
      <w:r>
        <w:rPr>
          <w:rFonts w:ascii="Times New Roman" w:cs="Times New Roman" w:eastAsia="Times New Roman" w:hAnsi="Times New Roman"/>
          <w:sz w:val="18"/>
          <w:szCs w:val="18"/>
          <w:color w:val="auto"/>
        </w:rPr>
        <w:t>shall have the meaning assigned in Section 8.2(b).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“Joint Technology” </w:t>
      </w:r>
      <w:r>
        <w:rPr>
          <w:rFonts w:ascii="Times New Roman" w:cs="Times New Roman" w:eastAsia="Times New Roman" w:hAnsi="Times New Roman"/>
          <w:sz w:val="18"/>
          <w:szCs w:val="18"/>
          <w:color w:val="auto"/>
        </w:rPr>
        <w:t>shall mean collectively, Joint Patents and Joint Program Know-How.</w:t>
      </w:r>
    </w:p>
    <w:p>
      <w:pPr>
        <w:spacing w:after="0" w:line="22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“Know-How” </w:t>
      </w:r>
      <w:r>
        <w:rPr>
          <w:rFonts w:ascii="Times New Roman" w:cs="Times New Roman" w:eastAsia="Times New Roman" w:hAnsi="Times New Roman"/>
          <w:sz w:val="18"/>
          <w:szCs w:val="18"/>
          <w:color w:val="auto"/>
        </w:rPr>
        <w:t>shall mean all inventions, discoveries, data, information (including scientific, technical or regulatory information), trade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means, methods, practices, formulae, instructions, procedures, techniques, materials, technology, results, analyses, designs, drawings, computer programs, apparatuses, specifications, technical assistance, laboratory, pre-clinical and clinical data (including laboratory notes and notebooks), and other material or know-how, in written, electronic or any other form, whether or not patentable, that are necessary or useful to Exploit any Program Compound or</w:t>
      </w:r>
    </w:p>
    <w:p>
      <w:pPr>
        <w:sectPr>
          <w:pgSz w:w="11900" w:h="16838" w:orient="portrait"/>
          <w:cols w:equalWidth="0" w:num="1">
            <w:col w:w="11380"/>
          </w:cols>
          <w:pgMar w:left="240" w:top="270" w:right="279" w:bottom="1440" w:gutter="0" w:footer="0" w:header="0"/>
        </w:sectPr>
      </w:pPr>
    </w:p>
    <w:bookmarkStart w:id="340" w:name="page341"/>
    <w:bookmarkEnd w:id="34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Product, including without limitation any such Know-How that relates to any method of making any Program Compound or Program Product, any composition or formulations of any Program Compound or Program Product, or any method of using or administering any Program Compound or Program Product,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84" w:lineRule="exact"/>
        <w:rPr>
          <w:sz w:val="20"/>
          <w:szCs w:val="20"/>
          <w:color w:val="auto"/>
        </w:rPr>
      </w:pPr>
    </w:p>
    <w:p>
      <w:pPr>
        <w:ind w:right="2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“Knowledge” </w:t>
      </w:r>
      <w:r>
        <w:rPr>
          <w:rFonts w:ascii="Times New Roman" w:cs="Times New Roman" w:eastAsia="Times New Roman" w:hAnsi="Times New Roman"/>
          <w:sz w:val="18"/>
          <w:szCs w:val="18"/>
          <w:color w:val="auto"/>
        </w:rPr>
        <w:t>shall mean the good faith understanding of the executive officers of Ardelyx and its Affiliates, with respect to relevant facts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after performing a diligent inquiry of the employees of Ardelyx and its Affiliates with respect to such facts and information. For clarity, for purposes of the representations and warranties set forth in Section 9.1(b),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will not include any obligation to conduct any special searches or analyses such as, but not limited to, any analysis of Ardelyx’s freedom to operate with respect to Patents relevant to Program Compounds or Program Products.</w:t>
      </w:r>
    </w:p>
    <w:p>
      <w:pPr>
        <w:spacing w:after="0" w:line="180"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“Lead Ardelyx Compound” </w:t>
      </w:r>
      <w:r>
        <w:rPr>
          <w:rFonts w:ascii="Times New Roman" w:cs="Times New Roman" w:eastAsia="Times New Roman" w:hAnsi="Times New Roman"/>
          <w:sz w:val="18"/>
          <w:szCs w:val="18"/>
          <w:color w:val="auto"/>
        </w:rPr>
        <w:t>shall mean the NaP2b inhibitor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and any metabolites, salts, esters, free acid forms, crystal forms, free base 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pro-drug forms, racemates and all optically active forms thereof.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“Lead Development Candidate” </w:t>
      </w:r>
      <w:r>
        <w:rPr>
          <w:rFonts w:ascii="Times New Roman" w:cs="Times New Roman" w:eastAsia="Times New Roman" w:hAnsi="Times New Roman"/>
          <w:sz w:val="18"/>
          <w:szCs w:val="18"/>
          <w:color w:val="auto"/>
        </w:rPr>
        <w:t>shall mean the first Program Compound that has been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“Licensed Know-How” </w:t>
      </w:r>
      <w:r>
        <w:rPr>
          <w:rFonts w:ascii="Times New Roman" w:cs="Times New Roman" w:eastAsia="Times New Roman" w:hAnsi="Times New Roman"/>
          <w:sz w:val="18"/>
          <w:szCs w:val="18"/>
          <w:color w:val="auto"/>
        </w:rPr>
        <w:t>shall mean (i) Ardelyx Background Know-How, and (ii) Sole Program Know-How owned by Ardelyx.</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“Licensed Patents” </w:t>
      </w:r>
      <w:r>
        <w:rPr>
          <w:rFonts w:ascii="Times New Roman" w:cs="Times New Roman" w:eastAsia="Times New Roman" w:hAnsi="Times New Roman"/>
          <w:sz w:val="18"/>
          <w:szCs w:val="18"/>
          <w:color w:val="auto"/>
        </w:rPr>
        <w:t>shall mean (i) all of the Listed Patents and (ii) all Ardelyx Sole Invention Patents.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“Licensed Technology” </w:t>
      </w:r>
      <w:r>
        <w:rPr>
          <w:rFonts w:ascii="Times New Roman" w:cs="Times New Roman" w:eastAsia="Times New Roman" w:hAnsi="Times New Roman"/>
          <w:sz w:val="18"/>
          <w:szCs w:val="18"/>
          <w:color w:val="auto"/>
        </w:rPr>
        <w:t>shall mean all Licensed Patents and Licensed Know-How.</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“Listed Patents” </w:t>
      </w:r>
      <w:r>
        <w:rPr>
          <w:rFonts w:ascii="Times New Roman" w:cs="Times New Roman" w:eastAsia="Times New Roman" w:hAnsi="Times New Roman"/>
          <w:sz w:val="18"/>
          <w:szCs w:val="18"/>
          <w:color w:val="auto"/>
        </w:rPr>
        <w:t>shall mean the Patents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any Patents issuing after the Effective Date claiming priority to any such Patents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Exhibit A.</w:t>
      </w:r>
    </w:p>
    <w:p>
      <w:pPr>
        <w:spacing w:after="0" w:line="155" w:lineRule="exact"/>
        <w:rPr>
          <w:sz w:val="20"/>
          <w:szCs w:val="20"/>
          <w:color w:val="auto"/>
        </w:rPr>
      </w:pPr>
    </w:p>
    <w:p>
      <w:pPr>
        <w:ind w:right="100" w:firstLine="456"/>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“Losses” </w:t>
      </w:r>
      <w:r>
        <w:rPr>
          <w:rFonts w:ascii="Times New Roman" w:cs="Times New Roman" w:eastAsia="Times New Roman" w:hAnsi="Times New Roman"/>
          <w:sz w:val="17"/>
          <w:szCs w:val="17"/>
          <w:color w:val="auto"/>
        </w:rPr>
        <w:t>shall mean any and all direct or indirect liabilities, claims, actions, damages, losses or expenses, including interest, penalties, and reasonable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lawyers’ fees and disbursements. In calculating Losses, the legal duty to mitigate on the part of the Party suffering the Loss shall be taken into account.</w:t>
      </w:r>
    </w:p>
    <w:p>
      <w:pPr>
        <w:spacing w:after="0" w:line="132" w:lineRule="exact"/>
        <w:rPr>
          <w:sz w:val="20"/>
          <w:szCs w:val="20"/>
          <w:color w:val="auto"/>
        </w:rPr>
      </w:pPr>
    </w:p>
    <w:p>
      <w:pPr>
        <w:ind w:right="5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Biopharmaceutical Company” </w:t>
      </w:r>
      <w:r>
        <w:rPr>
          <w:rFonts w:ascii="Times New Roman" w:cs="Times New Roman" w:eastAsia="Times New Roman" w:hAnsi="Times New Roman"/>
          <w:sz w:val="18"/>
          <w:szCs w:val="18"/>
          <w:color w:val="auto"/>
        </w:rPr>
        <w:t>shall mean (a) an entity that Commercializes or Develops healthcare products for human consumption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but not limited to human therapeutic drugs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which has either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(b) any Affiliate thereof.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“Major Country” </w:t>
      </w:r>
      <w:r>
        <w:rPr>
          <w:rFonts w:ascii="Times New Roman" w:cs="Times New Roman" w:eastAsia="Times New Roman" w:hAnsi="Times New Roman"/>
          <w:sz w:val="18"/>
          <w:szCs w:val="18"/>
          <w:color w:val="auto"/>
        </w:rPr>
        <w:t>shall mean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“Manufacture”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“Manufacturing” </w:t>
      </w:r>
      <w:r>
        <w:rPr>
          <w:rFonts w:ascii="Times New Roman" w:cs="Times New Roman" w:eastAsia="Times New Roman" w:hAnsi="Times New Roman"/>
          <w:sz w:val="18"/>
          <w:szCs w:val="18"/>
          <w:color w:val="auto"/>
        </w:rPr>
        <w:t>shall mean all activities in connection with the synthesis, manufacture, processing, formulating,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quality control, quality assurance and lot release testing), labeling, bulk packaging or storage and delivery of Program Compound or Program Product, or any intermediate thereof.</w:t>
      </w:r>
    </w:p>
    <w:p>
      <w:pPr>
        <w:spacing w:after="0" w:line="103" w:lineRule="exact"/>
        <w:rPr>
          <w:sz w:val="20"/>
          <w:szCs w:val="20"/>
          <w:color w:val="auto"/>
        </w:rPr>
      </w:pPr>
    </w:p>
    <w:p>
      <w:pPr>
        <w:ind w:right="400" w:firstLine="8"/>
        <w:spacing w:after="0" w:line="262" w:lineRule="auto"/>
        <w:tabs>
          <w:tab w:leader="none" w:pos="348"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41" w:name="page342"/>
    <w:bookmarkEnd w:id="341"/>
    <w:p>
      <w:pPr>
        <w:ind w:right="3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“Material Anti-Corruption Law Violation” </w:t>
      </w:r>
      <w:r>
        <w:rPr>
          <w:rFonts w:ascii="Times New Roman" w:cs="Times New Roman" w:eastAsia="Times New Roman" w:hAnsi="Times New Roman"/>
          <w:sz w:val="18"/>
          <w:szCs w:val="18"/>
          <w:color w:val="auto"/>
        </w:rPr>
        <w:t>shall mean a violation of an Anti-Corruption Law directly relating to the Exploitation of the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or the Program Products which would, if it were publicly known, be reasonably expected to have a material adverse effect on the Party committing such violation or on the reputation of the other Party because of its relationship with the Party committing such violation.</w:t>
      </w:r>
    </w:p>
    <w:p>
      <w:pPr>
        <w:spacing w:after="0" w:line="171"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“Materials” </w:t>
      </w:r>
      <w:r>
        <w:rPr>
          <w:rFonts w:ascii="Times New Roman" w:cs="Times New Roman" w:eastAsia="Times New Roman" w:hAnsi="Times New Roman"/>
          <w:sz w:val="18"/>
          <w:szCs w:val="18"/>
          <w:color w:val="auto"/>
        </w:rPr>
        <w:t>shall mean, individually and collectively, those materials that were developed or generated by Ardelyx as a result of Ardelyx’s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Development efforts relating to Ardelyx Compounds on or before the Effective Date and are described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“Mediation Notice” </w:t>
      </w:r>
      <w:r>
        <w:rPr>
          <w:rFonts w:ascii="Times New Roman" w:cs="Times New Roman" w:eastAsia="Times New Roman" w:hAnsi="Times New Roman"/>
          <w:sz w:val="18"/>
          <w:szCs w:val="18"/>
          <w:color w:val="auto"/>
        </w:rPr>
        <w:t>shall have the meaning assigned in Section 13.2(a).</w:t>
      </w:r>
    </w:p>
    <w:p>
      <w:pPr>
        <w:spacing w:after="0" w:line="225" w:lineRule="exact"/>
        <w:rPr>
          <w:sz w:val="20"/>
          <w:szCs w:val="20"/>
          <w:color w:val="auto"/>
        </w:rPr>
      </w:pPr>
    </w:p>
    <w:p>
      <w:pPr>
        <w:ind w:right="5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“NaP2b” </w:t>
      </w:r>
      <w:r>
        <w:rPr>
          <w:rFonts w:ascii="Times New Roman" w:cs="Times New Roman" w:eastAsia="Times New Roman" w:hAnsi="Times New Roman"/>
          <w:sz w:val="18"/>
          <w:szCs w:val="18"/>
          <w:color w:val="auto"/>
        </w:rPr>
        <w:t>shall mean the sodium phosphate co-transporter 2B encoded by the SCL34A2 gene (also sometimes identified in scientific literature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“NaPi2b” or “NPT2b”).</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“NaP2b Product” </w:t>
      </w:r>
      <w:r>
        <w:rPr>
          <w:rFonts w:ascii="Times New Roman" w:cs="Times New Roman" w:eastAsia="Times New Roman" w:hAnsi="Times New Roman"/>
          <w:sz w:val="18"/>
          <w:szCs w:val="18"/>
          <w:color w:val="auto"/>
        </w:rPr>
        <w:t>shall have the meaning assigned in Section 2.9(a).</w:t>
      </w:r>
    </w:p>
    <w:p>
      <w:pPr>
        <w:spacing w:after="0" w:line="225"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shall mean the gross amount invoiced by Sanofi, its Affiliate, Sublicensees and Sanofi Licensees for sales of Program Products to a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(including Distributors but excluding, for the avoidance of doubt, Sublicensees and Sanofi Licensees) less deductions for: (i) customary trade, quantity discounts, settlement discounts, or chargebacks actually granted, allowed, or incurred in the ordinary course of business in connection with the sale of the Program Products, (ii) allowances or credits to customers, not in excess of the selling price of the Program Products, on account of governmental requirements, rejection, recalls, or return of the Program Products, (iii) distributor fees, rebates, or allowances actually granted or allowed, including without limitation government and managed care rebates, (iv) Indirect Taxes and excise taxes or customs duties paid by the selling entity and any other governmental charges imposed upon the sale; importation, use or distribution of the Program Products, (v) bad debts not collected by Sanofi, calculated in accordance with IFRS, and (vi)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Net Sales shall be calculated using Sanofi’s internally audited systems used to report such sales as adjusted for items (i) through</w:t>
      </w:r>
    </w:p>
    <w:p>
      <w:pPr>
        <w:spacing w:after="0" w:line="5" w:lineRule="exact"/>
        <w:rPr>
          <w:sz w:val="20"/>
          <w:szCs w:val="20"/>
          <w:color w:val="auto"/>
        </w:rPr>
      </w:pPr>
    </w:p>
    <w:p>
      <w:pPr>
        <w:ind w:right="40" w:firstLine="8"/>
        <w:spacing w:after="0" w:line="261" w:lineRule="auto"/>
        <w:tabs>
          <w:tab w:leader="none" w:pos="30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not taken into account in such systems. Deductions pursuant to subsection (v) above shall be taken in the Calendar Quarter in which such sales are no longer recorded as a receivable. Deductions pursuant to subsection (vi) above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“Non-Breaching Party” </w:t>
      </w:r>
      <w:r>
        <w:rPr>
          <w:rFonts w:ascii="Times New Roman" w:cs="Times New Roman" w:eastAsia="Times New Roman" w:hAnsi="Times New Roman"/>
          <w:sz w:val="18"/>
          <w:szCs w:val="18"/>
          <w:color w:val="auto"/>
        </w:rPr>
        <w:t>shall have the meaning assigned in Section 11.2(a).</w:t>
      </w:r>
    </w:p>
    <w:p>
      <w:pPr>
        <w:spacing w:after="0" w:line="225"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 Exercise Period” </w:t>
      </w:r>
      <w:r>
        <w:rPr>
          <w:rFonts w:ascii="Times New Roman" w:cs="Times New Roman" w:eastAsia="Times New Roman" w:hAnsi="Times New Roman"/>
          <w:sz w:val="18"/>
          <w:szCs w:val="18"/>
          <w:color w:val="auto"/>
        </w:rPr>
        <w:t>shall mean the period commencing on the Effective Date and terminating upon the earlier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or (ii)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termination of this Agreement.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“Option to Continue” </w:t>
      </w:r>
      <w:r>
        <w:rPr>
          <w:rFonts w:ascii="Times New Roman" w:cs="Times New Roman" w:eastAsia="Times New Roman" w:hAnsi="Times New Roman"/>
          <w:sz w:val="18"/>
          <w:szCs w:val="18"/>
          <w:color w:val="auto"/>
        </w:rPr>
        <w:t>shall have the meaning assigned in Section 4.1(a).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“Other Ingredients” </w:t>
      </w:r>
      <w:r>
        <w:rPr>
          <w:rFonts w:ascii="Times New Roman" w:cs="Times New Roman" w:eastAsia="Times New Roman" w:hAnsi="Times New Roman"/>
          <w:sz w:val="18"/>
          <w:szCs w:val="18"/>
          <w:color w:val="auto"/>
        </w:rPr>
        <w:t>shall have the meaning assigned in Section 6.5.</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Promotional Activities” </w:t>
      </w:r>
      <w:r>
        <w:rPr>
          <w:rFonts w:ascii="Times New Roman" w:cs="Times New Roman" w:eastAsia="Times New Roman" w:hAnsi="Times New Roman"/>
          <w:sz w:val="18"/>
          <w:szCs w:val="18"/>
          <w:color w:val="auto"/>
        </w:rPr>
        <w:t>shall mean both off line and online activities including but not limited to, sales activities, other than Detailing,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training and sales meetings;</w:t>
      </w:r>
    </w:p>
    <w:p>
      <w:pPr>
        <w:spacing w:after="0" w:line="87" w:lineRule="exact"/>
        <w:rPr>
          <w:sz w:val="20"/>
          <w:szCs w:val="20"/>
          <w:color w:val="auto"/>
        </w:rPr>
      </w:pPr>
    </w:p>
    <w:p>
      <w:pPr>
        <w:ind w:right="440" w:firstLine="8"/>
        <w:spacing w:after="0" w:line="262" w:lineRule="auto"/>
        <w:tabs>
          <w:tab w:leader="none" w:pos="348"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6" w:right="239" w:bottom="1440" w:gutter="0" w:footer="0" w:header="0"/>
        </w:sectPr>
      </w:pPr>
    </w:p>
    <w:bookmarkStart w:id="342" w:name="page343"/>
    <w:bookmarkEnd w:id="342"/>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marketing activities such as advertising and promotion; and medical or scientific affairs activities, such as conferences, speakers’ bureaus, and continuing medical education activities; provided that all such activities shall be in accordance with the FDA’s Office of Prescription Drug Promotion and Applicable Laws.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“Party” </w:t>
      </w:r>
      <w:r>
        <w:rPr>
          <w:rFonts w:ascii="Times New Roman" w:cs="Times New Roman" w:eastAsia="Times New Roman" w:hAnsi="Times New Roman"/>
          <w:sz w:val="18"/>
          <w:szCs w:val="18"/>
          <w:color w:val="auto"/>
        </w:rPr>
        <w:t>shall have the meaning assigned in the first paragraph of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“Party Representatives” </w:t>
      </w:r>
      <w:r>
        <w:rPr>
          <w:rFonts w:ascii="Times New Roman" w:cs="Times New Roman" w:eastAsia="Times New Roman" w:hAnsi="Times New Roman"/>
          <w:sz w:val="18"/>
          <w:szCs w:val="18"/>
          <w:color w:val="auto"/>
        </w:rPr>
        <w:t>shall have the meaning assigned in Section 9.3(a).</w:t>
      </w:r>
    </w:p>
    <w:p>
      <w:pPr>
        <w:spacing w:after="0" w:line="2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“Patent” </w:t>
      </w:r>
      <w:r>
        <w:rPr>
          <w:rFonts w:ascii="Times New Roman" w:cs="Times New Roman" w:eastAsia="Times New Roman" w:hAnsi="Times New Roman"/>
          <w:sz w:val="18"/>
          <w:szCs w:val="18"/>
          <w:color w:val="auto"/>
        </w:rPr>
        <w:t>shall mean (i) all national, regional and international patents and patent applications, including provisional patent applications, (ii) all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filed either from such patents, patent applications or provisional applications or from an application claiming priority to any of these, including divisionals, continuations, continuations-in-part, provisionals, converted provisionals, continued prosecution applications and requests for continued examination, (iii) any and all patents that have issued or in the future issue from the foregoing patent applications ((i) and (ii)), including utility models, petty patents and design patents and certificates of invention, and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w:t>
      </w:r>
    </w:p>
    <w:p>
      <w:pPr>
        <w:spacing w:after="0" w:line="183"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“Patent Costs</w:t>
      </w:r>
      <w:r>
        <w:rPr>
          <w:rFonts w:ascii="Times New Roman" w:cs="Times New Roman" w:eastAsia="Times New Roman" w:hAnsi="Times New Roman"/>
          <w:sz w:val="18"/>
          <w:szCs w:val="18"/>
          <w:color w:val="auto"/>
        </w:rPr>
        <w:t>” shall mean external, out-of-pocket costs paid to outside counsel for the prosecution and defense of the applicable Patent(s),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issuance, registration, conversion or maintenance fees associated with the applicable Patent(s).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“Payments” </w:t>
      </w:r>
      <w:r>
        <w:rPr>
          <w:rFonts w:ascii="Times New Roman" w:cs="Times New Roman" w:eastAsia="Times New Roman" w:hAnsi="Times New Roman"/>
          <w:sz w:val="18"/>
          <w:szCs w:val="18"/>
          <w:color w:val="auto"/>
        </w:rPr>
        <w:t>shall have the meaning assigned in Section 6.8.</w:t>
      </w:r>
    </w:p>
    <w:p>
      <w:pPr>
        <w:spacing w:after="0" w:line="225"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shall mean any individual, sole proprietorship, corporation, partnership, association, joint-stock company, trust, unincorporated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or other similar entity or organization, including a Government Body or Regulatory Authority.</w:t>
      </w:r>
    </w:p>
    <w:p>
      <w:pPr>
        <w:spacing w:after="0" w:line="15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“Phase 2 Clinical Trial” </w:t>
      </w:r>
      <w:r>
        <w:rPr>
          <w:rFonts w:ascii="Times New Roman" w:cs="Times New Roman" w:eastAsia="Times New Roman" w:hAnsi="Times New Roman"/>
          <w:sz w:val="18"/>
          <w:szCs w:val="18"/>
          <w:color w:val="auto"/>
        </w:rPr>
        <w:t>shall mean any clinical study that is not intended to be used as a pivotal study for purposes of seeking Regulatory Approval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 Country and that is conducted on human patients who have the relevant disease or condition with primary endpoints to establish the efficacy of a Program Product for its intended use and to define warnings, precautions, and adverse reactions that may be associated with the pharmaceutical product in the dosage range to be prescribed. “Phase 2 Clinical Trial” shall include without limitation any clinical trial that would satisfy requirements of 21 C.F.R. § 312.21(b).</w:t>
      </w:r>
    </w:p>
    <w:p>
      <w:pPr>
        <w:spacing w:after="0" w:line="18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“Phase 2b Clinical Trial” </w:t>
      </w:r>
      <w:r>
        <w:rPr>
          <w:rFonts w:ascii="Times New Roman" w:cs="Times New Roman" w:eastAsia="Times New Roman" w:hAnsi="Times New Roman"/>
          <w:sz w:val="18"/>
          <w:szCs w:val="18"/>
          <w:color w:val="auto"/>
        </w:rPr>
        <w:t>shall mean a Phase 2 Clinical Trial that is designed in such a way as to provide efficacy and safety information about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Product that, alone or with other Phase 2b Clinical Trials, would be reasonably intended to lead to an End-of-Phase 2 (EOP2) meeting with the FDA, or an equivalent meeting with any Regulatory Health Authority, or a subsequent Phase 3 Clinical Trial, even if such EOP2 meeting or Phase 3 Clinical Trial does not occur.</w:t>
      </w:r>
    </w:p>
    <w:p>
      <w:pPr>
        <w:spacing w:after="0" w:line="177"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3 Clinical Trial” </w:t>
      </w:r>
      <w:r>
        <w:rPr>
          <w:rFonts w:ascii="Times New Roman" w:cs="Times New Roman" w:eastAsia="Times New Roman" w:hAnsi="Times New Roman"/>
          <w:sz w:val="18"/>
          <w:szCs w:val="18"/>
          <w:color w:val="auto"/>
        </w:rPr>
        <w:t>shall mean any clinical study intended or used as a pivotal study for purposes of seeking Regulatory Approval, which study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on sufficient</w:t>
      </w:r>
    </w:p>
    <w:p>
      <w:pPr>
        <w:sectPr>
          <w:pgSz w:w="11900" w:h="16838" w:orient="portrait"/>
          <w:cols w:equalWidth="0" w:num="1">
            <w:col w:w="11400"/>
          </w:cols>
          <w:pgMar w:left="240" w:top="269" w:right="259" w:bottom="1440" w:gutter="0" w:footer="0" w:header="0"/>
        </w:sectPr>
      </w:pPr>
    </w:p>
    <w:bookmarkStart w:id="343" w:name="page344"/>
    <w:bookmarkEnd w:id="34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numbers of human patients to establish, alone or with other Phase 3 Clinical Trials, that a pharmaceutical product is safe and efficacious for its intended use(s), to determine warnings, precautions, and adverse reactions that are associated with the pharmaceutical product in the dosage range to be prescribed, and at a standard suitable to obtain Regulatory Approval of such pharmaceutical product in a Major Country or label expansion of such pharmaceutical product. “Phase 3 Clinical Trial” shall include without limitation any clinical trial that, alone or with other Phase 3 Clinical Trials, would satisfy requirements of 21 C.F.R. § 312.21(c).</w:t>
      </w:r>
    </w:p>
    <w:p>
      <w:pPr>
        <w:spacing w:after="0" w:line="180"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4 Clinical Trial” </w:t>
      </w:r>
      <w:r>
        <w:rPr>
          <w:rFonts w:ascii="Times New Roman" w:cs="Times New Roman" w:eastAsia="Times New Roman" w:hAnsi="Times New Roman"/>
          <w:sz w:val="18"/>
          <w:szCs w:val="18"/>
          <w:color w:val="auto"/>
        </w:rPr>
        <w:t>shall mean any clinical study commenced after the Regulatory Approval of a pharmaceutical product for a certain indication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further information about such product for such indication, including its long-term risks, benefits and optimal use.</w:t>
      </w:r>
    </w:p>
    <w:p>
      <w:pPr>
        <w:spacing w:after="0" w:line="155"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“Pre-Approval Activities” </w:t>
      </w:r>
      <w:r>
        <w:rPr>
          <w:rFonts w:ascii="Times New Roman" w:cs="Times New Roman" w:eastAsia="Times New Roman" w:hAnsi="Times New Roman"/>
          <w:sz w:val="18"/>
          <w:szCs w:val="18"/>
          <w:color w:val="auto"/>
        </w:rPr>
        <w:t>shall mean all Commercialization activities undertaken with respect to a Program Product prior to First Commercial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preparation for the launch of such Program Product in the U.S. Territory, in accordance with Applicable Laws. Pre-Approval Activities shall include without limitation advertising, education, product-related public relations, health care economic studies, governmental affairs activities for reimbursement and formulary acceptance, sales force training, trademark selection, filing, prosecution, and enforcement, and other activities included within the US Commercialization Plan prior to the First Commercial Sale of a Program Product in the U.S. Territory.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“Pre-Clinical Development Plan” </w:t>
      </w:r>
      <w:r>
        <w:rPr>
          <w:rFonts w:ascii="Times New Roman" w:cs="Times New Roman" w:eastAsia="Times New Roman" w:hAnsi="Times New Roman"/>
          <w:sz w:val="18"/>
          <w:szCs w:val="18"/>
          <w:color w:val="auto"/>
        </w:rPr>
        <w:t>shall have the meaning assigned in Section 3.6.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“Prior Development Phase” </w:t>
      </w:r>
      <w:r>
        <w:rPr>
          <w:rFonts w:ascii="Times New Roman" w:cs="Times New Roman" w:eastAsia="Times New Roman" w:hAnsi="Times New Roman"/>
          <w:sz w:val="18"/>
          <w:szCs w:val="18"/>
          <w:color w:val="auto"/>
        </w:rPr>
        <w:t>shall have the meaning assigned in Section 3.5.</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“Product Information” </w:t>
      </w:r>
      <w:r>
        <w:rPr>
          <w:rFonts w:ascii="Times New Roman" w:cs="Times New Roman" w:eastAsia="Times New Roman" w:hAnsi="Times New Roman"/>
          <w:sz w:val="18"/>
          <w:szCs w:val="18"/>
          <w:color w:val="auto"/>
        </w:rPr>
        <w:t>shall have the meaning assigned in Section 7.1.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“Product Trademark” </w:t>
      </w:r>
      <w:r>
        <w:rPr>
          <w:rFonts w:ascii="Times New Roman" w:cs="Times New Roman" w:eastAsia="Times New Roman" w:hAnsi="Times New Roman"/>
          <w:sz w:val="18"/>
          <w:szCs w:val="18"/>
          <w:color w:val="auto"/>
        </w:rPr>
        <w:t>shall have the meaning assigned in Section 8.7(a).</w:t>
      </w:r>
    </w:p>
    <w:p>
      <w:pPr>
        <w:spacing w:after="0" w:line="225"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 </w:t>
      </w:r>
      <w:r>
        <w:rPr>
          <w:rFonts w:ascii="Times New Roman" w:cs="Times New Roman" w:eastAsia="Times New Roman" w:hAnsi="Times New Roman"/>
          <w:sz w:val="18"/>
          <w:szCs w:val="18"/>
          <w:color w:val="auto"/>
        </w:rPr>
        <w:t>shall mean the Exploitation activities conducted by Sanofi, its Affiliates, Sublicensees or Sanofi Licenses (and, where applicable,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Ardelyx) in relation to Program Compounds and Program Products under this Agreement.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“Program Compounds” </w:t>
      </w:r>
      <w:r>
        <w:rPr>
          <w:rFonts w:ascii="Times New Roman" w:cs="Times New Roman" w:eastAsia="Times New Roman" w:hAnsi="Times New Roman"/>
          <w:sz w:val="18"/>
          <w:szCs w:val="18"/>
          <w:color w:val="auto"/>
        </w:rPr>
        <w:t>shall mean any and all Covered Compounds and Ardelyx Compounds.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“Program Patents” </w:t>
      </w:r>
      <w:r>
        <w:rPr>
          <w:rFonts w:ascii="Times New Roman" w:cs="Times New Roman" w:eastAsia="Times New Roman" w:hAnsi="Times New Roman"/>
          <w:sz w:val="18"/>
          <w:szCs w:val="18"/>
          <w:color w:val="auto"/>
        </w:rPr>
        <w:t>shall mean any and all Listed Patents, Ardelyx Sole Invention Patents, Sanofi Sole Invention Patents and Joint Patents.</w:t>
      </w:r>
    </w:p>
    <w:p>
      <w:pPr>
        <w:spacing w:after="0" w:line="22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 Products” </w:t>
      </w:r>
      <w:r>
        <w:rPr>
          <w:rFonts w:ascii="Times New Roman" w:cs="Times New Roman" w:eastAsia="Times New Roman" w:hAnsi="Times New Roman"/>
          <w:sz w:val="18"/>
          <w:szCs w:val="18"/>
          <w:color w:val="auto"/>
        </w:rPr>
        <w:t>shall mean any and all products in forms suitable for human or animal applications containing a Program Compound as an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 including Combination Products.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“Promotion Activities” </w:t>
      </w:r>
      <w:r>
        <w:rPr>
          <w:rFonts w:ascii="Times New Roman" w:cs="Times New Roman" w:eastAsia="Times New Roman" w:hAnsi="Times New Roman"/>
          <w:sz w:val="18"/>
          <w:szCs w:val="18"/>
          <w:color w:val="auto"/>
        </w:rPr>
        <w:t>shall have the meaning assigned in Section 2.6.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“Promotion FTE Rate” </w:t>
      </w:r>
      <w:r>
        <w:rPr>
          <w:rFonts w:ascii="Times New Roman" w:cs="Times New Roman" w:eastAsia="Times New Roman" w:hAnsi="Times New Roman"/>
          <w:sz w:val="18"/>
          <w:szCs w:val="18"/>
          <w:color w:val="auto"/>
        </w:rPr>
        <w:t>shall have the meaning assigned in Section 5.8(b).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“Promotion Proposal” </w:t>
      </w:r>
      <w:r>
        <w:rPr>
          <w:rFonts w:ascii="Times New Roman" w:cs="Times New Roman" w:eastAsia="Times New Roman" w:hAnsi="Times New Roman"/>
          <w:sz w:val="18"/>
          <w:szCs w:val="18"/>
          <w:color w:val="auto"/>
        </w:rPr>
        <w:t>shall have the meaning assigned in Section 5.8(b).</w:t>
      </w:r>
    </w:p>
    <w:p>
      <w:pPr>
        <w:sectPr>
          <w:pgSz w:w="11900" w:h="16838" w:orient="portrait"/>
          <w:cols w:equalWidth="0" w:num="1">
            <w:col w:w="11420"/>
          </w:cols>
          <w:pgMar w:left="240" w:top="269" w:right="239" w:bottom="1440" w:gutter="0" w:footer="0" w:header="0"/>
        </w:sectPr>
      </w:pPr>
    </w:p>
    <w:bookmarkStart w:id="344" w:name="page345"/>
    <w:bookmarkEnd w:id="344"/>
    <w:p>
      <w:pPr>
        <w:ind w:right="4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“Regulatory Approval” </w:t>
      </w:r>
      <w:r>
        <w:rPr>
          <w:rFonts w:ascii="Times New Roman" w:cs="Times New Roman" w:eastAsia="Times New Roman" w:hAnsi="Times New Roman"/>
          <w:sz w:val="18"/>
          <w:szCs w:val="18"/>
          <w:color w:val="auto"/>
        </w:rPr>
        <w:t>shall mean any and all approvals (including without limitation pricing and reimbursement approvals), product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establishment licenses, registrations, or authorizations of any regional, federal, state, or local Regulatory Health Authority, department, bureau, or other governmental entity, necessary to commercially distribute, sell or market a Program Product in a regulatory jurisdiction, including, where applicable,</w:t>
      </w:r>
    </w:p>
    <w:p>
      <w:pPr>
        <w:ind w:right="260" w:firstLine="8"/>
        <w:spacing w:after="0" w:line="261" w:lineRule="auto"/>
        <w:tabs>
          <w:tab w:leader="none" w:pos="24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approval in such jurisdiction, (b) pre- and post-approval marketing authorizations (including any prerequisite Manufacturing approval or authorization related thereto), (c) labeling approval and (d) technical, medical and scientific licenses.</w:t>
      </w:r>
    </w:p>
    <w:p>
      <w:pPr>
        <w:spacing w:after="0" w:line="176"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“Regulatory Authority” </w:t>
      </w:r>
      <w:r>
        <w:rPr>
          <w:rFonts w:ascii="Times New Roman" w:cs="Times New Roman" w:eastAsia="Times New Roman" w:hAnsi="Times New Roman"/>
          <w:sz w:val="18"/>
          <w:szCs w:val="18"/>
          <w:color w:val="auto"/>
        </w:rPr>
        <w:t>shall mean any court or government body, whether national, supra-national, federal, state, local, foreign or provincial,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political subdivision thereof, including any department, commission, board, bureau, agency, or other regulatory or administrative governmental authority or instrumentality, and further including any quasi-governmental Person or entity exercising the functions of any of these.</w:t>
      </w:r>
    </w:p>
    <w:p>
      <w:pPr>
        <w:spacing w:after="0" w:line="171"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“Regulatory Documentation” </w:t>
      </w:r>
      <w:r>
        <w:rPr>
          <w:rFonts w:ascii="Times New Roman" w:cs="Times New Roman" w:eastAsia="Times New Roman" w:hAnsi="Times New Roman"/>
          <w:sz w:val="18"/>
          <w:szCs w:val="18"/>
          <w:color w:val="auto"/>
        </w:rPr>
        <w:t>shall mean all applications, registrations, licenses, authorizations and approvals, all correspondence submitted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any Program Compounds or Program Products, including all INDs, Regulatory Approvals, regulatory drug lists, advertising and promotion documents, adverse event files and complaint files.</w:t>
      </w:r>
    </w:p>
    <w:p>
      <w:pPr>
        <w:spacing w:after="0" w:line="18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Health Authority” </w:t>
      </w:r>
      <w:r>
        <w:rPr>
          <w:rFonts w:ascii="Times New Roman" w:cs="Times New Roman" w:eastAsia="Times New Roman" w:hAnsi="Times New Roman"/>
          <w:sz w:val="18"/>
          <w:szCs w:val="18"/>
          <w:color w:val="auto"/>
        </w:rPr>
        <w:t>shall mean any applicable national (for example, FDA or Japan’s Pharmaceuticals and Medical Devices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supranational (for example, the EMA), regional, state, provincial or local regulatory health authority, department, bureau, commission, council, or other government entity regulating or otherwise exercising authority with respect to the Exploitation of Program Compounds or Program Products in the Territory, including any such entity involved in the granting of Regulatory Approval for pharmaceutical products.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“Responsible Party” </w:t>
      </w:r>
      <w:r>
        <w:rPr>
          <w:rFonts w:ascii="Times New Roman" w:cs="Times New Roman" w:eastAsia="Times New Roman" w:hAnsi="Times New Roman"/>
          <w:sz w:val="18"/>
          <w:szCs w:val="18"/>
          <w:color w:val="auto"/>
        </w:rPr>
        <w:t>shall have the meaning assigned in Section 8.6(a)(iv).</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“Review Period” </w:t>
      </w:r>
      <w:r>
        <w:rPr>
          <w:rFonts w:ascii="Times New Roman" w:cs="Times New Roman" w:eastAsia="Times New Roman" w:hAnsi="Times New Roman"/>
          <w:sz w:val="18"/>
          <w:szCs w:val="18"/>
          <w:color w:val="auto"/>
        </w:rPr>
        <w:t>shall have the meaning assigned in Section 7.8.</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“Sales Advisory Committee”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“SAC” </w:t>
      </w:r>
      <w:r>
        <w:rPr>
          <w:rFonts w:ascii="Times New Roman" w:cs="Times New Roman" w:eastAsia="Times New Roman" w:hAnsi="Times New Roman"/>
          <w:sz w:val="18"/>
          <w:szCs w:val="18"/>
          <w:color w:val="auto"/>
        </w:rPr>
        <w:t>shall mean the committee described in Section 5.2.</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w:t>
      </w:r>
      <w:r>
        <w:rPr>
          <w:rFonts w:ascii="Times New Roman" w:cs="Times New Roman" w:eastAsia="Times New Roman" w:hAnsi="Times New Roman"/>
          <w:sz w:val="18"/>
          <w:szCs w:val="18"/>
          <w:color w:val="auto"/>
        </w:rPr>
        <w:t>shall have the meaning assigned in the first paragraph of this Agreement.</w:t>
      </w:r>
    </w:p>
    <w:p>
      <w:pPr>
        <w:spacing w:after="0" w:line="225" w:lineRule="exact"/>
        <w:rPr>
          <w:sz w:val="20"/>
          <w:szCs w:val="20"/>
          <w:color w:val="auto"/>
        </w:rPr>
      </w:pPr>
    </w:p>
    <w:p>
      <w:pPr>
        <w:jc w:val="both"/>
        <w:ind w:right="4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“Sanofi Background Know-How” </w:t>
      </w:r>
      <w:r>
        <w:rPr>
          <w:rFonts w:ascii="Times New Roman" w:cs="Times New Roman" w:eastAsia="Times New Roman" w:hAnsi="Times New Roman"/>
          <w:sz w:val="18"/>
          <w:szCs w:val="18"/>
          <w:color w:val="auto"/>
        </w:rPr>
        <w:t>shall mean Know-How (i) that Sanofi or its Affiliates Control as of the Effective Date or that comes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Sanofi or its Affiliates during the Term, and (ii) that does not constitute Joint Know-How, Licensed Know-How or Sole Program Know-How owned by Sanofi or its Affiliates pursuant to this Agreement.</w:t>
      </w:r>
    </w:p>
    <w:p>
      <w:pPr>
        <w:spacing w:after="0" w:line="171" w:lineRule="exact"/>
        <w:rPr>
          <w:sz w:val="20"/>
          <w:szCs w:val="20"/>
          <w:color w:val="auto"/>
        </w:rPr>
      </w:pPr>
    </w:p>
    <w:p>
      <w:pPr>
        <w:jc w:val="both"/>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“Sanofi Background Patents” </w:t>
      </w:r>
      <w:r>
        <w:rPr>
          <w:rFonts w:ascii="Times New Roman" w:cs="Times New Roman" w:eastAsia="Times New Roman" w:hAnsi="Times New Roman"/>
          <w:sz w:val="18"/>
          <w:szCs w:val="18"/>
          <w:color w:val="auto"/>
        </w:rPr>
        <w:t>shall mean all Patents (i) that are Controlled by Sanofi or its Affiliates as of the Effective Date or that come into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Sanofi or its Affiliates during the Term, (ii) that do not constitute Joint Patents, Licensed Patents or Sanofi Sole Invention Patents, and (iii) that cover Sanofi Background Know-How.</w:t>
      </w:r>
    </w:p>
    <w:p>
      <w:pPr>
        <w:sectPr>
          <w:pgSz w:w="11900" w:h="16838" w:orient="portrait"/>
          <w:cols w:equalWidth="0" w:num="1">
            <w:col w:w="11360"/>
          </w:cols>
          <w:pgMar w:left="240" w:top="266" w:right="299" w:bottom="1440" w:gutter="0" w:footer="0" w:header="0"/>
        </w:sectPr>
      </w:pPr>
    </w:p>
    <w:bookmarkStart w:id="345" w:name="page346"/>
    <w:bookmarkEnd w:id="345"/>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“Sanofi Background Technology” </w:t>
      </w:r>
      <w:r>
        <w:rPr>
          <w:rFonts w:ascii="Times New Roman" w:cs="Times New Roman" w:eastAsia="Times New Roman" w:hAnsi="Times New Roman"/>
          <w:sz w:val="18"/>
          <w:szCs w:val="18"/>
          <w:color w:val="auto"/>
        </w:rPr>
        <w:t>shall mean Sanofi Background Know-How and Sanofi Background Patents.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Controlled Patents” </w:t>
      </w:r>
      <w:r>
        <w:rPr>
          <w:rFonts w:ascii="Times New Roman" w:cs="Times New Roman" w:eastAsia="Times New Roman" w:hAnsi="Times New Roman"/>
          <w:sz w:val="18"/>
          <w:szCs w:val="18"/>
          <w:color w:val="auto"/>
        </w:rPr>
        <w:t>shall have the meaning assigned in Section 8.4(b).</w:t>
      </w:r>
    </w:p>
    <w:p>
      <w:pPr>
        <w:spacing w:after="0" w:line="225" w:lineRule="exact"/>
        <w:rPr>
          <w:sz w:val="20"/>
          <w:szCs w:val="20"/>
          <w:color w:val="auto"/>
        </w:rPr>
      </w:pPr>
    </w:p>
    <w:p>
      <w:pPr>
        <w:ind w:right="3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“Sanofi Full Manufacturing Cost” </w:t>
      </w:r>
      <w:r>
        <w:rPr>
          <w:rFonts w:ascii="Times New Roman" w:cs="Times New Roman" w:eastAsia="Times New Roman" w:hAnsi="Times New Roman"/>
          <w:sz w:val="18"/>
          <w:szCs w:val="18"/>
          <w:color w:val="auto"/>
        </w:rPr>
        <w:t>shall mean all expenses incurred by Sanofi or its Affiliates in connection with the Manufacture of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Compounds or Program Products, including expenses incurred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each case calculated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consistently applied across its Manufacturing operations.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Licensee” </w:t>
      </w:r>
      <w:r>
        <w:rPr>
          <w:rFonts w:ascii="Times New Roman" w:cs="Times New Roman" w:eastAsia="Times New Roman" w:hAnsi="Times New Roman"/>
          <w:sz w:val="18"/>
          <w:szCs w:val="18"/>
          <w:color w:val="auto"/>
        </w:rPr>
        <w:t>shall have the meaning assigned in Section 2.4.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Product Data” </w:t>
      </w:r>
      <w:r>
        <w:rPr>
          <w:rFonts w:ascii="Times New Roman" w:cs="Times New Roman" w:eastAsia="Times New Roman" w:hAnsi="Times New Roman"/>
          <w:sz w:val="18"/>
          <w:szCs w:val="18"/>
          <w:color w:val="auto"/>
        </w:rPr>
        <w:t>shall have the meaning assigned in Section 11.3(k)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Sole Invention Patent” </w:t>
      </w:r>
      <w:r>
        <w:rPr>
          <w:rFonts w:ascii="Times New Roman" w:cs="Times New Roman" w:eastAsia="Times New Roman" w:hAnsi="Times New Roman"/>
          <w:sz w:val="18"/>
          <w:szCs w:val="18"/>
          <w:color w:val="auto"/>
        </w:rPr>
        <w:t>shall mean any Patent covering or claiming Sole Program Know-How owned solely by Sanofi.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Sole Invention Technology” </w:t>
      </w:r>
      <w:r>
        <w:rPr>
          <w:rFonts w:ascii="Times New Roman" w:cs="Times New Roman" w:eastAsia="Times New Roman" w:hAnsi="Times New Roman"/>
          <w:sz w:val="18"/>
          <w:szCs w:val="18"/>
          <w:color w:val="auto"/>
        </w:rPr>
        <w:t>shall mean any Sanofi Sole Invention Patent and any Sole Program Know-How owned solely by Sanofi.</w:t>
      </w:r>
    </w:p>
    <w:p>
      <w:pPr>
        <w:spacing w:after="0" w:line="22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“Sanofi Trademark” </w:t>
      </w:r>
      <w:r>
        <w:rPr>
          <w:rFonts w:ascii="Times New Roman" w:cs="Times New Roman" w:eastAsia="Times New Roman" w:hAnsi="Times New Roman"/>
          <w:sz w:val="18"/>
          <w:szCs w:val="18"/>
          <w:color w:val="auto"/>
        </w:rPr>
        <w:t>shall mean the company Trademark or logo of Sanofi, as Sanofi may designate in writing from time to time. For clarity, a Sanofi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 is not a Product Trademark.</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“Sanofi Triggered Termination” </w:t>
      </w:r>
      <w:r>
        <w:rPr>
          <w:rFonts w:ascii="Times New Roman" w:cs="Times New Roman" w:eastAsia="Times New Roman" w:hAnsi="Times New Roman"/>
          <w:sz w:val="18"/>
          <w:szCs w:val="18"/>
          <w:color w:val="auto"/>
        </w:rPr>
        <w:t>shall have the meaning assigned in Section 11.3.</w:t>
      </w:r>
    </w:p>
    <w:p>
      <w:pPr>
        <w:spacing w:after="0" w:line="2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“Senior Executives” </w:t>
      </w:r>
      <w:r>
        <w:rPr>
          <w:rFonts w:ascii="Times New Roman" w:cs="Times New Roman" w:eastAsia="Times New Roman" w:hAnsi="Times New Roman"/>
          <w:sz w:val="18"/>
          <w:szCs w:val="18"/>
          <w:color w:val="auto"/>
        </w:rPr>
        <w:t>shall mean (i) the Chief Executive Officer of Ardelyx and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 Party shall be entitled, effective upon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to the other Party, to designate one of its other representatives having equivalent seniority and experience to replace such foregoing representative as that Party’s Senior Executive for the purpose of this Agreement. In the case of Ardelyx, an acceptable replacement would be an acting or temporary Chief Executive Officer, a chairman of the board of directors, or a member of Ardelyx’s board of directors acting in an executive capacity.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“Sole Invention Patent” </w:t>
      </w:r>
      <w:r>
        <w:rPr>
          <w:rFonts w:ascii="Times New Roman" w:cs="Times New Roman" w:eastAsia="Times New Roman" w:hAnsi="Times New Roman"/>
          <w:sz w:val="18"/>
          <w:szCs w:val="18"/>
          <w:color w:val="auto"/>
        </w:rPr>
        <w:t>shall mean any Patent covering or claiming any invention within the Sole Program Know-How.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“Sole Program Know-How” </w:t>
      </w:r>
      <w:r>
        <w:rPr>
          <w:rFonts w:ascii="Times New Roman" w:cs="Times New Roman" w:eastAsia="Times New Roman" w:hAnsi="Times New Roman"/>
          <w:sz w:val="18"/>
          <w:szCs w:val="18"/>
          <w:color w:val="auto"/>
        </w:rPr>
        <w:t>shall have the meaning assigned in Section 8.2(b).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“Subject Party” </w:t>
      </w:r>
      <w:r>
        <w:rPr>
          <w:rFonts w:ascii="Times New Roman" w:cs="Times New Roman" w:eastAsia="Times New Roman" w:hAnsi="Times New Roman"/>
          <w:sz w:val="18"/>
          <w:szCs w:val="18"/>
          <w:color w:val="auto"/>
        </w:rPr>
        <w:t>shall have the meaning assigned in Section 14.1(b).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“Sublicensee” </w:t>
      </w:r>
      <w:r>
        <w:rPr>
          <w:rFonts w:ascii="Times New Roman" w:cs="Times New Roman" w:eastAsia="Times New Roman" w:hAnsi="Times New Roman"/>
          <w:sz w:val="18"/>
          <w:szCs w:val="18"/>
          <w:color w:val="auto"/>
        </w:rPr>
        <w:t>shall have the meaning assigned in Section 2.3.</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“Tail Period” </w:t>
      </w:r>
      <w:r>
        <w:rPr>
          <w:rFonts w:ascii="Times New Roman" w:cs="Times New Roman" w:eastAsia="Times New Roman" w:hAnsi="Times New Roman"/>
          <w:sz w:val="18"/>
          <w:szCs w:val="18"/>
          <w:color w:val="auto"/>
        </w:rPr>
        <w:t>shall have the meaning assigned in Section 2.9(a).</w:t>
      </w:r>
    </w:p>
    <w:p>
      <w:pPr>
        <w:spacing w:after="0" w:line="157" w:lineRule="exact"/>
        <w:rPr>
          <w:sz w:val="20"/>
          <w:szCs w:val="20"/>
          <w:color w:val="auto"/>
        </w:rPr>
      </w:pPr>
    </w:p>
    <w:p>
      <w:pPr>
        <w:ind w:right="380" w:firstLine="8"/>
        <w:spacing w:after="0" w:line="262" w:lineRule="auto"/>
        <w:tabs>
          <w:tab w:leader="none" w:pos="34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266" w:right="299" w:bottom="1440" w:gutter="0" w:footer="0" w:header="0"/>
        </w:sectPr>
      </w:pPr>
    </w:p>
    <w:bookmarkStart w:id="346" w:name="page347"/>
    <w:bookmarkEnd w:id="346"/>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“Tax”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“Taxation” </w:t>
      </w:r>
      <w:r>
        <w:rPr>
          <w:rFonts w:ascii="Times New Roman" w:cs="Times New Roman" w:eastAsia="Times New Roman" w:hAnsi="Times New Roman"/>
          <w:sz w:val="18"/>
          <w:szCs w:val="18"/>
          <w:color w:val="auto"/>
        </w:rPr>
        <w:t>shall mean any form of tax or taxation, levy, duty, charge, social security charge, contribution or withholding of whatever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related fine, penalty, surcharge or interest) imposed by, or payable to, a Tax Authority.</w:t>
      </w:r>
    </w:p>
    <w:p>
      <w:pPr>
        <w:spacing w:after="0" w:line="155" w:lineRule="exact"/>
        <w:rPr>
          <w:sz w:val="20"/>
          <w:szCs w:val="20"/>
          <w:color w:val="auto"/>
        </w:rPr>
      </w:pP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Authority” </w:t>
      </w:r>
      <w:r>
        <w:rPr>
          <w:rFonts w:ascii="Times New Roman" w:cs="Times New Roman" w:eastAsia="Times New Roman" w:hAnsi="Times New Roman"/>
          <w:sz w:val="18"/>
          <w:szCs w:val="18"/>
          <w:color w:val="auto"/>
        </w:rPr>
        <w:t>shall mean any government, state or municipality, or any local, state, federal or other fiscal, revenue, customs, or excise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body or official anywhere in the world, authorized to levy Tax.</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“Technology Transfer Deliverables” </w:t>
      </w:r>
      <w:r>
        <w:rPr>
          <w:rFonts w:ascii="Times New Roman" w:cs="Times New Roman" w:eastAsia="Times New Roman" w:hAnsi="Times New Roman"/>
          <w:sz w:val="18"/>
          <w:szCs w:val="18"/>
          <w:color w:val="auto"/>
        </w:rPr>
        <w:t>shall mean Ardelyx Background Know-How and the Materials, as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“Technology Transfer Phase Completion” </w:t>
      </w:r>
      <w:r>
        <w:rPr>
          <w:rFonts w:ascii="Times New Roman" w:cs="Times New Roman" w:eastAsia="Times New Roman" w:hAnsi="Times New Roman"/>
          <w:sz w:val="18"/>
          <w:szCs w:val="18"/>
          <w:color w:val="auto"/>
        </w:rPr>
        <w:t>shall have the meaning assigned in Section 3.4(a).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shall have the meaning assigned in Section 11.1.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“Territory” </w:t>
      </w:r>
      <w:r>
        <w:rPr>
          <w:rFonts w:ascii="Times New Roman" w:cs="Times New Roman" w:eastAsia="Times New Roman" w:hAnsi="Times New Roman"/>
          <w:sz w:val="18"/>
          <w:szCs w:val="18"/>
          <w:color w:val="auto"/>
        </w:rPr>
        <w:t>shall mean the world.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“Third Party” </w:t>
      </w:r>
      <w:r>
        <w:rPr>
          <w:rFonts w:ascii="Times New Roman" w:cs="Times New Roman" w:eastAsia="Times New Roman" w:hAnsi="Times New Roman"/>
          <w:sz w:val="18"/>
          <w:szCs w:val="18"/>
          <w:color w:val="auto"/>
        </w:rPr>
        <w:t>shall mean any Person other than Ardelyx or Sanofi, or their respective Affiliates.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“Third Party Claims” </w:t>
      </w:r>
      <w:r>
        <w:rPr>
          <w:rFonts w:ascii="Times New Roman" w:cs="Times New Roman" w:eastAsia="Times New Roman" w:hAnsi="Times New Roman"/>
          <w:sz w:val="18"/>
          <w:szCs w:val="18"/>
          <w:color w:val="auto"/>
        </w:rPr>
        <w:t>shall have the meaning assigned in Section 12.1(a).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“Third Party Compensation” </w:t>
      </w:r>
      <w:r>
        <w:rPr>
          <w:rFonts w:ascii="Times New Roman" w:cs="Times New Roman" w:eastAsia="Times New Roman" w:hAnsi="Times New Roman"/>
          <w:sz w:val="18"/>
          <w:szCs w:val="18"/>
          <w:color w:val="auto"/>
        </w:rPr>
        <w:t>shall have the meaning assigned in Section6.4(d).</w:t>
      </w:r>
    </w:p>
    <w:p>
      <w:pPr>
        <w:spacing w:after="0" w:line="22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“Trademark” </w:t>
      </w:r>
      <w:r>
        <w:rPr>
          <w:rFonts w:ascii="Times New Roman" w:cs="Times New Roman" w:eastAsia="Times New Roman" w:hAnsi="Times New Roman"/>
          <w:sz w:val="18"/>
          <w:szCs w:val="18"/>
          <w:color w:val="auto"/>
        </w:rPr>
        <w:t>shall mean any word, name, symbol, color, shape, designation or any combination thereof, including any trademark, service mark,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“US Commercialization Plans” </w:t>
      </w:r>
      <w:r>
        <w:rPr>
          <w:rFonts w:ascii="Times New Roman" w:cs="Times New Roman" w:eastAsia="Times New Roman" w:hAnsi="Times New Roman"/>
          <w:sz w:val="18"/>
          <w:szCs w:val="18"/>
          <w:color w:val="auto"/>
        </w:rPr>
        <w:t>shall have the meaning assigned in Section 5.4.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“US Launch Plans” </w:t>
      </w:r>
      <w:r>
        <w:rPr>
          <w:rFonts w:ascii="Times New Roman" w:cs="Times New Roman" w:eastAsia="Times New Roman" w:hAnsi="Times New Roman"/>
          <w:sz w:val="18"/>
          <w:szCs w:val="18"/>
          <w:color w:val="auto"/>
        </w:rPr>
        <w:t>shall have the meaning assigned in Section 5.4.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“U.S. Territory” </w:t>
      </w:r>
      <w:r>
        <w:rPr>
          <w:rFonts w:ascii="Times New Roman" w:cs="Times New Roman" w:eastAsia="Times New Roman" w:hAnsi="Times New Roman"/>
          <w:sz w:val="18"/>
          <w:szCs w:val="18"/>
          <w:color w:val="auto"/>
        </w:rPr>
        <w:t>shall mean the United States, its territories, and its possessions.</w:t>
      </w:r>
    </w:p>
    <w:p>
      <w:pPr>
        <w:spacing w:after="0" w:line="225" w:lineRule="exact"/>
        <w:rPr>
          <w:sz w:val="20"/>
          <w:szCs w:val="20"/>
          <w:color w:val="auto"/>
        </w:rPr>
      </w:pPr>
    </w:p>
    <w:p>
      <w:pPr>
        <w:ind w:right="9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“Utilized in the Program” </w:t>
      </w:r>
      <w:r>
        <w:rPr>
          <w:rFonts w:ascii="Times New Roman" w:cs="Times New Roman" w:eastAsia="Times New Roman" w:hAnsi="Times New Roman"/>
          <w:sz w:val="18"/>
          <w:szCs w:val="18"/>
          <w:color w:val="auto"/>
        </w:rPr>
        <w:t>shall mean that the respective Know-How, Patents or other Intellectual Property Rights are,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by Sanofi,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 or Sanofi Licensees in such party’s Development or Commercialization of a Program Product.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“Valid Claim” </w:t>
      </w:r>
      <w:r>
        <w:rPr>
          <w:rFonts w:ascii="Times New Roman" w:cs="Times New Roman" w:eastAsia="Times New Roman" w:hAnsi="Times New Roman"/>
          <w:sz w:val="18"/>
          <w:szCs w:val="18"/>
          <w:color w:val="auto"/>
        </w:rPr>
        <w:t>shall mean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“Written Disclosure” </w:t>
      </w:r>
      <w:r>
        <w:rPr>
          <w:rFonts w:ascii="Times New Roman" w:cs="Times New Roman" w:eastAsia="Times New Roman" w:hAnsi="Times New Roman"/>
          <w:sz w:val="18"/>
          <w:szCs w:val="18"/>
          <w:color w:val="auto"/>
        </w:rPr>
        <w:t>shall have the meaning assigned in Section 10.2.</w:t>
      </w:r>
    </w:p>
    <w:p>
      <w:pPr>
        <w:spacing w:after="0" w:line="157" w:lineRule="exact"/>
        <w:rPr>
          <w:sz w:val="20"/>
          <w:szCs w:val="20"/>
          <w:color w:val="auto"/>
        </w:rPr>
      </w:pPr>
    </w:p>
    <w:p>
      <w:pPr>
        <w:ind w:right="440" w:firstLine="8"/>
        <w:spacing w:after="0" w:line="262" w:lineRule="auto"/>
        <w:tabs>
          <w:tab w:leader="none" w:pos="348"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6" w:right="239" w:bottom="1440" w:gutter="0" w:footer="0" w:header="0"/>
        </w:sectPr>
      </w:pPr>
    </w:p>
    <w:bookmarkStart w:id="347" w:name="page348"/>
    <w:bookmarkEnd w:id="347"/>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Construction</w:t>
      </w:r>
      <w:r>
        <w:rPr>
          <w:rFonts w:ascii="Times New Roman" w:cs="Times New Roman" w:eastAsia="Times New Roman" w:hAnsi="Times New Roman"/>
          <w:sz w:val="18"/>
          <w:szCs w:val="18"/>
          <w:color w:val="auto"/>
        </w:rPr>
        <w:t>. Except where the context requires otherwise, whenever used in this Agreement, the singular includes the plural, the plural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singular, the use of any gender is applicable to all genders and the word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has the inclusive meaning represented by the phrase “</w:t>
      </w:r>
      <w:r>
        <w:rPr>
          <w:rFonts w:ascii="Times New Roman" w:cs="Times New Roman" w:eastAsia="Times New Roman" w:hAnsi="Times New Roman"/>
          <w:sz w:val="18"/>
          <w:szCs w:val="18"/>
          <w:b w:val="1"/>
          <w:bCs w:val="1"/>
          <w:color w:val="auto"/>
        </w:rPr>
        <w:t>and/or</w:t>
      </w:r>
      <w:r>
        <w:rPr>
          <w:rFonts w:ascii="Times New Roman" w:cs="Times New Roman" w:eastAsia="Times New Roman" w:hAnsi="Times New Roman"/>
          <w:sz w:val="18"/>
          <w:szCs w:val="18"/>
          <w:color w:val="auto"/>
        </w:rPr>
        <w:t>”. Whenever this Agreement refers to a number of days, unless otherwise specified, such number refers to calendar days. 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GRANT OF RIGHTS AND LICENSES; EXCLUSIVITY</w:t>
      </w:r>
    </w:p>
    <w:p>
      <w:pPr>
        <w:spacing w:after="0" w:line="20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2.1 Exclusive License to Sanofi to Complete Pre-Clinical Development Plan</w:t>
      </w:r>
      <w:r>
        <w:rPr>
          <w:rFonts w:ascii="Times New Roman" w:cs="Times New Roman" w:eastAsia="Times New Roman" w:hAnsi="Times New Roman"/>
          <w:sz w:val="18"/>
          <w:szCs w:val="18"/>
          <w:color w:val="auto"/>
        </w:rPr>
        <w:t>. Subject to the terms and conditions of this Agreement, Ardelyx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Sanofi a worldwide, exclusive (including with regard to Ardelyx and its Affiliates, except with respect to the retained rights set forth in Section 2.6 below, and the license grant under Section 2.8(b) below) right and license under both the Licensed Technology and Ardelyx’s rights in the Joint Technology to conduct research regarding Program Compounds solely for the purpose of completing the Pre-Clinical Development Plan, with the right to grant sublicenses solely to Affiliates in accordance with Section 2.3.</w:t>
      </w:r>
    </w:p>
    <w:p>
      <w:pPr>
        <w:spacing w:after="0" w:line="18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2.2 Exclusive License to Sanofi Following the Exercise of the Option to Continue</w:t>
      </w:r>
      <w:r>
        <w:rPr>
          <w:rFonts w:ascii="Times New Roman" w:cs="Times New Roman" w:eastAsia="Times New Roman" w:hAnsi="Times New Roman"/>
          <w:sz w:val="18"/>
          <w:szCs w:val="18"/>
          <w:color w:val="auto"/>
        </w:rPr>
        <w:t>. Following Sanofi’s exercise of the Option to Continue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Continuation Milestone, Sanofi shall automatically be granted, without further action on the part of either Party and subject to Section 2.8(a) and the other terms and conditions of this Agreement, a worldwide exclusive (including with regard to Ardelyx and its Affiliates, except with respect to the retained rights set forth in Section 2.6 below) right and license under the Licensed Technology and Ardelyx’s rights in the Joint Technology to Exploit the Program Compounds solely for the purpose of Developing, Manufacturing and Commercializing Program Products in the Field and in the Territory, with the right to grant sublicenses in accordance with Section 2.3.</w:t>
      </w:r>
    </w:p>
    <w:p>
      <w:pPr>
        <w:spacing w:after="0" w:line="18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2.3 Sublicenses</w:t>
      </w:r>
      <w:r>
        <w:rPr>
          <w:rFonts w:ascii="Times New Roman" w:cs="Times New Roman" w:eastAsia="Times New Roman" w:hAnsi="Times New Roman"/>
          <w:sz w:val="18"/>
          <w:szCs w:val="18"/>
          <w:color w:val="auto"/>
        </w:rPr>
        <w:t>. Until Sanofi exercises the Option to Continue and pays the Continuation Milestone, Sanofi shall have the right to grant sublicenses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solely to its Affiliates under the exclusive license to Licensed Technology or Ardelyx’s rights in the Joint Technology described in Section 2.1. For clarity, nothing in this Section 2.3 shall be interpreted as restricting the right of Sanofi to subcontract any part of its Exploitation activities at any time during the Term and to grant sublicenses to its subcontractors as needed, in compliance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subcontractor is not a Sublicensee as defined below. After Sanofi has exercised the Option to Continue and paid the Continuation Milestone, Sanofi shall have the right to grant sublicenses, through multiple tiers of sublicenses, under the exclusive licenses to Licensed Technology or Ardelyx’s rights in the Joint Technology described in Section 2.2, to its Affiliates and to any other Person. Where Sanofi or its Affiliates grants such sublicense to a Person that is not an Affiliate of Sanofi, and such Person is not a Distributor, such Person shall be a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for the purposes of this Agreement, and any Person to which a</w:t>
      </w:r>
    </w:p>
    <w:p>
      <w:pPr>
        <w:sectPr>
          <w:pgSz w:w="11900" w:h="16838" w:orient="portrait"/>
          <w:cols w:equalWidth="0" w:num="1">
            <w:col w:w="11360"/>
          </w:cols>
          <w:pgMar w:left="240" w:top="265" w:right="299" w:bottom="1440" w:gutter="0" w:footer="0" w:header="0"/>
        </w:sectPr>
      </w:pPr>
    </w:p>
    <w:bookmarkStart w:id="348" w:name="page349"/>
    <w:bookmarkEnd w:id="3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Sublicensee grants a further sublicense shall also be a Sublicensee;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that (i) is granted a sublicense under the license granted to Sanofi pursuant to Section 2.1 or Section 2.2 solely to enable such Person to provide contract research or development services or contract manufacturing services for Sanofi, its Affiliates or Sublicensees, and (ii) does not have the right to distribute, market or sell the Program Products shall not be a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for purposes of this Agreement. Sanofi, its Affiliates and its Sublicensees shall ensure that all Persons to which they grant sublicenses comply with all terms and conditions of this Agreement. Without limiting the foregoing, Sanofi shall use its Commercially Reasonable Efforts to obtain rights and licenses from its Affiliates and Sublicensees as necessary to enable Sanofi to grant to Ardelyx rights and licenses under Patents and Know-How Controlled by such Affiliates and Sublicensees to the same extent as Sanofi grants to Ardelyx pursuant to this Agreement under Sanofi Sole Invention Technology, Sanofi Background Technology and Sanofi’s interest in the Joint Technology, including without limitation the licenses and rights granted to Ardelyx pursuant to Sections 2.7, 3.3, and 5.8(d) and Article 11. For clarity, nothing in the preceding sentence or elsewhere in this Agreement shall be interpreted as an obligation on Sanofi or its Affiliates to procure Ardelyx access to any Know-How, Patents or other Intellectual Property Rights of a Sublicensee that is a Third Party, where such Know-How, Patents or other Intellectual Property Rights were developed by such Third Party outside of the Program, and are not Utilized in the Program. Sanofi shall remain liable for any action or failure to act by any Sublicensee or any other Party that is granted a sublicense under the licenses granted in Section 2.2 by Sanofi, its Affiliates or its Sublicensees, that would constitute a breach of this Agreement if such action or failure were committed by Sanofi. Sanofi shall ensure that any agreement with a Sublicensee contains such provisions as are necessary to give effect to the provision of Section 11.3(b) which may provide for the termination of any such agreement with a Sublicensee in the event of a termination of this Agreement.</w:t>
      </w:r>
    </w:p>
    <w:p>
      <w:pPr>
        <w:spacing w:after="0" w:line="8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2.4 Licensees</w:t>
      </w:r>
      <w:r>
        <w:rPr>
          <w:rFonts w:ascii="Times New Roman" w:cs="Times New Roman" w:eastAsia="Times New Roman" w:hAnsi="Times New Roman"/>
          <w:sz w:val="18"/>
          <w:szCs w:val="18"/>
          <w:color w:val="auto"/>
        </w:rPr>
        <w:t>. Until such time as Sanofi has exercised the Option to Continue and paid the Continuation Milestone, Sanofi shall not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 to any other Person (other than an Affiliate of Sanofi) licenses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without having first secured Ardelyx’s written consent,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be deemed reasonable for Ardelyx to withhold consent to a request by Sanofi to grant a license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such license would give the Third Party rights to Exploit a Program Compound or a Program Product. Following the exercise of the Option to Continue and the payment of the Continuation Milestone, Sanofi shall have the right to grant to its Affiliates or to any other Person</w:t>
      </w:r>
    </w:p>
    <w:p>
      <w:pPr>
        <w:spacing w:after="0" w:line="3" w:lineRule="exact"/>
        <w:rPr>
          <w:sz w:val="20"/>
          <w:szCs w:val="20"/>
          <w:color w:val="auto"/>
        </w:rPr>
      </w:pPr>
    </w:p>
    <w:p>
      <w:pPr>
        <w:ind w:left="220" w:hanging="212"/>
        <w:spacing w:after="0"/>
        <w:tabs>
          <w:tab w:leader="none" w:pos="22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licenses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Exploit Program Compounds for the sole purpose of Developing, Manufacturing or Commercializing Program Products, and</w:t>
      </w:r>
    </w:p>
    <w:p>
      <w:pPr>
        <w:spacing w:after="0" w:line="9" w:lineRule="exact"/>
        <w:rPr>
          <w:rFonts w:ascii="Times New Roman" w:cs="Times New Roman" w:eastAsia="Times New Roman" w:hAnsi="Times New Roman"/>
          <w:sz w:val="18"/>
          <w:szCs w:val="18"/>
          <w:color w:val="auto"/>
        </w:rPr>
      </w:pPr>
    </w:p>
    <w:p>
      <w:pPr>
        <w:ind w:right="40" w:firstLine="8"/>
        <w:spacing w:after="0" w:line="253" w:lineRule="auto"/>
        <w:tabs>
          <w:tab w:leader="none" w:pos="26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licenses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purposes other than Developing, Manufacturing or Commercializing Program Products so long as such license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does not grant such Third Party any rights to Exploit Program Compounds or Program Products. Where Sanofi or its Affiliate grants such a license to a Person that is not an Affiliate of Sanofi, and such Person is not a Sublicensee or a Distributor such Person shall be a </w:t>
      </w:r>
      <w:r>
        <w:rPr>
          <w:rFonts w:ascii="Times New Roman" w:cs="Times New Roman" w:eastAsia="Times New Roman" w:hAnsi="Times New Roman"/>
          <w:sz w:val="18"/>
          <w:szCs w:val="18"/>
          <w:b w:val="1"/>
          <w:bCs w:val="1"/>
          <w:color w:val="auto"/>
        </w:rPr>
        <w:t>“Sanofi Licensee”</w:t>
      </w:r>
      <w:r>
        <w:rPr>
          <w:rFonts w:ascii="Times New Roman" w:cs="Times New Roman" w:eastAsia="Times New Roman" w:hAnsi="Times New Roman"/>
          <w:sz w:val="18"/>
          <w:szCs w:val="18"/>
          <w:color w:val="auto"/>
        </w:rPr>
        <w:t xml:space="preserve"> for the purposes of this Agreement, and any Person to which a Sanofi Licensee grants a sublicense shall also be a Sanofi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Person that (i) is granted a license under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solely to enable such Person to provide contract research or development services or</w:t>
      </w:r>
    </w:p>
    <w:p>
      <w:pPr>
        <w:spacing w:after="0" w:line="115" w:lineRule="exact"/>
        <w:rPr>
          <w:sz w:val="20"/>
          <w:szCs w:val="20"/>
          <w:color w:val="auto"/>
        </w:rPr>
      </w:pPr>
    </w:p>
    <w:p>
      <w:pPr>
        <w:ind w:right="420" w:firstLine="8"/>
        <w:spacing w:after="0" w:line="262" w:lineRule="auto"/>
        <w:tabs>
          <w:tab w:leader="none" w:pos="348"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349" w:name="page350"/>
    <w:bookmarkEnd w:id="34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manufacturing services for Sanofi, its Affiliates, Sanofi Licensees or Sublicensees, and (ii) does not have the right to distribute, market or sell the Program Products shall not be a “</w:t>
      </w:r>
      <w:r>
        <w:rPr>
          <w:rFonts w:ascii="Times New Roman" w:cs="Times New Roman" w:eastAsia="Times New Roman" w:hAnsi="Times New Roman"/>
          <w:sz w:val="18"/>
          <w:szCs w:val="18"/>
          <w:b w:val="1"/>
          <w:bCs w:val="1"/>
          <w:color w:val="auto"/>
        </w:rPr>
        <w:t>Sanofi Licensee</w:t>
      </w:r>
      <w:r>
        <w:rPr>
          <w:rFonts w:ascii="Times New Roman" w:cs="Times New Roman" w:eastAsia="Times New Roman" w:hAnsi="Times New Roman"/>
          <w:sz w:val="18"/>
          <w:szCs w:val="18"/>
          <w:color w:val="auto"/>
        </w:rPr>
        <w:t xml:space="preserve">” for purposes of this Agreement. For further clarity, nothing in this Section 2.4 will be interpreted as restricting the right of Sanofi to subcontract any part of its Exploitation activities at any time during the Term or to grant licenses to its subcontractors as needed, in compliance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subcontractor is not a Sanofi Licensee. Sanofi shall obtain rights and licenses from its Affiliates and Sanofi Licensees as necessary to enable Sanofi to grant to Ardelyx rights and licenses under Patents and Know-How Controlled by such Affiliates and Sanofi Licensees to the same extent as Sanofi grants to Ardelyx pursuant to this Agreement under Sanofi Sole Program Technology, Sanofi Background Technology and Sanofi’s interest in the Joint Technology, including without limitation the licenses and rights granted to Ardelyx pursuant to Sections 2.7, 3.3 and 5.8(d) and Article 11. For clarity, nothing in the preceding sentence or elsewhere in this Agreement shall be interpreted as an obligation on Sanofi or its Affiliates to procure Ardelyx access to any Know-How, Patents or other Intellectual Property Rights of an Affiliate of Sanofi or a Sanofi Licensee where such Know-How, Patents or other Intellectual Property Rights were developed outside of the Program, and are not Utilized in the Program. Sanofi shall remain liable for any action or failure to act by any Sanofi Licensee that would constitute a breach of this Agreement if such action or failure were committed by Sanofi. Sanofi shall ensure that any agreement with a Sanofi Licensee contains such provisions as are necessary to give effect to the provision of Section 11.3(b) which may provide for the termination of any such agreement with a Sanofi Licensee in the event of a termination of this Agreement.</w:t>
      </w:r>
    </w:p>
    <w:p>
      <w:pPr>
        <w:spacing w:after="0" w:line="19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2.5 Distributorships</w:t>
      </w:r>
      <w:r>
        <w:rPr>
          <w:rFonts w:ascii="Times New Roman" w:cs="Times New Roman" w:eastAsia="Times New Roman" w:hAnsi="Times New Roman"/>
          <w:sz w:val="18"/>
          <w:szCs w:val="18"/>
          <w:color w:val="auto"/>
        </w:rPr>
        <w:t>. Following the exercise of the Option to Continue and the payment of the Continuation Milestone, Sanofi shall have the right,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sole discretion, to appoint its Affiliates, and Sanofi, its Affiliates, the Sublicensees and the Sanofi Licensees shall have the right, in their sole discretion, to appoint any other Persons, in the Territory or in any country of the Territory, to distribute, market and sell the Program Products. In circumstances where such appointed Person purchases its requirements of Program Products from Sanofi, its Affiliates, its Sublicensees, or the Sanofi Licensees, but does not otherwise make any royalty or other payment to Sanofi, its Affiliates, its Sublicensees or the Sanofi Licensees with respect to Intellectual Property Rights with respect to Program Products, and where such Person is not an Affiliate of Sanofi and neither Sanofi nor any of its Affiliates shares in the profits from, or has an equivalent interest in the proceeds, other than, for clarity, receipt of payment for the supply of the Program Products, from, the sale of Program Products by such Person, that Person shall be a “</w:t>
      </w:r>
      <w:r>
        <w:rPr>
          <w:rFonts w:ascii="Times New Roman" w:cs="Times New Roman" w:eastAsia="Times New Roman" w:hAnsi="Times New Roman"/>
          <w:sz w:val="18"/>
          <w:szCs w:val="18"/>
          <w:b w:val="1"/>
          <w:bCs w:val="1"/>
          <w:color w:val="auto"/>
        </w:rPr>
        <w:t>Distributor</w:t>
      </w:r>
      <w:r>
        <w:rPr>
          <w:rFonts w:ascii="Times New Roman" w:cs="Times New Roman" w:eastAsia="Times New Roman" w:hAnsi="Times New Roman"/>
          <w:sz w:val="18"/>
          <w:szCs w:val="18"/>
          <w:color w:val="auto"/>
        </w:rPr>
        <w:t>” for purposes of this Agreement. Sanofi shall remain liable for any action or failure to act by any Distributor that would constitute a breach of this Agreement if such action or failure were committed by Sanofi.</w:t>
      </w:r>
    </w:p>
    <w:p>
      <w:pPr>
        <w:spacing w:after="0" w:line="182" w:lineRule="exact"/>
        <w:rPr>
          <w:sz w:val="20"/>
          <w:szCs w:val="20"/>
          <w:color w:val="auto"/>
        </w:rPr>
      </w:pPr>
    </w:p>
    <w:p>
      <w:pPr>
        <w:jc w:val="both"/>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2.6 Rights Retained by Ardelyx</w:t>
      </w:r>
      <w:r>
        <w:rPr>
          <w:rFonts w:ascii="Times New Roman" w:cs="Times New Roman" w:eastAsia="Times New Roman" w:hAnsi="Times New Roman"/>
          <w:sz w:val="18"/>
          <w:szCs w:val="18"/>
          <w:color w:val="auto"/>
        </w:rPr>
        <w:t>. Notwithstanding the licenses set forth in this Article 2, Ardelyx retains the non-exclusive right under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Joint Technology to (a) perform any activities that may be explicitly requested to be performed by Ardelyx by the Development Advisory Committee in accordance with Section 3.3, and with respect to which Ardelyx has specifically agreed to perform (the “</w:t>
      </w:r>
      <w:r>
        <w:rPr>
          <w:rFonts w:ascii="Times New Roman" w:cs="Times New Roman" w:eastAsia="Times New Roman" w:hAnsi="Times New Roman"/>
          <w:sz w:val="18"/>
          <w:szCs w:val="18"/>
          <w:b w:val="1"/>
          <w:bCs w:val="1"/>
          <w:color w:val="auto"/>
        </w:rPr>
        <w:t>Assigned Activities</w:t>
      </w:r>
      <w:r>
        <w:rPr>
          <w:rFonts w:ascii="Times New Roman" w:cs="Times New Roman" w:eastAsia="Times New Roman" w:hAnsi="Times New Roman"/>
          <w:sz w:val="18"/>
          <w:szCs w:val="18"/>
          <w:color w:val="auto"/>
        </w:rPr>
        <w:t>”); and</w:t>
      </w:r>
    </w:p>
    <w:p>
      <w:pPr>
        <w:ind w:right="200" w:firstLine="8"/>
        <w:spacing w:after="0" w:line="261" w:lineRule="auto"/>
        <w:tabs>
          <w:tab w:leader="none" w:pos="25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exercise of the Co-Promote Option, promote the Program Products in the U.S. Territory that have been assigned to Ardelyx under the Co-Promote Agreement subject to Article 5 and the Co-Promote Agreement (the </w:t>
      </w:r>
      <w:r>
        <w:rPr>
          <w:rFonts w:ascii="Times New Roman" w:cs="Times New Roman" w:eastAsia="Times New Roman" w:hAnsi="Times New Roman"/>
          <w:sz w:val="18"/>
          <w:szCs w:val="18"/>
          <w:b w:val="1"/>
          <w:bCs w:val="1"/>
          <w:color w:val="auto"/>
        </w:rPr>
        <w:t>“Promotion Activities”</w:t>
      </w:r>
      <w:r>
        <w:rPr>
          <w:rFonts w:ascii="Times New Roman" w:cs="Times New Roman" w:eastAsia="Times New Roman" w:hAnsi="Times New Roman"/>
          <w:sz w:val="18"/>
          <w:szCs w:val="18"/>
          <w:color w:val="auto"/>
        </w:rPr>
        <w:t>).</w:t>
      </w:r>
    </w:p>
    <w:p>
      <w:pPr>
        <w:sectPr>
          <w:pgSz w:w="11900" w:h="16838" w:orient="portrait"/>
          <w:cols w:equalWidth="0" w:num="1">
            <w:col w:w="11380"/>
          </w:cols>
          <w:pgMar w:left="240" w:top="270" w:right="279" w:bottom="1440" w:gutter="0" w:footer="0" w:header="0"/>
        </w:sectPr>
      </w:pPr>
    </w:p>
    <w:bookmarkStart w:id="350" w:name="page351"/>
    <w:bookmarkEnd w:id="350"/>
    <w:p>
      <w:pPr>
        <w:ind w:right="3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Program Technology License to Ardelyx</w:t>
      </w:r>
      <w:r>
        <w:rPr>
          <w:rFonts w:ascii="Times New Roman" w:cs="Times New Roman" w:eastAsia="Times New Roman" w:hAnsi="Times New Roman"/>
          <w:sz w:val="18"/>
          <w:szCs w:val="18"/>
          <w:color w:val="auto"/>
        </w:rPr>
        <w:t>. Sanofi grants to Ardelyx a non-exclusive, paid-up, royalty free, worldwide license under any Sanofi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Program Technology, to Exploit the Program Compounds and Program Products for the sole purpose of performing the Assigned Activities and the Promotion Activities.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2.8 NaP2b Products and Grant Back to Ardelyx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86" w:lineRule="auto"/>
        <w:tabs>
          <w:tab w:leader="none" w:pos="70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license grant set forth in Section 2.2,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event that Sanofi determines that it is interested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shall inform Ardelyx and the Parties shall engage in good faith negotiations to determine the terms and conditions under which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grants to Ardelyx a non-exclusive, paid-up, royalty free, non-transferable worldwide license under the Listed Patents for the sole purpose of</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435"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(such compounds or products, the </w:t>
      </w:r>
      <w:r>
        <w:rPr>
          <w:rFonts w:ascii="Times New Roman" w:cs="Times New Roman" w:eastAsia="Times New Roman" w:hAnsi="Times New Roman"/>
          <w:sz w:val="18"/>
          <w:szCs w:val="18"/>
          <w:b w:val="1"/>
          <w:bCs w:val="1"/>
          <w:color w:val="auto"/>
        </w:rPr>
        <w:t>“Grantback Products”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“Grantback License”</w:t>
      </w:r>
      <w:r>
        <w:rPr>
          <w:rFonts w:ascii="Times New Roman" w:cs="Times New Roman" w:eastAsia="Times New Roman" w:hAnsi="Times New Roman"/>
          <w:sz w:val="18"/>
          <w:szCs w:val="18"/>
          <w:color w:val="auto"/>
        </w:rPr>
        <w:t xml:space="preserve">). Ardelyx shall not have the right to grant a sublicense under the license set forth above except to enable a Third Party to provide contract research services for Ardelyx. Other than the restriction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reserves all rights not expressly granted by the Grantback License. No additional rights (including any implied patent or know-how licenses, covenants, releases, rights to know-how or other rights) are granted under this Section (b) by implication, estoppel or otherwise, including any rights to any enabling technologies or under any additional patents of Sanofi, even if such enabling technologies or additional patent rights are needed for Ardelyx to Exploit the Grantback Products. For clarity, the license rights granted to Ardelyx under this Section 2.8 do not include any right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2.9 Non-compete and 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64"/>
        <w:spacing w:after="0" w:line="268" w:lineRule="auto"/>
        <w:tabs>
          <w:tab w:leader="none" w:pos="70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neither Sanofi nor any of its Affiliates shall, other than as part of the collaboration described in this Agreement, either by itself or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Third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product or compound, a “</w:t>
      </w:r>
      <w:r>
        <w:rPr>
          <w:rFonts w:ascii="Times New Roman" w:cs="Times New Roman" w:eastAsia="Times New Roman" w:hAnsi="Times New Roman"/>
          <w:sz w:val="18"/>
          <w:szCs w:val="18"/>
          <w:b w:val="1"/>
          <w:bCs w:val="1"/>
          <w:color w:val="auto"/>
        </w:rPr>
        <w:t>NaP2b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this Agreement is terminated as a result of a Sanofi Triggered Termination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in this Agreement, neither Ardelyx nor any of its Affiliates shall, either by itself or through a Third Party, [***], a NaP2b Product. For clarity, this restriction applies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70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aforesaid, (i) it shall not constitute a breach of the covenants set forth in subsections (a) or (b) above for a Party, or any of its respective Affiliates to, either by itself or through a Third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 it shall not constitute a breach of the covenant set forth in subsection (b) above in the event that any activities performed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71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aforesaid, neither a Party’s nor any of such Party’s Affiliates’ direct or indirect acquisition of or by, or merger with, in whole or in part, a Person (or group of companies) or the business of a Person (or group of companies) having any activity contravening the covenants set forth above in this Section 2.9, shall constitute a breach of such covenants by such Party, if:</w:t>
      </w:r>
    </w:p>
    <w:p>
      <w:pPr>
        <w:spacing w:after="0" w:line="64"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Ardelyx,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6" w:right="239" w:bottom="1440" w:gutter="0" w:footer="0" w:header="0"/>
        </w:sectPr>
      </w:pPr>
    </w:p>
    <w:bookmarkStart w:id="351" w:name="page352"/>
    <w:bookmarkEnd w:id="351"/>
    <w:p>
      <w:pPr>
        <w:ind w:left="460" w:firstLine="443"/>
        <w:spacing w:after="0" w:line="257" w:lineRule="auto"/>
        <w:tabs>
          <w:tab w:leader="none" w:pos="116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Sanofi or Ardelyx (in the case of Ardelyx, if the conditions under subsection (i) above are not fulfilled),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Party shall provide the other Party with written notice (X) of its, or its Affiliates’, as the case may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(Y) of its decision that, for all purposes under this Agreement, including the consideration provisions set forth in Article 6, and the term and termination provisions set forth in Article 11, (XX) the NaP2b Product that contravenes the covenants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Contravening Product</w:t>
      </w:r>
      <w:r>
        <w:rPr>
          <w:rFonts w:ascii="Times New Roman" w:cs="Times New Roman" w:eastAsia="Times New Roman" w:hAnsi="Times New Roman"/>
          <w:sz w:val="18"/>
          <w:szCs w:val="18"/>
          <w:color w:val="auto"/>
        </w:rPr>
        <w:t xml:space="preserve">”), (YY) in the case of Ardelyx,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in the case of Sanofi,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in the case of both Ardelyx and Sanofi, for clarity, after the closing of the transaction giving rise to the Contravening Product,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w:t>
      </w:r>
    </w:p>
    <w:p>
      <w:pPr>
        <w:spacing w:after="0" w:line="74"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Sanofi,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Sanofi provides Ardelyx with written notice of its termination of this Agreement pursuant to</w:t>
      </w:r>
    </w:p>
    <w:p>
      <w:pPr>
        <w:spacing w:after="0" w:line="31" w:lineRule="exact"/>
        <w:rPr>
          <w:sz w:val="20"/>
          <w:szCs w:val="20"/>
          <w:color w:val="auto"/>
        </w:rPr>
      </w:pPr>
    </w:p>
    <w:p>
      <w:pPr>
        <w:ind w:left="460" w:right="240"/>
        <w:spacing w:after="0" w:line="255" w:lineRule="auto"/>
        <w:rPr>
          <w:sz w:val="20"/>
          <w:szCs w:val="20"/>
          <w:color w:val="auto"/>
        </w:rPr>
      </w:pPr>
      <w:r>
        <w:rPr>
          <w:rFonts w:ascii="Times New Roman" w:cs="Times New Roman" w:eastAsia="Times New Roman" w:hAnsi="Times New Roman"/>
          <w:sz w:val="18"/>
          <w:szCs w:val="18"/>
          <w:color w:val="auto"/>
        </w:rPr>
        <w:t xml:space="preserve">Section 11.2(b) with the consequences described in Section 11.3, including subsection 11.3(n). For the avoidance of doubt, in such case, Sanofi shall continue to adhere to the provisions of Section 2.9(a)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all NaP2b Products including any NaP2b Products or activities acquired directly or indirectly by the acquisition or merger leading to Sanofi’s termination under this Section 2.9(d)(iii).</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either Party provides a written notice of its or its Affiliates’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the above, then (X) such Party shall (or, as the case may be, cause its relevant Affiliate to) diligently pursue the sale or transfer to a Third Party of such business, and in any case, shall enter into (or, as the case may be, cause its relevant Affiliate to enter into) a binding definitive agreement with a Third Party for such sale or transfer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such longer period as the Parties may agree) after the closing of the acquisition or merger transaction under which the relevant business was acquired, and (Y) neither such Party nor its Affiliates, as the case may be, shall during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(or other longer agreed period),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NaP2b Product (being the subject of research or Development activities forming part of the relevant business which is to be divested), unless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the case of Sanofi undergoing such a transaction, it shall, notwithstanding anything to the contrary in this Section 2.9(d), at all times continue to be obligated to use Commercially Reasonable Efforts to Develop or Commercialize Program Products as set forth in Section 4.3(a).</w:t>
      </w:r>
    </w:p>
    <w:p>
      <w:pPr>
        <w:spacing w:after="0" w:line="185" w:lineRule="exact"/>
        <w:rPr>
          <w:sz w:val="20"/>
          <w:szCs w:val="20"/>
          <w:color w:val="auto"/>
        </w:rPr>
      </w:pPr>
    </w:p>
    <w:p>
      <w:pPr>
        <w:ind w:right="160" w:firstLine="464"/>
        <w:spacing w:after="0" w:line="286" w:lineRule="auto"/>
        <w:tabs>
          <w:tab w:leader="none" w:pos="70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all variations thereof included in this Section 2.9 with reference to NaP2b Products shall include the activities described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but with such activities being with respect to NaP2b Products rather than with respect to Program Products as set forth in the definition.</w:t>
      </w:r>
    </w:p>
    <w:p>
      <w:pPr>
        <w:spacing w:after="0" w:line="158" w:lineRule="exact"/>
        <w:rPr>
          <w:rFonts w:ascii="Times New Roman" w:cs="Times New Roman" w:eastAsia="Times New Roman" w:hAnsi="Times New Roman"/>
          <w:sz w:val="18"/>
          <w:szCs w:val="18"/>
          <w:color w:val="auto"/>
        </w:rPr>
      </w:pPr>
    </w:p>
    <w:p>
      <w:pPr>
        <w:ind w:right="20" w:firstLine="464"/>
        <w:spacing w:after="0" w:line="261" w:lineRule="auto"/>
        <w:tabs>
          <w:tab w:leader="none" w:pos="68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not supply Program Compounds or Program Products to any Third Party for any Third Party use, other than to perform Exploitation activities in compliance with this Agreement. In addition, Sanofi shall not license any Third Party (other than a Sanofi Licensee, Sublicensee or other licensee or sublicensee consistent with the terms and conditions of this Agreement) to make or have made Program Compounds or Program Products, except to carry out the provisions of this Agreement.</w:t>
      </w:r>
    </w:p>
    <w:p>
      <w:pPr>
        <w:spacing w:after="0" w:line="180" w:lineRule="exact"/>
        <w:rPr>
          <w:rFonts w:ascii="Times New Roman" w:cs="Times New Roman" w:eastAsia="Times New Roman" w:hAnsi="Times New Roman"/>
          <w:sz w:val="18"/>
          <w:szCs w:val="18"/>
          <w:color w:val="auto"/>
        </w:rPr>
      </w:pPr>
    </w:p>
    <w:p>
      <w:pPr>
        <w:ind w:right="760" w:firstLine="464"/>
        <w:spacing w:after="0" w:line="282" w:lineRule="auto"/>
        <w:tabs>
          <w:tab w:leader="none" w:pos="71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restrictions contained in this Section 2.9 are reasonable and necessary for the protection of the Parties’ and their Affiliates’ respective confidential</w:t>
      </w:r>
    </w:p>
    <w:p>
      <w:pPr>
        <w:spacing w:after="0" w:line="89"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6" w:right="259" w:bottom="1440" w:gutter="0" w:footer="0" w:header="0"/>
        </w:sectPr>
      </w:pPr>
    </w:p>
    <w:bookmarkStart w:id="352" w:name="page353"/>
    <w:bookmarkEnd w:id="352"/>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and business, that such restrictions are reasonable in all the circumstances and that the Parties would not have entered into this Agreement without the protections afforded to them under this Section 2.9.</w:t>
      </w:r>
    </w:p>
    <w:p>
      <w:pPr>
        <w:spacing w:after="0" w:line="15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2.10 No Implied Rights</w:t>
      </w:r>
      <w:r>
        <w:rPr>
          <w:rFonts w:ascii="Times New Roman" w:cs="Times New Roman" w:eastAsia="Times New Roman" w:hAnsi="Times New Roman"/>
          <w:sz w:val="18"/>
          <w:szCs w:val="18"/>
          <w:color w:val="auto"/>
        </w:rPr>
        <w:t>. This Agreement confers no right, license, or interest by implication, estoppel, or otherwise under any Patents, Know-How,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w:t>
      </w:r>
    </w:p>
    <w:p>
      <w:pPr>
        <w:spacing w:after="0" w:line="17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2.11 Exclusivity Term</w:t>
      </w:r>
      <w:r>
        <w:rPr>
          <w:rFonts w:ascii="Times New Roman" w:cs="Times New Roman" w:eastAsia="Times New Roman" w:hAnsi="Times New Roman"/>
          <w:sz w:val="18"/>
          <w:szCs w:val="18"/>
          <w:color w:val="auto"/>
        </w:rPr>
        <w:t xml:space="preserve">. Sanofi’s exclusive license granted under Section 2.2, shall expire with respect to each separate Program Product, on a country-by-country basis, on the date when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 there are no longer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Upon expiry of Sanofi’s exclusive licenses with respect to a Program Product in a country, Sanofi’s licenses with respect to such Program Product in such country shall become non-exclusive, fully paid-up, perpetual and irrevocable and the Net Sales of such Program Product in such country shall be excluded from the royalty calculations under Section 6.4 (including the thresholds and ceilings). Sanofi and its Affiliates and Sublicensees shall be allowed to continue exercising Sanofi’s rights under the licenses granted in Section 2.2 on a non-exclusive basis in such country with no further consideration to Ardelyx.</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DEVELOPMENT ADVISORY COMMITTEE AND PRIOR DEVELOPMENT PHASE</w:t>
      </w:r>
    </w:p>
    <w:p>
      <w:pPr>
        <w:spacing w:after="0" w:line="203"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3.1 DAC</w:t>
      </w:r>
      <w:r>
        <w:rPr>
          <w:rFonts w:ascii="Times New Roman" w:cs="Times New Roman" w:eastAsia="Times New Roman" w:hAnsi="Times New Roman"/>
          <w:sz w:val="18"/>
          <w:szCs w:val="18"/>
          <w:color w:val="auto"/>
        </w:rPr>
        <w:t>. Ardelyx and Sanofi shall establish a Development Advisory Committee (the “</w:t>
      </w:r>
      <w:r>
        <w:rPr>
          <w:rFonts w:ascii="Times New Roman" w:cs="Times New Roman" w:eastAsia="Times New Roman" w:hAnsi="Times New Roman"/>
          <w:sz w:val="18"/>
          <w:szCs w:val="18"/>
          <w:b w:val="1"/>
          <w:bCs w:val="1"/>
          <w:color w:val="auto"/>
        </w:rPr>
        <w:t>DAC</w:t>
      </w:r>
      <w:r>
        <w:rPr>
          <w:rFonts w:ascii="Times New Roman" w:cs="Times New Roman" w:eastAsia="Times New Roman" w:hAnsi="Times New Roman"/>
          <w:sz w:val="18"/>
          <w:szCs w:val="18"/>
          <w:color w:val="auto"/>
        </w:rPr>
        <w:t>”). The DAC shall remain in effect from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until the earlier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DAC shall serve as a joint working group for the purpose of approving the Pre-Clinical Development Plan and the Development Plan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having the final decision in case of any persisting disagreement in that respect), and facilitating interactions between the Parties in relation to the performance of the Program.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DAC shall consist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project leaders,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such additional members as each Party may appoint from time to time as necessary or useful for the performance of the DAC’s responsibilities hereunder. Each Party shall have the right to withdraw or replace its DAC representatives upon written notice to the other Party, provided that any such substitute representative shall have substantially the equivalent position and experience as the representative that such person replaces. The DAC shall hold meetings at such times and places as shall be determined by a consensus of the committee, and, unless determined otherwise by unanimous approval of the DAC, such meetings shall not be held less frequently than once every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Meetings of the DAC may be held in person, via internet, telephonically or by videoconference. Each Party will be responsible for the expenses incurred in connection with its employees, consultants and its members of the DAC attending or otherwise participating in DAC meetings. Each Party’s representatives on the DAC as of the Effective Date are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For clarity, each Party shall be required to disclose through the DAC or, in the event the DAC is terminated pursuant to Section 3.2, directly to the other Party only such information reasonably necessary to ensure compliance with this Agreement.</w:t>
      </w:r>
    </w:p>
    <w:p>
      <w:pPr>
        <w:spacing w:after="0" w:line="121" w:lineRule="exact"/>
        <w:rPr>
          <w:sz w:val="20"/>
          <w:szCs w:val="20"/>
          <w:color w:val="auto"/>
        </w:rPr>
      </w:pPr>
    </w:p>
    <w:p>
      <w:pPr>
        <w:ind w:right="360" w:firstLine="8"/>
        <w:spacing w:after="0" w:line="262" w:lineRule="auto"/>
        <w:tabs>
          <w:tab w:leader="none" w:pos="348"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40"/>
          </w:cols>
          <w:pgMar w:left="240" w:top="269" w:right="319" w:bottom="1440" w:gutter="0" w:footer="0" w:header="0"/>
        </w:sectPr>
      </w:pPr>
    </w:p>
    <w:bookmarkStart w:id="353" w:name="page354"/>
    <w:bookmarkEnd w:id="353"/>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Ardelyx Membership in the DAC</w:t>
      </w:r>
      <w:r>
        <w:rPr>
          <w:rFonts w:ascii="Times New Roman" w:cs="Times New Roman" w:eastAsia="Times New Roman" w:hAnsi="Times New Roman"/>
          <w:sz w:val="18"/>
          <w:szCs w:val="18"/>
          <w:color w:val="auto"/>
        </w:rPr>
        <w:t>. Ardelyx’s membership in the DAC shall be at its sole discretion, as a matter of right and not obligation,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purpose of performing activities within the remit of the DAC. During any such period, Ardelyx shall have the right to withdraw from membership in the DAC upon thirty (30) days’ written notice to Sanofi, which notice shall be effective upon the expiration of such thirty (30) day period. Such withdrawal shall be permanently irrevocable and shall not, however, relieve Ardelyx of any of its obligations under this Agreement (apart from the obligation to participate at DAC meetings). Upon the effective date of Ardelyx’s withdrawal pursuant to the above, the DAC shall be disbanded. In case of early disbandment of the DAC in accordance with this Section 3.2, each Party shall have the right to continue to receive the information it would otherwise be entitled to receive under this Agreement, and any information originally to be disclosed through the DAC shall be provided to such Party directly by the other Party subject to the terms and conditions of this Agreement.</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3.3 Assigned Activities</w:t>
      </w:r>
      <w:r>
        <w:rPr>
          <w:rFonts w:ascii="Times New Roman" w:cs="Times New Roman" w:eastAsia="Times New Roman" w:hAnsi="Times New Roman"/>
          <w:sz w:val="18"/>
          <w:szCs w:val="18"/>
          <w:color w:val="auto"/>
        </w:rPr>
        <w:t>. In the event that Sanofi requests that Ardelyx perform certain Assigned Activities, such Assigned Activities shall be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discussed at a DAC meeting, and if Ardelyx agrees to perform such Assigned Activities in accordance with the budget prepared by Sanofi and presented to the DAC, then Ardelyx shall use Commercially Reasonable Efforts to conclude such Assigned Activities. In connection therewith, Ardelyx shall submit invoices to Sanofi at the beginning of each Calendar Quarter, which invoices shall detail the Assigned Activities Expenses incurred by Ardelyx during the previous Calendar Quarter,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each case to the extent consistent with the budget for the Assigned Activities. Sanofi shall pay each invoice within thirty (30) days of its receipt thereof. For clarity, neither (a) Ardelyx’s participation in the DAC as described in Section 3.1 above or in the SAC as described in Section 5.4, nor (b) the technology transfer activities described in Section 3.4 below shall be considered Assigned Activities. Sanofi shall not, and shall procure that its Affiliates, Sanofi Licensees and Sublicensees shall not, anywhere in the world,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3.4 Technology Transfer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8" w:lineRule="auto"/>
        <w:tabs>
          <w:tab w:leader="none" w:pos="70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thirty (30) days after the Effective Date, Ardelyx shall transfer to Sanofi, at Ardelyx’s sole cost and expense, the Technology Transfer Deliverables.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Effective Date shall be the “</w:t>
      </w:r>
      <w:r>
        <w:rPr>
          <w:rFonts w:ascii="Times New Roman" w:cs="Times New Roman" w:eastAsia="Times New Roman" w:hAnsi="Times New Roman"/>
          <w:sz w:val="18"/>
          <w:szCs w:val="18"/>
          <w:b w:val="1"/>
          <w:bCs w:val="1"/>
          <w:color w:val="auto"/>
        </w:rPr>
        <w:t>Technology Transfer Phase Completion</w:t>
      </w:r>
      <w:r>
        <w:rPr>
          <w:rFonts w:ascii="Times New Roman" w:cs="Times New Roman" w:eastAsia="Times New Roman" w:hAnsi="Times New Roman"/>
          <w:sz w:val="18"/>
          <w:szCs w:val="18"/>
          <w:color w:val="auto"/>
        </w:rPr>
        <w:t>” unless Sanofi has provided Ardelyx with written notice prior to such date identifying the specific Technology Transfer Deliverables that have not been received as of such date, in which case, the Technology Transfer Phase Completion shall occur on such date as the previously noticed and identified Technology Transfer Deliverables are received by Sanofi.</w:t>
      </w:r>
    </w:p>
    <w:p>
      <w:pPr>
        <w:spacing w:after="0" w:line="179" w:lineRule="exact"/>
        <w:rPr>
          <w:rFonts w:ascii="Times New Roman" w:cs="Times New Roman" w:eastAsia="Times New Roman" w:hAnsi="Times New Roman"/>
          <w:sz w:val="18"/>
          <w:szCs w:val="18"/>
          <w:color w:val="auto"/>
        </w:rPr>
      </w:pPr>
    </w:p>
    <w:p>
      <w:pPr>
        <w:ind w:right="260" w:firstLine="464"/>
        <w:spacing w:after="0" w:line="259" w:lineRule="auto"/>
        <w:tabs>
          <w:tab w:leader="none" w:pos="71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shall have access, as reasonably requested by Sanofi, free of charge, to Ardelyx scientific personnel at reasonable times during normal business hours and upon reasonable prior notice for discussion related to the Technology Transfer Deliverables and for reasonable assistance with respect to the technology transfer and use of the Licensed Technology by Sanofi;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fulfillment of such requests under this Section 3.4(b) shall be at Ardelyx’s full discretion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Ardelyx shall for an additional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continue to respond in a reasonable time period to reasonable requests by Sanofi for additional assistance relating to the Licensed Technology; </w:t>
      </w:r>
      <w:r>
        <w:rPr>
          <w:rFonts w:ascii="Times New Roman" w:cs="Times New Roman" w:eastAsia="Times New Roman" w:hAnsi="Times New Roman"/>
          <w:sz w:val="18"/>
          <w:szCs w:val="18"/>
          <w:u w:val="single" w:color="auto"/>
          <w:color w:val="auto"/>
        </w:rPr>
        <w:t>provided that</w:t>
      </w:r>
    </w:p>
    <w:p>
      <w:pPr>
        <w:spacing w:after="0" w:line="111"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66" w:right="279" w:bottom="1440" w:gutter="0" w:footer="0" w:header="0"/>
        </w:sectPr>
      </w:pPr>
    </w:p>
    <w:bookmarkStart w:id="354" w:name="page355"/>
    <w:bookmarkEnd w:id="354"/>
    <w:p>
      <w:pPr>
        <w:ind w:right="1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fulfillment of such requests during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shall be at Ardelyx’s full discretion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termination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any future requests by Sanofi for additional assistance relating to the Licensed Technology shall be addressed by Ardelyx in its sole discretion.</w:t>
      </w:r>
    </w:p>
    <w:p>
      <w:pPr>
        <w:spacing w:after="0" w:line="155"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3.5 Prior Development Phase</w:t>
      </w:r>
      <w:r>
        <w:rPr>
          <w:rFonts w:ascii="Times New Roman" w:cs="Times New Roman" w:eastAsia="Times New Roman" w:hAnsi="Times New Roman"/>
          <w:sz w:val="18"/>
          <w:szCs w:val="18"/>
          <w:color w:val="auto"/>
        </w:rPr>
        <w:t>. After the Technology Transfer Phase Completion, the “</w:t>
      </w:r>
      <w:r>
        <w:rPr>
          <w:rFonts w:ascii="Times New Roman" w:cs="Times New Roman" w:eastAsia="Times New Roman" w:hAnsi="Times New Roman"/>
          <w:sz w:val="18"/>
          <w:szCs w:val="18"/>
          <w:b w:val="1"/>
          <w:bCs w:val="1"/>
          <w:color w:val="auto"/>
        </w:rPr>
        <w:t xml:space="preserve">Prior Development Phase” </w:t>
      </w:r>
      <w:r>
        <w:rPr>
          <w:rFonts w:ascii="Times New Roman" w:cs="Times New Roman" w:eastAsia="Times New Roman" w:hAnsi="Times New Roman"/>
          <w:sz w:val="18"/>
          <w:szCs w:val="18"/>
          <w:color w:val="auto"/>
        </w:rPr>
        <w:t>shall commence. Unless extended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mutual written agreement of the Parties prior to its termination, the Prior Development Phase shall terminate on the date that is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Parties may extend the Prior Development Phase once for an additional [***] period provided that both Parties agree in writing to the extension prior to the original termination date.</w:t>
      </w:r>
    </w:p>
    <w:p>
      <w:pPr>
        <w:spacing w:after="0" w:line="17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3.6 Pre-Clinical Development Plan</w:t>
      </w:r>
      <w:r>
        <w:rPr>
          <w:rFonts w:ascii="Times New Roman" w:cs="Times New Roman" w:eastAsia="Times New Roman" w:hAnsi="Times New Roman"/>
          <w:sz w:val="18"/>
          <w:szCs w:val="18"/>
          <w:color w:val="auto"/>
        </w:rPr>
        <w:t>. No later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Technology Transfer Phase Completion, Sanofi shall submit to Ardelyx a plan (the</w:t>
      </w:r>
      <w:r>
        <w:rPr>
          <w:rFonts w:ascii="Times New Roman" w:cs="Times New Roman" w:eastAsia="Times New Roman" w:hAnsi="Times New Roman"/>
          <w:sz w:val="18"/>
          <w:szCs w:val="18"/>
          <w:b w:val="1"/>
          <w:bCs w:val="1"/>
          <w:color w:val="auto"/>
        </w:rPr>
        <w:t xml:space="preserve"> “Pre-Clinical Development Plan”</w:t>
      </w:r>
      <w:r>
        <w:rPr>
          <w:rFonts w:ascii="Times New Roman" w:cs="Times New Roman" w:eastAsia="Times New Roman" w:hAnsi="Times New Roman"/>
          <w:sz w:val="18"/>
          <w:szCs w:val="18"/>
          <w:color w:val="auto"/>
        </w:rPr>
        <w:t>) for the discovery, research and pre-clinical development of Program Compounds, which plan may be amended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by Sanofi at its sole discretion and shall have a stated goal of Filing an IND for one or more Program Compounds. The Pre-Clinical Development Plan shall include a plan for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Ardelyx shall promptly provide its comments on the Pre-Clinical Development Plan proposed by Sanofi. The Parties shall thereafter promptly engage in discussions in good faith with the objective to agree on a final Pre-Clinical Development Plan.</w:t>
      </w:r>
    </w:p>
    <w:p>
      <w:pPr>
        <w:spacing w:after="0" w:line="18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3.7 Diligence and Expenses</w:t>
      </w:r>
      <w:r>
        <w:rPr>
          <w:rFonts w:ascii="Times New Roman" w:cs="Times New Roman" w:eastAsia="Times New Roman" w:hAnsi="Times New Roman"/>
          <w:sz w:val="18"/>
          <w:szCs w:val="18"/>
          <w:color w:val="auto"/>
        </w:rPr>
        <w:t>. Sanofi shall use Commercially Reasonable Efforts to complete the Pre-Clinical Development Plan during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Phase, and Sanofi shall be responsible for all costs and expenses incurred in the performance of the Pre-Clinical Development Plan (other than unapproved budget overages incurred by Ardelyx with respect to the Assigned Activities). In the event that the FDA or another competent Regulatory Authority has issued a clinical hold on the Development of a Program Product, Sanofi shall use Commercially Reasonable Efforts to cause the release of such clinical hold.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TO CONTINUE AND GENERAL PROVISIONS ON DEVELOPMENT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COMMERCIALIZATION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4.1 Option to Continue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64"/>
        <w:spacing w:after="0" w:line="261" w:lineRule="auto"/>
        <w:tabs>
          <w:tab w:leader="none" w:pos="70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Ardelyx hereby grants to Sanofi an exclusive option, exercisable at any time during the Option Exercise Period, to Exploit Program Compounds and Program Products under the terms set forth in this Agreement (the </w:t>
      </w:r>
      <w:r>
        <w:rPr>
          <w:rFonts w:ascii="Times New Roman" w:cs="Times New Roman" w:eastAsia="Times New Roman" w:hAnsi="Times New Roman"/>
          <w:sz w:val="18"/>
          <w:szCs w:val="18"/>
          <w:b w:val="1"/>
          <w:bCs w:val="1"/>
          <w:color w:val="auto"/>
        </w:rPr>
        <w:t>“Option to Continue”</w:t>
      </w:r>
      <w:r>
        <w:rPr>
          <w:rFonts w:ascii="Times New Roman" w:cs="Times New Roman" w:eastAsia="Times New Roman" w:hAnsi="Times New Roman"/>
          <w:sz w:val="18"/>
          <w:szCs w:val="18"/>
          <w:color w:val="auto"/>
        </w:rPr>
        <w:t>). If Sanofi fails to provide Ardelyx with written notice of its exercise of the Option to Continue prior to the termination of the Option Exercise Period, the Option to Continue shall no longer be exercisable and this Agreement shall terminate in accordance with Section 11.2(b).</w:t>
      </w:r>
    </w:p>
    <w:p>
      <w:pPr>
        <w:spacing w:after="0" w:line="180" w:lineRule="exact"/>
        <w:rPr>
          <w:rFonts w:ascii="Times New Roman" w:cs="Times New Roman" w:eastAsia="Times New Roman" w:hAnsi="Times New Roman"/>
          <w:sz w:val="18"/>
          <w:szCs w:val="18"/>
          <w:color w:val="auto"/>
        </w:rPr>
      </w:pPr>
    </w:p>
    <w:p>
      <w:pPr>
        <w:ind w:right="100" w:firstLine="464"/>
        <w:spacing w:after="0" w:line="266" w:lineRule="auto"/>
        <w:tabs>
          <w:tab w:leader="none" w:pos="71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provides Ardelyx with written notice of its exercise of the Option to Continue during the Option Exercise Period, then (i) Sanofi shall pay to Ardelyx a nonrefundable one-time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“Continuation Milestone”</w:t>
      </w:r>
      <w:r>
        <w:rPr>
          <w:rFonts w:ascii="Times New Roman" w:cs="Times New Roman" w:eastAsia="Times New Roman" w:hAnsi="Times New Roman"/>
          <w:sz w:val="18"/>
          <w:szCs w:val="18"/>
          <w:color w:val="auto"/>
        </w:rPr>
        <w:t>) as set forth in Section 6.3(a), and (ii) upon payment of the Continuation Milestone, the license grant set forth in Section 2.2 shall</w:t>
      </w:r>
    </w:p>
    <w:p>
      <w:pPr>
        <w:spacing w:after="0" w:line="104"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6" w:right="239" w:bottom="1440" w:gutter="0" w:footer="0" w:header="0"/>
        </w:sectPr>
      </w:pPr>
    </w:p>
    <w:bookmarkStart w:id="355" w:name="page356"/>
    <w:bookmarkEnd w:id="355"/>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automatically become effective, without further action on the part of either Party and subject to the terms and conditions of this Agreement. The Continuation Milestone shall not be creditable against any other payments Sanofi is obligated to make to Ardelyx under this Agreement.</w:t>
      </w:r>
    </w:p>
    <w:p>
      <w:pPr>
        <w:spacing w:after="0" w:line="162" w:lineRule="exact"/>
        <w:rPr>
          <w:sz w:val="20"/>
          <w:szCs w:val="20"/>
          <w:color w:val="auto"/>
        </w:rPr>
      </w:pPr>
    </w:p>
    <w:p>
      <w:pPr>
        <w:ind w:firstLine="464"/>
        <w:spacing w:after="0" w:line="256" w:lineRule="auto"/>
        <w:tabs>
          <w:tab w:leader="none" w:pos="70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Sanofi determines that a filing is required under the Hart Scott Rodino Antitrust Improvements Act of 1976, as amended, with respect to the exercise of the Option to Continue, the Parties will cooperate in good faith to make the required filing. The Continuation Milestone shall be payable and the Option to Continue shall be deemed exercised only after the completion of any required filing and the end of any required waiting period. For clarity, the fact that completion of any required filing or the end or any required waiting period occurs after the end of the Option Exercise Period will not affect the validity of the Option to Continue, provided that Sanofi has provided the written notice referred to in subsection 4.1(a) above before the end of the Option Exercise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Sanofi shall diligently proceed in the preparation and filing of the required filing.</w:t>
      </w:r>
    </w:p>
    <w:p>
      <w:pPr>
        <w:spacing w:after="0" w:line="18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4.2 Development Plan</w:t>
      </w:r>
      <w:r>
        <w:rPr>
          <w:rFonts w:ascii="Times New Roman" w:cs="Times New Roman" w:eastAsia="Times New Roman" w:hAnsi="Times New Roman"/>
          <w:sz w:val="18"/>
          <w:szCs w:val="18"/>
          <w:color w:val="auto"/>
        </w:rPr>
        <w:t>. Following the exercise of the Option to Continue, the Development of the Program Products shall be governed by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plan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describing the Development of each Program Product for any indications elected by Sanofi in each Major Country.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Sanofi’s exercise of the Option to Continue, Sanofi shall submit an initial Development Plan to the DAC for review and comment, or in the event the DAC has been disbanded, to Ardelyx. Thereafter, as soon as reasonably practicable following finalization thereof, Sanofi shall provide Ardelyx with any revision of the Development Plan and no less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shall submit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Plan (or a reasonably detailed summary thereof) to the DAC or to Ardelyx, as applicable under this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4.3 Diligence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00" w:hanging="236"/>
        <w:spacing w:after="0"/>
        <w:tabs>
          <w:tab w:leader="none" w:pos="7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exercise of the Option to Continue, Sanofi shall use Commercially Reasonable Efforts at its own cost and expense (i) to Develop one</w:t>
      </w:r>
    </w:p>
    <w:p>
      <w:pPr>
        <w:spacing w:after="0" w:line="27" w:lineRule="exact"/>
        <w:rPr>
          <w:rFonts w:ascii="Times New Roman" w:cs="Times New Roman" w:eastAsia="Times New Roman" w:hAnsi="Times New Roman"/>
          <w:sz w:val="18"/>
          <w:szCs w:val="18"/>
          <w:color w:val="auto"/>
        </w:rPr>
      </w:pPr>
    </w:p>
    <w:p>
      <w:pPr>
        <w:ind w:right="40" w:firstLine="8"/>
        <w:spacing w:after="0" w:line="251" w:lineRule="auto"/>
        <w:tabs>
          <w:tab w:leader="none" w:pos="25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 Product for one indication in the Field (and may Develop any additional Program Products or indications) and to seek and obtain Regulatory Approval for such Program Product for use in humans in each of the Major Countries, (ii) to Manufacture or have Manufactured Program Compound and Program Product for use in the Development and Commercialization thereof, and (iii) to Commercialize a Program Product for use in humans in each of the Major Countries. Sanofi shall perform, or cause its Affiliates or Third Party contractors to perform, its responsibilities under this Agreement, in compliance with this Agreement, all Applicable Laws, including, without limitation, then-current GLP, GCP and GMP. Further, Ardelyx acknowledges and agrees that nothing in this Section 4.3 is intended, or shall be construed, to require Sanofi to Develop or Commercialize a specific Program Product. In the event that Sanofi decides to discontinue the Development or Commercialization of a Program Product in favor of another Program Product, its obligations under this Section 4.3 shall cease with respect to such initial Program Product in favor of such other Program Product. Further, for clarity, for the purposes of this Section 4.3(a), Commercially Reasonable Efforts shall be determined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Sanofi shall not be required to launch or otherwise commercialize a Program Product in any country of the Territory (including for clarity a Major Country) where Commercially Reasonable Efforts would not require it to do so.</w:t>
      </w:r>
    </w:p>
    <w:p>
      <w:pPr>
        <w:spacing w:after="0" w:line="122" w:lineRule="exact"/>
        <w:rPr>
          <w:sz w:val="20"/>
          <w:szCs w:val="20"/>
          <w:color w:val="auto"/>
        </w:rPr>
      </w:pPr>
    </w:p>
    <w:p>
      <w:pPr>
        <w:ind w:right="440" w:firstLine="8"/>
        <w:spacing w:after="0" w:line="262" w:lineRule="auto"/>
        <w:tabs>
          <w:tab w:leader="none" w:pos="348"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356" w:name="page357"/>
    <w:bookmarkEnd w:id="356"/>
    <w:p>
      <w:pPr>
        <w:ind w:firstLine="464"/>
        <w:spacing w:after="0" w:line="258" w:lineRule="auto"/>
        <w:tabs>
          <w:tab w:leader="none" w:pos="71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Ardelyx at any time reasonably determines that a substantial delay has occurred in the Development of a Program Product, Ardelyx shall have the right to convene a meeting of the Senior Executives in order to discuss Ardelyx’s determination and Sanofi’s explanation therefor. The meeting shall be convened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Ardelyx’s written request therefor. Following such meeting, if Ardelyx believes that the substantial delay has occurred due to Sanofi’s failure to use Commercially Reasonable Efforts, Ardelyx shall, without further delay, have the right to proceed to exercise its rights under Section 11.2(a) (subject to the provisions set forth therein and in Article 13).</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4.4 Reports of Development Activities</w:t>
      </w:r>
      <w:r>
        <w:rPr>
          <w:rFonts w:ascii="Times New Roman" w:cs="Times New Roman" w:eastAsia="Times New Roman" w:hAnsi="Times New Roman"/>
          <w:sz w:val="18"/>
          <w:szCs w:val="18"/>
          <w:color w:val="auto"/>
        </w:rPr>
        <w:t>. Sanofi will report on the Development activities, if any, undertaken by it in accordance with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at each meeting of the DAC, or in the event the DAC has been disbanded, to Ardelyx directly, as set forth in this Section 4.4. Such reports shall include a reasonably detailed summary of all results, data and material inventions, if any, obtained from such Development activities. In addition, Sanofi will, at its own expense, make appropriate scientific and regulatory personnel available to Ardelyx, either by telephone or in person as the Parties may mutually agree, as reasonably required to keep Ardelyx reasonably informed of material Development activities conducted by Sanofi; provided that the fulfilment of such requests under this Section 4.4 shall be at Sanofi’s sole discretion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over and above the time spent with respect to the normal organization of, and attendance to, DAC meetings.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4.5 Regulatory Matters.</w:t>
      </w:r>
    </w:p>
    <w:p>
      <w:pPr>
        <w:spacing w:after="0" w:line="229" w:lineRule="exact"/>
        <w:rPr>
          <w:sz w:val="20"/>
          <w:szCs w:val="20"/>
          <w:color w:val="auto"/>
        </w:rPr>
      </w:pPr>
    </w:p>
    <w:p>
      <w:pPr>
        <w:ind w:firstLine="464"/>
        <w:spacing w:after="0" w:line="254" w:lineRule="auto"/>
        <w:tabs>
          <w:tab w:leader="none" w:pos="70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be solely responsible for all regulatory filings and communications with each Regulatory Health Authority including, without limitation, for the preparation and filing of all INDs and applications for pricing and reimbursement approval and for providing, in the format required by Regulatory Health Authorities, the data and information required to be submitted to such Regulatory Health Authorities as part of a Drug Approval Application for a Program Product, including data from all Clinical Trials and all Manufacturing and controls information required for Regulatory Approval of such Program Product by the Regulatory Health Authorities. Sanofi shall own all right, title and interest in and to any Regulatory Filings and all Regulatory Approvals relating to the Program Compounds or Program Products and they shall be held in the name of Sanofi or its designated Affiliate, Sanofi Licensee, Sublicensee or other designee. Ardelyx shall duly execute and deliver or cause to be duly executed and delivered, such instruments and shall, at Sanofi’s cost and expense, do and cause to be done such acts and things, including the filing of such assignments, agreements, documents and instruments, as may be necessary under or as Sanofi may reasonably request in connection with or to carry out more effectively the purpose of or to better assure and confirm unto Sanofi its rights under this Section 4.5(a).</w:t>
      </w:r>
    </w:p>
    <w:p>
      <w:pPr>
        <w:spacing w:after="0" w:line="186" w:lineRule="exact"/>
        <w:rPr>
          <w:rFonts w:ascii="Times New Roman" w:cs="Times New Roman" w:eastAsia="Times New Roman" w:hAnsi="Times New Roman"/>
          <w:sz w:val="18"/>
          <w:szCs w:val="18"/>
          <w:color w:val="auto"/>
        </w:rPr>
      </w:pPr>
    </w:p>
    <w:p>
      <w:pPr>
        <w:ind w:right="100" w:firstLine="464"/>
        <w:spacing w:after="0" w:line="282" w:lineRule="auto"/>
        <w:tabs>
          <w:tab w:leader="none" w:pos="71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through the DAC, or otherwise, if the DAC has been terminated pursuant to Section 3.2, Sanofi shall report to Ardelyx regarding the status of each pending or proposed IND application or Drug Approval Application covering a Program Product in the Territory.</w:t>
      </w:r>
    </w:p>
    <w:p>
      <w:pPr>
        <w:spacing w:after="0" w:line="161" w:lineRule="exact"/>
        <w:rPr>
          <w:rFonts w:ascii="Times New Roman" w:cs="Times New Roman" w:eastAsia="Times New Roman" w:hAnsi="Times New Roman"/>
          <w:sz w:val="18"/>
          <w:szCs w:val="18"/>
          <w:color w:val="auto"/>
        </w:rPr>
      </w:pPr>
    </w:p>
    <w:p>
      <w:pPr>
        <w:ind w:right="420" w:firstLine="464"/>
        <w:spacing w:after="0" w:line="282" w:lineRule="auto"/>
        <w:tabs>
          <w:tab w:leader="none" w:pos="70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has exercised the Co-Promote Option (as described in Section 5.1 below) the following provisions of this Section 4.5(c) shall apply during the term of the</w:t>
      </w:r>
    </w:p>
    <w:p>
      <w:pPr>
        <w:spacing w:after="0" w:line="89"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357" w:name="page358"/>
    <w:bookmarkEnd w:id="3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Co-Promote Agreement: Sanofi shall keep Ardelyx informed on an ongoing basis regarding the schedule and process for the preparation of the Drug Approval Application in respect of the relevant Co-Promote Product in the U.S. Territory, provide final (or close to final) drafts of those sections of the Drug Approval Application requested by Ardelyx, and permit Ardelyx to review and comment on sections of such drafts in parallel with Sanofi’s review process and in compliance with the timelines Sanofi has stipulated for its internal purposes, and Sanofi shall use reasonable efforts to incorporate Ardelyx’s comments therein. Notwithstanding the aforesaid, if the Parties are unable to achieve a consensus regarding any comments made or changes proposed by Ardelyx, Sanofi shall make the final determination as to whether and when to file the Drug Approval Application as well as the form and content thereof. The purpose of such foregoing interactions shall be to identify and resolve any potential reasonable concerns of Ardelyx in advance of the proposed filing of such Drug Approval Applications (and in particular the initial Drug Approval Application) in the U.S. Territory. Following the filing of the initial Drug Approval Application in the U.S. Territory, Sanofi shall continue to work with Ardelyx in the manner outlined above in this Section 4.5(c) in connection with any subsequent Drug Approval Applications in the U.S. Territory for the Co-Promote Product in respect of which Ardelyx has exercised the Co-Promote Option, and Sanofi shall provide Ardelyx with a copy in electronic form of all filings to Regulatory Health Authorities in the U.S. Territory that it makes hereunder in connection with such foregoing Drug Approval Applications. Sanofi shall further promptly furnish Ardelyx with copies of all material correspondence or minutes from any material meetings with any Regulatory Health Authority, in each case relating to any such Drug Approval Application in the U.S. Territory.</w:t>
      </w:r>
    </w:p>
    <w:p>
      <w:pPr>
        <w:spacing w:after="0" w:line="189" w:lineRule="exact"/>
        <w:rPr>
          <w:sz w:val="20"/>
          <w:szCs w:val="20"/>
          <w:color w:val="auto"/>
        </w:rPr>
      </w:pPr>
    </w:p>
    <w:p>
      <w:pPr>
        <w:ind w:right="80" w:firstLine="464"/>
        <w:spacing w:after="0" w:line="281" w:lineRule="auto"/>
        <w:tabs>
          <w:tab w:leader="none" w:pos="711"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Ardelyx has exercised the Co-Promote Option, the following provisions of this Section 4.5(d) shall apply during the term of the Co-Promote Agreement: Sanofi shall notify Ardelyx of any request for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Sanofi shall allow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foregoing shall apply with respect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Sanofi shall as soon as reasonably practicable furnish Ardelyx with copies of all substantive correspondence Sanofi has had with the FDA, and contact reports concerning substantive conversations or substantive meetings with the FDA, in each case relating to any such Drug Approval Application for a Co-Promote Product.</w:t>
      </w:r>
    </w:p>
    <w:p>
      <w:pPr>
        <w:spacing w:after="0" w:line="164" w:lineRule="exact"/>
        <w:rPr>
          <w:rFonts w:ascii="Times New Roman" w:cs="Times New Roman" w:eastAsia="Times New Roman" w:hAnsi="Times New Roman"/>
          <w:sz w:val="17"/>
          <w:szCs w:val="17"/>
          <w:color w:val="auto"/>
        </w:rPr>
      </w:pPr>
    </w:p>
    <w:p>
      <w:pPr>
        <w:ind w:right="300" w:firstLine="464"/>
        <w:spacing w:after="0" w:line="266" w:lineRule="auto"/>
        <w:tabs>
          <w:tab w:leader="none" w:pos="70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Ardelyx has exercised the Co-Promote Option, and any Regulatory Health Authority threatens or initiates any action to remove a Co-Promote Product from the market in the U.S. Territory, Sanofi shall notify Ardelyx of such communication as promptly as reasonably practical under the circumstances, but in any event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receipt of such communication from the Regulatory Health Authority.</w:t>
      </w:r>
    </w:p>
    <w:p>
      <w:pPr>
        <w:spacing w:after="0" w:line="17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4.6 Product Recall</w:t>
      </w:r>
      <w:r>
        <w:rPr>
          <w:rFonts w:ascii="Times New Roman" w:cs="Times New Roman" w:eastAsia="Times New Roman" w:hAnsi="Times New Roman"/>
          <w:sz w:val="18"/>
          <w:szCs w:val="18"/>
          <w:color w:val="auto"/>
        </w:rPr>
        <w:t>. In the event that any government agency or authority issues or requests a recall or takes similar action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Compounds or the Program Products, or in the event either Party determines that an event, incident or circumstance has occurred that may result in the need for a recall or market withdrawal, the Party notified of or desiring such recall or market withdrawal shall as promptly as reasonably practical under the circumstances advise the other Party thereof. Following notification of a recall, Sanofi shall</w:t>
      </w:r>
    </w:p>
    <w:p>
      <w:pPr>
        <w:spacing w:after="0" w:line="109" w:lineRule="exact"/>
        <w:rPr>
          <w:sz w:val="20"/>
          <w:szCs w:val="20"/>
          <w:color w:val="auto"/>
        </w:rPr>
      </w:pPr>
    </w:p>
    <w:p>
      <w:pPr>
        <w:ind w:right="420" w:firstLine="8"/>
        <w:spacing w:after="0" w:line="262" w:lineRule="auto"/>
        <w:tabs>
          <w:tab w:leader="none" w:pos="348"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358" w:name="page359"/>
    <w:bookmarkEnd w:id="35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the right to decide whether to conduct a recall or market withdrawal (except in the case of a government-mandated recall) in the Territory and shall have control of the manner in which any such recall or market withdrawal shall be conducted. Except as otherwise agreed between the Parties in the Co-Promote Agreement with respect to Commercialization in the U.S. Territory, Sanofi shall bear the expenses of any recall of a Program Product.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4.7 General Provisions Regarding Commercialization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464"/>
        <w:spacing w:after="0" w:line="258" w:lineRule="auto"/>
        <w:tabs>
          <w:tab w:leader="none" w:pos="70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will control and perform, itself or through its Affiliates, Sanofi Licensees, Sublicensees or Distributors, the Commercialization of all Program Products throughout the Territory and, as a result, shall, be obligated and responsible for using Commercially Reasonable Efforts to carry out Commercialization activities, as such Commercially Reasonable Efforts obligation is set forth in Section 4.3(a)(iii) of this Agreement. Except to the extent otherwise described in this Agreement or the Co-Promote Agreement, Sanofi will be solely responsible for, and will bear all costs relating to, the Commercialization of the Program Products in the Territory.</w:t>
      </w:r>
    </w:p>
    <w:p>
      <w:pPr>
        <w:spacing w:after="0" w:line="183" w:lineRule="exact"/>
        <w:rPr>
          <w:rFonts w:ascii="Times New Roman" w:cs="Times New Roman" w:eastAsia="Times New Roman" w:hAnsi="Times New Roman"/>
          <w:sz w:val="18"/>
          <w:szCs w:val="18"/>
          <w:color w:val="auto"/>
        </w:rPr>
      </w:pPr>
    </w:p>
    <w:p>
      <w:pPr>
        <w:ind w:right="120" w:firstLine="464"/>
        <w:spacing w:after="0" w:line="258" w:lineRule="auto"/>
        <w:tabs>
          <w:tab w:leader="none" w:pos="71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Commercialization of Program Products (other than with respect to a Co-Promote Product in the U.S. Territory), (i) such Commercialization shall be conducted independently of Ardelyx by Sanofi, its Affiliates, Sanofi Licensees and Sublicenses, and (ii) Sanofi shall provide to Ardelyx,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summaries of its overall plans for Commercialization and launch of Program Products in the Major Countries, and a report of the current status of such Commercialization activities. Sanofi shall provide for the first time the information described in this Section 4.7(b) as soon as reasonably practicable following the Filing of the first Drug Approval Application for a Program Product in the Territory.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CO-PROMOTE AND SALES ADVISORY COMMITTEE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5.1 Co-Promote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64"/>
        <w:spacing w:after="0" w:line="282" w:lineRule="auto"/>
        <w:tabs>
          <w:tab w:leader="none" w:pos="701" w:val="left"/>
        </w:tabs>
        <w:numPr>
          <w:ilvl w:val="1"/>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its other reporting obligations under this Agreement, Sanofi shall provide to Ardelyx a final report (each a “</w:t>
      </w:r>
      <w:r>
        <w:rPr>
          <w:rFonts w:ascii="Times New Roman" w:cs="Times New Roman" w:eastAsia="Times New Roman" w:hAnsi="Times New Roman"/>
          <w:sz w:val="17"/>
          <w:szCs w:val="17"/>
          <w:b w:val="1"/>
          <w:bCs w:val="1"/>
          <w:color w:val="auto"/>
        </w:rPr>
        <w:t>Phase 3 Clinical Study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Report”) </w:t>
      </w:r>
      <w:r>
        <w:rPr>
          <w:rFonts w:ascii="Times New Roman" w:cs="Times New Roman" w:eastAsia="Times New Roman" w:hAnsi="Times New Roman"/>
          <w:sz w:val="17"/>
          <w:szCs w:val="17"/>
          <w:color w:val="auto"/>
        </w:rPr>
        <w:t>for each Phase 3 Clinical Trial Completed for (i) the first Program Product to enter a Phase 3 Clinical Trial and (ii) thereafter, if Ardelyx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exercised the Co-Promote Option as set forth below, for each Phase 3 Clinical Trial Completed that is subsequently conducted for any additional Program Products. Each such Phase 3 Clinical Study Report shall be delivered within thirty (30) days after the date of Completion of such Phase 3 Clinical Trial.</w:t>
      </w:r>
    </w:p>
    <w:p>
      <w:pPr>
        <w:spacing w:after="0" w:line="165" w:lineRule="exact"/>
        <w:rPr>
          <w:rFonts w:ascii="Times New Roman" w:cs="Times New Roman" w:eastAsia="Times New Roman" w:hAnsi="Times New Roman"/>
          <w:sz w:val="17"/>
          <w:szCs w:val="17"/>
          <w:color w:val="auto"/>
        </w:rPr>
      </w:pPr>
    </w:p>
    <w:p>
      <w:pPr>
        <w:ind w:right="120" w:firstLine="464"/>
        <w:spacing w:after="0" w:line="258" w:lineRule="auto"/>
        <w:tabs>
          <w:tab w:leader="none" w:pos="711"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have the non-exclusive option to elect to participate in the marketing and promotion of the Program Products (referred to in subsection (a) above) in the U.S. Territory, as set forth below in this Article 5 and subject to a separate Co-Promote Agreement to be executed pursuant to Section 5.8(b) (the “</w:t>
      </w:r>
      <w:r>
        <w:rPr>
          <w:rFonts w:ascii="Times New Roman" w:cs="Times New Roman" w:eastAsia="Times New Roman" w:hAnsi="Times New Roman"/>
          <w:sz w:val="18"/>
          <w:szCs w:val="18"/>
          <w:b w:val="1"/>
          <w:bCs w:val="1"/>
          <w:color w:val="auto"/>
        </w:rPr>
        <w:t>Co-Promote Option</w:t>
      </w:r>
      <w:r>
        <w:rPr>
          <w:rFonts w:ascii="Times New Roman" w:cs="Times New Roman" w:eastAsia="Times New Roman" w:hAnsi="Times New Roman"/>
          <w:sz w:val="18"/>
          <w:szCs w:val="18"/>
          <w:color w:val="auto"/>
        </w:rPr>
        <w:t xml:space="preserve">”). Ardelyx shall have the right to exercise the Co-Promote Option in respect of each Program Product for which Phase 3 Clinical Trial development has been Completed as described in subsection (a) above in the U.S. Territory, by providing to Sanofi a written notice of its election to do so,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its receipt of the Phase 3 Clinical Study Report for the final Phase 3 Clinical Study to</w:t>
      </w:r>
    </w:p>
    <w:p>
      <w:pPr>
        <w:spacing w:after="0" w:line="112" w:lineRule="exact"/>
        <w:rPr>
          <w:rFonts w:ascii="Times New Roman" w:cs="Times New Roman" w:eastAsia="Times New Roman" w:hAnsi="Times New Roman"/>
          <w:sz w:val="18"/>
          <w:szCs w:val="18"/>
          <w:color w:val="auto"/>
        </w:rPr>
      </w:pPr>
    </w:p>
    <w:p>
      <w:pPr>
        <w:ind w:right="380" w:firstLine="8"/>
        <w:spacing w:after="0" w:line="262" w:lineRule="auto"/>
        <w:tabs>
          <w:tab w:leader="none" w:pos="348"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270" w:right="299" w:bottom="1440" w:gutter="0" w:footer="0" w:header="0"/>
        </w:sectPr>
      </w:pPr>
    </w:p>
    <w:bookmarkStart w:id="359" w:name="page360"/>
    <w:bookmarkEnd w:id="35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Completed for such Program Product indication prior to filing for Regulatory Approval for such indication. If Ardelyx does not provide the above election notice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with respect to the first Program Product indication Ardelyx shall be deemed to have irrevocably waived its rights under the Co-Promote Option to such Program Product indication and any additional indications for such Program Product, or any additional Program Products. .</w:t>
      </w:r>
    </w:p>
    <w:p>
      <w:pPr>
        <w:spacing w:after="0" w:line="172" w:lineRule="exact"/>
        <w:rPr>
          <w:sz w:val="20"/>
          <w:szCs w:val="20"/>
          <w:color w:val="auto"/>
        </w:rPr>
      </w:pPr>
    </w:p>
    <w:p>
      <w:pPr>
        <w:ind w:right="180" w:firstLine="464"/>
        <w:spacing w:after="0" w:line="263" w:lineRule="auto"/>
        <w:tabs>
          <w:tab w:leader="none" w:pos="70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Co-Promote Product</w:t>
      </w:r>
      <w:r>
        <w:rPr>
          <w:rFonts w:ascii="Times New Roman" w:cs="Times New Roman" w:eastAsia="Times New Roman" w:hAnsi="Times New Roman"/>
          <w:sz w:val="18"/>
          <w:szCs w:val="18"/>
          <w:color w:val="auto"/>
        </w:rPr>
        <w:t>” shall mean a Program Product marketed and promoted in the U.S. Territory for all indications approved unless otherwise provided in the Co-Promote Agreement; provided that Ardelyx has duly exercised the Co-Promote Option for such product, in accordance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5.1(b), and that a Co-Promote Agreement has been executed by the Parties.</w:t>
      </w:r>
    </w:p>
    <w:p>
      <w:pPr>
        <w:spacing w:after="0" w:line="203"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5.2 Sales Advisory Committee Overview</w:t>
      </w:r>
      <w:r>
        <w:rPr>
          <w:rFonts w:ascii="Times New Roman" w:cs="Times New Roman" w:eastAsia="Times New Roman" w:hAnsi="Times New Roman"/>
          <w:sz w:val="18"/>
          <w:szCs w:val="18"/>
          <w:color w:val="auto"/>
        </w:rPr>
        <w:t>. Ardelyx and Sanofi shall create a sales advisory committee (“</w:t>
      </w:r>
      <w:r>
        <w:rPr>
          <w:rFonts w:ascii="Times New Roman" w:cs="Times New Roman" w:eastAsia="Times New Roman" w:hAnsi="Times New Roman"/>
          <w:sz w:val="18"/>
          <w:szCs w:val="18"/>
          <w:b w:val="1"/>
          <w:bCs w:val="1"/>
          <w:color w:val="auto"/>
        </w:rPr>
        <w:t>Sales Advisory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“SAC”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Sanofi’s receipt of Ardelyx’s written notice of its exercise of the Co-Promote Option pursuant to Section 5.1(b). The SAC shall remain in effect throughout the Term unless and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SAC shall serve as a forum for discussing and sharing Commercial Information; discussing promotion strategy regarding the Commercialization of the Co-Promote Products in the U.S. Territory; and discussing the allocation of Commercialization activities to be conducted by Ardelyx and Sanofi, all in accordance with the Co-Promote Agreement and the provisions set forth below in this Article 5.</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5.3 Composition of SAC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 SAC shall be chaired by a representative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chairperson shall be responsible for calling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setting the agenda, circulating – where reasonably possible given the urgency of the matter at hand – the agenda at least ten (10) days prior to each meeting and distributing minutes of the meetings within thirty (30) days following such meetings (provided that the chairperson may elect to delegate the performance of such responsibilities to other members of the SAC from time to time). Each Party shall have the right to withdraw or replace its SAC representatives upon written notice to the other Party, provided that any such substitute representative shall have substantially the equivalent position and experience as the representative that such person replaces. Each Party shall disclose to the chairperson any proposed agenda items, along with appropriate Commercial Information at least twenty (20) Business Days in advance of each meeting of the SAC (or otherwise as early as possible in advance of such meeting). The chairperson shall not unreasonably reject any proposed agenda items. The members of the SAC shall have substantial experience in pharmaceutical sales and marketing. From time to time, the SAC may invite personnel of the Parties having commercial, marketing and other expertise to participate in discussions of the SAC.</w:t>
      </w:r>
    </w:p>
    <w:p>
      <w:pPr>
        <w:spacing w:after="0" w:line="186"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5.4 Responsibilities of the SAC</w:t>
      </w:r>
      <w:r>
        <w:rPr>
          <w:rFonts w:ascii="Times New Roman" w:cs="Times New Roman" w:eastAsia="Times New Roman" w:hAnsi="Times New Roman"/>
          <w:sz w:val="18"/>
          <w:szCs w:val="18"/>
          <w:color w:val="auto"/>
        </w:rPr>
        <w:t>. The SAC’s responsibilities will include, (i) reviewing the overall plans for Commercialization (“</w:t>
      </w:r>
      <w:r>
        <w:rPr>
          <w:rFonts w:ascii="Times New Roman" w:cs="Times New Roman" w:eastAsia="Times New Roman" w:hAnsi="Times New Roman"/>
          <w:sz w:val="18"/>
          <w:szCs w:val="18"/>
          <w:b w:val="1"/>
          <w:bCs w:val="1"/>
          <w:color w:val="auto"/>
        </w:rPr>
        <w:t>US Commercialization Plans</w:t>
      </w:r>
      <w:r>
        <w:rPr>
          <w:rFonts w:ascii="Times New Roman" w:cs="Times New Roman" w:eastAsia="Times New Roman" w:hAnsi="Times New Roman"/>
          <w:sz w:val="18"/>
          <w:szCs w:val="18"/>
          <w:color w:val="auto"/>
        </w:rPr>
        <w:t>”) and launch of the Co-Promote Products (“</w:t>
      </w:r>
      <w:r>
        <w:rPr>
          <w:rFonts w:ascii="Times New Roman" w:cs="Times New Roman" w:eastAsia="Times New Roman" w:hAnsi="Times New Roman"/>
          <w:sz w:val="18"/>
          <w:szCs w:val="18"/>
          <w:b w:val="1"/>
          <w:bCs w:val="1"/>
          <w:color w:val="auto"/>
        </w:rPr>
        <w:t>US Launch Plans</w:t>
      </w:r>
      <w:r>
        <w:rPr>
          <w:rFonts w:ascii="Times New Roman" w:cs="Times New Roman" w:eastAsia="Times New Roman" w:hAnsi="Times New Roman"/>
          <w:sz w:val="18"/>
          <w:szCs w:val="18"/>
          <w:color w:val="auto"/>
        </w:rPr>
        <w:t>”) in the U.S. Territory and reviewing plans for trademark selection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Co-Promote Products in the U.S. Territory, such plans to be prepared and approved by Sanofi, (ii) receiving and providing to the Parties any relevant sales, pricing, and financial reports pertaining to Pre-Approval Activities and Commercialization of the Co-Promote Products in the U.S. Territory,</w:t>
      </w:r>
    </w:p>
    <w:p>
      <w:pPr>
        <w:spacing w:after="0"/>
        <w:rPr>
          <w:sz w:val="20"/>
          <w:szCs w:val="20"/>
          <w:color w:val="auto"/>
        </w:rPr>
      </w:pPr>
      <w:r>
        <w:rPr>
          <w:rFonts w:ascii="Times New Roman" w:cs="Times New Roman" w:eastAsia="Times New Roman" w:hAnsi="Times New Roman"/>
          <w:sz w:val="18"/>
          <w:szCs w:val="18"/>
          <w:color w:val="auto"/>
        </w:rPr>
        <w:t>(iii) facilitating the flow of Commercial Information with respect to the Commercialization of the Co-Promote Products in the U.S. Territory, as needed,</w:t>
      </w:r>
    </w:p>
    <w:p>
      <w:pPr>
        <w:spacing w:after="0" w:line="135" w:lineRule="exact"/>
        <w:rPr>
          <w:sz w:val="20"/>
          <w:szCs w:val="20"/>
          <w:color w:val="auto"/>
        </w:rPr>
      </w:pPr>
    </w:p>
    <w:p>
      <w:pPr>
        <w:ind w:right="400" w:firstLine="8"/>
        <w:spacing w:after="0" w:line="262" w:lineRule="auto"/>
        <w:tabs>
          <w:tab w:leader="none" w:pos="348"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60" w:name="page361"/>
    <w:bookmarkEnd w:id="360"/>
    <w:p>
      <w:pPr>
        <w:ind w:right="20" w:firstLine="8"/>
        <w:spacing w:after="0" w:line="258" w:lineRule="auto"/>
        <w:tabs>
          <w:tab w:leader="none" w:pos="30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performing quarterly reviews of the progress of launch and Commercialization activities in the U.S. Territory with respect to the Co-Promote Products, and (v) coordinating the efforts of the Parties in connection with Commercialization of the Co-Promote Products in the U.S. Territory. Sanofi shall provide the first draft of the US Commercialization Plan and the US Launch Plan when available for Sanofi’s own Commercialization purpose. For clarity, each Party shall be required to disclose through the SAC or, in the event the SAC is terminated pursuant to Section 5.7, directly to the other Party only such information reasonably necessary to Co-Promote the Product in the U.S. Territory.</w:t>
      </w:r>
    </w:p>
    <w:p>
      <w:pPr>
        <w:spacing w:after="0" w:line="18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5.5 Meetings of the SAC</w:t>
      </w:r>
      <w:r>
        <w:rPr>
          <w:rFonts w:ascii="Times New Roman" w:cs="Times New Roman" w:eastAsia="Times New Roman" w:hAnsi="Times New Roman"/>
          <w:sz w:val="18"/>
          <w:szCs w:val="18"/>
          <w:color w:val="auto"/>
        </w:rPr>
        <w:t>. The SAC shall hold meetings at such times and places as shall be determined at least once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Meetings of the SAC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alternate between the offices of the Parties, unless otherwise agreed upon by the members of the SAC, or may be held via internet telephonically or by video conference. Meetings of the SAC will be effective only if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Party are in attendance or participating in the meeting. Each Party will be responsible for the expenses incurred by its employees, consultants and its members of the SAC attending or otherwise participating in SAC meetings.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5.6 SAC Decision Making</w:t>
      </w:r>
      <w:r>
        <w:rPr>
          <w:rFonts w:ascii="Times New Roman" w:cs="Times New Roman" w:eastAsia="Times New Roman" w:hAnsi="Times New Roman"/>
          <w:sz w:val="18"/>
          <w:szCs w:val="18"/>
          <w:color w:val="auto"/>
        </w:rPr>
        <w:t>. The SAC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63" w:lineRule="auto"/>
        <w:rPr>
          <w:sz w:val="20"/>
          <w:szCs w:val="20"/>
          <w:color w:val="auto"/>
        </w:rPr>
      </w:pPr>
      <w:r>
        <w:rPr>
          <w:rFonts w:ascii="Times New Roman" w:cs="Times New Roman" w:eastAsia="Times New Roman" w:hAnsi="Times New Roman"/>
          <w:sz w:val="18"/>
          <w:szCs w:val="18"/>
          <w:b w:val="1"/>
          <w:bCs w:val="1"/>
          <w:color w:val="auto"/>
        </w:rPr>
        <w:t>5.7 Ardelyx Membership</w:t>
      </w:r>
      <w:r>
        <w:rPr>
          <w:rFonts w:ascii="Times New Roman" w:cs="Times New Roman" w:eastAsia="Times New Roman" w:hAnsi="Times New Roman"/>
          <w:sz w:val="18"/>
          <w:szCs w:val="18"/>
          <w:color w:val="auto"/>
        </w:rPr>
        <w:t>. Ardelyx’s membership in the SAC shall be at its sole discretion, as a matter of right and not obligation, for the sole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performing activities within the remit of the SAC. Ardelyx shall have the right to irrevocably withdraw from membership in the SAC upon thirty</w:t>
      </w:r>
    </w:p>
    <w:p>
      <w:pPr>
        <w:spacing w:after="0" w:line="1" w:lineRule="exact"/>
        <w:rPr>
          <w:sz w:val="20"/>
          <w:szCs w:val="20"/>
          <w:color w:val="auto"/>
        </w:rPr>
      </w:pPr>
    </w:p>
    <w:p>
      <w:pPr>
        <w:ind w:left="360" w:hanging="352"/>
        <w:spacing w:after="0"/>
        <w:tabs>
          <w:tab w:leader="none" w:pos="3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to Sanofi, which notice shall be effective upon the expiration of such thirty (30) day period. Such withdrawal shall not, however,</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relieve Ardelyx of any of its obligations under this Agreement (apart from the obligation to participate at SAC meetings). Upon the effective date of Ardelyx’s withdrawal pursuant to the above, (i) Ardelyx’s membership in such committee shall be terminated, and (ii) Ardelyx shall have the right to continue to receive the Commercial Information it would otherwise be entitled to receive under this Agreement.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5.8 Co-Promote Activities in the U.S. Territory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5" w:lineRule="auto"/>
        <w:tabs>
          <w:tab w:leader="none" w:pos="70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Ardelyx has duly exercised the Co-Promote Option as per Section 5.1, Ardelyx shall be entitled and obligated to carry out those promotional tasks within the U.S. Territory in respect of the Co-Promote Product (for which Regulatory Approval has been obtained in the U.S. Territory) that will be allocated to it in accordance with this Article 5 and subject to relevant US Launch Plans, US Commercialization Plans and the Co-Promote Agreement. Ardelyx’s participation in the Promotion Activities shall, at a minimum, include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clarity, such Detail efforts to include those performed by Ardelyx, in the event it exercises the Co-Promote Option) with respect to the relevant Co-Promote Products in the U.S. Territory as set forth in the US Commercialization Plan and the US Launch Plan prepared by Sanofi, and (ii) Other Promotional Activities and may constitute, at Ardelyx’s election,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determined in the Co-Promote Agreement.</w:t>
      </w:r>
    </w:p>
    <w:p>
      <w:pPr>
        <w:spacing w:after="0" w:line="185" w:lineRule="exact"/>
        <w:rPr>
          <w:rFonts w:ascii="Times New Roman" w:cs="Times New Roman" w:eastAsia="Times New Roman" w:hAnsi="Times New Roman"/>
          <w:sz w:val="18"/>
          <w:szCs w:val="18"/>
          <w:color w:val="auto"/>
        </w:rPr>
      </w:pPr>
    </w:p>
    <w:p>
      <w:pPr>
        <w:ind w:right="280" w:firstLine="464"/>
        <w:spacing w:after="0" w:line="286" w:lineRule="auto"/>
        <w:tabs>
          <w:tab w:leader="none" w:pos="71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its exercise of the Co-Promote Option as per Section 5.1, Ardelyx shall provide to the SAC a proposal (“</w:t>
      </w:r>
      <w:r>
        <w:rPr>
          <w:rFonts w:ascii="Times New Roman" w:cs="Times New Roman" w:eastAsia="Times New Roman" w:hAnsi="Times New Roman"/>
          <w:sz w:val="18"/>
          <w:szCs w:val="18"/>
          <w:b w:val="1"/>
          <w:bCs w:val="1"/>
          <w:color w:val="auto"/>
        </w:rPr>
        <w:t>Promotion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describing the Detail commitments and Other Promotional Activities proposed to be undertaken by Ardelyx in</w:t>
      </w:r>
    </w:p>
    <w:p>
      <w:pPr>
        <w:spacing w:after="0" w:line="87"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361" w:name="page362"/>
    <w:bookmarkEnd w:id="36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connection with the Commercialization of the Co-Promote Products in the U.S. Territory. Such Promotion Proposal shall include, among other things, a detailed description of the Detailing and of any Pre-Approval Activities and Other Promotional Activities that Ardelyx proposes to conduct in the U.S. Territory,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Promotion Proposal shall be considered and discussed by the SAC. Based on such discussions, Ardelyx and Sanofi (or, at Sanofi’s option, one of Sanofi’s Affiliates) shall negotiate in good faith to execute as promptly as possible a separate agreement (the “</w:t>
      </w:r>
      <w:r>
        <w:rPr>
          <w:rFonts w:ascii="Times New Roman" w:cs="Times New Roman" w:eastAsia="Times New Roman" w:hAnsi="Times New Roman"/>
          <w:sz w:val="18"/>
          <w:szCs w:val="18"/>
          <w:b w:val="1"/>
          <w:bCs w:val="1"/>
          <w:color w:val="auto"/>
        </w:rPr>
        <w:t>Co-Promote Agreement</w:t>
      </w:r>
      <w:r>
        <w:rPr>
          <w:rFonts w:ascii="Times New Roman" w:cs="Times New Roman" w:eastAsia="Times New Roman" w:hAnsi="Times New Roman"/>
          <w:sz w:val="18"/>
          <w:szCs w:val="18"/>
          <w:color w:val="auto"/>
        </w:rPr>
        <w:t>”) that shall set forth the detailed activities and responsibilities of Ardelyx in respect of Detailing, Pre-Approval Activities and Other Promotion Activities in each case in the U.S. Territory, and the consequences of Ardelyx’s failure to adequately perform its obligations under the Co-Promote Agreement. The Co-Promote Agreement shall provide for payment to Ardelyx for the Detail, Pre-Approval Activities and Other Promotional Activities to be undertaken by Ardelyx, and shall (i) specify a per Detail fee (“</w:t>
      </w:r>
      <w:r>
        <w:rPr>
          <w:rFonts w:ascii="Times New Roman" w:cs="Times New Roman" w:eastAsia="Times New Roman" w:hAnsi="Times New Roman"/>
          <w:sz w:val="18"/>
          <w:szCs w:val="18"/>
          <w:b w:val="1"/>
          <w:bCs w:val="1"/>
          <w:color w:val="auto"/>
        </w:rPr>
        <w:t>Detail Rate</w:t>
      </w:r>
      <w:r>
        <w:rPr>
          <w:rFonts w:ascii="Times New Roman" w:cs="Times New Roman" w:eastAsia="Times New Roman" w:hAnsi="Times New Roman"/>
          <w:sz w:val="18"/>
          <w:szCs w:val="18"/>
          <w:color w:val="auto"/>
        </w:rPr>
        <w:t>”) reflecting the value of Detail services mutually agreed upon by the Parties, and an appropriate FTE rate (the “</w:t>
      </w:r>
      <w:r>
        <w:rPr>
          <w:rFonts w:ascii="Times New Roman" w:cs="Times New Roman" w:eastAsia="Times New Roman" w:hAnsi="Times New Roman"/>
          <w:sz w:val="18"/>
          <w:szCs w:val="18"/>
          <w:b w:val="1"/>
          <w:bCs w:val="1"/>
          <w:color w:val="auto"/>
        </w:rPr>
        <w:t>Promotion FTE Rate</w:t>
      </w:r>
      <w:r>
        <w:rPr>
          <w:rFonts w:ascii="Times New Roman" w:cs="Times New Roman" w:eastAsia="Times New Roman" w:hAnsi="Times New Roman"/>
          <w:sz w:val="18"/>
          <w:szCs w:val="18"/>
          <w:color w:val="auto"/>
        </w:rPr>
        <w:t>”) for Other Promotional Activities and Pre-Approval Activities to be performed by Ardelyx (if any) and (iii) otherwise contain such additional reasonable terms and conditions as the Parties deem appropriate. In the event that the Parties are unable, after engaging in good faith negotiations within the parameters set forth in Section 5.8(a), to agree on the terms of the Co-Promote Agreement, such failure to agree on terms shall not be a material breach of this Agreement.</w:t>
      </w:r>
    </w:p>
    <w:p>
      <w:pPr>
        <w:spacing w:after="0" w:line="191" w:lineRule="exact"/>
        <w:rPr>
          <w:sz w:val="20"/>
          <w:szCs w:val="20"/>
          <w:color w:val="auto"/>
        </w:rPr>
      </w:pPr>
    </w:p>
    <w:p>
      <w:pPr>
        <w:ind w:right="20" w:firstLine="464"/>
        <w:spacing w:after="0" w:line="261" w:lineRule="auto"/>
        <w:tabs>
          <w:tab w:leader="none" w:pos="70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Co-Promotion in the U.S. Territory, at any time during the Term, Ardelyx may make a one-time, irrevocable election to terminate its efforts with respect to its participation in the promotion of the Co-Promote Products in the U.S. Territory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and any other conditions set forth in the Co-Promote Agreement, in which case all such activities shall be conducted, as between the Parties, solely by Sanofi, its Affiliates, Sanofi Licensees, Sublicensees or contractors (excluding Ardelyx) upon expiration of such notice period.</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Sanofi shall not, and shall procure that its Affiliates, Sanofi Licensees and Sublicensees shall not,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6.1 Licensed Know How</w:t>
      </w:r>
      <w:r>
        <w:rPr>
          <w:rFonts w:ascii="Times New Roman" w:cs="Times New Roman" w:eastAsia="Times New Roman" w:hAnsi="Times New Roman"/>
          <w:sz w:val="18"/>
          <w:szCs w:val="18"/>
          <w:color w:val="auto"/>
        </w:rPr>
        <w:t>. The Parties acknowledge the substantial value of the Licensed Know How provided to Sanofi under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contributions of Ardelyx in the Development and Commercialization of the Program Products as a result of the Licensed Know How provided hereunder to Sanofi, including enabling Sanofi to identify, make, optimize and characterize new Program Compounds that may not be covered or claimed by the Listed Patents. Accordingly, for their convenience, the Parties have provided for the payment of milestones and royalties pursuant to this Article 6 for Program Products, whether the active ingredient is an Ardelyx Compound or a Covered Compound.</w:t>
      </w:r>
    </w:p>
    <w:p>
      <w:pPr>
        <w:spacing w:after="0" w:line="180"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6.2 Upfront</w:t>
      </w:r>
      <w:r>
        <w:rPr>
          <w:rFonts w:ascii="Times New Roman" w:cs="Times New Roman" w:eastAsia="Times New Roman" w:hAnsi="Times New Roman"/>
          <w:sz w:val="18"/>
          <w:szCs w:val="18"/>
          <w:color w:val="auto"/>
        </w:rPr>
        <w:t>. As partial payment for the rights and licenses granted to Sanofi by Ardelyx under this Agreement, Sanofi shall pay to Ardelyx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nonrefundable one-time upfront payment of one million two hundred fifty thousand U.S. dollars (U.S. $1,250,000) within ten (10) Business Days after the Effective Date against an invoice received by Sanofi from Ardelyx</w:t>
      </w:r>
    </w:p>
    <w:p>
      <w:pPr>
        <w:spacing w:after="0" w:line="103" w:lineRule="exact"/>
        <w:rPr>
          <w:sz w:val="20"/>
          <w:szCs w:val="20"/>
          <w:color w:val="auto"/>
        </w:rPr>
      </w:pPr>
    </w:p>
    <w:p>
      <w:pPr>
        <w:ind w:right="420" w:firstLine="8"/>
        <w:spacing w:after="0" w:line="262" w:lineRule="auto"/>
        <w:tabs>
          <w:tab w:leader="none" w:pos="348"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70" w:right="259" w:bottom="1440" w:gutter="0" w:footer="0" w:header="0"/>
        </w:sectPr>
      </w:pPr>
    </w:p>
    <w:bookmarkStart w:id="362" w:name="page363"/>
    <w:bookmarkEnd w:id="36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such date, which invoice may be sent on or after the Effective Date. The upfront payment shall not be creditable against any other payments Sanofi is obligated to make to Ardelyx under this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6.3 Milestone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86" w:lineRule="auto"/>
        <w:tabs>
          <w:tab w:leader="none" w:pos="70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Sanofi shall make the following one-time, nonrefundable milestone payments to Ardelyx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an invoice from Ardelyx following the first achievement of each of the following milestone events:</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4040" w:type="dxa"/>
            <w:vAlign w:val="bottom"/>
            <w:gridSpan w:val="3"/>
          </w:tcPr>
          <w:p>
            <w:pPr>
              <w:ind w:left="2740"/>
              <w:spacing w:after="0"/>
              <w:rPr>
                <w:sz w:val="20"/>
                <w:szCs w:val="20"/>
                <w:color w:val="auto"/>
              </w:rPr>
            </w:pPr>
            <w:r>
              <w:rPr>
                <w:rFonts w:ascii="Times New Roman" w:cs="Times New Roman" w:eastAsia="Times New Roman" w:hAnsi="Times New Roman"/>
                <w:sz w:val="14"/>
                <w:szCs w:val="14"/>
                <w:b w:val="1"/>
                <w:bCs w:val="1"/>
                <w:color w:val="auto"/>
              </w:rPr>
              <w:t>Milestone Payment</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340" w:firstLine="464"/>
        <w:spacing w:after="0" w:line="291" w:lineRule="auto"/>
        <w:tabs>
          <w:tab w:leader="none" w:pos="711"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milestones set forth in Section 6.3(a), it is the intention of the Parties that if Sanofi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then at the time the milestone associated with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For clarity, the total aggregated milestone payments that may be made under Section 6.3(a) shall not exceed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For the avoidance of doubt, the milestones set forth in Section 6.3(a) shall be payable only with respect to use of a Program Product in humans.</w:t>
      </w:r>
    </w:p>
    <w:p>
      <w:pPr>
        <w:spacing w:after="0" w:line="157" w:lineRule="exact"/>
        <w:rPr>
          <w:rFonts w:ascii="Times New Roman" w:cs="Times New Roman" w:eastAsia="Times New Roman" w:hAnsi="Times New Roman"/>
          <w:sz w:val="17"/>
          <w:szCs w:val="17"/>
          <w:color w:val="auto"/>
        </w:rPr>
      </w:pPr>
    </w:p>
    <w:p>
      <w:pPr>
        <w:ind w:right="380" w:firstLine="464"/>
        <w:spacing w:after="0" w:line="282" w:lineRule="auto"/>
        <w:tabs>
          <w:tab w:leader="none" w:pos="701"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set forth herein, none of the milestone payments set forth in Section 6.3(a) shall be payable more than once irrespective of the number of Program Products or indications that have achieved the relevant milestone events set forth in Section 6.3(a).</w:t>
      </w:r>
    </w:p>
    <w:p>
      <w:pPr>
        <w:spacing w:after="0" w:line="161" w:lineRule="exact"/>
        <w:rPr>
          <w:rFonts w:ascii="Times New Roman" w:cs="Times New Roman" w:eastAsia="Times New Roman" w:hAnsi="Times New Roman"/>
          <w:sz w:val="18"/>
          <w:szCs w:val="18"/>
          <w:color w:val="auto"/>
        </w:rPr>
      </w:pPr>
    </w:p>
    <w:p>
      <w:pPr>
        <w:ind w:right="500" w:firstLine="464"/>
        <w:spacing w:after="0" w:line="282" w:lineRule="auto"/>
        <w:tabs>
          <w:tab w:leader="none" w:pos="711"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pursuant to Section 6.3(a) shall be creditable against any other payments Sanofi is obligated to make to Ardelyx under this Agreement.</w:t>
      </w:r>
    </w:p>
    <w:p>
      <w:pPr>
        <w:spacing w:after="0" w:line="89" w:lineRule="exact"/>
        <w:rPr>
          <w:rFonts w:ascii="Times New Roman" w:cs="Times New Roman" w:eastAsia="Times New Roman" w:hAnsi="Times New Roman"/>
          <w:sz w:val="18"/>
          <w:szCs w:val="18"/>
          <w:color w:val="auto"/>
        </w:rPr>
      </w:pPr>
    </w:p>
    <w:p>
      <w:pPr>
        <w:ind w:right="60" w:firstLine="8"/>
        <w:spacing w:after="0" w:line="262" w:lineRule="auto"/>
        <w:tabs>
          <w:tab w:leader="none" w:pos="348"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040"/>
          </w:cols>
          <w:pgMar w:left="240" w:top="270" w:right="619" w:bottom="1440" w:gutter="0" w:footer="0" w:header="0"/>
        </w:sectPr>
      </w:pPr>
    </w:p>
    <w:bookmarkStart w:id="363" w:name="page364"/>
    <w:bookmarkEnd w:id="363"/>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6.4 Royalties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right="120" w:firstLine="464"/>
        <w:spacing w:after="0" w:line="266" w:lineRule="auto"/>
        <w:tabs>
          <w:tab w:leader="none" w:pos="69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set forth below in Sections 6.4(b) through 6.4(j), and Section 6.5, Sanofi shall pay to Ardelyx, with respect to each Program Product, a royalty on aggregate Annual Net Sales of each such Program Product made by Sanofi, its Affiliates, Sanofi Licensees or its Sublicensees as follows:</w:t>
      </w:r>
    </w:p>
    <w:p>
      <w:pPr>
        <w:spacing w:after="0" w:line="199" w:lineRule="exact"/>
        <w:rPr>
          <w:sz w:val="20"/>
          <w:szCs w:val="20"/>
          <w:color w:val="auto"/>
        </w:rPr>
      </w:pPr>
    </w:p>
    <w:tbl>
      <w:tblPr>
        <w:tblLayout w:type="fixed"/>
        <w:tblInd w:w="1832" w:type="dxa"/>
        <w:tblCellMar>
          <w:top w:w="0" w:type="dxa"/>
          <w:left w:w="0" w:type="dxa"/>
          <w:bottom w:w="0" w:type="dxa"/>
          <w:right w:w="0" w:type="dxa"/>
        </w:tblCellMar>
      </w:tblPr>
      <w:tr>
        <w:trPr>
          <w:trHeight w:val="19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Portion of aggregate Annual Net Sales of relevant Program Product</w:t>
            </w:r>
          </w:p>
        </w:tc>
        <w:tc>
          <w:tcPr>
            <w:tcW w:w="2380" w:type="dxa"/>
            <w:vAlign w:val="bottom"/>
            <w:gridSpan w:val="3"/>
          </w:tcPr>
          <w:p>
            <w:pPr>
              <w:ind w:left="1500"/>
              <w:spacing w:after="0"/>
              <w:rPr>
                <w:sz w:val="20"/>
                <w:szCs w:val="20"/>
                <w:color w:val="auto"/>
              </w:rPr>
            </w:pPr>
            <w:r>
              <w:rPr>
                <w:rFonts w:ascii="Times New Roman" w:cs="Times New Roman" w:eastAsia="Times New Roman" w:hAnsi="Times New Roman"/>
                <w:sz w:val="14"/>
                <w:szCs w:val="14"/>
                <w:color w:val="auto"/>
              </w:rPr>
              <w:t>Royalty Rate</w:t>
            </w:r>
          </w:p>
        </w:tc>
      </w:tr>
      <w:tr>
        <w:trPr>
          <w:trHeight w:val="203"/>
        </w:trPr>
        <w:tc>
          <w:tcPr>
            <w:tcW w:w="3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&gt;U.S.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 U.S. $</w:t>
            </w:r>
            <w:r>
              <w:rPr>
                <w:rFonts w:ascii="Times New Roman" w:cs="Times New Roman" w:eastAsia="Times New Roman" w:hAnsi="Times New Roman"/>
                <w:sz w:val="18"/>
                <w:szCs w:val="18"/>
                <w:b w:val="1"/>
                <w:bCs w:val="1"/>
                <w:color w:val="auto"/>
              </w:rPr>
              <w:t>[***]</w:t>
            </w:r>
          </w:p>
        </w:tc>
        <w:tc>
          <w:tcPr>
            <w:tcW w:w="15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&gt;U.S.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 U.S. $</w:t>
            </w:r>
            <w:r>
              <w:rPr>
                <w:rFonts w:ascii="Times New Roman" w:cs="Times New Roman" w:eastAsia="Times New Roman" w:hAnsi="Times New Roman"/>
                <w:sz w:val="18"/>
                <w:szCs w:val="18"/>
                <w:b w:val="1"/>
                <w:bCs w:val="1"/>
                <w:color w:val="auto"/>
              </w:rPr>
              <w:t>[***]</w:t>
            </w:r>
          </w:p>
        </w:tc>
        <w:tc>
          <w:tcPr>
            <w:tcW w:w="23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&gt;U.S.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 U.S. $</w:t>
            </w:r>
            <w:r>
              <w:rPr>
                <w:rFonts w:ascii="Times New Roman" w:cs="Times New Roman" w:eastAsia="Times New Roman" w:hAnsi="Times New Roman"/>
                <w:sz w:val="18"/>
                <w:szCs w:val="18"/>
                <w:b w:val="1"/>
                <w:bCs w:val="1"/>
                <w:color w:val="auto"/>
              </w:rPr>
              <w:t>[***]</w:t>
            </w:r>
          </w:p>
        </w:tc>
        <w:tc>
          <w:tcPr>
            <w:tcW w:w="2380" w:type="dxa"/>
            <w:vAlign w:val="bottom"/>
            <w:gridSpan w:val="3"/>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&gt;U.S. $</w:t>
            </w:r>
            <w:r>
              <w:rPr>
                <w:rFonts w:ascii="Times New Roman" w:cs="Times New Roman" w:eastAsia="Times New Roman" w:hAnsi="Times New Roman"/>
                <w:sz w:val="18"/>
                <w:szCs w:val="18"/>
                <w:b w:val="1"/>
                <w:bCs w:val="1"/>
                <w:color w:val="auto"/>
              </w:rPr>
              <w:t>[***]</w:t>
            </w:r>
          </w:p>
        </w:tc>
        <w:tc>
          <w:tcPr>
            <w:tcW w:w="23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8" w:right="440" w:firstLine="464"/>
        <w:spacing w:after="0" w:line="282" w:lineRule="auto"/>
        <w:tabs>
          <w:tab w:leader="none" w:pos="70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royalties under this Section 6.4 shall be conducted separately for each Program Product. Thus, if Sanofi sells more than one Program Product in the Territory, the thresholds and ceilings in Section 6.4(a) shall apply separately to each Program Product.</w:t>
      </w:r>
    </w:p>
    <w:p>
      <w:pPr>
        <w:spacing w:after="0" w:line="161" w:lineRule="exact"/>
        <w:rPr>
          <w:rFonts w:ascii="Times New Roman" w:cs="Times New Roman" w:eastAsia="Times New Roman" w:hAnsi="Times New Roman"/>
          <w:sz w:val="18"/>
          <w:szCs w:val="18"/>
          <w:color w:val="auto"/>
        </w:rPr>
      </w:pPr>
    </w:p>
    <w:p>
      <w:pPr>
        <w:ind w:left="-8" w:firstLine="464"/>
        <w:spacing w:after="0" w:line="256" w:lineRule="auto"/>
        <w:tabs>
          <w:tab w:leader="none" w:pos="69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between Sanofi, its Affiliates, Sanofi Licensees and Sublicensees shall not be subject to royalties hereunder. Royalties shall be calculated on Sanofi’s, its Affiliates’, Sanofi Licensees’ and Sublicensees’ sales of the Program Products to a Third Party, including Distributors (but excluding, for the avoidance of doubt, Sanofi Licensees and Sublicensees). Royalties shall be payable only once for any given batch of the Program Products. For the purpose of determining Net Sales, the Program Product shall be deemed to be sold when invoiced and a “sale” shall not include, and no royalties shall be payable on, transfers by Sanofi, its Affiliates, Sanofi Licensees or Sublicensees of free samples of Program Product or clinical trial materials, or other transfers or dispositions for charitable, pre-clinical, clinical, manufacturing, testing or qualification, regulatory or governmental purposes.</w:t>
      </w:r>
    </w:p>
    <w:p>
      <w:pPr>
        <w:spacing w:after="0" w:line="187" w:lineRule="exact"/>
        <w:rPr>
          <w:rFonts w:ascii="Times New Roman" w:cs="Times New Roman" w:eastAsia="Times New Roman" w:hAnsi="Times New Roman"/>
          <w:sz w:val="18"/>
          <w:szCs w:val="18"/>
          <w:color w:val="auto"/>
        </w:rPr>
      </w:pPr>
    </w:p>
    <w:p>
      <w:pPr>
        <w:ind w:left="-8" w:right="100" w:firstLine="464"/>
        <w:spacing w:after="0" w:line="276" w:lineRule="auto"/>
        <w:tabs>
          <w:tab w:leader="none" w:pos="703"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Sanofi, in its reasonable judgment, determines that it is required to obtain a license or other right from any Third Party in order to avoid infringement of such Third Party’s Patent, (ii) Sanofi does not have any other commercially reasonable alternatives available to avoid such infringement, and</w:t>
      </w:r>
    </w:p>
    <w:p>
      <w:pPr>
        <w:ind w:left="-8" w:right="80" w:firstLine="8"/>
        <w:spacing w:after="0" w:line="254" w:lineRule="auto"/>
        <w:tabs>
          <w:tab w:leader="none" w:pos="307"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is required to pay to such Third Party a royalty, milestone payments or other monetary compensation in consideration for the grant of such license (“</w:t>
      </w:r>
      <w:r>
        <w:rPr>
          <w:rFonts w:ascii="Times New Roman" w:cs="Times New Roman" w:eastAsia="Times New Roman" w:hAnsi="Times New Roman"/>
          <w:sz w:val="18"/>
          <w:szCs w:val="18"/>
          <w:b w:val="1"/>
          <w:bCs w:val="1"/>
          <w:color w:val="auto"/>
        </w:rPr>
        <w:t>Third Party Compensation</w:t>
      </w:r>
      <w:r>
        <w:rPr>
          <w:rFonts w:ascii="Times New Roman" w:cs="Times New Roman" w:eastAsia="Times New Roman" w:hAnsi="Times New Roman"/>
          <w:sz w:val="18"/>
          <w:szCs w:val="18"/>
          <w:color w:val="auto"/>
        </w:rPr>
        <w:t xml:space="preserve">”), then for the period during which Sanofi owes royalties to Ardelyx hereunder, the amounts that would otherwise have been payable as royalties to Ardelyx under this Agreement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event Sanofi does not recoup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 given period, due to the application of Section 6.4(g) or otherwise, it may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8" w:right="200" w:firstLine="464"/>
        <w:spacing w:after="0" w:line="261" w:lineRule="auto"/>
        <w:tabs>
          <w:tab w:leader="none" w:pos="693"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 any particular country in the Territory, (i) a Generic Product receives Regulatory Approval in such country and is introduced for commercial sale into such country, and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decrease by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compared to the average Net Sales of the two Calendar Quarters immediately preceding the first Calendar Quarter in which the Generic Product is sold, then, the royalties that would otherwise have been payable on Net Sales of such Program Product in such country under this Agreement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from the</w:t>
      </w:r>
    </w:p>
    <w:p>
      <w:pPr>
        <w:spacing w:after="0" w:line="108" w:lineRule="exact"/>
        <w:rPr>
          <w:sz w:val="20"/>
          <w:szCs w:val="20"/>
          <w:color w:val="auto"/>
        </w:rPr>
      </w:pPr>
    </w:p>
    <w:p>
      <w:pPr>
        <w:ind w:left="-8" w:right="440" w:firstLine="8"/>
        <w:spacing w:after="0" w:line="262" w:lineRule="auto"/>
        <w:tabs>
          <w:tab w:leader="none" w:pos="340" w:val="left"/>
        </w:tabs>
        <w:numPr>
          <w:ilvl w:val="0"/>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266" w:right="239" w:bottom="1440" w:gutter="0" w:footer="0" w:header="0"/>
        </w:sectPr>
      </w:pPr>
    </w:p>
    <w:bookmarkStart w:id="364" w:name="page365"/>
    <w:bookmarkEnd w:id="364"/>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first Calendar Quarter in which this Section 6.4(e) applies and thereafter for so long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two Calendar Quarters immediately preceding the first Calendar Quarter in which the Generic Product is sold. Further, if, at any time, in any particular country in the Territory, (i) a Generic Product receives Regulatory Approval in such country and is introduced for commercial sale into such country and,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decrease by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compared to the average Net Sales of the two Calendar Quarters immediately preceding the first Calendar Quarter in which the Generic Product is sold,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royalties that would otherwise have been payable on Net Sales of such Program Product in such country under this Agreement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from the first Calendar Quarter in which this Section 6.4(e) applies and thereafter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two Calendar Quarters immediately preceding the first Calendar Quarter in which the Generic Product is sold. The calculation of the royalty reduction under this Section 6.4(e) shall be conducted separately for each Program Product in each country.</w:t>
      </w:r>
    </w:p>
    <w:p>
      <w:pPr>
        <w:spacing w:after="0" w:line="189" w:lineRule="exact"/>
        <w:rPr>
          <w:sz w:val="20"/>
          <w:szCs w:val="20"/>
          <w:color w:val="auto"/>
        </w:rPr>
      </w:pPr>
    </w:p>
    <w:p>
      <w:pPr>
        <w:ind w:firstLine="464"/>
        <w:spacing w:after="0" w:line="253" w:lineRule="auto"/>
        <w:tabs>
          <w:tab w:leader="none" w:pos="68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Applicable Law or a court or a governmental agency of competent jurisdiction requires Sanofi or any of its Affiliates or its or their Sanofi Licensees or Sublicensees to grant a compulsory license to a Third Party permitting such Third Party to make and sell a Program Product in a country in the Territory (a </w:t>
      </w:r>
      <w:r>
        <w:rPr>
          <w:rFonts w:ascii="Times New Roman" w:cs="Times New Roman" w:eastAsia="Times New Roman" w:hAnsi="Times New Roman"/>
          <w:sz w:val="18"/>
          <w:szCs w:val="18"/>
          <w:b w:val="1"/>
          <w:bCs w:val="1"/>
          <w:color w:val="auto"/>
        </w:rPr>
        <w:t>“Compulsory License”</w:t>
      </w:r>
      <w:r>
        <w:rPr>
          <w:rFonts w:ascii="Times New Roman" w:cs="Times New Roman" w:eastAsia="Times New Roman" w:hAnsi="Times New Roman"/>
          <w:sz w:val="18"/>
          <w:szCs w:val="18"/>
          <w:color w:val="auto"/>
        </w:rPr>
        <w:t xml:space="preserve">), and the royalty rate for royalties payable to Sanofi, its Affiliates or its or their Sanofi Licensees or Sublicensees on Net Sales (which term for the purpose of this Section 6.4(f)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sales by such grantee) of Program Products by or on behalf of such grantee of the Compulsory License is less than the royalty rate for royalties on Net Sales due to Ardelyx pursuant to this Section 6.4 in such country, then the royalty rate applicable to Net Sales for royalties due Ardelyx in such country shall be reduced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Sanofi or its Affiliates receives any compensation (other than royalty payments) for the Compulsory License from the grantee of the Compulsory License, then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(but such compensation shall otherwise be disregarded for the purpose of applying thresholds and ceilings). If Sanofi, its Affiliates, Sanofi Licensees, or Sublicensees learn that a Third Party is seeking a Compulsory License in any country in the Territory, Sanofi shall use Commercially Reasonable Efforts to oppose the granting of such Compulsory License. The royalty rate reduction set forth herein shall be effective as from the first Calendar Quarter in which this Section 6.4(f) applies and thereafter for so long as this Section 6.4(f) applies. The calculations of the royalty rate reduction under this Section 6.4(f) shall be conducted separately for each Program Product in each country.</w:t>
      </w:r>
    </w:p>
    <w:p>
      <w:pPr>
        <w:spacing w:after="0" w:line="190" w:lineRule="exact"/>
        <w:rPr>
          <w:rFonts w:ascii="Times New Roman" w:cs="Times New Roman" w:eastAsia="Times New Roman" w:hAnsi="Times New Roman"/>
          <w:sz w:val="18"/>
          <w:szCs w:val="18"/>
          <w:color w:val="auto"/>
        </w:rPr>
      </w:pPr>
    </w:p>
    <w:p>
      <w:pPr>
        <w:ind w:right="60" w:firstLine="464"/>
        <w:spacing w:after="0" w:line="257" w:lineRule="auto"/>
        <w:tabs>
          <w:tab w:leader="none" w:pos="71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reductions set forth in Sections 6.4(d), 6.4(e) and 6.4(f) shall be applied in the order in which the event triggering such reduction occurs; provided that in no event shall the royalties that would otherwise have been payable to Ardelyx under this Section 6.4 in a particular Calendar Quarter, due to the cumulative reductions set forth out in Sections 6.4(d), 6.4(e) and 6.4(f), be reduced by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that which would be due pursuant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6.4(a).</w:t>
      </w:r>
    </w:p>
    <w:p>
      <w:pPr>
        <w:spacing w:after="0" w:line="206" w:lineRule="exact"/>
        <w:rPr>
          <w:rFonts w:ascii="Times New Roman" w:cs="Times New Roman" w:eastAsia="Times New Roman" w:hAnsi="Times New Roman"/>
          <w:sz w:val="18"/>
          <w:szCs w:val="18"/>
          <w:color w:val="auto"/>
        </w:rPr>
      </w:pPr>
    </w:p>
    <w:p>
      <w:pPr>
        <w:ind w:firstLine="464"/>
        <w:spacing w:after="0" w:line="258" w:lineRule="auto"/>
        <w:tabs>
          <w:tab w:leader="none" w:pos="71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Sanofi’s obligation to pay royalties due under this Section 6.4 shall commence on a country-by-country basis, with respect to each separate Program Product, on the date of the First Commercial Sale of such Program Product in such country and shall expire, on a country-by-country basis, with respect to such Program Product, at the latest of: (i)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First Commercial Sale of such Program Product in such country (or, in the case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such Program Product in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 subject to Section 6.4(i) below, the date on which there is no longer a Valid Claim covering the Manufacture, use or sale of such Program Product in such</w:t>
      </w:r>
    </w:p>
    <w:p>
      <w:pPr>
        <w:spacing w:after="0" w:line="112"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6" w:right="259" w:bottom="1440" w:gutter="0" w:footer="0" w:header="0"/>
        </w:sectPr>
      </w:pPr>
    </w:p>
    <w:bookmarkStart w:id="365" w:name="page366"/>
    <w:bookmarkEnd w:id="365"/>
    <w:p>
      <w:pPr>
        <w:ind w:right="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country. At such time as (i) there is no longer a Valid Claim covering the Manufacture, use or sale of a Program Product in such country, and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Upon expiry of Sanofi’s exclusive licenses with respect to a Program Product in a country, the license granted to Sanofi under Section 2.2 shall automatically, and without further action on the part of Ardelyx or Sanofi, become non-exclusive, fully-paid, irrevocable and perpetual with respect to such country and the Net Sales of such Program Product in such country shall be excluded from royalty calculations under this Section 6.4 (including for purposes of applying thresholds and ceilings).</w:t>
      </w:r>
    </w:p>
    <w:p>
      <w:pPr>
        <w:spacing w:after="0" w:line="180" w:lineRule="exact"/>
        <w:rPr>
          <w:sz w:val="20"/>
          <w:szCs w:val="20"/>
          <w:color w:val="auto"/>
        </w:rPr>
      </w:pPr>
    </w:p>
    <w:p>
      <w:pPr>
        <w:ind w:right="200" w:firstLine="464"/>
        <w:spacing w:after="0" w:line="268" w:lineRule="auto"/>
        <w:tabs>
          <w:tab w:leader="none" w:pos="67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no royalty shall be payable with respect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such time, Sanofi shall be obligated to pay Ardelyx royalties on Net Sales of any Program Product in such country until such time as there is no longer a Valid Claim covering the Manufacture, use or sale of such Program Product in such country. In addition, Sanofi shall pay to Ardelyx royalties calculated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further clarity,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will be not be obligated to pay royalties on Net Sales in such country if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6.5 Combination Products</w:t>
      </w:r>
      <w:r>
        <w:rPr>
          <w:rFonts w:ascii="Times New Roman" w:cs="Times New Roman" w:eastAsia="Times New Roman" w:hAnsi="Times New Roman"/>
          <w:sz w:val="18"/>
          <w:szCs w:val="18"/>
          <w:color w:val="auto"/>
        </w:rPr>
        <w:t>. In the event Ardelyx is entitled to receive royalties under this Agreement from any Program Product sold in the form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Product in any given country, then Net Sales for such Combination Product will be calculated by multiplying the actual Net Sales of such Combination Product in such country by the fraction A/(A+B), where A is the average gross invoice price in such country of a Program Product, containing the same amount of Program Compound as the sole active ingredient as the Combination Product in question (a “</w:t>
      </w:r>
      <w:r>
        <w:rPr>
          <w:rFonts w:ascii="Times New Roman" w:cs="Times New Roman" w:eastAsia="Times New Roman" w:hAnsi="Times New Roman"/>
          <w:sz w:val="18"/>
          <w:szCs w:val="18"/>
          <w:b w:val="1"/>
          <w:bCs w:val="1"/>
          <w:color w:val="auto"/>
        </w:rPr>
        <w:t>Comparable Program Product</w:t>
      </w:r>
      <w:r>
        <w:rPr>
          <w:rFonts w:ascii="Times New Roman" w:cs="Times New Roman" w:eastAsia="Times New Roman" w:hAnsi="Times New Roman"/>
          <w:sz w:val="18"/>
          <w:szCs w:val="18"/>
          <w:color w:val="auto"/>
        </w:rPr>
        <w:t>”), if sold separately, and B is the average gross invoice price in the given country of the ready for sale form of a product containing the same amount of the other therapeutically active ingredient(s) in the Combination Product that are not Program Compounds (the “</w:t>
      </w:r>
      <w:r>
        <w:rPr>
          <w:rFonts w:ascii="Times New Roman" w:cs="Times New Roman" w:eastAsia="Times New Roman" w:hAnsi="Times New Roman"/>
          <w:sz w:val="18"/>
          <w:szCs w:val="18"/>
          <w:b w:val="1"/>
          <w:bCs w:val="1"/>
          <w:color w:val="auto"/>
        </w:rPr>
        <w:t>Other Ingredients</w:t>
      </w:r>
      <w:r>
        <w:rPr>
          <w:rFonts w:ascii="Times New Roman" w:cs="Times New Roman" w:eastAsia="Times New Roman" w:hAnsi="Times New Roman"/>
          <w:sz w:val="18"/>
          <w:szCs w:val="18"/>
          <w:color w:val="auto"/>
        </w:rPr>
        <w:t>”), if sold separately. If, on a country-by-country basis, the Other Ingredients are not sold separately in a country, Net Sales in such country for the purpose of determining royalties of the Combination Product shall be calculated by multiplying actual Net Sales of such Combination Product in such country by the fraction A/C where A is the average gross invoice price in such country of a Comparable Program Product, if sold separately, and C is the average gross invoice price of the Combination Product in such country. If, on a country-by-country basis, a Comparable Program Product is not sold separately, Net Sales in such country for the purpose of determining royalties of the Combination Product shall be calculated by multiplying actual Net Sales of such Combination Product by the fraction (C-B)/C, where B is the average gross invoice price in such country of the Other Ingredients and C is the average gross invoice price in such country of the Combination Product. For the purpose of the above, the average gross invoice price for a Comparable Program Product and for each Other Ingredient shall be for a quantity comparable to that used in the Combination Product in question and of the same class, purity and potency. If, on a country-by-country basis, neither a Comparable Program Product nor the Other Ingredients are sold separately in a country, Net Sales in such country for the purposes of determining royalties of such Combination Product shall be determined based on the ratio of the cost of goods of the Program Compound to the sum of the cost of goods of the Program Compound and the cost of goods of the Other Ingredients.</w:t>
      </w:r>
    </w:p>
    <w:p>
      <w:pPr>
        <w:spacing w:after="0" w:line="127" w:lineRule="exact"/>
        <w:rPr>
          <w:sz w:val="20"/>
          <w:szCs w:val="20"/>
          <w:color w:val="auto"/>
        </w:rPr>
      </w:pPr>
    </w:p>
    <w:p>
      <w:pPr>
        <w:ind w:right="400" w:firstLine="8"/>
        <w:spacing w:after="0" w:line="262" w:lineRule="auto"/>
        <w:tabs>
          <w:tab w:leader="none" w:pos="348"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65" w:right="279" w:bottom="1440" w:gutter="0" w:footer="0" w:header="0"/>
        </w:sectPr>
      </w:pPr>
    </w:p>
    <w:bookmarkStart w:id="366" w:name="page367"/>
    <w:bookmarkEnd w:id="366"/>
    <w:p>
      <w:pPr>
        <w:jc w:val="both"/>
        <w:ind w:right="1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 Sales by Sanofi Licensees or Sublicensees</w:t>
      </w:r>
      <w:r>
        <w:rPr>
          <w:rFonts w:ascii="Times New Roman" w:cs="Times New Roman" w:eastAsia="Times New Roman" w:hAnsi="Times New Roman"/>
          <w:sz w:val="18"/>
          <w:szCs w:val="18"/>
          <w:color w:val="auto"/>
        </w:rPr>
        <w:t>. In the event Sanofi grants licenses or sublicenses to one or more Sanofi Licensees or Sublicensees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or sell Program Products to the extent permitted hereunder, such licenses and sublicenses shall include without limitation an obligation for the Sanofi Licensee and Sublicensee to account for and report its Net Sales of such Program Products on the same basis as if such sales were Net Sales by Sanofi, and Sanofi shall pay royalties to Ardelyx as if the Net Sales of the Sanofi Licensee and Sublicensee were Net Sales of Sanofi.</w:t>
      </w:r>
    </w:p>
    <w:p>
      <w:pPr>
        <w:spacing w:after="0" w:line="17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6.7 Royalty Payments and Reports</w:t>
      </w:r>
      <w:r>
        <w:rPr>
          <w:rFonts w:ascii="Times New Roman" w:cs="Times New Roman" w:eastAsia="Times New Roman" w:hAnsi="Times New Roman"/>
          <w:sz w:val="18"/>
          <w:szCs w:val="18"/>
          <w:color w:val="auto"/>
        </w:rPr>
        <w:t>. The royalties payable under Section 6.4 shall be calculated quarterly as of the last day of March, June,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December respectively for the Calendar Quarter ending on that date. Sanofi shall deliver to Ardelyx a report summarizing the Net Sales of Program Products during each Calendar Quarter following the First Commercial Sale of a Program Product in the Territory. Such report shall be delivered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end of each Calendar Quarter for which royalties are due from Sanofi. Any royalties payable to Ardelyx or its designee under this Agreement shall be paid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foregoing sentence of this Section 6.7.</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6.8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53" w:lineRule="auto"/>
        <w:tabs>
          <w:tab w:leader="none" w:pos="701"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royalties, milestones and other amounts payable by Sanofi to Ardelyx pursuant to this Agreement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shall not be reduced on account of Taxes unless required by Applicable Laws. Sanofi shall deduct or withhold from the Payments any Taxes that it is required by Applicable Laws to deduct or withhold. Notwithstanding the foregoing, if Ardelyx is entitled (whether under any applicable tax treaty or otherwise under Applicable Laws) to a reduction in the rate of, or the elimination of, withholding Tax, it may deliver to Sanofi or the appropriate governmental authority (with the assistance of Sanofi to the extent that this is reasonably required and is expressly requested in writing) the prescribed forms necessary to reduce the applicable rate of withholding or to relieve Sanofi of its obligation to withhold Tax, and Sanofi shall apply the reduced rate of withholding, or dispense with withholding, as the case may be. If, in accordance with the foregoing, Sanofi withholds any Tax, it shall make timely payment to the proper Tax Authority of the withheld Tax, in accordance with Applicable Laws, and send to Ardelyx proof of such payment within fifteen (15) days following that payment. Sanofi agrees to take reasonable and lawful efforts to minimize such Taxes to Ardelyx. Sanofi shall cooperate with Ardelyx as reasonably requested in any claim for refund or application to any Tax Authority. If Sanofi intends to withhold Tax from any Payment, Sanofi shall inform Ardelyx reasonably in advance of making such Payment to permit Ardelyx an opportunity to provide any forms or information or obtain any Tax Authority approval as may be available to reduce or eliminate such withholding.</w:t>
      </w:r>
    </w:p>
    <w:p>
      <w:pPr>
        <w:spacing w:after="0" w:line="194" w:lineRule="exact"/>
        <w:rPr>
          <w:rFonts w:ascii="Times New Roman" w:cs="Times New Roman" w:eastAsia="Times New Roman" w:hAnsi="Times New Roman"/>
          <w:sz w:val="18"/>
          <w:szCs w:val="18"/>
          <w:color w:val="auto"/>
        </w:rPr>
      </w:pPr>
    </w:p>
    <w:p>
      <w:pPr>
        <w:ind w:right="80" w:firstLine="464"/>
        <w:spacing w:after="0" w:line="261" w:lineRule="auto"/>
        <w:tabs>
          <w:tab w:leader="none" w:pos="711"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6.8, to the extent any Taxes are required to be deducted or withheld from any Payment by reason of an assignment by Sanofi of any of its rights or obligations under this Agreement, the amounts otherwise payable to Ardelyx shall be increased as necessary so that after such deduction or withholding has been made (including such deductions and withholdings applicable to additional sums payable under this Section 6.8), Ardelyx receives an amount equal to the sum it would have received had no such deduction or withholding been made.</w:t>
      </w:r>
    </w:p>
    <w:p>
      <w:pPr>
        <w:spacing w:after="0" w:line="108"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65" w:right="279" w:bottom="1440" w:gutter="0" w:footer="0" w:header="0"/>
        </w:sectPr>
      </w:pPr>
    </w:p>
    <w:bookmarkStart w:id="367" w:name="page368"/>
    <w:bookmarkEnd w:id="367"/>
    <w:p>
      <w:pPr>
        <w:ind w:firstLine="464"/>
        <w:spacing w:after="0" w:line="255" w:lineRule="auto"/>
        <w:tabs>
          <w:tab w:leader="none" w:pos="70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Section 6.8 or elsewhere in this Agreement, the following shall apply with respect to Indirect Taxes. All Payments are exclusive of Indirect Taxes. If any Indirect Taxes are chargeable in respect of any Payments, Sanofi shall pay such Indirect Taxes at the applicable rate in respect of any such Payments following the receipt, where applicable, of an Indirect Taxes invoice issued by Ardelyx in respect of those Payments, such Indirect Taxes to be payable on the due date of the payment of the Payments to which such Indirect Taxes relate or at the time such Indirect Taxes are required to be collected by Ardelyx, in the case of payment of Indirect Taxes to Ardelyx. The Parties shall issue invoices for all goods and services supplied under this Agreement consistent with Indirect Tax requirements, and to the extent any invoice is not initially issued in an appropriate form, Sanofi shall promptly inform Ardelyx and shall cooperate with Ardelyx to provide such information or assistance as may be necessary to enable the issuance of such invoice consistent with Indirect Tax requirements.</w:t>
      </w:r>
    </w:p>
    <w:p>
      <w:pPr>
        <w:spacing w:after="0" w:line="181"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6.9 Payments or Reports by Affiliates</w:t>
      </w:r>
      <w:r>
        <w:rPr>
          <w:rFonts w:ascii="Times New Roman" w:cs="Times New Roman" w:eastAsia="Times New Roman" w:hAnsi="Times New Roman"/>
          <w:sz w:val="18"/>
          <w:szCs w:val="18"/>
          <w:color w:val="auto"/>
        </w:rPr>
        <w:t>. Any Payment required under any provision of this Agreement to be made to Ardelyx or any report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made by Sanofi shall be made by an Affiliate of Sanofi if such Affiliate is designated by Sanofi as the appropriate payer or reporting entity.</w:t>
      </w:r>
    </w:p>
    <w:p>
      <w:pPr>
        <w:spacing w:after="0" w:line="15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6.10 Mode of Payment and Invoice Requirements</w:t>
      </w:r>
      <w:r>
        <w:rPr>
          <w:rFonts w:ascii="Times New Roman" w:cs="Times New Roman" w:eastAsia="Times New Roman" w:hAnsi="Times New Roman"/>
          <w:sz w:val="18"/>
          <w:szCs w:val="18"/>
          <w:color w:val="auto"/>
        </w:rPr>
        <w:t>. All payments set forth in this Article 6 shall be remitted by wire transfer to the bank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Ardelyx as designated in writing to Sanofi.</w:t>
      </w:r>
    </w:p>
    <w:p>
      <w:pPr>
        <w:spacing w:after="0" w:line="155"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6.11 Payment Currency</w:t>
      </w:r>
      <w:r>
        <w:rPr>
          <w:rFonts w:ascii="Times New Roman" w:cs="Times New Roman" w:eastAsia="Times New Roman" w:hAnsi="Times New Roman"/>
          <w:sz w:val="18"/>
          <w:szCs w:val="18"/>
          <w:color w:val="auto"/>
        </w:rPr>
        <w:t>. Payments by Sanofi under this Agreement shall be paid to Ardelyx in U.S. dollars. For the purposes of computing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of Program Products sold in a currency other than U.S. dollars, such currency shall be converted from local currency to U.S. dollars by Sanofi in accordance with the rates of exchange for the relevant month for converting such other currency into U.S. dollars used by Sanofi’s internal accounting systems, which are independently audited on an annual basis.</w:t>
      </w:r>
    </w:p>
    <w:p>
      <w:pPr>
        <w:spacing w:after="0" w:line="17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6.12 Imports</w:t>
      </w:r>
      <w:r>
        <w:rPr>
          <w:rFonts w:ascii="Times New Roman" w:cs="Times New Roman" w:eastAsia="Times New Roman" w:hAnsi="Times New Roman"/>
          <w:sz w:val="18"/>
          <w:szCs w:val="18"/>
          <w:color w:val="auto"/>
        </w:rPr>
        <w:t>. For the avoidance of doubt, the Parties acknowledge and agree that none of the milestones or royalties payable under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license (or right) to import or any import of Program Products. The receiving Party shall be responsible for any import clearance, including payment of any import duties and similar charges, in connection with any Program Products transferred to such Party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spacing w:after="0" w:line="183" w:lineRule="exact"/>
        <w:rPr>
          <w:sz w:val="20"/>
          <w:szCs w:val="20"/>
          <w:color w:val="auto"/>
        </w:rPr>
      </w:pPr>
    </w:p>
    <w:p>
      <w:pPr>
        <w:jc w:val="both"/>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6.13 Discounted Sales</w:t>
      </w:r>
      <w:r>
        <w:rPr>
          <w:rFonts w:ascii="Times New Roman" w:cs="Times New Roman" w:eastAsia="Times New Roman" w:hAnsi="Times New Roman"/>
          <w:sz w:val="18"/>
          <w:szCs w:val="18"/>
          <w:color w:val="auto"/>
        </w:rPr>
        <w:t>. In the event that one or more Program Products is included as part of a package of products offered to customers of Sanofi,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on packages including Program Products are offered independently in the Territory, Sanofi shall not discount the price of the Program Products sold as part of a package unreasonably compared to the discount Sanofi offers on prices of the other products included in such package.</w:t>
      </w:r>
    </w:p>
    <w:p>
      <w:pPr>
        <w:sectPr>
          <w:pgSz w:w="11900" w:h="16838" w:orient="portrait"/>
          <w:cols w:equalWidth="0" w:num="1">
            <w:col w:w="11380"/>
          </w:cols>
          <w:pgMar w:left="240" w:top="270" w:right="279" w:bottom="1440" w:gutter="0" w:footer="0" w:header="0"/>
        </w:sectPr>
      </w:pPr>
    </w:p>
    <w:bookmarkStart w:id="368" w:name="page369"/>
    <w:bookmarkEnd w:id="368"/>
    <w:p>
      <w:pPr>
        <w:ind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6.14 Diagnostic or Veterinary Products</w:t>
      </w:r>
      <w:r>
        <w:rPr>
          <w:rFonts w:ascii="Times New Roman" w:cs="Times New Roman" w:eastAsia="Times New Roman" w:hAnsi="Times New Roman"/>
          <w:sz w:val="18"/>
          <w:szCs w:val="18"/>
          <w:color w:val="auto"/>
        </w:rPr>
        <w:t>. The milestones and royalties in this Article 6 shall not apply to the Development and Commercialization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Products for diagnostic, veterinary or any other non-human use or for uses solely for screening patients who have been diagnosed with a disease, state or condition for eligibility to be treated for such disease, state or condition with a Program Product or for monitoring patients who are or have been treated with a Program Product. In the event that a Program Product is Developed for any such purposes, Sanofi shall pay Ardelyx such separate milestones and royalties for the development, commercialization or sale of such Program Product as are commercially reasonable taking into account the commercial potential of such Program Product and standard commercial terms in the industry for such products. If Sanofi decides to initiate development of such a Program Product, Sanofi shall notify Ardelyx thereof in writing and the Parties shall thereafter negotiate in good faith within a period of four (4) months from such notice to agree on such separate milestones (if any) and royalties. In the event of a failure of the Parties to reach such agreement within the aforementioned four (4) month period or any extension of such period mutually agreed by the Parties or otherwise in the event of a dispute as to the separate milestone and royalties for such Program Product, each Party shall be entitled to escalate the matter in accordance with Section 13.1 and, if applicable, to refer the matter to arbitration in accordance with Section 13.2(b).</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7.1 Product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64"/>
        <w:spacing w:after="0" w:line="252" w:lineRule="auto"/>
        <w:tabs>
          <w:tab w:leader="none" w:pos="70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recognize that by reason of, among other things, the requirement that Sanofi exercises the Option to Continue prior to the license grant under Section 2.2 becoming effective, and Ardelyx’s grant of the exclusive Option to Continue to Sanofi, both Parties have an interest in the retention in confidence of certain information relating to the Program Compounds and Program Products. Accordingly, except as set forth in this Section 7.1(a), Section 7.3 or Section 7.5 or expressly authorized elsewhere in this Agreement, until such time as Sanofi exercises the Option to Continue and pays the Continuation Milestone in accordance with the terms hereof, Ardelyx and Sanofi shall, and shall each cause its respective Affiliates and their respective officers, directors, employees and agents to, keep confidential, and not publish or otherwise disclose, and not use directly or indirectly for any purpose other than to perform its obligations under this Agreement, (i) any information that is Controlled by Ardelyx relating to the Ardelyx Compounds or Licensed Patents or constituting Licensed Know-How or Joint Technology, or (ii) any information that is Controlled by Sanofi constituting Sole Program Know-How owned by Sanofi or Joint Technology, or relating to Sanofi Sole Invention Patents or Program Compounds (collectively, (i) and (ii) “</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except in each case, to the extent the Product Information is in the public domain prior to the Effective Date, or through no fault of either Party, its Affiliates or any of their respective officers, directors, employees or agents enters the public domain after the Effective Date. For clarification, the disclosure or transfer by Ardelyx to Sanofi or by Sanofi to Ardelyx of any Product Information shall not cause such information to cease to be subject to the provisions of this Section 7.1. Notwithstanding anything herein, Sanofi shall not be restricted from using its own Product Information for any purpose, to the extent that such use would not constitute an infringement of the Program Patents.</w:t>
      </w:r>
    </w:p>
    <w:p>
      <w:pPr>
        <w:sectPr>
          <w:pgSz w:w="11900" w:h="16838" w:orient="portrait"/>
          <w:cols w:equalWidth="0" w:num="1">
            <w:col w:w="11380"/>
          </w:cols>
          <w:pgMar w:left="240" w:top="266" w:right="279" w:bottom="1440" w:gutter="0" w:footer="0" w:header="0"/>
        </w:sectPr>
      </w:pPr>
    </w:p>
    <w:bookmarkStart w:id="369" w:name="page370"/>
    <w:bookmarkEnd w:id="369"/>
    <w:p>
      <w:pPr>
        <w:ind w:right="20" w:firstLine="464"/>
        <w:spacing w:after="0" w:line="255" w:lineRule="auto"/>
        <w:tabs>
          <w:tab w:leader="none" w:pos="71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exercise of the Option to Continue and Ardelyx’s receipt of the Continuation Milestone, (i) the restrictions set forth in Section 7.1(a) regarding Sanofi’s use and disclosure of Product Information described in Section 7.1(a)(ii) shall terminate and be of no further force or effect with respect to Sanofi, and (ii) if this Agreement is terminated in its entirety or in a given country for any reason, this Section 7.1 shall as from the effective date of such termination have no continuing force or effect (provided that if such termination is with respect to one or several specific country(ies) only, then this Section 7.1 will have no continuing force or effect as to such specific country(ies)) and all Product Information shall be deemed to be Confidential Information of the Party that disclosed such Product Information, or on whose behalf such Product Information was disclosed, pursuant to this Agreement, for purposes of the surviving provisions of this Agreement.</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7.2 Confidentiality General</w:t>
      </w:r>
      <w:r>
        <w:rPr>
          <w:rFonts w:ascii="Times New Roman" w:cs="Times New Roman" w:eastAsia="Times New Roman" w:hAnsi="Times New Roman"/>
          <w:sz w:val="18"/>
          <w:szCs w:val="18"/>
          <w:color w:val="auto"/>
        </w:rPr>
        <w:t>. Except as provided in Section 7.1 with respect to Product Information, the Parties agree that the Party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disclosed by or on behalf of the other Party pursuant to this Agreement shall, and shall cause its officers, directors, employees, agents, Affiliates, Sanofi Licensees and Sublicensees and other Persons to which a sublicense or license is granted, to, keep confidential and not publish or otherwise disclose or use for any purpose other than to conduct its activities under this Agreement or otherwise as expressly authorized by this Agreement any Confidential Information disclosed to it by or on behalf of the other Party pursuant to this Agreement. For the avoidance of doubt, the treatment of Confidential Information that is also Product Information is governed by the terms of Section 7.1, while the treatment of Confidential Information that is not also Product Information is governed by this Section 7.2. Notwithstanding anything in this Section 7.2, Sanofi shall not be restricted by the provisions of this Section 7.2 from using its own Confidential Information for any purpose.</w:t>
      </w:r>
    </w:p>
    <w:p>
      <w:pPr>
        <w:spacing w:after="0" w:line="185"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7.3 Exceptions</w:t>
      </w:r>
      <w:r>
        <w:rPr>
          <w:rFonts w:ascii="Times New Roman" w:cs="Times New Roman" w:eastAsia="Times New Roman" w:hAnsi="Times New Roman"/>
          <w:sz w:val="18"/>
          <w:szCs w:val="18"/>
          <w:color w:val="auto"/>
        </w:rPr>
        <w:t>. Notwithstanding the foregoing, the obligations set forth in Section 7.2 shall not apply in respect of Confidential Information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Product Information) to the extent that it can be established by the receiving Party that such Confidential Information: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was already known to the receiving Party, other than under an obligation of confidentiality, at the time of disclosure by or on behalf of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720" w:hanging="256"/>
        <w:spacing w:after="0"/>
        <w:tabs>
          <w:tab w:leader="none" w:pos="72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or otherwise part of the public domain at the time of its disclosure to the receiving Party;</w:t>
      </w:r>
    </w:p>
    <w:p>
      <w:pPr>
        <w:spacing w:after="0" w:line="22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(outside the Program) without use of the disclosing Party’s information, as evidenced by contemporaneous written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w:t>
      </w:r>
    </w:p>
    <w:p>
      <w:pPr>
        <w:spacing w:after="0" w:line="206" w:lineRule="exact"/>
        <w:rPr>
          <w:rFonts w:ascii="Times New Roman" w:cs="Times New Roman" w:eastAsia="Times New Roman" w:hAnsi="Times New Roman"/>
          <w:sz w:val="18"/>
          <w:szCs w:val="18"/>
          <w:color w:val="auto"/>
        </w:rPr>
      </w:pPr>
    </w:p>
    <w:p>
      <w:pPr>
        <w:ind w:right="60" w:firstLine="464"/>
        <w:spacing w:after="0" w:line="282" w:lineRule="auto"/>
        <w:tabs>
          <w:tab w:leader="none" w:pos="71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generally available to the public or otherwise part of the public domain after its disclosure to the receiving Party and other than through any act or omission of the receiving Party in breach of this Agreement;</w:t>
      </w:r>
    </w:p>
    <w:p>
      <w:pPr>
        <w:spacing w:after="0" w:line="161" w:lineRule="exact"/>
        <w:rPr>
          <w:rFonts w:ascii="Times New Roman" w:cs="Times New Roman" w:eastAsia="Times New Roman" w:hAnsi="Times New Roman"/>
          <w:sz w:val="18"/>
          <w:szCs w:val="18"/>
          <w:color w:val="auto"/>
        </w:rPr>
      </w:pPr>
    </w:p>
    <w:p>
      <w:pPr>
        <w:ind w:right="20" w:firstLine="464"/>
        <w:spacing w:after="0" w:line="282" w:lineRule="auto"/>
        <w:tabs>
          <w:tab w:leader="none" w:pos="70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disclosed to the receiving Party, other than under an obligation of confidentiality, by a Third Party who had no obligation to the disclosing Party not to disclose such information to others; or</w:t>
      </w:r>
    </w:p>
    <w:p>
      <w:pPr>
        <w:sectPr>
          <w:pgSz w:w="11900" w:h="16838" w:orient="portrait"/>
          <w:cols w:equalWidth="0" w:num="1">
            <w:col w:w="11420"/>
          </w:cols>
          <w:pgMar w:left="240" w:top="270" w:right="239" w:bottom="1440" w:gutter="0" w:footer="0" w:header="0"/>
        </w:sectPr>
      </w:pPr>
    </w:p>
    <w:bookmarkStart w:id="370" w:name="page371"/>
    <w:bookmarkEnd w:id="370"/>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 Receipt of Third-Party Information and Materials</w:t>
      </w:r>
      <w:r>
        <w:rPr>
          <w:rFonts w:ascii="Times New Roman" w:cs="Times New Roman" w:eastAsia="Times New Roman" w:hAnsi="Times New Roman"/>
          <w:sz w:val="18"/>
          <w:szCs w:val="18"/>
          <w:color w:val="auto"/>
        </w:rPr>
        <w:t>. Neither Party shall knowingly receive documents relating to Program Products or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as to which the other Party has a right to receive hereunder (e.g., under the Grantback License or the termination provisions of this Agreement) under an obligation of confidentiality to Third Parties that requires the Party receiving such documents to withhold access to the other Party without such Party’s written consent.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7.5 Authorized Disclosure</w:t>
      </w:r>
      <w:r>
        <w:rPr>
          <w:rFonts w:ascii="Times New Roman" w:cs="Times New Roman" w:eastAsia="Times New Roman" w:hAnsi="Times New Roman"/>
          <w:sz w:val="18"/>
          <w:szCs w:val="18"/>
          <w:color w:val="auto"/>
        </w:rPr>
        <w:t>. Each Party may disclose Confidential Information and Product Information to the extent that such disclosure is:</w:t>
      </w:r>
    </w:p>
    <w:p>
      <w:pPr>
        <w:spacing w:after="0" w:line="31" w:lineRule="exact"/>
        <w:rPr>
          <w:sz w:val="20"/>
          <w:szCs w:val="20"/>
          <w:color w:val="auto"/>
        </w:rPr>
      </w:pPr>
    </w:p>
    <w:p>
      <w:pPr>
        <w:ind w:firstLine="8"/>
        <w:spacing w:after="0" w:line="251" w:lineRule="auto"/>
        <w:tabs>
          <w:tab w:leader="none" w:pos="24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law, order, or regulation of a government agency or a court of competent jurisdiction, or by the rules of a securities exchange, provided that the Party required to make such disclosure shall (i) give the other Party reasonable advance notice of and an opportunity to comment on any such required disclosure, (ii) if requested by the other Party, use Commercially Reasonable Efforts to obtain protective orders or any available limitations on or exemptions from such disclosure requirement where applicable and practicable, and (iii) limit such disclosure to that information which is legally required to be disclosed by such law, order or regulation of a government agency or by a court of competent jurisdiction; (b) made to a patent office for the purposes of filing or enforcing a Patent as permitted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reasonable measures shall be taken to assure confidential treatment of such information, to the extent such protection is available; (c) made by Sanofi or its Affiliates, Distributors, Sanofi Licensees, Sublicensees or other sublicensees to a Regulatory Health Authority for the purposes of any filing, application or request for Regulatory Approval for Program Compounds or Program Products as permitted in this Agreement; (d) made to investment bankers, financial advisors, actual or potential Third Party partners, investors, licensees, sublicensees or acquirers of all or substantially all of the assets to which this Agreement relates; or (e) made by Sanofi or its Affiliates, Distributors, Sanofi Licensee, or Sublicensees to Third Parties as may be necessary or useful in connection with the Exploitation of the Program Compounds or Program Products as contemplated by this Agreement, including subcontracting or sublicensing transactions in connection therewith; provided that with respect to disclosures as per subsection (d), (e), or the following sentence, the Party making such disclosures shall ensure that each Third Party recipient is bound by obligations of confidentiality and non-use no less restrictive than those contained in this Agreement and shall be liable to the other Party for any breach of such confidentiality obligations by the relevant recipient; provided further that any disclosure made by Ardelyx as per subsection (d) to a Major Pharmaceutical Company shall be made in compliance with the process described in Exhibit F hereto. In addition (but without prejudice) to the above provisions, each Party shall be entitled to disclose, under confidentiality obligations at least as protective as those of this Article 7, Confidential Information to any Third Party for the purpose of carrying out activities authorized under this Agreement, including without limitation disclosures to Sublicensees or other sublicensees.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7.6 Survival</w:t>
      </w:r>
      <w:r>
        <w:rPr>
          <w:rFonts w:ascii="Times New Roman" w:cs="Times New Roman" w:eastAsia="Times New Roman" w:hAnsi="Times New Roman"/>
          <w:sz w:val="18"/>
          <w:szCs w:val="18"/>
          <w:color w:val="auto"/>
        </w:rPr>
        <w:t>. This Article 7 (other than Section 7.4) shall survive the termination or expiration of this Agreement for a period of ten (10) years.</w:t>
      </w:r>
    </w:p>
    <w:p>
      <w:pPr>
        <w:spacing w:after="0" w:line="225" w:lineRule="exact"/>
        <w:rPr>
          <w:sz w:val="20"/>
          <w:szCs w:val="20"/>
          <w:color w:val="auto"/>
        </w:rPr>
      </w:pPr>
    </w:p>
    <w:p>
      <w:pPr>
        <w:jc w:val="both"/>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7.7 Termination of Prior Agreements</w:t>
      </w:r>
      <w:r>
        <w:rPr>
          <w:rFonts w:ascii="Times New Roman" w:cs="Times New Roman" w:eastAsia="Times New Roman" w:hAnsi="Times New Roman"/>
          <w:sz w:val="18"/>
          <w:szCs w:val="18"/>
          <w:color w:val="auto"/>
        </w:rPr>
        <w:t>. This Agreement supersedes the Confidentiality Agreement between Ardelyx and Sanofi dated as of October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2011 and the first amendment dated as of January 25, 2012 and the second amendment dated as of October 5, 2012 (collectively, the “</w:t>
      </w:r>
      <w:r>
        <w:rPr>
          <w:rFonts w:ascii="Times New Roman" w:cs="Times New Roman" w:eastAsia="Times New Roman" w:hAnsi="Times New Roman"/>
          <w:sz w:val="18"/>
          <w:szCs w:val="18"/>
          <w:b w:val="1"/>
          <w:bCs w:val="1"/>
          <w:color w:val="auto"/>
        </w:rPr>
        <w:t>CDA</w:t>
      </w:r>
      <w:r>
        <w:rPr>
          <w:rFonts w:ascii="Times New Roman" w:cs="Times New Roman" w:eastAsia="Times New Roman" w:hAnsi="Times New Roman"/>
          <w:sz w:val="18"/>
          <w:szCs w:val="18"/>
          <w:color w:val="auto"/>
        </w:rPr>
        <w:t>”). All information exchanged between the Parties under the CDA shall</w:t>
      </w:r>
    </w:p>
    <w:p>
      <w:pPr>
        <w:sectPr>
          <w:pgSz w:w="11900" w:h="16838" w:orient="portrait"/>
          <w:cols w:equalWidth="0" w:num="1">
            <w:col w:w="11420"/>
          </w:cols>
          <w:pgMar w:left="240" w:top="265" w:right="239" w:bottom="1440" w:gutter="0" w:footer="0" w:header="0"/>
        </w:sectPr>
      </w:pPr>
    </w:p>
    <w:bookmarkStart w:id="371" w:name="page372"/>
    <w:bookmarkEnd w:id="371"/>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deemed Product Information or (as the case may be) Confidential Information and shall be subject to the terms of this Article 7, and shall be included within the definitions of Licensed Know-How and Sanofi Background Know-How, as applicable.</w:t>
      </w:r>
    </w:p>
    <w:p>
      <w:pPr>
        <w:spacing w:after="0" w:line="158" w:lineRule="exact"/>
        <w:rPr>
          <w:sz w:val="20"/>
          <w:szCs w:val="20"/>
          <w:color w:val="auto"/>
        </w:rPr>
      </w:pPr>
    </w:p>
    <w:p>
      <w:pPr>
        <w:ind w:right="20" w:firstLine="456"/>
        <w:spacing w:after="0" w:line="278" w:lineRule="auto"/>
        <w:rPr>
          <w:sz w:val="20"/>
          <w:szCs w:val="20"/>
          <w:color w:val="auto"/>
        </w:rPr>
      </w:pPr>
      <w:r>
        <w:rPr>
          <w:rFonts w:ascii="Times New Roman" w:cs="Times New Roman" w:eastAsia="Times New Roman" w:hAnsi="Times New Roman"/>
          <w:sz w:val="17"/>
          <w:szCs w:val="17"/>
          <w:b w:val="1"/>
          <w:bCs w:val="1"/>
          <w:color w:val="auto"/>
        </w:rPr>
        <w:t>7.8 Publications</w:t>
      </w:r>
      <w:r>
        <w:rPr>
          <w:rFonts w:ascii="Times New Roman" w:cs="Times New Roman" w:eastAsia="Times New Roman" w:hAnsi="Times New Roman"/>
          <w:sz w:val="17"/>
          <w:szCs w:val="17"/>
          <w:color w:val="auto"/>
        </w:rPr>
        <w:t>. Except as required by law, (a) Ardelyx agrees that it shall not publish or present any Product Information, (b) Sanofi agrees that,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exercise of the Option to Continue and Ardelyx’s receipt of the Continuation Milestone, it shall not publish or present any Product Information, and</w:t>
      </w:r>
    </w:p>
    <w:p>
      <w:pPr>
        <w:spacing w:after="0" w:line="2" w:lineRule="exact"/>
        <w:rPr>
          <w:sz w:val="20"/>
          <w:szCs w:val="20"/>
          <w:color w:val="auto"/>
        </w:rPr>
      </w:pPr>
    </w:p>
    <w:p>
      <w:pPr>
        <w:ind w:right="40" w:firstLine="8"/>
        <w:spacing w:after="0" w:line="251" w:lineRule="auto"/>
        <w:tabs>
          <w:tab w:leader="none" w:pos="2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that it shall not publish or present any Confidential Information of the other Party, in the case of (a), (b) or (c), (i) without the opportunity for prior review by the other Party and (ii) other than in compliance with this Section 7.8 (or as permitted under Sections 7.1, 7.3 and 7.5). Each Party shall provide to the other the opportunity to review any proposed publications or presentations (including without limitation information to be presented verbally) that relate to Program Compounds or Program Products as early as reasonably practical, but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their intended submission for publication or presentation and such submitting Party agrees, upon written request from the other Party within the Review Period (as defined below), not to submit such abstract or manuscript for publication or to make such presentation until the other Party agrees, which agreement shall not be unreasonably withheld. The other Party shall have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its receipt of any such publication or presentation (the “</w:t>
      </w:r>
      <w:r>
        <w:rPr>
          <w:rFonts w:ascii="Times New Roman" w:cs="Times New Roman" w:eastAsia="Times New Roman" w:hAnsi="Times New Roman"/>
          <w:sz w:val="18"/>
          <w:szCs w:val="18"/>
          <w:b w:val="1"/>
          <w:bCs w:val="1"/>
          <w:color w:val="auto"/>
        </w:rPr>
        <w:t>Review Period</w:t>
      </w:r>
      <w:r>
        <w:rPr>
          <w:rFonts w:ascii="Times New Roman" w:cs="Times New Roman" w:eastAsia="Times New Roman" w:hAnsi="Times New Roman"/>
          <w:sz w:val="18"/>
          <w:szCs w:val="18"/>
          <w:color w:val="auto"/>
        </w:rPr>
        <w:t xml:space="preserve">”) to notify the submitting Party in writing of any specific objections to the intended publication or presentation. Each Party shall, in any such publication or presentation, delete from the proposed disclosure any Confidential Information of the other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Additionally, if the other Party notifies the submitting Party within the Review Period that the other Party objects to such disclosure on the basis that a patent application covering information contained in such disclosure should be filed prior to such disclosure, the submitting Party agrees to reasonably delay disclosure of the relevant information, for up to [***] after the other Party’s timely notification of its objection as per the above, or until such application has been filed, if earlier. Once any such abstract or manuscript is accepted for publication, the submitting Party will provide the other Party with a copy of the final version of the manuscript or abstract.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 OF INTELLECTUAL PROPERTY AND PATENT RIGHTS</w:t>
      </w:r>
    </w:p>
    <w:p>
      <w:pPr>
        <w:spacing w:after="0" w:line="20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8.1 Disclosure</w:t>
      </w:r>
      <w:r>
        <w:rPr>
          <w:rFonts w:ascii="Times New Roman" w:cs="Times New Roman" w:eastAsia="Times New Roman" w:hAnsi="Times New Roman"/>
          <w:sz w:val="18"/>
          <w:szCs w:val="18"/>
          <w:color w:val="auto"/>
        </w:rPr>
        <w:t>. During the Term, Ardelyx shall disclose to Sanofi any Sole Program Know-How of Ardelyx and any Joint Program Know-How.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Sanofi shall disclose to Ardelyx (i) any Sole Program Know-How of Sanofi (X) to the extent necessary to enable Ardelyx to perform the Assigned Activities and the Promotion Activities, or (Y) to the extent such Sole Program Know-How relates to Program Compounds or is otherwise likely to have a material impact on the conduct of the Program by Sanofi, and (ii) the Joint Program Know-How.</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8.2 Ownership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For the avoidance of doubt, Sanofi shall retain all rights, title and interest in and to any and all Sanofi Background Technology, subject only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440" w:firstLine="8"/>
        <w:spacing w:after="0" w:line="262" w:lineRule="auto"/>
        <w:tabs>
          <w:tab w:leader="none" w:pos="348"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9" w:right="239" w:bottom="1440" w:gutter="0" w:footer="0" w:header="0"/>
        </w:sectPr>
      </w:pPr>
    </w:p>
    <w:bookmarkStart w:id="372" w:name="page373"/>
    <w:bookmarkEnd w:id="372"/>
    <w:p>
      <w:pPr>
        <w:ind w:firstLine="464"/>
        <w:spacing w:after="0" w:line="253" w:lineRule="auto"/>
        <w:tabs>
          <w:tab w:leader="none" w:pos="71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Inventorship of all inventions and Know-How conceived or made in the course of activities performed after the Effective Date in the course of the Parties’ performance of activities with respect to the Exploitation of Program Compounds and Program Products or the use of Licensed Technology under this Agreement shall be determined in accordance with the laws of inventorship of the United States. Subject to the licenses granted in Article 2 and to the other provisions of this Agreement, all such inventions and Know-How that are conceived or made solely by employees or independent contractors of one Party in the course of the Parties’ performance of this Agreement with respect to the Exploitation of Program Compounds and Program Products or in the course of the Parties’ use of the Licensed Technology in the performance of this Agreement (“</w:t>
      </w:r>
      <w:r>
        <w:rPr>
          <w:rFonts w:ascii="Times New Roman" w:cs="Times New Roman" w:eastAsia="Times New Roman" w:hAnsi="Times New Roman"/>
          <w:sz w:val="18"/>
          <w:szCs w:val="18"/>
          <w:b w:val="1"/>
          <w:bCs w:val="1"/>
          <w:color w:val="auto"/>
        </w:rPr>
        <w:t>Sole Program Know-How</w:t>
      </w:r>
      <w:r>
        <w:rPr>
          <w:rFonts w:ascii="Times New Roman" w:cs="Times New Roman" w:eastAsia="Times New Roman" w:hAnsi="Times New Roman"/>
          <w:sz w:val="18"/>
          <w:szCs w:val="18"/>
          <w:color w:val="auto"/>
        </w:rPr>
        <w:t>”) shall be solely owned by the conceiving Party, and any inventions and Know-How that are conceived or made jointly by employees or independent contractors of each Party in the course of the Parties’ performance of this Agreement with respect to the Exploitation of Program Compounds and Program Products or in the course of the Parties’ use of the Licensed Technology in the performance of this Agreement will be owned jointly by the Parties (“</w:t>
      </w:r>
      <w:r>
        <w:rPr>
          <w:rFonts w:ascii="Times New Roman" w:cs="Times New Roman" w:eastAsia="Times New Roman" w:hAnsi="Times New Roman"/>
          <w:sz w:val="18"/>
          <w:szCs w:val="18"/>
          <w:b w:val="1"/>
          <w:bCs w:val="1"/>
          <w:color w:val="auto"/>
        </w:rPr>
        <w:t>Joint Program Know-How</w:t>
      </w:r>
      <w:r>
        <w:rPr>
          <w:rFonts w:ascii="Times New Roman" w:cs="Times New Roman" w:eastAsia="Times New Roman" w:hAnsi="Times New Roman"/>
          <w:sz w:val="18"/>
          <w:szCs w:val="18"/>
          <w:color w:val="auto"/>
        </w:rPr>
        <w:t>”); provided that all inventions and Know-How conceived or made in the course of the technology transfer described in Section 3.4 or through the participation of Ardelyx in the DAC, SAC, or in meetings held pursuant to Section 8.3, shall be Sole Program Know-How owned by Sanofi and not Joint Program Know-How.</w:t>
      </w:r>
    </w:p>
    <w:p>
      <w:pPr>
        <w:spacing w:after="0" w:line="192" w:lineRule="exact"/>
        <w:rPr>
          <w:rFonts w:ascii="Times New Roman" w:cs="Times New Roman" w:eastAsia="Times New Roman" w:hAnsi="Times New Roman"/>
          <w:sz w:val="18"/>
          <w:szCs w:val="18"/>
          <w:color w:val="auto"/>
        </w:rPr>
      </w:pPr>
    </w:p>
    <w:p>
      <w:pPr>
        <w:ind w:firstLine="464"/>
        <w:spacing w:after="0" w:line="254" w:lineRule="auto"/>
        <w:tabs>
          <w:tab w:leader="none" w:pos="70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permissible under Applicable Laws, each Party will cause each employee and contractor conducting work on such Party’s behalf under this Agreement to sign a contract that (i) compels prompt disclosure to such Party of all inventions and Know-How conceived or reduced to practice by such employee or contractor during any performance of activities under this Agreement, (ii) automatically assigns to such Party all right, title and interest in and to all such inventions and Know-How and all Intellectual Property Rights therein, and (iii) obligates such persons to similar obligations of confidentiality as set forth in Article 7. Each Party will require each employee and contractor conducting work on such Party’s behalf under this Agreement to maintain records in sufficient detail and in a good scientific manner appropriate for regulatory purposes and purposes of pursuing Patent protection on inventions to properly reflect all work done. Neither Party shall have any obligation to contribute to any remuneration of any inventor employed or previously employed by the other Party or any of its Affiliates in respect of such inventions, information, discoveries and IPRs therein assigned to that other Party. Each Party will pay all such remuneration due to such inventors with respect to such inventions, information, discoveries and IPRs.</w:t>
      </w:r>
    </w:p>
    <w:p>
      <w:pPr>
        <w:spacing w:after="0" w:line="185"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8.3 Intellectual Property Meetings</w:t>
      </w:r>
      <w:r>
        <w:rPr>
          <w:rFonts w:ascii="Times New Roman" w:cs="Times New Roman" w:eastAsia="Times New Roman" w:hAnsi="Times New Roman"/>
          <w:sz w:val="18"/>
          <w:szCs w:val="18"/>
          <w:color w:val="auto"/>
        </w:rPr>
        <w:t>. The Parties may jointly decide to organize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ad hoc meetings between their respective in-house or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attorneys, together with business development personnel and other representatives of the Parties as the Parties may determine to be appropriate from time to time, to discuss the patent strategy for Licensed Patents, Sanofi Sole Invention Patents, and Joint Patents. Such meetings will serve solely an advisory purpose and the attendees of such meetings shall not have authority to approve or disapprove any actions with respect to patent filing, prosecution and maintenance under this Agreement. Each Party will be responsible for the expenses incurred by its Party Representatives participating in such meetings.</w:t>
      </w:r>
    </w:p>
    <w:p>
      <w:pPr>
        <w:spacing w:after="0" w:line="112" w:lineRule="exact"/>
        <w:rPr>
          <w:sz w:val="20"/>
          <w:szCs w:val="20"/>
          <w:color w:val="auto"/>
        </w:rPr>
      </w:pPr>
    </w:p>
    <w:p>
      <w:pPr>
        <w:ind w:right="440" w:firstLine="8"/>
        <w:spacing w:after="0" w:line="262" w:lineRule="auto"/>
        <w:tabs>
          <w:tab w:leader="none" w:pos="348"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373" w:name="page374"/>
    <w:bookmarkEnd w:id="373"/>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 Prosecution and Maintenance of Patent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 w:right="20" w:firstLine="464"/>
        <w:spacing w:after="0" w:line="252" w:lineRule="auto"/>
        <w:tabs>
          <w:tab w:leader="none" w:pos="69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Ardelyx shall be responsible for the preparation, filing, prosecution (including without limitation conducting any interferences, oppositions, reissue proceedings and reexaminations) and maintenance of the Listed Patents, unless and until Sanofi has exercised the Option to Continue and Ardelyx has received the Continuation Milestone. Ardelyx agrees to prosecute and maintain the Listed Patents in those countries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detail of Patent Costs incurred by Ardelyx in prosecuting and maintaining the Listed Patents prior to the Effective Date is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costs and expenses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do not include those costs and expenses incurred by Ardelyx in the drafting and filing of the Listed Patents. Ardelyx will bear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Patent Costs after the Effective Date and prior to Sanofi’s exercise of the Option to Continue. After Ardelyx has paid such amount, Sanofi shall reimburse Ardelyx for any additional Patent Costs incurred by Ardelyx after the Effective Date during the Term until such time as Sanofi exercises the Option to Continue and Ardelyx has received the Continuation Milestone. Ardelyx shall submit invoices to Sanofi at the beginning of each Calendar Quarter, which invoice shall detail the Patent Costs in the previous Calendar Quarter and, if applicable, include all copies of invoices from outside counsel. Sanofi shall pay each invoice within thirty (30) days of its receipt thereof. During the time that Ardelyx is responsible for the prosecution of the Listed Patents, Ardelyx shall provide Sanofi with advance copies of, and a reasonable opportunity to comment upon, proposed patent filings, related prosecution strategies and proposed correspondence with patent officials or other Third Parties relating to any Listed Patents. Ardelyx, in the course of such activities, will consider comments received from Sanofi with respect to such proposed filings, strategies and correspondence in good faith and will not unreasonably reject such comments to the extent such comments could reasonably be deemed to impact Ardelyx Compounds. In any event, Ardelyx will not finally abandon any claims and will not limit any claims that are specific to Ardelyx Compounds without Sanofi’s prior written consent. Ardelyx shall cooperate to assist Sanofi in assuming the prosecution and maintenance of the Listed Patents as provided by Section 8.4(i), including by transferring to Sanofi the patent files associated with such Licensed Products and providing any other information reasonably requested by Sanofi and access to the relevant inventors.</w:t>
      </w:r>
    </w:p>
    <w:p>
      <w:pPr>
        <w:spacing w:after="0" w:line="193" w:lineRule="exact"/>
        <w:rPr>
          <w:rFonts w:ascii="Times New Roman" w:cs="Times New Roman" w:eastAsia="Times New Roman" w:hAnsi="Times New Roman"/>
          <w:sz w:val="18"/>
          <w:szCs w:val="18"/>
          <w:color w:val="auto"/>
        </w:rPr>
      </w:pPr>
    </w:p>
    <w:p>
      <w:pPr>
        <w:ind w:left="-8" w:firstLine="464"/>
        <w:spacing w:after="0" w:line="254" w:lineRule="auto"/>
        <w:tabs>
          <w:tab w:leader="none" w:pos="70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have the sole right but not the obligation to control the preparation, filing, prosecution (including without limitation conducting any interferences, oppositions, reissue proceedings and reexaminations) and maintenance of the Sanofi Sole Invention Patents, Ardelyx Sole Invention Patents, Joint Patents, and following its exercise of the Option to Continue and Ardelyx’s receipt of the Continuation Milestone, the Listed Patents (collectively, the “</w:t>
      </w:r>
      <w:r>
        <w:rPr>
          <w:rFonts w:ascii="Times New Roman" w:cs="Times New Roman" w:eastAsia="Times New Roman" w:hAnsi="Times New Roman"/>
          <w:sz w:val="18"/>
          <w:szCs w:val="18"/>
          <w:b w:val="1"/>
          <w:bCs w:val="1"/>
          <w:color w:val="auto"/>
        </w:rPr>
        <w:t>Sanofi Controlled Patents</w:t>
      </w:r>
      <w:r>
        <w:rPr>
          <w:rFonts w:ascii="Times New Roman" w:cs="Times New Roman" w:eastAsia="Times New Roman" w:hAnsi="Times New Roman"/>
          <w:sz w:val="18"/>
          <w:szCs w:val="18"/>
          <w:color w:val="auto"/>
        </w:rPr>
        <w:t>”) using in-house patent attorneys or counsel reasonably acceptable to Ardelyx; provided that Sanofi shall provide Ardelyx with advance copies of, and a reasonable opportunity to comment upon, proposed patent filings, related prosecution strategies (including any abandonment decision) and proposed correspondence with patent officials or other Third Parties relating to any Sanofi Controlled Patents, and will consider comments received from Ardelyx with respect to such proposed filings, strategies and correspondence in good faith and will not unreasonably reject such comments to the extent such comments could reasonably be deemed to impact Program Compounds or Program Products. In any event, Sanofi will not finally abandon any claims and will not limit any claims that are specific to Program Compounds or Program Products without Ardelyx’s prior written consent.</w:t>
      </w:r>
    </w:p>
    <w:p>
      <w:pPr>
        <w:spacing w:after="0" w:line="117"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266" w:right="239" w:bottom="1440" w:gutter="0" w:footer="0" w:header="0"/>
        </w:sectPr>
      </w:pPr>
    </w:p>
    <w:bookmarkStart w:id="374" w:name="page375"/>
    <w:bookmarkEnd w:id="374"/>
    <w:p>
      <w:pPr>
        <w:ind w:left="-8" w:firstLine="464"/>
        <w:spacing w:after="0" w:line="256" w:lineRule="auto"/>
        <w:tabs>
          <w:tab w:leader="none" w:pos="69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Party responsible for prosecuting Patents pursuant to Sections 8.4(a) or 8.4(b) shall provide all documentation it is required to provide pursuant to such Sections so as to provide the other Party a reasonable opportunity to review and comment thereon in advance of filing. A Party providing comments in accordance with Section 8.4(a) or 8.4(b) shall provide such comments expeditiously and in any event in reasonably sufficient time to meet any filing deadline communicated to it by the other Party that is consistent with the preceding sentence. The Party receiving any such patent application and correspondence shall maintain such information in confidence pursuant to Article 7, except (for the avoidance of doubt) for patent applications that have been published and official correspondence that is publicly available.</w:t>
      </w:r>
    </w:p>
    <w:p>
      <w:pPr>
        <w:spacing w:after="0" w:line="187" w:lineRule="exact"/>
        <w:rPr>
          <w:rFonts w:ascii="Times New Roman" w:cs="Times New Roman" w:eastAsia="Times New Roman" w:hAnsi="Times New Roman"/>
          <w:sz w:val="18"/>
          <w:szCs w:val="18"/>
          <w:color w:val="auto"/>
        </w:rPr>
      </w:pPr>
    </w:p>
    <w:p>
      <w:pPr>
        <w:ind w:left="-8" w:right="20" w:firstLine="464"/>
        <w:spacing w:after="0" w:line="266" w:lineRule="auto"/>
        <w:tabs>
          <w:tab w:leader="none" w:pos="70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described in Section 8.4(a), 8.4(e) and 8.4(f) below, after the Effective Date, the Party prosecuting patent applications and maintaining Patents pursuant to this Section 8.4 shall be solely responsible for all costs and expenses associated with the filing, prosecution and maintenance of such Patents.</w:t>
      </w:r>
    </w:p>
    <w:p>
      <w:pPr>
        <w:spacing w:after="0" w:line="176" w:lineRule="exact"/>
        <w:rPr>
          <w:rFonts w:ascii="Times New Roman" w:cs="Times New Roman" w:eastAsia="Times New Roman" w:hAnsi="Times New Roman"/>
          <w:sz w:val="18"/>
          <w:szCs w:val="18"/>
          <w:color w:val="auto"/>
        </w:rPr>
      </w:pPr>
    </w:p>
    <w:p>
      <w:pPr>
        <w:ind w:left="-8" w:right="80" w:firstLine="464"/>
        <w:spacing w:after="0" w:line="255" w:lineRule="auto"/>
        <w:tabs>
          <w:tab w:leader="none" w:pos="69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decides not to file, prosecute or maintain a Sanofi Sole Invention Patent or a Joint Patent for reasons other than (i) patent strategy or (ii) a desire to maintain trade secret protection for the applicable Know-How, or if Sanofi decides not to file, prosecute or maintain an Ardelyx Sole Invention Patent for any reason, it shall give Ardelyx reasonable notice to that effect sufficiently in advance of any deadline for any filing with respect to such Patent to permit Ardelyx to carry out such activity. After receiving such notice, Ardelyx may elect by written notice to Sanofi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receiving such notice from Sanofi to file, prosecute and maintain the relevant Patent, at its sole cost and expense. For the avoidance of doubt, where Sanofi is in receipt of an official action with a shortened response deadline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less, Sanofi will communicate such notice to Ardelyx as soon as possible and Ardelyx may make its election (pursuant to the foregoing sentence)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deadline. If Ardelyx does so elect, then Sanofi shall cooperate with Ardelyx in accordance with Section 8.4(i). All such activities pursuant to Ardelyx’s election under this Section 8.4(e) shall be at its sole cost and expense.</w:t>
      </w:r>
    </w:p>
    <w:p>
      <w:pPr>
        <w:spacing w:after="0" w:line="185" w:lineRule="exact"/>
        <w:rPr>
          <w:rFonts w:ascii="Times New Roman" w:cs="Times New Roman" w:eastAsia="Times New Roman" w:hAnsi="Times New Roman"/>
          <w:sz w:val="18"/>
          <w:szCs w:val="18"/>
          <w:color w:val="auto"/>
        </w:rPr>
      </w:pPr>
    </w:p>
    <w:p>
      <w:pPr>
        <w:ind w:left="-8" w:firstLine="464"/>
        <w:spacing w:after="0" w:line="266" w:lineRule="auto"/>
        <w:tabs>
          <w:tab w:leader="none" w:pos="67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Ardelyx decides not to file, prosecute or maintain a Listed Patent pursuant to 8.4(a), it shall give Sanofi reasonable notice to that effect sufficiently in advance of any deadline for any filing with respect to such Patent to permit Sanofi to carry out such activity. After such notice, Sanofi may file, prosecute and maintain the Patent, at its sole cost and expense. If Sanofi does so elect, then Ardelyx shall cooperate with Sanofi in accordance with Section 8.4(i).</w:t>
      </w:r>
    </w:p>
    <w:p>
      <w:pPr>
        <w:spacing w:after="0" w:line="176" w:lineRule="exact"/>
        <w:rPr>
          <w:rFonts w:ascii="Times New Roman" w:cs="Times New Roman" w:eastAsia="Times New Roman" w:hAnsi="Times New Roman"/>
          <w:sz w:val="18"/>
          <w:szCs w:val="18"/>
          <w:color w:val="auto"/>
        </w:rPr>
      </w:pPr>
    </w:p>
    <w:p>
      <w:pPr>
        <w:ind w:left="-8" w:right="20" w:firstLine="464"/>
        <w:spacing w:after="0" w:line="255" w:lineRule="auto"/>
        <w:tabs>
          <w:tab w:leader="none" w:pos="70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Sanofi shall have the sole right to make all filings with Regulatory Authorities in the Territory with respect to the Program Patents, including as required or allowed (i) in the United States, in the FDA’s Orange Book (ii) in the European Union, under the national implementations of Article 10.1(a)(iii) of Directive 2001/EC/83 or (iii) other international equivalents. Sanofi shall be responsible for and control, but shall confer with Ardelyx in, the selection of the appropriate Sanofi Controlled Patents as listed in the patent information section of the Drug Approval Application for Program Products for filing to obtain a patent term extension pursuant to all Applicable Laws, including without limitation supplementary protection certificates and any other extensions that are now or become available in the future wherever applicable to Sanofi Controlled Patents that are applicable to the Program Product.</w:t>
      </w:r>
    </w:p>
    <w:p>
      <w:pPr>
        <w:spacing w:after="0" w:line="117" w:lineRule="exact"/>
        <w:rPr>
          <w:rFonts w:ascii="Times New Roman" w:cs="Times New Roman" w:eastAsia="Times New Roman" w:hAnsi="Times New Roman"/>
          <w:sz w:val="18"/>
          <w:szCs w:val="18"/>
          <w:color w:val="auto"/>
        </w:rPr>
      </w:pPr>
    </w:p>
    <w:p>
      <w:pPr>
        <w:ind w:left="-8" w:right="440" w:firstLine="8"/>
        <w:spacing w:after="0" w:line="262" w:lineRule="auto"/>
        <w:tabs>
          <w:tab w:leader="none" w:pos="340"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270" w:right="239" w:bottom="1440" w:gutter="0" w:footer="0" w:header="0"/>
        </w:sectPr>
      </w:pPr>
    </w:p>
    <w:bookmarkStart w:id="375" w:name="page376"/>
    <w:bookmarkEnd w:id="375"/>
    <w:p>
      <w:pPr>
        <w:ind w:firstLine="464"/>
        <w:spacing w:after="0" w:line="258" w:lineRule="auto"/>
        <w:tabs>
          <w:tab w:leader="none" w:pos="71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this Article 8, neither Party shall have the right to make an election under the Cooperative Research and Technology Enhancement Act of 2004, 35 U.S.C.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when exercising its rights under this Article 8 without the prior written consent of the other Party. With respect to any such permitted election, the Parties shall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spacing w:after="0" w:line="183" w:lineRule="exact"/>
        <w:rPr>
          <w:rFonts w:ascii="Times New Roman" w:cs="Times New Roman" w:eastAsia="Times New Roman" w:hAnsi="Times New Roman"/>
          <w:sz w:val="18"/>
          <w:szCs w:val="18"/>
          <w:color w:val="auto"/>
        </w:rPr>
      </w:pPr>
    </w:p>
    <w:p>
      <w:pPr>
        <w:ind w:right="80" w:firstLine="464"/>
        <w:spacing w:after="0" w:line="258" w:lineRule="auto"/>
        <w:tabs>
          <w:tab w:leader="none" w:pos="671"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non-prosecuting Party shall, and shall cause its Affiliates to, assist and cooperate with the prosecuting Party, as the prosecuting Party may reasonably request from time to time, in the preparation, filing, prosecution and maintenance of the applicable Patents described in this Article 8 in the Territory under this Agreement, and facilitating the transition of such patent activities, including that the non-prosecuting Party shall, and shall ensure that its Affiliates, (i) offer its comments, if any, promptly, and (ii) provide access to relevant documents and other evidence and make its employees available at reasonable business hours</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8.5 Third-Party Patent Rights</w:t>
      </w:r>
      <w:r>
        <w:rPr>
          <w:rFonts w:ascii="Times New Roman" w:cs="Times New Roman" w:eastAsia="Times New Roman" w:hAnsi="Times New Roman"/>
          <w:sz w:val="18"/>
          <w:szCs w:val="18"/>
          <w:color w:val="auto"/>
        </w:rPr>
        <w:t>. Except as otherwise provided in Article 8, neither Party makes any warranty with respect to the validity, perfection,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dominance of any Patent or proprietary right or with respect to the absence of rights in Third Parties which may be infringed by the manufacture or sale of any Program Compound or Program Product. Each Party agrees to bring to the attention of the other Party any Patent it discovers, or had discovered, and which relates to the Program Compounds or the Program Products.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8.6 Enforcement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Infringement by Third Parties in the Territory</w:t>
      </w:r>
    </w:p>
    <w:p>
      <w:pPr>
        <w:spacing w:after="0" w:line="121" w:lineRule="exact"/>
        <w:rPr>
          <w:rFonts w:ascii="Times New Roman" w:cs="Times New Roman" w:eastAsia="Times New Roman" w:hAnsi="Times New Roman"/>
          <w:sz w:val="18"/>
          <w:szCs w:val="18"/>
          <w:color w:val="auto"/>
        </w:rPr>
      </w:pPr>
    </w:p>
    <w:p>
      <w:pPr>
        <w:ind w:left="460" w:firstLine="443"/>
        <w:spacing w:after="0" w:line="266" w:lineRule="auto"/>
        <w:tabs>
          <w:tab w:leader="none" w:pos="1113"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first having knowledge that any Program Patent is infringed or misappropriated by a Third Party in any country in the Territory shall promptly notify the other Party thereof in writing. Such notice shall set forth the facts of that infringement in reasonable detail. The Parties shall promptly confer to discuss any such actual or alleged infringement.</w:t>
      </w:r>
    </w:p>
    <w:p>
      <w:pPr>
        <w:spacing w:after="0" w:line="68"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responsible for the prosecution and maintenance of the Program Patent infringed or misappropriated, as provided by Sections</w:t>
      </w:r>
    </w:p>
    <w:p>
      <w:pPr>
        <w:spacing w:after="0" w:line="27" w:lineRule="exact"/>
        <w:rPr>
          <w:sz w:val="20"/>
          <w:szCs w:val="20"/>
          <w:color w:val="auto"/>
        </w:rPr>
      </w:pPr>
    </w:p>
    <w:p>
      <w:pPr>
        <w:ind w:left="460" w:right="20"/>
        <w:spacing w:after="0" w:line="252" w:lineRule="auto"/>
        <w:rPr>
          <w:sz w:val="20"/>
          <w:szCs w:val="20"/>
          <w:color w:val="auto"/>
        </w:rPr>
      </w:pPr>
      <w:r>
        <w:rPr>
          <w:rFonts w:ascii="Times New Roman" w:cs="Times New Roman" w:eastAsia="Times New Roman" w:hAnsi="Times New Roman"/>
          <w:sz w:val="18"/>
          <w:szCs w:val="18"/>
          <w:color w:val="auto"/>
        </w:rPr>
        <w:t>8.4(a), 8.4(b), 8.4(e), and 8.4(f), shall have the first right, but not the obligation, to institute, prosecute, and control any action or proceeding or negotiation of any settlements with respect to any such infringement by counsel of its own choice (with the other Party having the right to participate in such action or negotiations at its expense and be represented if it so desires by counsel of its own choice). For clarity, such Party with the first right to institute, prosecute, and control any action or proceeding or negotiation of any settlements with respect to an infringement of a Program Patent shall be Ardelyx if it makes an election under Section 8.4(e) with regards to such Program Patent and Sanofi if it makes an election under Section 8.4(f) with regards to such Program Patent.</w:t>
      </w:r>
    </w:p>
    <w:p>
      <w:pPr>
        <w:sectPr>
          <w:pgSz w:w="11900" w:h="16838" w:orient="portrait"/>
          <w:cols w:equalWidth="0" w:num="1">
            <w:col w:w="11400"/>
          </w:cols>
          <w:pgMar w:left="240" w:top="269" w:right="259" w:bottom="1440" w:gutter="0" w:footer="0" w:header="0"/>
        </w:sectPr>
      </w:pPr>
    </w:p>
    <w:bookmarkStart w:id="376" w:name="page377"/>
    <w:bookmarkEnd w:id="376"/>
    <w:p>
      <w:pPr>
        <w:ind w:left="452" w:firstLine="443"/>
        <w:spacing w:after="0" w:line="253" w:lineRule="auto"/>
        <w:tabs>
          <w:tab w:leader="none" w:pos="1205" w:val="left"/>
        </w:tabs>
        <w:numPr>
          <w:ilvl w:val="2"/>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Party responsible for prosecution and maintenance elects not to institute and prosecute an action or proceeding or to conduct such negotiation to abate such infringement as provided above, within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Parties first discuss such infringement, then the Parties will discuss the reasons for this decision. Unless during such discussion, the Party responsible reasonably demonstrates why enforcing such Patent to abate such infringement is likely to have a material adverse effect on the potential sales of or market for Program Products, within or outside the relevant country or territory, then the non-responsible Party shall have the right, but not the obligation, to institute, prosecute, and control any such action by counsel reasonably acceptable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other Party shall have the right to participate at its expense in such action and be represented if it so desires by counsel of its own choice. If the Party responsible for an action under Section 8.6(a)(ii) or under this</w:t>
      </w:r>
    </w:p>
    <w:p>
      <w:pPr>
        <w:spacing w:after="0" w:line="3" w:lineRule="exact"/>
        <w:rPr>
          <w:rFonts w:ascii="Times New Roman" w:cs="Times New Roman" w:eastAsia="Times New Roman" w:hAnsi="Times New Roman"/>
          <w:sz w:val="18"/>
          <w:szCs w:val="18"/>
          <w:color w:val="auto"/>
        </w:rPr>
      </w:pPr>
    </w:p>
    <w:p>
      <w:pPr>
        <w:ind w:left="452"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8.6(a)(iii) (a “</w:t>
      </w:r>
      <w:r>
        <w:rPr>
          <w:rFonts w:ascii="Times New Roman" w:cs="Times New Roman" w:eastAsia="Times New Roman" w:hAnsi="Times New Roman"/>
          <w:sz w:val="18"/>
          <w:szCs w:val="18"/>
          <w:b w:val="1"/>
          <w:bCs w:val="1"/>
          <w:color w:val="auto"/>
        </w:rPr>
        <w:t>Responsible Party</w:t>
      </w:r>
      <w:r>
        <w:rPr>
          <w:rFonts w:ascii="Times New Roman" w:cs="Times New Roman" w:eastAsia="Times New Roman" w:hAnsi="Times New Roman"/>
          <w:sz w:val="18"/>
          <w:szCs w:val="18"/>
          <w:color w:val="auto"/>
        </w:rPr>
        <w:t>”) brings any such action or proceeding, the other Party agrees to be joined as a party plaintiff and to give the Responsible Party reasonable assistance and authority to control, file, and prosecute the suit as necessary. No settlement or consent judgment or other voluntary final disposition of a suit under Section 8.6(a)(ii) or under this Section 8.6(a)(iii) may be entered into without the joint consent of Ardelyx and Sanofi, which consent shall not be withheld, delayed or conditioned unreasonably.</w:t>
      </w:r>
    </w:p>
    <w:p>
      <w:pPr>
        <w:spacing w:after="0" w:line="77" w:lineRule="exact"/>
        <w:rPr>
          <w:rFonts w:ascii="Times New Roman" w:cs="Times New Roman" w:eastAsia="Times New Roman" w:hAnsi="Times New Roman"/>
          <w:sz w:val="18"/>
          <w:szCs w:val="18"/>
          <w:color w:val="auto"/>
        </w:rPr>
      </w:pPr>
    </w:p>
    <w:p>
      <w:pPr>
        <w:ind w:left="452" w:right="60" w:firstLine="443"/>
        <w:spacing w:after="0" w:line="256" w:lineRule="auto"/>
        <w:tabs>
          <w:tab w:leader="none" w:pos="1195" w:val="left"/>
        </w:tabs>
        <w:numPr>
          <w:ilvl w:val="2"/>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costs that are incurred by the Party bringing suit under Section 8.6(a)(ii) or under Section 8.6(a(iii) with respect to a Program Product in the Territory (including without limitation the internal costs and expenses specifically attributable to such suit) shall be reimbursed first out of any damages or other monetary awards recovered in favor of the Parties. If such recovery is insufficient to reimburse the Parties’ costs, then each Party shall receive a pro rata portion of the recovery based on such Party’s costs relative to all costs incurred by the Parties in such action. If Sanofi is the Party bringing suit, any remaining recoveries shall be deemed Net Sales for the purposes of Section 6.4. If Ardelyx is the Party bringing suit, any remaining recoveries shall be distributed to Ardelyx.</w:t>
      </w:r>
    </w:p>
    <w:p>
      <w:pPr>
        <w:spacing w:after="0" w:line="183" w:lineRule="exact"/>
        <w:rPr>
          <w:rFonts w:ascii="Times New Roman" w:cs="Times New Roman" w:eastAsia="Times New Roman" w:hAnsi="Times New Roman"/>
          <w:sz w:val="18"/>
          <w:szCs w:val="18"/>
          <w:color w:val="auto"/>
        </w:rPr>
      </w:pPr>
    </w:p>
    <w:p>
      <w:pPr>
        <w:ind w:left="-8" w:right="40" w:firstLine="464"/>
        <w:spacing w:after="0" w:line="255" w:lineRule="auto"/>
        <w:tabs>
          <w:tab w:leader="none" w:pos="703"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Defense and Settlement of Third-Party Claims Against Program Products</w:t>
      </w:r>
      <w:r>
        <w:rPr>
          <w:rFonts w:ascii="Times New Roman" w:cs="Times New Roman" w:eastAsia="Times New Roman" w:hAnsi="Times New Roman"/>
          <w:sz w:val="18"/>
          <w:szCs w:val="18"/>
          <w:color w:val="auto"/>
        </w:rPr>
        <w:t>. If a Third Party asserts that a Patent or other right owned by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infringed by the Development, Manufacture, or Commercialization of any Program Compound or Program Product, the Party first obtaining knowledge of such a claim shall immediately provide the other Party written notice of such claim and the related facts in reasonable detail. In such event, the Parties shall discuss how best to control the defense of any such claim. In the event the Parties cannot agree on the defense of any such claim, Sanofi shall have the first right to control such defense; provided that Ardelyx shall have the right to participate in such defense and to be represented in any such action by counsel of its selection at its sole discretion. The entity that controls the defense of a given claim (whether Ardelyx and Sanofi or Sanofi) with respect to a Program Product, shall also have the right to control settlement of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settlement of any action or suit shall be entered into without the written consent of the other Party, which consent shall not be withheld, delayed or conditioned unreasonably.</w:t>
      </w:r>
    </w:p>
    <w:p>
      <w:pPr>
        <w:spacing w:after="0" w:line="185" w:lineRule="exact"/>
        <w:rPr>
          <w:rFonts w:ascii="Times New Roman" w:cs="Times New Roman" w:eastAsia="Times New Roman" w:hAnsi="Times New Roman"/>
          <w:sz w:val="18"/>
          <w:szCs w:val="18"/>
          <w:color w:val="auto"/>
        </w:rPr>
      </w:pPr>
    </w:p>
    <w:p>
      <w:pPr>
        <w:ind w:left="-8" w:right="240" w:firstLine="464"/>
        <w:spacing w:after="0" w:line="286" w:lineRule="auto"/>
        <w:tabs>
          <w:tab w:leader="none" w:pos="693"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Allocation of Expenses Incurred Pursuant to Section 8.6(b) or 8.6(d)</w:t>
      </w:r>
      <w:r>
        <w:rPr>
          <w:rFonts w:ascii="Times New Roman" w:cs="Times New Roman" w:eastAsia="Times New Roman" w:hAnsi="Times New Roman"/>
          <w:sz w:val="18"/>
          <w:szCs w:val="18"/>
          <w:color w:val="auto"/>
        </w:rPr>
        <w:t>. The expenses of patent defense, settlement, and judgments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8.6(b) or any action</w:t>
      </w:r>
    </w:p>
    <w:p>
      <w:pPr>
        <w:spacing w:after="0" w:line="87" w:lineRule="exact"/>
        <w:rPr>
          <w:rFonts w:ascii="Times New Roman" w:cs="Times New Roman" w:eastAsia="Times New Roman" w:hAnsi="Times New Roman"/>
          <w:sz w:val="18"/>
          <w:szCs w:val="18"/>
          <w:color w:val="auto"/>
        </w:rPr>
      </w:pPr>
    </w:p>
    <w:p>
      <w:pPr>
        <w:ind w:left="-8" w:right="360" w:firstLine="8"/>
        <w:spacing w:after="0" w:line="262" w:lineRule="auto"/>
        <w:tabs>
          <w:tab w:leader="none" w:pos="340"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32"/>
          </w:cols>
          <w:pgMar w:left="248" w:top="270" w:right="319" w:bottom="1440" w:gutter="0" w:footer="0" w:header="0"/>
        </w:sectPr>
      </w:pPr>
    </w:p>
    <w:bookmarkStart w:id="377" w:name="page378"/>
    <w:bookmarkEnd w:id="377"/>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Section 8.6(d) shall be borne solely by Sanofi;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Ardelyx will bear solely such expenses that it incurs if it elects to be represented by counsel of its selection in an action related to a Listed Patent otherwise controlled by Sanofi pursuant to Section 8.6(b).</w:t>
      </w:r>
    </w:p>
    <w:p>
      <w:pPr>
        <w:spacing w:after="0" w:line="158" w:lineRule="exact"/>
        <w:rPr>
          <w:sz w:val="20"/>
          <w:szCs w:val="20"/>
          <w:color w:val="auto"/>
        </w:rPr>
      </w:pPr>
    </w:p>
    <w:p>
      <w:pPr>
        <w:ind w:right="40" w:firstLine="464"/>
        <w:spacing w:after="0" w:line="259" w:lineRule="auto"/>
        <w:tabs>
          <w:tab w:leader="none" w:pos="71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Third-Party Claims for Infringement in the Territory; Payment of Third-Party Royalties</w:t>
      </w:r>
      <w:r>
        <w:rPr>
          <w:rFonts w:ascii="Times New Roman" w:cs="Times New Roman" w:eastAsia="Times New Roman" w:hAnsi="Times New Roman"/>
          <w:sz w:val="18"/>
          <w:szCs w:val="18"/>
          <w:color w:val="auto"/>
        </w:rPr>
        <w:t>. If a Third Party asserts that a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right owned by it is infringed by the Development, Manufacture, or Commercialization or other Exploitation of any Program Compound or Program Product, and as a result of settlement procedures or litigation under Section 8.6(b), Sanofi is required to pay the Third Party a royalty or make any payment of any kind for the right to sell a Program Product in a particular country, such expense shall be borne solely by Sanofi, subject to any applicable reductions under Section 6.4(d).</w:t>
      </w:r>
    </w:p>
    <w:p>
      <w:pPr>
        <w:spacing w:after="0" w:line="179" w:lineRule="exact"/>
        <w:rPr>
          <w:rFonts w:ascii="Times New Roman" w:cs="Times New Roman" w:eastAsia="Times New Roman" w:hAnsi="Times New Roman"/>
          <w:sz w:val="18"/>
          <w:szCs w:val="18"/>
          <w:color w:val="auto"/>
        </w:rPr>
      </w:pPr>
    </w:p>
    <w:p>
      <w:pPr>
        <w:ind w:right="40" w:firstLine="464"/>
        <w:spacing w:after="0" w:line="256" w:lineRule="auto"/>
        <w:tabs>
          <w:tab w:leader="none" w:pos="70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Oppositions by Parties</w:t>
      </w:r>
      <w:r>
        <w:rPr>
          <w:rFonts w:ascii="Times New Roman" w:cs="Times New Roman" w:eastAsia="Times New Roman" w:hAnsi="Times New Roman"/>
          <w:sz w:val="18"/>
          <w:szCs w:val="18"/>
          <w:color w:val="auto"/>
        </w:rPr>
        <w:t>. If either Party desires to bring an opposition, action for declaratory judgment, nullity action, interference, reexamination,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attack upon the validity, title, or enforceability of any Patents Controlled by a Third Party that cover the Manufacture, use, or sale or other Exploitation of any Program Compound or Program Product, such Party shall so notify the other Party in writing, and the Parties shall promptly confer to discuss whether to bring such action or the manner in which to settle such action and Sanofi shall be entitled to determine the matter after having taken any reasonable views presented by Ardelyx into due consideration. The Party not bringing an action under this Section 8.6(e) shall be entitled to separate representation in such proceeding by counsel of its own choice and at its own expense, and shall otherwise cooperate fully with the Party bringing such action at the other Party’s expense.</w:t>
      </w:r>
    </w:p>
    <w:p>
      <w:pPr>
        <w:spacing w:after="0" w:line="183" w:lineRule="exact"/>
        <w:rPr>
          <w:rFonts w:ascii="Times New Roman" w:cs="Times New Roman" w:eastAsia="Times New Roman" w:hAnsi="Times New Roman"/>
          <w:sz w:val="18"/>
          <w:szCs w:val="18"/>
          <w:color w:val="auto"/>
        </w:rPr>
      </w:pPr>
    </w:p>
    <w:p>
      <w:pPr>
        <w:ind w:right="140" w:firstLine="464"/>
        <w:spacing w:after="0" w:line="257" w:lineRule="auto"/>
        <w:tabs>
          <w:tab w:leader="none" w:pos="68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Oppositions by Third Parties</w:t>
      </w:r>
      <w:r>
        <w:rPr>
          <w:rFonts w:ascii="Times New Roman" w:cs="Times New Roman" w:eastAsia="Times New Roman" w:hAnsi="Times New Roman"/>
          <w:sz w:val="18"/>
          <w:szCs w:val="18"/>
          <w:color w:val="auto"/>
        </w:rPr>
        <w:t>. If any Program Patent becomes the subject of any proceeding commenced by a Third Party in connection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opposition, reexamination request, action for declaratory judgment, nullity action, interference, or other attack upon the validity, title, or enforceability thereof, then the Party having the right to prosecute such Patent at such time pursuant to Section 8.4 shall control such defense, at its sole cost (subject to the limitations set forth in Section 8.4(a)). For clarity, the prosecuting Party with respect to such Patent shall be Ardelyx if it makes an election under</w:t>
      </w: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8.4(e) with regards to such Program Patent and Sanofi if it makes an election under Section 8.4(f) with regards to such Program Patent. The prosecuting Party shall permit the non-prosecuting Party to participate in the proceeding to the extent permissible under Applicable Laws, and to be represented by its own counsel in such proceeding, at the non-prosecuting Party’s expense. If either Party decides that it does not wish to defend against such action, then the other Party shall have a backup right to assume defense of such Third Party action at its own expense. Any awards or amounts received in defending any such Third Party action shall be allocated based on the percentage of costs incurred by the Parties in defending such action. Any recoveries obtained in such action shall be shared, as set forth in Section 8.6(a)(iv).</w:t>
      </w:r>
    </w:p>
    <w:p>
      <w:pPr>
        <w:spacing w:after="0" w:line="186" w:lineRule="exact"/>
        <w:rPr>
          <w:rFonts w:ascii="Times New Roman" w:cs="Times New Roman" w:eastAsia="Times New Roman" w:hAnsi="Times New Roman"/>
          <w:sz w:val="18"/>
          <w:szCs w:val="18"/>
          <w:color w:val="auto"/>
        </w:rPr>
      </w:pPr>
    </w:p>
    <w:p>
      <w:pPr>
        <w:jc w:val="both"/>
        <w:ind w:firstLine="464"/>
        <w:spacing w:after="0" w:line="268" w:lineRule="auto"/>
        <w:tabs>
          <w:tab w:leader="none" w:pos="71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Protective Order</w:t>
      </w:r>
      <w:r>
        <w:rPr>
          <w:rFonts w:ascii="Times New Roman" w:cs="Times New Roman" w:eastAsia="Times New Roman" w:hAnsi="Times New Roman"/>
          <w:sz w:val="18"/>
          <w:szCs w:val="18"/>
          <w:color w:val="auto"/>
        </w:rPr>
        <w:t>. If, in any action brought pursuant to this Section 8.6, any information is the subject of a protective order that may be reviewed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only, the Parties will endeavor to structure such protective order so as to enable their respective internal counsel to be included as permitted reviewers of such information.</w:t>
      </w:r>
    </w:p>
    <w:p>
      <w:pPr>
        <w:sectPr>
          <w:pgSz w:w="11900" w:h="16838" w:orient="portrait"/>
          <w:cols w:equalWidth="0" w:num="1">
            <w:col w:w="11420"/>
          </w:cols>
          <w:pgMar w:left="240" w:top="269" w:right="2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 Trademarks, Packaging and Labeling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60" w:firstLine="464"/>
        <w:spacing w:after="0" w:line="255" w:lineRule="auto"/>
        <w:tabs>
          <w:tab w:leader="none" w:pos="24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have the right to select the trademarks to be used specifically for the Commercialization of all Program Products in the Territory (each a “</w:t>
      </w:r>
      <w:r>
        <w:rPr>
          <w:rFonts w:ascii="Times New Roman" w:cs="Times New Roman" w:eastAsia="Times New Roman" w:hAnsi="Times New Roman"/>
          <w:sz w:val="18"/>
          <w:szCs w:val="18"/>
          <w:b w:val="1"/>
          <w:bCs w:val="1"/>
          <w:color w:val="auto"/>
        </w:rPr>
        <w:t>Product Trademark</w:t>
      </w:r>
      <w:r>
        <w:rPr>
          <w:rFonts w:ascii="Times New Roman" w:cs="Times New Roman" w:eastAsia="Times New Roman" w:hAnsi="Times New Roman"/>
          <w:sz w:val="18"/>
          <w:szCs w:val="18"/>
          <w:color w:val="auto"/>
        </w:rPr>
        <w:t>”) and may select other Trademarks of Sanofi as well for use in Commercialization of the Program Products. Any domain names used with respect to the Program Products in the Territory shall be controlled by Sanofi. Sanofi shall own all rights, title and interests in and to the Product Trademarks and all Intellectual Property Rights and other rights and goodwill associated therewith. Ardelyx shall not use any trademark that is the same or confusingly similar to, misleading or deceptive with respect to, or that dilutes any of the Product Trademarks and shall not operate any domain names with respect to the Program Products. Sanofi shall have the right, using legal counsel of its own choosing and at its sole expense to, file, maintain, defend and enforce the Product Trademarks.</w:t>
      </w:r>
    </w:p>
    <w:p>
      <w:pPr>
        <w:spacing w:after="0" w:line="189" w:lineRule="exact"/>
        <w:rPr>
          <w:rFonts w:ascii="Times New Roman" w:cs="Times New Roman" w:eastAsia="Times New Roman" w:hAnsi="Times New Roman"/>
          <w:sz w:val="18"/>
          <w:szCs w:val="18"/>
          <w:color w:val="auto"/>
        </w:rPr>
      </w:pPr>
    </w:p>
    <w:p>
      <w:pPr>
        <w:ind w:left="-460" w:firstLine="464"/>
        <w:spacing w:after="0" w:line="255" w:lineRule="auto"/>
        <w:tabs>
          <w:tab w:leader="none" w:pos="25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be responsible for the design and procurement of all packaging (non-commercial and commercial) and labeling of the Program Products. To the extent allowed by Applicable Law, all Program Product labeling and packaging, package inserts and any promotional materials associated with the Program Product shall carry, in a conspicuous location, an Ardelyx Trademark approved by Ardelyx. Such Ardelyx Trademark display shall be in addition to the display of the Sanofi Trademark and Product Trademarks. Further, Sanofi will include in all package inserts for all Program Products in each country in the Territory in which Program Products are Commercialized a patent notice that includes the patent numbers of all Licensed Patents that claim the Program Product, its method of manufacture or use in such country, unless otherwise advised by its patent counsel or in the case in which equivalent benefits under applicable Patent law can be obtained in an alternate manner (e.g., listing of patent numbers on a website or in the Orange Book).</w:t>
      </w:r>
    </w:p>
    <w:p>
      <w:pPr>
        <w:spacing w:after="0" w:line="189" w:lineRule="exact"/>
        <w:rPr>
          <w:rFonts w:ascii="Times New Roman" w:cs="Times New Roman" w:eastAsia="Times New Roman" w:hAnsi="Times New Roman"/>
          <w:sz w:val="18"/>
          <w:szCs w:val="18"/>
          <w:color w:val="auto"/>
        </w:rPr>
      </w:pPr>
    </w:p>
    <w:p>
      <w:pPr>
        <w:ind w:left="-460" w:firstLine="464"/>
        <w:spacing w:after="0" w:line="255" w:lineRule="auto"/>
        <w:tabs>
          <w:tab w:leader="none" w:pos="24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Ardelyx grants to Sanofi a worldwide, royalty free, non-exclusive license to use and display the Ardelyx Trademark displayed pursuant to Section 8.7(b) solely in accordance with this Section 8.7(c) during the Term (or such longer period as may be required for Sanofi to fulfill its obligations under Section 8.7(b) in the Territory and otherwise to the extent necessary for Sanofi to fulfill its obligations under this Agreement) and following expiration of this Agreement. Such license shall be sublicensable in connection with the grant of sublicenses, licenses to Sanofi Licensees or distribution rights or co-promotion rights pursuant to Article 2. Sanofi shall not use any Ardelyx Trademark outside the scope of this Agreement, and shall not use any Trademark that is the same or confusingly similar to, misleading or deceptive with respect to, or that dilutes any of the Ardelyx Trademarks. Ardelyx shall retain the right to monitor the quality of the goods on or with which the Ardelyx Trademark is used solely to the extent necessary to maintain and protect the Ardelyx Trademark in a commercially reasonable manner.</w:t>
      </w:r>
    </w:p>
    <w:p>
      <w:pPr>
        <w:spacing w:after="0" w:line="185" w:lineRule="exact"/>
        <w:rPr>
          <w:rFonts w:ascii="Times New Roman" w:cs="Times New Roman" w:eastAsia="Times New Roman" w:hAnsi="Times New Roman"/>
          <w:sz w:val="18"/>
          <w:szCs w:val="18"/>
          <w:color w:val="auto"/>
        </w:rPr>
      </w:pPr>
    </w:p>
    <w:p>
      <w:pPr>
        <w:ind w:left="-460" w:right="180" w:firstLine="464"/>
        <w:spacing w:after="0" w:line="282" w:lineRule="auto"/>
        <w:tabs>
          <w:tab w:leader="none" w:pos="25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solely bear the full costs and expense of and be responsible for filing, prosecuting and maintaining any Product Trademarks. Ardelyx shall bear the full costs and expense of and be responsible for filing, prosecuting and maintaining any Ardelyx Trademarks.</w:t>
      </w:r>
    </w:p>
    <w:p>
      <w:pPr>
        <w:spacing w:after="0" w:line="161" w:lineRule="exact"/>
        <w:rPr>
          <w:rFonts w:ascii="Times New Roman" w:cs="Times New Roman" w:eastAsia="Times New Roman" w:hAnsi="Times New Roman"/>
          <w:sz w:val="18"/>
          <w:szCs w:val="18"/>
          <w:color w:val="auto"/>
        </w:rPr>
      </w:pPr>
    </w:p>
    <w:p>
      <w:pPr>
        <w:ind w:left="-460" w:firstLine="464"/>
        <w:spacing w:after="0" w:line="266" w:lineRule="auto"/>
        <w:tabs>
          <w:tab w:leader="none" w:pos="241"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use Commercially Reasonable Efforts to protect, defend, and maintain each Product Trademark it is using or intends to use with respect to Program Products in the Territory, and all registrations therefor. Each Party shall notify the other Party promptly in writing upon learning of any actual, alleged, or threatened infringement, dilution,</w:t>
      </w:r>
    </w:p>
    <w:p>
      <w:pPr>
        <w:sectPr>
          <w:pgSz w:w="11900" w:h="16838" w:orient="portrait"/>
          <w:cols w:equalWidth="0" w:num="1">
            <w:col w:w="10920"/>
          </w:cols>
          <w:pgMar w:left="700" w:top="266" w:right="279" w:bottom="1440" w:gutter="0" w:footer="0" w:header="0"/>
        </w:sectPr>
      </w:pPr>
    </w:p>
    <w:bookmarkStart w:id="379" w:name="page380"/>
    <w:bookmarkEnd w:id="37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misappropriation, or other violation of a Product Trademark used in connection with Program Compounds or Program Products or of any unfair trade practices, trade dress imitation, passing off of counterfeit goods, or like offenses with respect to Program Compounds or Program Products. Upon learning of such infringement or other violation, Sanofi shall have the right, and shall (unless the Parties otherwise mutually agree) use Commercially Reasonable Efforts to, in consultation with Ardelyx, institute and control an appropriate action or proceeding to halt the infringement. Ardelyx shall have the right to participate fully in all such actions or proceedings using counsel of its own selection, at its own cost, and to take action or halt the infringement if Sanofi fails to use such Commercially Reasonable Efforts within sixty (60) days of Sanofi first learning of such infringement.</w:t>
      </w:r>
    </w:p>
    <w:p>
      <w:pPr>
        <w:spacing w:after="0" w:line="188" w:lineRule="exact"/>
        <w:rPr>
          <w:sz w:val="20"/>
          <w:szCs w:val="20"/>
          <w:color w:val="auto"/>
        </w:rPr>
      </w:pPr>
    </w:p>
    <w:p>
      <w:pPr>
        <w:ind w:firstLine="464"/>
        <w:spacing w:after="0" w:line="261" w:lineRule="auto"/>
        <w:tabs>
          <w:tab w:leader="none" w:pos="681"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unrecovered costs, expenses, and legal fees (including without limitation internal costs, expenses, and legal fees) in bringing, maintaining, and prosecuting any action to maintain, protect, or defend a Product Trademark (or registration therefor) shall be borne solely by the Party bringing such action. Any recovery in any such action that is in excess of the costs, expenses and legal fees incurred shall be deemed to be Net Sales for the purposes of Section 6.4 if Sanofi is the Party bringing the action, and shall be retained by Ardelyx if Ardelyx is the Party bringing the action.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9.1 Representations, Warranties, and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00" w:hanging="236"/>
        <w:spacing w:after="0"/>
        <w:tabs>
          <w:tab w:leader="none" w:pos="7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represents, warrants and covenants to the other Party that:</w:t>
      </w:r>
    </w:p>
    <w:p>
      <w:pPr>
        <w:spacing w:after="0" w:line="117" w:lineRule="exact"/>
        <w:rPr>
          <w:rFonts w:ascii="Times New Roman" w:cs="Times New Roman" w:eastAsia="Times New Roman" w:hAnsi="Times New Roman"/>
          <w:sz w:val="18"/>
          <w:szCs w:val="18"/>
          <w:color w:val="auto"/>
        </w:rPr>
      </w:pPr>
    </w:p>
    <w:p>
      <w:pPr>
        <w:ind w:left="460" w:right="40" w:firstLine="443"/>
        <w:spacing w:after="0" w:line="261" w:lineRule="auto"/>
        <w:tabs>
          <w:tab w:leader="none" w:pos="111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a legal and valid obligation binding upon such Party and enforceable in accordance with its terms. The execution, delivery, and performance of the Agreement by such Party does not conflict with any agreement, instrument, or understanding, oral or written, to which it is a Party or by which it is bound, nor violate any law or regulation of any court, Governmental Body, or administrative or other agency having jurisdiction over it;</w:t>
      </w:r>
    </w:p>
    <w:p>
      <w:pPr>
        <w:spacing w:after="0" w:line="7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aware of any government authorization, consent, approval, license, exemption of or filing or registration with any court or</w:t>
      </w:r>
    </w:p>
    <w:p>
      <w:pPr>
        <w:spacing w:after="0" w:line="27" w:lineRule="exact"/>
        <w:rPr>
          <w:rFonts w:ascii="Times New Roman" w:cs="Times New Roman" w:eastAsia="Times New Roman" w:hAnsi="Times New Roman"/>
          <w:sz w:val="18"/>
          <w:szCs w:val="18"/>
          <w:color w:val="auto"/>
        </w:rPr>
      </w:pPr>
    </w:p>
    <w:p>
      <w:pPr>
        <w:ind w:left="46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department, commission, board, bureau, agency or instrumentality, domestic or foreign, under any Applicable Laws, currently in effect, necessary for, or in connection with, the transaction contemplated by this Agreement or any other agreement or instrument executed in connection herewith, or for the performance by it of its obligations under this Agreement and such other agreements (save for Regulatory Approvals, INDs and similar regulatory authorizations necessary for the Development or Commercialization of the Program Compounds and Program Products as contemplated hereunder);</w:t>
      </w:r>
    </w:p>
    <w:p>
      <w:pPr>
        <w:spacing w:after="0" w:line="79"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21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not, and during the Term will not, grant any right to any Third Party relating to its respective Patents and Know-How which would conflict with the rights granted to the other Party hereunder; and</w:t>
      </w:r>
    </w:p>
    <w:p>
      <w:pPr>
        <w:spacing w:after="0" w:line="53"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will at all times and in all material respects comply with all Applicable Laws relating to its activities under this Agreement.</w:t>
      </w:r>
    </w:p>
    <w:p>
      <w:pPr>
        <w:sectPr>
          <w:pgSz w:w="11900" w:h="16838" w:orient="portrait"/>
          <w:cols w:equalWidth="0" w:num="1">
            <w:col w:w="11380"/>
          </w:cols>
          <w:pgMar w:left="240" w:top="270" w:right="279" w:bottom="1440" w:gutter="0" w:footer="0" w:header="0"/>
        </w:sectPr>
      </w:pPr>
    </w:p>
    <w:bookmarkStart w:id="380" w:name="page381"/>
    <w:bookmarkEnd w:id="380"/>
    <w:p>
      <w:pPr>
        <w:ind w:left="-464" w:right="280" w:firstLine="464"/>
        <w:spacing w:after="0" w:line="282" w:lineRule="auto"/>
        <w:tabs>
          <w:tab w:leader="none" w:pos="24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 represents, warrants and covenants as of the Effective Date (or as of such other /additional time as may be explicitly specified below) to Sanofi that:</w:t>
      </w:r>
    </w:p>
    <w:p>
      <w:pPr>
        <w:spacing w:after="0" w:line="53" w:lineRule="exact"/>
        <w:rPr>
          <w:rFonts w:ascii="Times New Roman" w:cs="Times New Roman" w:eastAsia="Times New Roman" w:hAnsi="Times New Roman"/>
          <w:sz w:val="18"/>
          <w:szCs w:val="18"/>
          <w:color w:val="auto"/>
        </w:rPr>
      </w:pPr>
    </w:p>
    <w:p>
      <w:pPr>
        <w:ind w:left="-4" w:firstLine="443"/>
        <w:spacing w:after="0" w:line="258" w:lineRule="auto"/>
        <w:tabs>
          <w:tab w:leader="none" w:pos="64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is the sole owner of the entire right, title and interest in (A) the Listed Patents existing as of the Effective Date and (B) the Licensed Know-How existing as of the Effective Date. Ardelyx has all rights necessary to grant the licenses under the Licensed Technology existing as of the Effective Date that it grants to Sanofi in this Agreement. Neither the Listed Patents nor the Licensed Know-How is subject to any lien or claim of ownership by any Third Party. True, complete and correct copies of the complete file wrapper and other correspondence with patent authorities received or sent by or on behalf of Ardelyx in the course of prosecuting the Listed Patents have been provided to Sanofi prior to the Effective Date.</w:t>
      </w:r>
    </w:p>
    <w:p>
      <w:pPr>
        <w:spacing w:after="0" w:line="75" w:lineRule="exact"/>
        <w:rPr>
          <w:rFonts w:ascii="Times New Roman" w:cs="Times New Roman" w:eastAsia="Times New Roman" w:hAnsi="Times New Roman"/>
          <w:sz w:val="18"/>
          <w:szCs w:val="18"/>
          <w:color w:val="auto"/>
        </w:rPr>
      </w:pPr>
    </w:p>
    <w:p>
      <w:pPr>
        <w:jc w:val="both"/>
        <w:ind w:left="-4" w:right="40" w:firstLine="443"/>
        <w:spacing w:after="0" w:line="261" w:lineRule="auto"/>
        <w:tabs>
          <w:tab w:leader="none" w:pos="69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Patents existing as of the Effective Date are being diligently prosecuted before the respective patent authorities in accordance with Applicable Law. All applicable fees due to patent authorities with respect to the filing and prosecution of the Listed Patents existing as of the Effective Date have been paid on or before the due date for payment (as such due date may be extended in accordance with Applicable Laws or patent authority rules and regulations).</w:t>
      </w:r>
    </w:p>
    <w:p>
      <w:pPr>
        <w:spacing w:after="0" w:line="71" w:lineRule="exact"/>
        <w:rPr>
          <w:rFonts w:ascii="Times New Roman" w:cs="Times New Roman" w:eastAsia="Times New Roman" w:hAnsi="Times New Roman"/>
          <w:sz w:val="18"/>
          <w:szCs w:val="18"/>
          <w:color w:val="auto"/>
        </w:rPr>
      </w:pPr>
    </w:p>
    <w:p>
      <w:pPr>
        <w:ind w:left="-4" w:right="140" w:firstLine="443"/>
        <w:spacing w:after="0" w:line="282" w:lineRule="auto"/>
        <w:tabs>
          <w:tab w:leader="none" w:pos="74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to Ardelyx’s Knowledge, there is no actual or threatened infringement or misappropriation of the Listed Patents or Licensed Know-How by any Person.</w:t>
      </w:r>
    </w:p>
    <w:p>
      <w:pPr>
        <w:spacing w:after="0" w:line="53" w:lineRule="exact"/>
        <w:rPr>
          <w:rFonts w:ascii="Times New Roman" w:cs="Times New Roman" w:eastAsia="Times New Roman" w:hAnsi="Times New Roman"/>
          <w:sz w:val="18"/>
          <w:szCs w:val="18"/>
          <w:color w:val="auto"/>
        </w:rPr>
      </w:pPr>
    </w:p>
    <w:p>
      <w:pPr>
        <w:ind w:left="-4" w:right="480" w:firstLine="443"/>
        <w:spacing w:after="0" w:line="282" w:lineRule="auto"/>
        <w:tabs>
          <w:tab w:leader="none" w:pos="73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Ardelyx’s Knowledge, the manufacture, use, sale, offer for sale or import of Ardelyx Compounds as such compounds exist as of the Effective Date in the Field will not infringe or misappropriate the Patents, other IPR or proprietary right of any Third Party.</w:t>
      </w:r>
    </w:p>
    <w:p>
      <w:pPr>
        <w:spacing w:after="0" w:line="53" w:lineRule="exact"/>
        <w:rPr>
          <w:rFonts w:ascii="Times New Roman" w:cs="Times New Roman" w:eastAsia="Times New Roman" w:hAnsi="Times New Roman"/>
          <w:sz w:val="18"/>
          <w:szCs w:val="18"/>
          <w:color w:val="auto"/>
        </w:rPr>
      </w:pPr>
    </w:p>
    <w:p>
      <w:pPr>
        <w:ind w:left="-4" w:right="120" w:firstLine="443"/>
        <w:spacing w:after="0" w:line="255" w:lineRule="auto"/>
        <w:tabs>
          <w:tab w:leader="none" w:pos="68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not received any written notice alleging that the Listed Patents existing as of the Effective Date, if issued, would be invalid or unenforceable or that the Patent applications included in such Listed Patents will not proceed to grant. The conception, development and reduction to practice of the Listed Patents and Licensed Know-How existing as of the Effective Date have not constituted or involved the misappropriation of trade secrets or other proprietary rights of any Person. There have been no Third Party claims, judgments or settlements against Ardelyx or any of its Affiliates as a result of legal actions brought by Third Parties relating to the Regulatory Documentation, Listed Patents or Licensed Know-How, or amounts owed by Ardelyx or its Affiliates with respect to any such claims, judgments or settlements. No claim or litigation has been brought or threatened by any Person alleging that the Listed Patents existing as of the Effective Date, if issued, are or will be invalid or unenforceable, or that the Licensed Know-How existing as of the Effective Date is or will be invalid or unenforceable.</w:t>
      </w:r>
    </w:p>
    <w:p>
      <w:pPr>
        <w:sectPr>
          <w:pgSz w:w="11900" w:h="16838" w:orient="portrait"/>
          <w:cols w:equalWidth="0" w:num="1">
            <w:col w:w="10956"/>
          </w:cols>
          <w:pgMar w:left="704" w:top="269" w:right="239" w:bottom="1440" w:gutter="0" w:footer="0" w:header="0"/>
        </w:sectPr>
      </w:pPr>
    </w:p>
    <w:bookmarkStart w:id="381" w:name="page382"/>
    <w:bookmarkEnd w:id="381"/>
    <w:p>
      <w:pPr>
        <w:ind w:left="-443" w:right="40" w:firstLine="443"/>
        <w:spacing w:after="0" w:line="258" w:lineRule="auto"/>
        <w:tabs>
          <w:tab w:leader="none" w:pos="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 has not previously entered into any agreement, whether written or oral, with respect to, or otherwise assigned, transferred, licensed or conveyed its right, title or interest in or to, the Listed Patents or the Ardelyx Compounds, in each case existing as of the Effective Date (including by granting any covenant not to sue with respect thereto). Ardelyx has not previously entered into any agreement, whether written or oral, with respect to the Licensed Know-How that would conflict with the rights granted to Sanofi hereunder. None of the license grants to AstraZeneca in the AstraZeneca License Agreement conflict with the license grants to Sanofi under this Agreement.</w:t>
      </w:r>
    </w:p>
    <w:p>
      <w:pPr>
        <w:spacing w:after="0" w:line="75" w:lineRule="exact"/>
        <w:rPr>
          <w:rFonts w:ascii="Times New Roman" w:cs="Times New Roman" w:eastAsia="Times New Roman" w:hAnsi="Times New Roman"/>
          <w:sz w:val="18"/>
          <w:szCs w:val="18"/>
          <w:color w:val="auto"/>
        </w:rPr>
      </w:pPr>
    </w:p>
    <w:p>
      <w:pPr>
        <w:ind w:left="-443" w:right="80" w:firstLine="443"/>
        <w:spacing w:after="0" w:line="266" w:lineRule="auto"/>
        <w:tabs>
          <w:tab w:leader="none" w:pos="34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Listed Patents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represent all Patents within Ardelyx’s Control as of the Effective Date that cover or claim the Exploitation of Ardelyx Compounds as of the Effective Date. There are no patentable inventions within Ardelyx’s Control as of the Effective Date that are not included in a Patent, but which, if included in a Patent, would cover or claim the composition, use or sale of Ardelyx Compounds.</w:t>
      </w:r>
    </w:p>
    <w:p>
      <w:pPr>
        <w:spacing w:after="0" w:line="68" w:lineRule="exact"/>
        <w:rPr>
          <w:rFonts w:ascii="Times New Roman" w:cs="Times New Roman" w:eastAsia="Times New Roman" w:hAnsi="Times New Roman"/>
          <w:sz w:val="18"/>
          <w:szCs w:val="18"/>
          <w:color w:val="auto"/>
        </w:rPr>
      </w:pPr>
    </w:p>
    <w:p>
      <w:pPr>
        <w:ind w:left="-443" w:right="220" w:firstLine="443"/>
        <w:spacing w:after="0" w:line="261" w:lineRule="auto"/>
        <w:tabs>
          <w:tab w:leader="none" w:pos="4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has contributed to the conception of inventions claimed in the Listed Patents existing as of the Effective Date has duly assigned and has executed an agreement assigning to Ardelyx such Person’s entire right, title and interest in and to such Listed Patents. To Ardelyx’s Knowledge, no current or former officer, employee, agent or consultant of Ardelyx is in violation of any term of any assignment or other equivalent agreement regarding or relevant to the ownership or protection of such Listed Patents.</w:t>
      </w:r>
    </w:p>
    <w:p>
      <w:pPr>
        <w:spacing w:after="0" w:line="71" w:lineRule="exact"/>
        <w:rPr>
          <w:rFonts w:ascii="Times New Roman" w:cs="Times New Roman" w:eastAsia="Times New Roman" w:hAnsi="Times New Roman"/>
          <w:sz w:val="18"/>
          <w:szCs w:val="18"/>
          <w:color w:val="auto"/>
        </w:rPr>
      </w:pPr>
    </w:p>
    <w:p>
      <w:pPr>
        <w:ind w:left="-443" w:right="60" w:firstLine="443"/>
        <w:spacing w:after="0" w:line="255" w:lineRule="auto"/>
        <w:tabs>
          <w:tab w:leader="none" w:pos="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not been debarred by the FDA, is not subject to any similar sanction of other Regulatory Health Authorities in the Territory, and is not subject to any such debarment or similar sanction by any such Regulatory Health Authority, and Ardelyx has not used, and will not engage, in any capacity, in connection with this Agreement, any Person who either has been debarred by such a Regulatory Health Authority, or is the subject of a conviction described in Section 306 of the FFDCA (21 U.S.C. §335a). Ardelyx shall inform Sanofi in writing immediately if it or any Person engaged by Ardelyx who is performing services under this Agreement is debarred or is the subject of a conviction described in Section 306 of the FFDCA (21 U.S.C. §335a) or if any action, suit, claim, investigation or legal or administrative proceeding is pending or, to Ardelyx’s Knowledge, is threatened, relating to the debarment or conviction of Ardelyx or any such Person performing services hereunder.</w:t>
      </w:r>
    </w:p>
    <w:p>
      <w:pPr>
        <w:spacing w:after="0" w:line="81" w:lineRule="exact"/>
        <w:rPr>
          <w:rFonts w:ascii="Times New Roman" w:cs="Times New Roman" w:eastAsia="Times New Roman" w:hAnsi="Times New Roman"/>
          <w:sz w:val="18"/>
          <w:szCs w:val="18"/>
          <w:color w:val="auto"/>
        </w:rPr>
      </w:pPr>
    </w:p>
    <w:p>
      <w:pPr>
        <w:ind w:left="-443" w:firstLine="443"/>
        <w:spacing w:after="0" w:line="261" w:lineRule="auto"/>
        <w:tabs>
          <w:tab w:leader="none" w:pos="25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inventions claimed or covered by the Listed Patents (A) were not conceived, discovered, developed, or otherwise made in connection with any research activities funded, in whole or in part, by the federal government of the United States or any agency thereof or any similar government funding statute anywhere in the world, (B) are not a “subject invention” as that term is described in 35 U.S.C. Section 201(f), and (C) are not otherwise subject to the provisions of the Bayh-Dole Act or any other similar government funding statute anywhere in the world.</w:t>
      </w:r>
    </w:p>
    <w:p>
      <w:pPr>
        <w:sectPr>
          <w:pgSz w:w="11900" w:h="16838" w:orient="portrait"/>
          <w:cols w:equalWidth="0" w:num="1">
            <w:col w:w="10497"/>
          </w:cols>
          <w:pgMar w:left="1143" w:top="270" w:right="259" w:bottom="1440" w:gutter="0" w:footer="0" w:header="0"/>
        </w:sectPr>
      </w:pPr>
    </w:p>
    <w:bookmarkStart w:id="382" w:name="page383"/>
    <w:bookmarkEnd w:id="382"/>
    <w:p>
      <w:pPr>
        <w:jc w:val="both"/>
        <w:ind w:left="460" w:right="240" w:firstLine="443"/>
        <w:spacing w:after="0" w:line="266" w:lineRule="auto"/>
        <w:tabs>
          <w:tab w:leader="none" w:pos="1203"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 has made available to Sanofi all Licensed Know-How and other information in its possession or Control as of the Effective Date regarding the Ardelyx Compounds that Sanofi has requested in writing Ardelyx make available, and such items are true, complete and correct in all material respects.</w:t>
      </w:r>
    </w:p>
    <w:p>
      <w:pPr>
        <w:spacing w:after="0" w:line="68" w:lineRule="exact"/>
        <w:rPr>
          <w:rFonts w:ascii="Times New Roman" w:cs="Times New Roman" w:eastAsia="Times New Roman" w:hAnsi="Times New Roman"/>
          <w:sz w:val="18"/>
          <w:szCs w:val="18"/>
          <w:color w:val="auto"/>
        </w:rPr>
      </w:pPr>
    </w:p>
    <w:p>
      <w:pPr>
        <w:ind w:left="1260" w:hanging="357"/>
        <w:spacing w:after="0"/>
        <w:tabs>
          <w:tab w:leader="none" w:pos="12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has no Affiliates existing as of the Effective Date.</w:t>
      </w:r>
    </w:p>
    <w:p>
      <w:pPr>
        <w:spacing w:after="0" w:line="225" w:lineRule="exact"/>
        <w:rPr>
          <w:rFonts w:ascii="Times New Roman" w:cs="Times New Roman" w:eastAsia="Times New Roman" w:hAnsi="Times New Roman"/>
          <w:sz w:val="18"/>
          <w:szCs w:val="18"/>
          <w:color w:val="auto"/>
        </w:rPr>
      </w:pPr>
    </w:p>
    <w:p>
      <w:pPr>
        <w:ind w:right="340" w:firstLine="464"/>
        <w:spacing w:after="0" w:line="282" w:lineRule="auto"/>
        <w:tabs>
          <w:tab w:leader="none" w:pos="70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represents, warrants and covenants as of the Effective Date (or as of such other /additional time as may be explicitly specified below) to Ardelyx that:</w:t>
      </w:r>
    </w:p>
    <w:p>
      <w:pPr>
        <w:spacing w:after="0" w:line="53" w:lineRule="exact"/>
        <w:rPr>
          <w:rFonts w:ascii="Times New Roman" w:cs="Times New Roman" w:eastAsia="Times New Roman" w:hAnsi="Times New Roman"/>
          <w:sz w:val="18"/>
          <w:szCs w:val="18"/>
          <w:color w:val="auto"/>
        </w:rPr>
      </w:pPr>
    </w:p>
    <w:p>
      <w:pPr>
        <w:ind w:left="460" w:firstLine="443"/>
        <w:spacing w:after="0" w:line="255" w:lineRule="auto"/>
        <w:tabs>
          <w:tab w:leader="none" w:pos="111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has not been debarred by the FDA (and is not subject to any similar sanction of other Regulatory Health Authorities in the Territory), and is not subject to any such debarment or similar sanction by any such Regulatory Health Authority, and Sanofi has not used, and will not engage, in any capacity, in connection with this Agreement, any Person who either has been debarred by such a Regulatory Health Authority, or is the subject of a conviction described in Section 306 of the FFDCA (21 U.S.C. §335a). Sanofi shall inform Ardelyx in writing immediately if it or any Person engaged by Sanofi who is performing services under this Agreement is debarred or is the subject of a conviction described in Section 306 of the FFDCA (21 U.S.C. §335a), or if any action, suit, claim, investigation or legal or administrative proceeding is pending or, to Sanofi’s knowledge, is threatened, relating to the debarment or conviction of Sanofi or any such Person performing services hereunder.</w:t>
      </w:r>
    </w:p>
    <w:p>
      <w:pPr>
        <w:spacing w:after="0" w:line="81" w:lineRule="exact"/>
        <w:rPr>
          <w:rFonts w:ascii="Times New Roman" w:cs="Times New Roman" w:eastAsia="Times New Roman" w:hAnsi="Times New Roman"/>
          <w:sz w:val="18"/>
          <w:szCs w:val="18"/>
          <w:color w:val="auto"/>
        </w:rPr>
      </w:pPr>
    </w:p>
    <w:p>
      <w:pPr>
        <w:ind w:left="460" w:right="80" w:firstLine="443"/>
        <w:spacing w:after="0" w:line="258" w:lineRule="auto"/>
        <w:tabs>
          <w:tab w:leader="none" w:pos="116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of Sanofi or its Affiliates performing activities under this Agreement shall be under an obligation to assign all right, title and interest in and to their inventions, information and discoveries, whether or not patentable, and IPRs therein, to Sanofi or its Affiliate(s) as the sole owner thereof. Ardelyx shall have no obligation to contribute to any remuneration of any inventor employed or previously employed by Sanofi or any of its Affiliates in respect of any such inventions, information and discoveries and IPRs therein that are so assigned to Sanofi or its Affiliate(s). Sanofi will pay all such remuneration due to such inventors with respect to such inventions, information and discoveries and IPRs therein.</w:t>
      </w:r>
    </w:p>
    <w:p>
      <w:pPr>
        <w:spacing w:after="0" w:line="75"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Sanofi is not actively conducting any research or development program directed to the identification of NaP2b</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w:t>
      </w:r>
    </w:p>
    <w:p>
      <w:pPr>
        <w:spacing w:after="0" w:line="98" w:lineRule="exact"/>
        <w:rPr>
          <w:rFonts w:ascii="Times New Roman" w:cs="Times New Roman" w:eastAsia="Times New Roman" w:hAnsi="Times New Roman"/>
          <w:sz w:val="18"/>
          <w:szCs w:val="18"/>
          <w:color w:val="auto"/>
        </w:rPr>
      </w:pPr>
    </w:p>
    <w:p>
      <w:pPr>
        <w:ind w:left="460" w:right="480" w:firstLine="443"/>
        <w:spacing w:after="0" w:line="282" w:lineRule="auto"/>
        <w:tabs>
          <w:tab w:leader="none" w:pos="120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not knowingly engage in any activities that use the inventions covered or claimed in the Listed Patents in a manner that is outside the scope of the license rights expressly granted to it hereunder.</w:t>
      </w:r>
    </w:p>
    <w:p>
      <w:pPr>
        <w:spacing w:after="0" w:line="53" w:lineRule="exact"/>
        <w:rPr>
          <w:rFonts w:ascii="Times New Roman" w:cs="Times New Roman" w:eastAsia="Times New Roman" w:hAnsi="Times New Roman"/>
          <w:sz w:val="18"/>
          <w:szCs w:val="18"/>
          <w:color w:val="auto"/>
        </w:rPr>
      </w:pPr>
    </w:p>
    <w:p>
      <w:pPr>
        <w:ind w:left="460" w:right="100" w:firstLine="443"/>
        <w:spacing w:after="0" w:line="282" w:lineRule="auto"/>
        <w:tabs>
          <w:tab w:leader="none" w:pos="1153"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has determined in good faith that no filing is required under the Hart Scott Rodino Antitrust Improvements Act of 1976, as amended, with respect to the execution of this Agreement.</w:t>
      </w:r>
    </w:p>
    <w:p>
      <w:pPr>
        <w:spacing w:after="0" w:line="158" w:lineRule="exact"/>
        <w:rPr>
          <w:sz w:val="20"/>
          <w:szCs w:val="20"/>
          <w:color w:val="auto"/>
        </w:rPr>
      </w:pPr>
    </w:p>
    <w:p>
      <w:pPr>
        <w:jc w:val="both"/>
        <w:ind w:right="10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9.2 No Debarment</w:t>
      </w:r>
      <w:r>
        <w:rPr>
          <w:rFonts w:ascii="Times New Roman" w:cs="Times New Roman" w:eastAsia="Times New Roman" w:hAnsi="Times New Roman"/>
          <w:sz w:val="18"/>
          <w:szCs w:val="18"/>
          <w:color w:val="auto"/>
        </w:rPr>
        <w:t>. In the course of the Development of Program Compound and Program Product in accordance with this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Assigned Activities by Ardelyx under this Agreement, each Party agrees that it will not use, any employee or consultant that is debarred by any Regulatory Health Authority or, to the best of such each</w:t>
      </w:r>
    </w:p>
    <w:p>
      <w:pPr>
        <w:sectPr>
          <w:pgSz w:w="11900" w:h="16838" w:orient="portrait"/>
          <w:cols w:equalWidth="0" w:num="1">
            <w:col w:w="11340"/>
          </w:cols>
          <w:pgMar w:left="240" w:top="269" w:right="319" w:bottom="1440" w:gutter="0" w:footer="0" w:header="0"/>
        </w:sectPr>
      </w:pPr>
    </w:p>
    <w:bookmarkStart w:id="383" w:name="page384"/>
    <w:bookmarkEnd w:id="38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Party’s knowledge, is the subject of debarment proceedings by any Regulatory Health Authority. If a Party learns that its employee or consultant performing on its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contained in Section 9.1(b)(ix) or in Section 9.1(c)(i).</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9.3 Anti-Bribery and Anti-Corruption Compliance.</w:t>
      </w:r>
    </w:p>
    <w:p>
      <w:pPr>
        <w:spacing w:after="0" w:line="229" w:lineRule="exact"/>
        <w:rPr>
          <w:sz w:val="20"/>
          <w:szCs w:val="20"/>
          <w:color w:val="auto"/>
        </w:rPr>
      </w:pPr>
    </w:p>
    <w:p>
      <w:pPr>
        <w:ind w:right="60" w:firstLine="464"/>
        <w:spacing w:after="0" w:line="261" w:lineRule="auto"/>
        <w:tabs>
          <w:tab w:leader="none" w:pos="70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on behalf of itself, its officers, directors and employees and on behalf of its Affiliates, agents, representatives, consultants and subcontractors hired in connection with the Exploitation of the Program Compounds or the Program Products (together with such Party, the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that in connection with the performance of its obligations hereunder, the Party Representatives shall not directly or indirectly pay, offer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promise to pay, or authorize the payment of any money, or give, offer or promise to give, or authorize the giving of anything else of value, to:</w:t>
      </w:r>
    </w:p>
    <w:p>
      <w:pPr>
        <w:spacing w:after="0" w:line="71"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Official in order to influence official action;</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Official (A) to influence such Person to act in breach of a duty of good faith, impartiality or trust (“acting improperly”),</w:t>
      </w:r>
    </w:p>
    <w:p>
      <w:pPr>
        <w:spacing w:after="0" w:line="27" w:lineRule="exact"/>
        <w:rPr>
          <w:rFonts w:ascii="Times New Roman" w:cs="Times New Roman" w:eastAsia="Times New Roman" w:hAnsi="Times New Roman"/>
          <w:sz w:val="18"/>
          <w:szCs w:val="18"/>
          <w:color w:val="auto"/>
        </w:rPr>
      </w:pPr>
    </w:p>
    <w:p>
      <w:pPr>
        <w:ind w:left="4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 reward such Person for acting improperly, or (C) where such Person would be acting improperly by receiving the money or other thing of value; or</w:t>
      </w:r>
    </w:p>
    <w:p>
      <w:pPr>
        <w:spacing w:after="0" w:line="71" w:lineRule="exact"/>
        <w:rPr>
          <w:rFonts w:ascii="Times New Roman" w:cs="Times New Roman" w:eastAsia="Times New Roman" w:hAnsi="Times New Roman"/>
          <w:sz w:val="18"/>
          <w:szCs w:val="18"/>
          <w:color w:val="auto"/>
        </w:rPr>
      </w:pPr>
    </w:p>
    <w:p>
      <w:pPr>
        <w:jc w:val="both"/>
        <w:ind w:left="460" w:right="20" w:firstLine="443"/>
        <w:spacing w:after="0" w:line="266" w:lineRule="auto"/>
        <w:tabs>
          <w:tab w:leader="none" w:pos="1213"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while knowing or having reason to believe that all or any portion of the money or other thing of value will be paid, offered, promised or given to, or will otherwise benefit, a Government Official in order to influence official action for or against either Party in connection with the matters that are the subject of this Agreement.</w:t>
      </w:r>
    </w:p>
    <w:p>
      <w:pPr>
        <w:spacing w:after="0" w:line="176" w:lineRule="exact"/>
        <w:rPr>
          <w:rFonts w:ascii="Times New Roman" w:cs="Times New Roman" w:eastAsia="Times New Roman" w:hAnsi="Times New Roman"/>
          <w:sz w:val="18"/>
          <w:szCs w:val="18"/>
          <w:color w:val="auto"/>
        </w:rPr>
      </w:pPr>
    </w:p>
    <w:p>
      <w:pPr>
        <w:ind w:right="380" w:firstLine="464"/>
        <w:spacing w:after="0" w:line="282" w:lineRule="auto"/>
        <w:tabs>
          <w:tab w:leader="none" w:pos="71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Representatives shall not, directly or indirectly, solicit, receive or agree to accept any payment of money or anything else of value in violation of the Anti-Corruption Laws.</w:t>
      </w:r>
    </w:p>
    <w:p>
      <w:pPr>
        <w:spacing w:after="0" w:line="157" w:lineRule="exact"/>
        <w:rPr>
          <w:rFonts w:ascii="Times New Roman" w:cs="Times New Roman" w:eastAsia="Times New Roman" w:hAnsi="Times New Roman"/>
          <w:sz w:val="18"/>
          <w:szCs w:val="18"/>
          <w:color w:val="auto"/>
        </w:rPr>
      </w:pPr>
    </w:p>
    <w:p>
      <w:pPr>
        <w:jc w:val="both"/>
        <w:ind w:right="120" w:firstLine="464"/>
        <w:spacing w:after="0" w:line="268" w:lineRule="auto"/>
        <w:tabs>
          <w:tab w:leader="none" w:pos="70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on behalf of itself and its other Party Representatives, represents and warrants to the other Party that for the Term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such Party shall and shall procure that its other Party Representatives keep and maintain accurate books and reasonably detailed records reasonably required to establish compliance with Sections 9.3(a) and 9.3(b) above.</w:t>
      </w:r>
    </w:p>
    <w:p>
      <w:pPr>
        <w:spacing w:after="0" w:line="174" w:lineRule="exact"/>
        <w:rPr>
          <w:rFonts w:ascii="Times New Roman" w:cs="Times New Roman" w:eastAsia="Times New Roman" w:hAnsi="Times New Roman"/>
          <w:sz w:val="18"/>
          <w:szCs w:val="18"/>
          <w:color w:val="auto"/>
        </w:rPr>
      </w:pPr>
    </w:p>
    <w:p>
      <w:pPr>
        <w:ind w:right="180" w:firstLine="464"/>
        <w:spacing w:after="0" w:line="282" w:lineRule="auto"/>
        <w:tabs>
          <w:tab w:leader="none" w:pos="711"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provide the other Party with written notice of the following events, subject to any obligations under Applicable Law or contractual obligations:</w:t>
      </w:r>
    </w:p>
    <w:p>
      <w:pPr>
        <w:spacing w:after="0" w:line="53" w:lineRule="exact"/>
        <w:rPr>
          <w:rFonts w:ascii="Times New Roman" w:cs="Times New Roman" w:eastAsia="Times New Roman" w:hAnsi="Times New Roman"/>
          <w:sz w:val="18"/>
          <w:szCs w:val="18"/>
          <w:color w:val="auto"/>
        </w:rPr>
      </w:pPr>
    </w:p>
    <w:p>
      <w:pPr>
        <w:ind w:left="460" w:right="140" w:firstLine="443"/>
        <w:spacing w:after="0" w:line="282" w:lineRule="auto"/>
        <w:tabs>
          <w:tab w:leader="none" w:pos="1113"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of any breach or violation by the first Party or its Party Representative of any representation, warranty or undertaking set forth in Sections 9.3(a) or 9.3(b).</w:t>
      </w:r>
    </w:p>
    <w:p>
      <w:pPr>
        <w:spacing w:after="0" w:line="53" w:lineRule="exact"/>
        <w:rPr>
          <w:rFonts w:ascii="Times New Roman" w:cs="Times New Roman" w:eastAsia="Times New Roman" w:hAnsi="Times New Roman"/>
          <w:sz w:val="18"/>
          <w:szCs w:val="18"/>
          <w:color w:val="auto"/>
        </w:rPr>
      </w:pPr>
    </w:p>
    <w:p>
      <w:pPr>
        <w:jc w:val="both"/>
        <w:ind w:left="460" w:right="220" w:firstLine="443"/>
        <w:spacing w:after="0" w:line="266" w:lineRule="auto"/>
        <w:tabs>
          <w:tab w:leader="none" w:pos="1163"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receiving a formal notification that it is the target of a formal investigation by a Regulatory Authority for a Material Anti-Corruption Law Violation or upon receipt of information from any of its Party Representatives connected with this Agreement that any of them is the target of a formal investigation by a Regulatory Authority for a Material Anti-Corruption Law Violation.</w:t>
      </w:r>
    </w:p>
    <w:p>
      <w:pPr>
        <w:spacing w:after="0" w:line="104"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84" w:name="page385"/>
    <w:bookmarkEnd w:id="384"/>
    <w:p>
      <w:pPr>
        <w:ind w:firstLine="464"/>
        <w:spacing w:after="0" w:line="271" w:lineRule="auto"/>
        <w:tabs>
          <w:tab w:leader="none" w:pos="701" w:val="left"/>
        </w:tabs>
        <w:numPr>
          <w:ilvl w:val="0"/>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prejudice to any auditing or inspection rights that are set forth elsewhere in this Agreement, each Party shall, for the Term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thereafter, for the purpose of allowing the other Party to audit and monitor the performance of its compliance with this Section 9.3 permit the other Party, its Affiliates, any auditors of any of them and any Regulatory Authority to have access, upon reasonable advance notice, during normal business hours to any premises of such first Party or its other Party Representatives used in connection with this Agreement, together with a right to access personnel and records that relate to this Agreement. The results of any such audit shall constitute Confidential Information of the audited Party, in respect of which the other Party shall comply with the provisions contained in Article 7 (subject to the terms and exceptions set forth therein). The auditing Party shall ensure that any Third Party auditor enters into a confidentiality agreement consistent with applicable requirements of Article 7 hereof in all material respects. The auditing Party shall instruct any Third Party auditor or other Person given access in respect of an audit to cause the minimum amount of disruption to the business of the audited Party and to comply with relevant building and security regulations. The cost of any such audit shall be borne solely by the requesting Party.</w:t>
      </w:r>
    </w:p>
    <w:p>
      <w:pPr>
        <w:spacing w:after="0" w:line="178" w:lineRule="exact"/>
        <w:rPr>
          <w:rFonts w:ascii="Times New Roman" w:cs="Times New Roman" w:eastAsia="Times New Roman" w:hAnsi="Times New Roman"/>
          <w:sz w:val="17"/>
          <w:szCs w:val="17"/>
          <w:color w:val="auto"/>
        </w:rPr>
      </w:pPr>
    </w:p>
    <w:p>
      <w:pPr>
        <w:ind w:right="80" w:firstLine="464"/>
        <w:spacing w:after="0" w:line="282" w:lineRule="auto"/>
        <w:tabs>
          <w:tab w:leader="none" w:pos="68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responsible for any breach of any representation, warranty, covenant or undertaking in this Article 9 or of the Anti-Corruption Laws by its Party Representatives.</w:t>
      </w:r>
    </w:p>
    <w:p>
      <w:pPr>
        <w:spacing w:after="0" w:line="161" w:lineRule="exact"/>
        <w:rPr>
          <w:rFonts w:ascii="Times New Roman" w:cs="Times New Roman" w:eastAsia="Times New Roman" w:hAnsi="Times New Roman"/>
          <w:sz w:val="18"/>
          <w:szCs w:val="18"/>
          <w:color w:val="auto"/>
        </w:rPr>
      </w:pPr>
    </w:p>
    <w:p>
      <w:pPr>
        <w:ind w:right="140" w:firstLine="464"/>
        <w:spacing w:after="0" w:line="266" w:lineRule="auto"/>
        <w:tabs>
          <w:tab w:leader="none" w:pos="71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disclose the terms of this Agreement or any action taken under this Section 9.3 to prevent a potential violation or address a continuing violation of applicable Anti-Corruption Laws, including the identity of the other Party and the payment terms, to any governmental authority if and to the extent the first Party reasonably determines, upon advice of counsel, that such disclosure is necessary.</w:t>
      </w:r>
    </w:p>
    <w:p>
      <w:pPr>
        <w:spacing w:after="0" w:line="17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9.4 Disclaimer</w:t>
      </w:r>
      <w:r>
        <w:rPr>
          <w:rFonts w:ascii="Times New Roman" w:cs="Times New Roman" w:eastAsia="Times New Roman" w:hAnsi="Times New Roman"/>
          <w:sz w:val="18"/>
          <w:szCs w:val="18"/>
          <w:color w:val="auto"/>
        </w:rPr>
        <w:t>. EXCEPT AS EXPRESSLY SET FORTH IN THIS ARTICLE 9, THE PARTIES MAKE NO REPRESENTATIONS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OF ANY KIND WHATSOEVER, EITHER EXPRESS OR IMPLIED, WRITTEN OR ORAL, INCLUDING WITHOUT LIMITATION ANY IMPLIED WARRANTY OF MERCHANTABILITY, WARRANTY OF FITNESS FOR A PARTICULAR PURPOSE, OR WARRANTY OF NON-INFRINGEMENT.</w:t>
      </w: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RECORD RETENTION, AUDIT AND USE OF NAME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10.1 Records Retention; Audit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20" w:firstLine="464"/>
        <w:spacing w:after="0" w:line="282" w:lineRule="auto"/>
        <w:tabs>
          <w:tab w:leader="none" w:pos="701"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keep or cause to be kept accurate records of account in accordance with IFRS, showing information that is necessary for the accurate determination of the royalties and other payments due under Article 6, or any other payment due hereunder. Such</w:t>
      </w:r>
    </w:p>
    <w:p>
      <w:pPr>
        <w:spacing w:after="0" w:line="89" w:lineRule="exact"/>
        <w:rPr>
          <w:rFonts w:ascii="Times New Roman" w:cs="Times New Roman" w:eastAsia="Times New Roman" w:hAnsi="Times New Roman"/>
          <w:sz w:val="18"/>
          <w:szCs w:val="18"/>
          <w:color w:val="auto"/>
        </w:rPr>
      </w:pPr>
    </w:p>
    <w:p>
      <w:pPr>
        <w:ind w:right="280" w:firstLine="8"/>
        <w:spacing w:after="0" w:line="262" w:lineRule="auto"/>
        <w:tabs>
          <w:tab w:leader="none" w:pos="348"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260"/>
          </w:cols>
          <w:pgMar w:left="240" w:top="266" w:right="399" w:bottom="1440" w:gutter="0" w:footer="0" w:header="0"/>
        </w:sectPr>
      </w:pPr>
    </w:p>
    <w:bookmarkStart w:id="385" w:name="page386"/>
    <w:bookmarkEnd w:id="385"/>
    <w:p>
      <w:pPr>
        <w:ind w:right="1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records or books of account shall be kept until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December 31 of the Calendar Year in which the relevant Program Product is sold (in the case of royalty or other payments due under Section 6.4) or in the period for which any other payment hereunder is required to be made. For clarity, each Party shall cause its Affiliates to keep, and shall require pursuant to a written agreement that any Sublicensee, Sanofi Licensee, other sublicensee or subcontractor performing activities hereunder keep accurate records or books of account in a manner that will permit such Party to comply with its obligations under the foregoing sentence.</w:t>
      </w:r>
    </w:p>
    <w:p>
      <w:pPr>
        <w:spacing w:after="0" w:line="184" w:lineRule="exact"/>
        <w:rPr>
          <w:sz w:val="20"/>
          <w:szCs w:val="20"/>
          <w:color w:val="auto"/>
        </w:rPr>
      </w:pPr>
    </w:p>
    <w:p>
      <w:pPr>
        <w:ind w:firstLine="464"/>
        <w:spacing w:after="0" w:line="254" w:lineRule="auto"/>
        <w:tabs>
          <w:tab w:leader="none" w:pos="71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written request of the other Party, each Party shall permit a qualified accountant or a person possessing similar professional status and associated with an independent accounting firm acceptable to the Parties to inspect during regular business hours and no more than once a year and once in any given Calendar Year, and going back no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preceding the current Calendar Year, all or any part of the audited Party’s records and books necessary to check the accuracy of any payments made or required to be made hereunder. The accounting firm shall enter into appropriate obligations with the audited Party to treat all information it receives during its inspection in confidence. The accounting firm shall disclose to Ardelyx and Sanofi only whether the payments made are correct and details concerning any discrepancies, but no other information shall be disclosed to the Party requesting the inspection. The charges of the accounting firm shall be paid by the Party requesting the inspection, except that if the payments being audited have been underpaid or the costs being reimbursed have been overstated, in each case by more than five percent (5%), the charges will be paid by the Party whose records and books are being inspected. Any failure by a Party to exercise its rights under this Section 10.1 with respect to a Calendar Year within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allotted therefor shall constitute a waiver by such Party of its right to later object to any payments made by the other Party under this Agreement during such Calendar Year.</w:t>
      </w:r>
    </w:p>
    <w:p>
      <w:pPr>
        <w:spacing w:after="0" w:line="18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10.2 Publicity Review</w:t>
      </w:r>
      <w:r>
        <w:rPr>
          <w:rFonts w:ascii="Times New Roman" w:cs="Times New Roman" w:eastAsia="Times New Roman" w:hAnsi="Times New Roman"/>
          <w:sz w:val="18"/>
          <w:szCs w:val="18"/>
          <w:color w:val="auto"/>
        </w:rPr>
        <w:t>. Until such time as Sanofi exercises the Option to Continue and Ardelyx has received the Continuation Milestone, no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originate any written publicity, news release, or other announcement (relating to this Agreement or to performance hereunder or the existence of an arrangement between the Parties (collectively, “</w:t>
      </w:r>
      <w:r>
        <w:rPr>
          <w:rFonts w:ascii="Times New Roman" w:cs="Times New Roman" w:eastAsia="Times New Roman" w:hAnsi="Times New Roman"/>
          <w:sz w:val="18"/>
          <w:szCs w:val="18"/>
          <w:b w:val="1"/>
          <w:bCs w:val="1"/>
          <w:color w:val="auto"/>
        </w:rPr>
        <w:t>Written Disclosure</w:t>
      </w:r>
      <w:r>
        <w:rPr>
          <w:rFonts w:ascii="Times New Roman" w:cs="Times New Roman" w:eastAsia="Times New Roman" w:hAnsi="Times New Roman"/>
          <w:sz w:val="18"/>
          <w:szCs w:val="18"/>
          <w:color w:val="auto"/>
        </w:rPr>
        <w:t xml:space="preserve">”), without the prior prompt review and written approval of the other, which approval shall not be unreasonably withheld. After exercise of the Option to Continue, either Party may make any Written Disclosure with regard to the Exploitation of the Program Compounds and Program Products in the ordinary course of business; provided that the disclosing party shall submit to the other party’s prior prompt review and written approval (not to be unreasonably withheld, delayed or conditioned) any Written Disclosure in relation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Notwithstanding anything to the contrary in this Section 10.2, any Party may make any public Written Disclosure it believes in good faith based upon the advice of counsel is required by Applicable Laws or any listing or trading agreement concerning its publicly traded securities, provided that, prior to making such Written Disclosure, the disclosing Party shall where reasonably practicable provide the other Party with a copy of the materials proposed to be disclosed and an opportunity to promptly review and comment on the proposed Written Disclosure. To the extent that the receiving Party reasonably requests that any information in the materials proposed to be disclosed be deleted, the disclosing Party shall use reasonable efforts to request confidential</w:t>
      </w:r>
    </w:p>
    <w:p>
      <w:pPr>
        <w:spacing w:after="0" w:line="115" w:lineRule="exact"/>
        <w:rPr>
          <w:sz w:val="20"/>
          <w:szCs w:val="20"/>
          <w:color w:val="auto"/>
        </w:rPr>
      </w:pPr>
    </w:p>
    <w:p>
      <w:pPr>
        <w:ind w:right="440" w:firstLine="8"/>
        <w:spacing w:after="0" w:line="262" w:lineRule="auto"/>
        <w:tabs>
          <w:tab w:leader="none" w:pos="348"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5" w:right="239" w:bottom="1440" w:gutter="0" w:footer="0" w:header="0"/>
        </w:sectPr>
      </w:pPr>
    </w:p>
    <w:bookmarkStart w:id="386" w:name="page387"/>
    <w:bookmarkEnd w:id="386"/>
    <w:p>
      <w:pPr>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such information pursuant to Rule 406 of the Securities Act of 1933 or Rule 24b-2 of the Securities Exchange Act of 1934, as applicable (or any other applicable regulation relating to the confidential treatment of information) so that any information that the receiving Party reasonably requests to be deleted, to the extent permitted by the applicable government agency, are omitted from such materials. The terms of this Agreement may also be disclosed to</w:t>
      </w:r>
    </w:p>
    <w:p>
      <w:pPr>
        <w:spacing w:after="0" w:line="2" w:lineRule="exact"/>
        <w:rPr>
          <w:sz w:val="20"/>
          <w:szCs w:val="20"/>
          <w:color w:val="auto"/>
        </w:rPr>
      </w:pPr>
    </w:p>
    <w:p>
      <w:pPr>
        <w:ind w:firstLine="8"/>
        <w:spacing w:after="0" w:line="251" w:lineRule="auto"/>
        <w:tabs>
          <w:tab w:leader="none" w:pos="24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government agencies where required by Applicable Laws, provided that the Party making such disclosure seeks a protective order or confidential treatment of this Agreement to the extent allowed under Applicable Laws, (b) Third Parties having a need to know such information for purposes of performing under this Agreement or advising a Party with respect to its performance under this Agreement or its business or legal obligations, or (c) Third Party investment bankers, financial advisors, actual or potential Third Party partners, investors, licensees, sublicensees or acquirers of all or substantially all of the assets to which this Agreement relates; provided, that, disclosures under subsections (b) or (c) shall be made under a written obligation of confidentiality and the Party having made such disclosures shall be liable to the other Party for any breach of such confidentiality obligation by the relevant Third Party recipient; and provided further that any disclosure made by Ardelyx as per subsection (c) to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be made in compliance with the process described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Ardelyx intends to issue a press release regarding the transaction contemplated by this Agreement, the contents of such press release to be mutually agreed by the Parties in writing (as soon as reasonably practicable after the Effective Date and prior to the publication thereof) substantially in the form of the draft press release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subject to such additional modifications as the Parties may mutually agree.</w:t>
      </w:r>
    </w:p>
    <w:p>
      <w:pPr>
        <w:spacing w:after="0" w:line="190"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10.3 Use of Names</w:t>
      </w:r>
      <w:r>
        <w:rPr>
          <w:rFonts w:ascii="Times New Roman" w:cs="Times New Roman" w:eastAsia="Times New Roman" w:hAnsi="Times New Roman"/>
          <w:sz w:val="18"/>
          <w:szCs w:val="18"/>
          <w:color w:val="auto"/>
        </w:rPr>
        <w:t>. Except as otherwise expressly permitted hereunder, neither Party shall use the name, insignia, symbol, trademark, trade name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logotype of the other Party or its Affiliates in relation to this transaction or otherwise in any public announcement, press release, or other public document without the prior written consent of such other Party, which consent shall not be unreasonably withheld, delayed or conditioned, except for those disclosures for which consent has previously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Party may use the name of the other Party in any document required to be filed with any government authority, including without limitation the FDA and the Securities and Exchange Commission or otherwise as may be required by Applicable Laws, provided that such disclosure shall be governed by Section 7.5. Further, the restrictions imposed on each Party under this Section 10.3 are not intended, and shall not be construed, to prohibit a Party from identifying the other Party in its internal business communications, provided that any Confidential Information in such communications remains subject to Article 7. Moreover, and notwithstanding the foregoing, Sanofi and its Affiliates and Sublicensees shall have the right to use the name of Ardelyx and its Affiliates to the extent necessary or useful in connection with the Exploitation of the Program Compounds or Program Products as contemplated by this Agreement in their negotiations and work with subcontracting and sublicensing transactions in connection therewith provided that any Confidential Information in such communications remains subject to Article 7.</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right="2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11.1 Term and Expiration</w:t>
      </w:r>
      <w:r>
        <w:rPr>
          <w:rFonts w:ascii="Times New Roman" w:cs="Times New Roman" w:eastAsia="Times New Roman" w:hAnsi="Times New Roman"/>
          <w:sz w:val="18"/>
          <w:szCs w:val="18"/>
          <w:color w:val="auto"/>
        </w:rPr>
        <w:t>. The term of this Agreement shall commence as of the Effective Date. Unless sooner terminated as provided herein,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continue in effect until the date on which all of Sanofi’s payment obligations under Article 6 have been performed or have expired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right="400" w:firstLine="8"/>
        <w:spacing w:after="0" w:line="262" w:lineRule="auto"/>
        <w:tabs>
          <w:tab w:leader="none" w:pos="348"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87" w:name="page388"/>
    <w:bookmarkEnd w:id="387"/>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 Termination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right="120" w:firstLine="464"/>
        <w:spacing w:after="0" w:line="263" w:lineRule="auto"/>
        <w:tabs>
          <w:tab w:leader="none" w:pos="693"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Subject to the provisions of this Section 11.2(a) if either Party (the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shall have committed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of any of its material obligations under this Agreement, and such material breach shall remain uncured and shall be continuing for a period of ninety</w:t>
      </w:r>
    </w:p>
    <w:p>
      <w:pPr>
        <w:ind w:left="-8" w:right="40" w:firstLine="8"/>
        <w:spacing w:after="0" w:line="252" w:lineRule="auto"/>
        <w:tabs>
          <w:tab w:leader="none" w:pos="33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Breaching Party’s receipt of notice of such breach from the other Party (the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stating the Non-Breaching Party’s intent to terminate this Agreement in its entirety pursuant to this Section 11.2(a) if such breach remains uncured, then, in addition to any and all other rights and remedies that may be available, the Non-Breaching Party shall have the right to terminate this Agreement effective upon the expiration of such ninety (90) day period. Any notice of alleged material breach by the Non-Breaching Party under this Section 11.2(a) shall include without limitation a reasonably detailed description of all relevant facts and circumstances demonstrating, supporting, or relating to each such alleged material breach by the Breaching Party. Actual termination of this Agreement pursuant to this Section 11.2(a) shall only occur upon a separate written notice of termination by the Non-Breaching Party after the end of the applicable cure period. This Section 11.2(a) defines exclusively the Parties’ right to terminate this Agreement for any material breach of contract.</w:t>
      </w:r>
    </w:p>
    <w:p>
      <w:pPr>
        <w:spacing w:after="0" w:line="183"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Convenience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52" w:right="260" w:firstLine="443"/>
        <w:spacing w:after="0" w:line="282" w:lineRule="auto"/>
        <w:tabs>
          <w:tab w:leader="none" w:pos="1105" w:val="left"/>
        </w:tabs>
        <w:numPr>
          <w:ilvl w:val="2"/>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in its entirety by Sanofi at any time prior to its exercise of the Option to Continue effective upon thirty (30) days (or such longer period as Sanofi may elect at its sole discretion) prior written notice to Ardelyx.</w:t>
      </w:r>
    </w:p>
    <w:p>
      <w:pPr>
        <w:spacing w:after="0" w:line="49" w:lineRule="exact"/>
        <w:rPr>
          <w:rFonts w:ascii="Times New Roman" w:cs="Times New Roman" w:eastAsia="Times New Roman" w:hAnsi="Times New Roman"/>
          <w:sz w:val="18"/>
          <w:szCs w:val="18"/>
          <w:color w:val="auto"/>
        </w:rPr>
      </w:pPr>
    </w:p>
    <w:p>
      <w:pPr>
        <w:ind w:left="452" w:firstLine="443"/>
        <w:spacing w:after="0" w:line="268" w:lineRule="auto"/>
        <w:tabs>
          <w:tab w:leader="none" w:pos="1155" w:val="left"/>
        </w:tabs>
        <w:numPr>
          <w:ilvl w:val="2"/>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has not filed an IND for a Program Compound on or before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commencement of the Prior Development Phase, or such later date as the Parties may mutually agree in writing prior to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 Sanofi shall be deemed to have exercised its right to terminate this Agreement in its entirety pursuant to this Section 11.2(b) effective 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commencement of the Prior Development Phase .</w:t>
      </w:r>
    </w:p>
    <w:p>
      <w:pPr>
        <w:spacing w:after="0" w:line="62" w:lineRule="exact"/>
        <w:rPr>
          <w:rFonts w:ascii="Times New Roman" w:cs="Times New Roman" w:eastAsia="Times New Roman" w:hAnsi="Times New Roman"/>
          <w:sz w:val="18"/>
          <w:szCs w:val="18"/>
          <w:color w:val="auto"/>
        </w:rPr>
      </w:pPr>
    </w:p>
    <w:p>
      <w:pPr>
        <w:ind w:left="452" w:right="240" w:firstLine="443"/>
        <w:spacing w:after="0" w:line="268" w:lineRule="auto"/>
        <w:tabs>
          <w:tab w:leader="none" w:pos="1205" w:val="left"/>
        </w:tabs>
        <w:numPr>
          <w:ilvl w:val="2"/>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has not exercised the Option to Continue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Sanofi shall be deemed to have exercised its right to terminate this Agreement in its entirety pursuant to this Section 11.2(b) effective 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however, that if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the termination under this Section 11.2(b)(iii) won’t be effective until the earliest of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452" w:right="20" w:firstLine="443"/>
        <w:spacing w:after="0" w:line="261" w:lineRule="auto"/>
        <w:tabs>
          <w:tab w:leader="none" w:pos="1195" w:val="left"/>
        </w:tabs>
        <w:numPr>
          <w:ilvl w:val="2"/>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terminated in its entirety or on a country-by country-basis by Sanofi at any time one hundred and twenty (120) days (or such longer period as Sanofi may elect at its sole discretion) prior written notice to Ardelyx,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termination is made by Sanofi pursuant to Section 2.9(d), the termination will be effective thirty (30) days after Ardelyx’s receipt of Sanofi’s written notice of such termination.</w:t>
      </w:r>
    </w:p>
    <w:p>
      <w:pPr>
        <w:spacing w:after="0" w:line="108" w:lineRule="exact"/>
        <w:rPr>
          <w:sz w:val="20"/>
          <w:szCs w:val="20"/>
          <w:color w:val="auto"/>
        </w:rPr>
      </w:pPr>
    </w:p>
    <w:p>
      <w:pPr>
        <w:ind w:left="-8" w:right="360" w:firstLine="8"/>
        <w:spacing w:after="0" w:line="262" w:lineRule="auto"/>
        <w:tabs>
          <w:tab w:leader="none" w:pos="340"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32"/>
          </w:cols>
          <w:pgMar w:left="248" w:top="265" w:right="319" w:bottom="1440" w:gutter="0" w:footer="0" w:header="0"/>
        </w:sectPr>
      </w:pPr>
    </w:p>
    <w:bookmarkStart w:id="388" w:name="page389"/>
    <w:bookmarkEnd w:id="388"/>
    <w:p>
      <w:pPr>
        <w:ind w:left="460" w:right="20" w:firstLine="443"/>
        <w:spacing w:after="0" w:line="254" w:lineRule="auto"/>
        <w:tabs>
          <w:tab w:leader="none" w:pos="1153"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Additionally, if, at any time after Sanofi has exercised the Option to Continue, Sanofi, its Affiliates, Sanofi Licensees and Sublicensees collectively cease all Exploitation of Program Compounds or Program Products for a continuous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the Force Majeure provisions of Section 14.2, at Ardelyx’s written request following the expiration of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request to reference explicitly this Section 11.2(b) (v)), Sanofi shall provide to Ardelyx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Sanofi’s receipt of such request a written reasonable plan under which Sanofi would recommence Exploitation of Program Compounds or Program Products under this Agreement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having provided such plan to Ardelyx. Sanofi shall, after providing such plan to Ardelyx, perform substantially in accordance therewith. If Sanofi fails to provide such plan to recommence Exploitation of Program Products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or if Sanofi fails to recommence such Exploitation within the aforementioned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subject to the Force Majeure provisions of Section 14.2, Sanofi shall be deemed to have exercised its right to terminate this Agreement in its entirety pursuant to this Section 11.2(b) effective upon expiration of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(as the case may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w:t>
      </w:r>
    </w:p>
    <w:p>
      <w:pPr>
        <w:spacing w:after="0" w:line="185" w:lineRule="exact"/>
        <w:rPr>
          <w:rFonts w:ascii="Times New Roman" w:cs="Times New Roman" w:eastAsia="Times New Roman" w:hAnsi="Times New Roman"/>
          <w:sz w:val="18"/>
          <w:szCs w:val="18"/>
          <w:color w:val="auto"/>
        </w:rPr>
      </w:pPr>
    </w:p>
    <w:p>
      <w:pPr>
        <w:ind w:right="120" w:firstLine="464"/>
        <w:spacing w:after="0" w:line="263" w:lineRule="auto"/>
        <w:tabs>
          <w:tab w:leader="none" w:pos="70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Challenge of Licensed Patents</w:t>
      </w:r>
      <w:r>
        <w:rPr>
          <w:rFonts w:ascii="Times New Roman" w:cs="Times New Roman" w:eastAsia="Times New Roman" w:hAnsi="Times New Roman"/>
          <w:sz w:val="18"/>
          <w:szCs w:val="18"/>
          <w:color w:val="auto"/>
        </w:rPr>
        <w:t>. Prior to its expiration, Ardelyx may terminate this Agreement in its entirety by written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Sanofi if (i) Sanofi or its Affiliates challenges the validity, scope or enforceability of or otherwise opposes any Patent included in the Listed Patents and</w:t>
      </w:r>
    </w:p>
    <w:p>
      <w:pPr>
        <w:ind w:firstLine="8"/>
        <w:spacing w:after="0" w:line="252" w:lineRule="auto"/>
        <w:tabs>
          <w:tab w:leader="none" w:pos="26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does not cause such measures to cease within thirty (30) days after having received written notice thereof from Ardelyx, requesting such measures to cease and stating Ardelyx’s intention to terminate this Agreement if such measures are not ceased within the prescribed time. If a Sanofi Licensee or a Sublicensee of Sanofi challenges the validity, scope or enforceability of or otherwise opposes any Program Patent under which such Sublicensee is sublicensed or such Sanofi Licensee is licensed, then Sanofi shall, upon written notice from Ardelyx terminate such sublicense or license as promptly as possible pursuant to the terms of the sublicense or license agreement. Sanofi shall include provisions in all agreements with Sublicensee or Sanofi Licensees providing that if the Sublicensee or Sanofi Licensee, as the case may be, challenges the validity or enforceability of or otherwise opposes any Program Patent, Sanofi may terminate such sublicense or license, as the case may be.</w:t>
      </w:r>
    </w:p>
    <w:p>
      <w:pPr>
        <w:spacing w:after="0" w:line="185" w:lineRule="exact"/>
        <w:rPr>
          <w:rFonts w:ascii="Times New Roman" w:cs="Times New Roman" w:eastAsia="Times New Roman" w:hAnsi="Times New Roman"/>
          <w:sz w:val="18"/>
          <w:szCs w:val="18"/>
          <w:color w:val="auto"/>
        </w:rPr>
      </w:pPr>
    </w:p>
    <w:p>
      <w:pPr>
        <w:ind w:right="40" w:firstLine="464"/>
        <w:spacing w:after="0" w:line="257" w:lineRule="auto"/>
        <w:tabs>
          <w:tab w:leader="none" w:pos="711"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for Insolvency</w:t>
      </w:r>
      <w:r>
        <w:rPr>
          <w:rFonts w:ascii="Times New Roman" w:cs="Times New Roman" w:eastAsia="Times New Roman" w:hAnsi="Times New Roman"/>
          <w:sz w:val="18"/>
          <w:szCs w:val="18"/>
          <w:color w:val="auto"/>
        </w:rPr>
        <w:t>. A Party may terminate this Agreement effective immediately upon written notice to the other Party if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the other Party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xml:space="preserve">”) (i) becomes insolvent, (ii) has a case commenced by or against it under the Bankruptcy Code, (iii) files for or is subject to the institution of bankruptcy, liquidation or receivership proceedings, (iv) assigns all or a substantial portion of its assets for the benefit of creditors, (v) has a receiver or custodian appointed for the Debtor’s business, or (vi) has a substantial part of its business being subject to attachment or similar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any involuntary case under the Bankruptcy Code, the first Party shall not be entitled to terminate this Agreement pursuant to this subsection (d) if the case is dismissed within sixty (60) days after the commencement thereof.</w:t>
      </w:r>
    </w:p>
    <w:p>
      <w:pPr>
        <w:spacing w:after="0" w:line="183" w:lineRule="exact"/>
        <w:rPr>
          <w:sz w:val="20"/>
          <w:szCs w:val="20"/>
          <w:color w:val="auto"/>
        </w:rPr>
      </w:pPr>
    </w:p>
    <w:p>
      <w:pPr>
        <w:jc w:val="both"/>
        <w:ind w:right="220" w:firstLine="456"/>
        <w:spacing w:after="0" w:line="291" w:lineRule="auto"/>
        <w:rPr>
          <w:sz w:val="20"/>
          <w:szCs w:val="20"/>
          <w:color w:val="auto"/>
        </w:rPr>
      </w:pPr>
      <w:r>
        <w:rPr>
          <w:rFonts w:ascii="Times New Roman" w:cs="Times New Roman" w:eastAsia="Times New Roman" w:hAnsi="Times New Roman"/>
          <w:sz w:val="17"/>
          <w:szCs w:val="17"/>
          <w:b w:val="1"/>
          <w:bCs w:val="1"/>
          <w:color w:val="auto"/>
        </w:rPr>
        <w:t>11.3 Consequences of a Sanofi Triggered Termination</w:t>
      </w:r>
      <w:r>
        <w:rPr>
          <w:rFonts w:ascii="Times New Roman" w:cs="Times New Roman" w:eastAsia="Times New Roman" w:hAnsi="Times New Roman"/>
          <w:sz w:val="17"/>
          <w:szCs w:val="17"/>
          <w:color w:val="auto"/>
        </w:rPr>
        <w:t>. In the event (i) Ardelyx terminates this Agreement pursuant to Section 11.2(a) for Sanofi’s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breach; (ii) Ardelyx terminates this Agreement pursuant to Section 11.2(c) for patent challenge by Sanofi or its Affiliates; (iii) Ardelyx terminates this Agreement pursuant to Section 11.2(d) for Sanofi’s insolvency; or (iv) Sanofi terminates (or is deemed to have terminated) this Agreement pursuant</w:t>
      </w:r>
    </w:p>
    <w:p>
      <w:pPr>
        <w:spacing w:after="0" w:line="85" w:lineRule="exact"/>
        <w:rPr>
          <w:sz w:val="20"/>
          <w:szCs w:val="20"/>
          <w:color w:val="auto"/>
        </w:rPr>
      </w:pPr>
    </w:p>
    <w:p>
      <w:pPr>
        <w:ind w:right="400" w:firstLine="8"/>
        <w:spacing w:after="0" w:line="262" w:lineRule="auto"/>
        <w:tabs>
          <w:tab w:leader="none" w:pos="348"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89" w:name="page390"/>
    <w:bookmarkEnd w:id="38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Section 11.2(b) (a termination as per (i) through (iv) being a “</w:t>
      </w:r>
      <w:r>
        <w:rPr>
          <w:rFonts w:ascii="Times New Roman" w:cs="Times New Roman" w:eastAsia="Times New Roman" w:hAnsi="Times New Roman"/>
          <w:sz w:val="18"/>
          <w:szCs w:val="18"/>
          <w:b w:val="1"/>
          <w:bCs w:val="1"/>
          <w:color w:val="auto"/>
        </w:rPr>
        <w:t>Sanofi Triggered Termination</w:t>
      </w:r>
      <w:r>
        <w:rPr>
          <w:rFonts w:ascii="Times New Roman" w:cs="Times New Roman" w:eastAsia="Times New Roman" w:hAnsi="Times New Roman"/>
          <w:sz w:val="18"/>
          <w:szCs w:val="18"/>
          <w:color w:val="auto"/>
        </w:rPr>
        <w:t>”), Sanofi shall, subject to Section 11.3(a), continue to be obligated during the termination notice period (as applicable) to perform as far as reasonably practicable all of its obligations under this Agreement, except in the event of a termination pursuant to Section 11.2(b) for material safety concerns. If a Sanofi Triggered Termination occurs after the first Regulatory Approval of a Program Product, Sanofi shall continue to use Commercially Reasonable Efforts as set forth in Section 4.3(a) until the earlier of (i), if applicable, the expiration of the one hundred twenty (120) day notice period, in the event of a termination by Sanofi pursuant to Section 11.2(b) other than for material safety concerns; (ii) receipt of Ardelyx’s written notice that Sanofi may cease such Commercialization activities; or (iii), if applicable, the effective date of the termination notice issued pursuant to Section 11.2(a), Section 11.2(c), Section 11.3(d) or Section 11.3(e). In addition, as a result of a Sanofi Triggered Termination, the following shall apply (for clarity, if Sanofi has exercised its right under Section 11.2(b)(iv) to terminate this Agreement with respect to certain countries, but not entirely, then the following shall apply only to those countries with respect to which Sanofi has exercised its right to terminate):</w:t>
      </w:r>
    </w:p>
    <w:p>
      <w:pPr>
        <w:spacing w:after="0" w:line="190" w:lineRule="exact"/>
        <w:rPr>
          <w:sz w:val="20"/>
          <w:szCs w:val="20"/>
          <w:color w:val="auto"/>
        </w:rPr>
      </w:pPr>
    </w:p>
    <w:p>
      <w:pPr>
        <w:ind w:right="60" w:firstLine="464"/>
        <w:spacing w:after="0" w:line="258" w:lineRule="auto"/>
        <w:tabs>
          <w:tab w:leader="none" w:pos="70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and rights to the Licensed Technology granted to Sanofi hereunder shall terminate as of the effective date of such termination, except to the extent and for so long as is necessary to fulfill Sanofi’s activities and responsibilities under this Section 11.3 and such other activities and responsibilities under the surviving terms of this Agreement as provided in Section 11.6, it being agreed that all such activities and responsibilities shall be discontinued and ceased (unless otherwise agreed or required under Applicable Laws by transitioning such activities and responsibilities to Ardelyx) as promptly as possible, subject to Applicable Laws, including GCP.</w:t>
      </w:r>
    </w:p>
    <w:p>
      <w:pPr>
        <w:spacing w:after="0" w:line="183" w:lineRule="exact"/>
        <w:rPr>
          <w:rFonts w:ascii="Times New Roman" w:cs="Times New Roman" w:eastAsia="Times New Roman" w:hAnsi="Times New Roman"/>
          <w:sz w:val="18"/>
          <w:szCs w:val="18"/>
          <w:color w:val="auto"/>
        </w:rPr>
      </w:pPr>
    </w:p>
    <w:p>
      <w:pPr>
        <w:ind w:firstLine="464"/>
        <w:spacing w:after="0" w:line="255" w:lineRule="auto"/>
        <w:tabs>
          <w:tab w:leader="none" w:pos="71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of the Sanofi Triggered Termination is given at a time when any Clinical Trials have been initiated but not yet completed, then the Parties shall work together in good faith during the termination notice period to ensure that Sanofi’s involvement in and responsibilities for such activities will be discontinued and ceased as efficiently and promptly as possible (by way of transitioning such involvement and responsibilities to Ardelyx or by other means agreed to by the Parties), subject to Applicable Laws, including GCP, and provided that the foregoing shall be without prejudice to Sanofi’s obligations under Section 11.3(j) and rights under Section 11.3(m). All sublicense agreements between Sanofi and its Sublicensees or other sublicensees, and any license agreements between Sanofi and its Sanofi Licensees, shall terminate as of the effective date of the termination, unless Ardelyx provides written consent, which it shall not unreasonably withhold, delay or condition, to the assignment of any such sublicense agreement, or license agreement, as the case may be, to Ardelyx (to the extent assignable).</w:t>
      </w:r>
    </w:p>
    <w:p>
      <w:pPr>
        <w:spacing w:after="0" w:line="18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Sanofi shall, or shall cause its Affiliates to (i) assign, and hereby assigns, to Ardelyx all right, title and interest Sanofi may have in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31" w:lineRule="exact"/>
        <w:rPr>
          <w:rFonts w:ascii="Times New Roman" w:cs="Times New Roman" w:eastAsia="Times New Roman" w:hAnsi="Times New Roman"/>
          <w:sz w:val="18"/>
          <w:szCs w:val="18"/>
          <w:color w:val="auto"/>
        </w:rPr>
      </w:pPr>
    </w:p>
    <w:p>
      <w:pPr>
        <w:jc w:val="both"/>
        <w:ind w:right="160" w:firstLine="8"/>
        <w:spacing w:after="0" w:line="255" w:lineRule="auto"/>
        <w:tabs>
          <w:tab w:leader="none" w:pos="26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and hereby grants, to Ardelyx a non-exclusive license, with the right to grant sublicenses under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solely to the extent incorporated into the Program Products, or Utilized in the Program solely to Develop, make, use, sell, offer for sale and import Program Compounds and Program Products in the Territory. With regard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w:t>
      </w:r>
    </w:p>
    <w:p>
      <w:pPr>
        <w:spacing w:after="0" w:line="114" w:lineRule="exact"/>
        <w:rPr>
          <w:sz w:val="20"/>
          <w:szCs w:val="20"/>
          <w:color w:val="auto"/>
        </w:rPr>
      </w:pPr>
    </w:p>
    <w:p>
      <w:pPr>
        <w:ind w:right="440" w:firstLine="8"/>
        <w:spacing w:after="0" w:line="262" w:lineRule="auto"/>
        <w:tabs>
          <w:tab w:leader="none" w:pos="348"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6" w:right="239" w:bottom="1440" w:gutter="0" w:footer="0" w:header="0"/>
        </w:sectPr>
      </w:pPr>
    </w:p>
    <w:bookmarkStart w:id="390" w:name="page391"/>
    <w:bookmarkEnd w:id="390"/>
    <w:p>
      <w:pPr>
        <w:ind w:right="500" w:firstLine="8"/>
        <w:spacing w:after="0" w:line="266" w:lineRule="auto"/>
        <w:tabs>
          <w:tab w:leader="none" w:pos="435"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assigned to Ardelyx under this clause (c), Ardelyx hereby and shall grant to Sanofi a fully paid-up, non-royalty bearing worldwide non-exclusive license with the right to sublicense through multiple tiers, to 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that, absent such license, the practice thereof, would not constitute an infringement of the Program Patents.</w:t>
      </w:r>
    </w:p>
    <w:p>
      <w:pPr>
        <w:spacing w:after="0" w:line="172" w:lineRule="exact"/>
        <w:rPr>
          <w:rFonts w:ascii="Times New Roman" w:cs="Times New Roman" w:eastAsia="Times New Roman" w:hAnsi="Times New Roman"/>
          <w:sz w:val="18"/>
          <w:szCs w:val="18"/>
          <w:b w:val="1"/>
          <w:bCs w:val="1"/>
          <w:color w:val="auto"/>
        </w:rPr>
      </w:pPr>
    </w:p>
    <w:p>
      <w:pPr>
        <w:ind w:right="320" w:firstLine="464"/>
        <w:spacing w:after="0" w:line="262" w:lineRule="auto"/>
        <w:tabs>
          <w:tab w:leader="none" w:pos="71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Ardelyx shall have the right (but not the obligation) to prosecute, maintain, enforce and defend 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Joint Patents, and Sanofi shall, as promptly as reasonably practicable, and to a reasonable extent take such other actions and execute such other instruments, assignments, and documents as may be necessary to enable Ardelyx to practice the rights set forth in this subsection (d), with such cooperation to be provided at Ardelyx’s sole cost and expense.</w:t>
      </w:r>
    </w:p>
    <w:p>
      <w:pPr>
        <w:spacing w:after="0" w:line="180" w:lineRule="exact"/>
        <w:rPr>
          <w:rFonts w:ascii="Times New Roman" w:cs="Times New Roman" w:eastAsia="Times New Roman" w:hAnsi="Times New Roman"/>
          <w:sz w:val="18"/>
          <w:szCs w:val="18"/>
          <w:color w:val="auto"/>
        </w:rPr>
      </w:pPr>
    </w:p>
    <w:p>
      <w:pPr>
        <w:ind w:firstLine="464"/>
        <w:spacing w:after="0" w:line="253" w:lineRule="auto"/>
        <w:tabs>
          <w:tab w:leader="none" w:pos="70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subsection (j) below, within thirty (30) days of the effective date of the termination of this Agreement, either Party may request in writing and the non-requesting Party shall either at its election, with respect to Product Information and Confidential Information, to which such non-requesting Party does not retain rights under the surviving provisions of this Agreement: (i) promptly destroy all copies of such Product Information or Confidential Information in the possession or control of the non-requesting Party, at the non-requesting party’s sole cost and expense, and confirm such destruction in writing to the requesting Party; or (ii) promptly return to the requesting Party all copies of such Product Information or Confidential Information, at the non-requesting Party’s sole cost and expense. Notwithstanding the foregoing, the non-requesting Party shall be permitted to retain such Confidential Information or Product Information (x) to the extent necessary or useful for purposes of performing any continuing obligations or exercising any ongoing rights hereunder and, in any event, a single copy of such Confidential Information or Product Information for archival purposes and (y) any computer records or files containing such Confidential Information or Product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7.6; provided, however, the provisions of Article 7 shall not in any manner restrict Ardelyx’s rights to use and disclose Program Information or Sanofi Confidential Information which is assigned to Ardelyx under this Article 11.</w:t>
      </w:r>
    </w:p>
    <w:p>
      <w:pPr>
        <w:spacing w:after="0" w:line="188" w:lineRule="exact"/>
        <w:rPr>
          <w:rFonts w:ascii="Times New Roman" w:cs="Times New Roman" w:eastAsia="Times New Roman" w:hAnsi="Times New Roman"/>
          <w:sz w:val="18"/>
          <w:szCs w:val="18"/>
          <w:color w:val="auto"/>
        </w:rPr>
      </w:pPr>
    </w:p>
    <w:p>
      <w:pPr>
        <w:ind w:right="20" w:firstLine="464"/>
        <w:spacing w:after="0" w:line="255" w:lineRule="auto"/>
        <w:tabs>
          <w:tab w:leader="none" w:pos="68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where permitted under Applicable Laws, as promptly as reasonably practical, but in any event within thirty (30) days after the effective date of the termination, transfer to Ardelyx all INDs, Drug Approval Applications, and Regulatory Approvals with respect to Program Compounds and Program Products (but not with respect to any other compounds or products), and shall take such other actions and execute such other instruments, assignments, and documents as may be necessary to effect the transfer of rights hereunder to Ardelyx. Without limiting the generality of the foregoing Sanofi agrees to submit to the FDA and other Regulatory Authorities where reasonably appropriate and permitted under Applicable Laws in jurisdictions in which any regulatory filings have been made with respect to the Program Product, within ten (10) days after the effective date of such termination, a letter (with copy to Ardelyx) notifying the FDA and such other Regulatory Authorities of the transfer of any regulatory filings for the Program Product in such jurisdictions from Sanofi to Ardelyx.</w:t>
      </w:r>
    </w:p>
    <w:p>
      <w:pPr>
        <w:spacing w:after="0" w:line="11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portions.</w:t>
      </w:r>
    </w:p>
    <w:p>
      <w:pPr>
        <w:sectPr>
          <w:pgSz w:w="11900" w:h="16838" w:orient="portrait"/>
          <w:cols w:equalWidth="0" w:num="1">
            <w:col w:w="11400"/>
          </w:cols>
          <w:pgMar w:left="240" w:top="270" w:right="259" w:bottom="1440" w:gutter="0" w:footer="0" w:header="0"/>
        </w:sectPr>
      </w:pPr>
    </w:p>
    <w:bookmarkStart w:id="391" w:name="page392"/>
    <w:bookmarkEnd w:id="39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Additionally, Sanofi will provide Ardelyx with copies of regulatory filings necessary to practice the rights granted to it under this Section 11.3(f). All transfers described in this Section 11.3(f) shall be at Ardelyx’s expense.</w:t>
      </w:r>
    </w:p>
    <w:p>
      <w:pPr>
        <w:spacing w:after="0" w:line="162" w:lineRule="exact"/>
        <w:rPr>
          <w:sz w:val="20"/>
          <w:szCs w:val="20"/>
          <w:color w:val="auto"/>
        </w:rPr>
      </w:pPr>
    </w:p>
    <w:p>
      <w:pPr>
        <w:ind w:right="40" w:firstLine="464"/>
        <w:spacing w:after="0" w:line="254" w:lineRule="auto"/>
        <w:tabs>
          <w:tab w:leader="none" w:pos="71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the termination, Sanofi will assign (or cause its Affiliates to assign) to Ardelyx, at Ardelyx’s request, all of Sanofi’s (or its Affiliates’) rights and obligations under agreements with Third Parties to the extent relating to (i) the conduct of Clinical Trials for each Program Product, including Agreements with contract research organizations, clinical sites and investigators that relate to Clinical Trials in support of Regulatory Approvals in the Territory, (ii) the Manufacture of Program Compound or Program Product (subject to Sanofi’s obligations under Section 11.3(j)), and (iii) any other Third Party agreements involving the Development or Commercialization of the Program Products, unless in each of (i) through (iii), such agreement is not permitted to be assigned pursuant to its terms or relates to products other than Program Products, in which case Sanofi will cooperate with Ardelyx in all reasonable respects to transfer as promptly as reasonably practical to Ardelyx the benefit of such contract (against Ardelyx undertaking to perform all the obligations and assume all liabilities under such contract) in another mutually acceptable manner and upon Ardelyx’s request facilitate discussions between Ardelyx and such Third Parties to assist Ardelyx in entering into a direct agreement with such Third Parties.</w:t>
      </w:r>
    </w:p>
    <w:p>
      <w:pPr>
        <w:spacing w:after="0" w:line="189" w:lineRule="exact"/>
        <w:rPr>
          <w:rFonts w:ascii="Times New Roman" w:cs="Times New Roman" w:eastAsia="Times New Roman" w:hAnsi="Times New Roman"/>
          <w:sz w:val="18"/>
          <w:szCs w:val="18"/>
          <w:color w:val="auto"/>
        </w:rPr>
      </w:pPr>
    </w:p>
    <w:p>
      <w:pPr>
        <w:jc w:val="both"/>
        <w:ind w:right="100" w:firstLine="464"/>
        <w:spacing w:after="0" w:line="266" w:lineRule="auto"/>
        <w:tabs>
          <w:tab w:leader="none" w:pos="71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shall at Ardelyx’s sole cost and expense and within thirty (30) days of the termination of this Agreement, assign all of its rights in and to all Product Trademarks for Program Products (and all registrations and applications for registration therefor) that it owns pursuant to Section 8.7 to Ardelyx and Ardelyx shall have the exclusive right (but not the obligation) to enforce the Product Trademark rights against infringers.</w:t>
      </w:r>
    </w:p>
    <w:p>
      <w:pPr>
        <w:spacing w:after="0" w:line="176" w:lineRule="exact"/>
        <w:rPr>
          <w:rFonts w:ascii="Times New Roman" w:cs="Times New Roman" w:eastAsia="Times New Roman" w:hAnsi="Times New Roman"/>
          <w:sz w:val="18"/>
          <w:szCs w:val="18"/>
          <w:color w:val="auto"/>
        </w:rPr>
      </w:pPr>
    </w:p>
    <w:p>
      <w:pPr>
        <w:ind w:right="280" w:firstLine="464"/>
        <w:spacing w:after="0" w:line="261" w:lineRule="auto"/>
        <w:tabs>
          <w:tab w:leader="none" w:pos="67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they are assignable and as requested by Ardelyx, Sanofi shall, within fifteen (15) days of receiving the request therefor, execute any documents necessary to transfer to Ardelyx rights under any Third Party licenses obtained by Sanofi pursuant to and during the course of the term of this Agreement for the purpose of Exploiting the Program Compounds or Program Products, and Ardelyx shall thereafter be responsible for all costs, expenses and obligations associated with such Third Party licenses.</w:t>
      </w:r>
    </w:p>
    <w:p>
      <w:pPr>
        <w:spacing w:after="0" w:line="180" w:lineRule="exact"/>
        <w:rPr>
          <w:rFonts w:ascii="Times New Roman" w:cs="Times New Roman" w:eastAsia="Times New Roman" w:hAnsi="Times New Roman"/>
          <w:sz w:val="18"/>
          <w:szCs w:val="18"/>
          <w:color w:val="auto"/>
        </w:rPr>
      </w:pPr>
    </w:p>
    <w:p>
      <w:pPr>
        <w:ind w:right="100" w:firstLine="464"/>
        <w:spacing w:after="0" w:line="254" w:lineRule="auto"/>
        <w:tabs>
          <w:tab w:leader="none" w:pos="67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at the time of termination was Manufacturing a given Program Product or Program Compound, Sanofi shall as soon as reasonably practicable, and in any event within ninety (90) days of the termination date, provide to Ardelyx, if Ardelyx so requests, all information and materials Controlled by Sanofi and relating specifically to such Program Compound or the Program Product, including without limitation development and manufacturing reports and provide copies of regulatory filings sufficient to enable Ardelyx to produce and supply Ardelyx’s requirements of all Program Compound and Program Products as promptly as possible thereafter. At Ardelyx’s election, in addition to its obligation set forth in Section 11.3(h) to seek to assign to Ardelyx Third Party agreements with respect to the Manufacture of Program Compound and Program Product, Sanofi shall transfer to Ardelyx any inventory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Sanofi has in its possession or Control as of the effective date of such foregoing termination (except for such quantities as Sanofi may need to retain for reference purposes), and Ardelyx shall in consideration thereof pay to Sanofi the Sanofi Full Manufacturing Cost for such inventory. Moreover, in the event of termination of this</w:t>
      </w:r>
    </w:p>
    <w:p>
      <w:pPr>
        <w:spacing w:after="0" w:line="117"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392" w:name="page393"/>
    <w:bookmarkEnd w:id="39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Sanofi shall complete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Sanofi may have started to manufacture as of the effective date of such termination and shall thereafter transfer such manufactured batches to Ardelyx, and Ardelyx shall in consideration thereof pay to Sanofi the Sanofi Full Manufacturing Cost for such batches. In the event that Sanofi is Manufacturing commercial supplies of Program Compound or Program Product as of the effective date of the termination, at Ardelyx’s request,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(ii) Sanofi shall provide Ardelyx with a right of reference to any regulatory filings made by Sanofi as the commercial manufacturer of Program Compound or Program Product. Sanofi shall provide reasonable assistance to Ardelyx with respect to the transfer of information so as to permit Ardelyx to begin manufacturing and supplying its requirements of Program Compound and Program Product as soon as possible to minimize any disruption in the continuity of supply;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fulfillment of any requests by Ardelyx for assistance in relation to manufacturing information shall be at Sanofi’s full discretion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effort per month during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following the date of termination.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Sanofi shall for an additional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day period continue to respond in a reasonable time period to reasonable requests by Ardelyx for additional assistance relating to the transfer of manufacturing information; provided that the fulfillment of such requests during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shall be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Sanofi shall for an additional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continue to respond in a reasonable time period to reasonable requests by Ardelyx for additional assistance relating to the transfer of manufacturing information; provided that the fulfillment of such requests during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shall be at Sanofi’s full discretion if they require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termination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any future requests by Ardelyx for additional assistance relating to the manufacturing information shall be addressed by Sanofi in its sole discretion. Sanofi covenants to Ardelyx that any Third Party agreements under which Sanofi engages such Third Party to manufacture Program Compounds or Program Products shall contain provisions regarding the allocation of Intellectual Property Rights and rights in work product that are consistent with the terms of this Agreement and will enable Sanofi to fulfill its obligations to Ardelyx under this Section 11.3(j).</w:t>
      </w:r>
    </w:p>
    <w:p>
      <w:pPr>
        <w:spacing w:after="0" w:line="199" w:lineRule="exact"/>
        <w:rPr>
          <w:sz w:val="20"/>
          <w:szCs w:val="20"/>
          <w:color w:val="auto"/>
        </w:rPr>
      </w:pPr>
    </w:p>
    <w:p>
      <w:pPr>
        <w:ind w:right="260" w:firstLine="464"/>
        <w:spacing w:after="0" w:line="256" w:lineRule="auto"/>
        <w:tabs>
          <w:tab w:leader="none" w:pos="711"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Ardelyx’s request, within thirty (30) days of the termination, Sanofi shall transfer to Ardelyx copies of all materials, data, results, analyses, reports, websites, marketing materials, technology, regulatory filings and other information and materials existing in tangible or electronic form at the effective date of the Sanofi Triggered Termination to the extent relating to the Program Products or Program Compounds that has been generated in the performance of the Program (</w:t>
      </w:r>
      <w:r>
        <w:rPr>
          <w:rFonts w:ascii="Times New Roman" w:cs="Times New Roman" w:eastAsia="Times New Roman" w:hAnsi="Times New Roman"/>
          <w:sz w:val="18"/>
          <w:szCs w:val="18"/>
          <w:b w:val="1"/>
          <w:bCs w:val="1"/>
          <w:color w:val="auto"/>
        </w:rPr>
        <w:t>“Sanofi Product Data”)</w:t>
      </w:r>
      <w:r>
        <w:rPr>
          <w:rFonts w:ascii="Times New Roman" w:cs="Times New Roman" w:eastAsia="Times New Roman" w:hAnsi="Times New Roman"/>
          <w:sz w:val="18"/>
          <w:szCs w:val="18"/>
          <w:color w:val="auto"/>
        </w:rPr>
        <w:t xml:space="preserve"> on or before the effective date of such termination by or on behalf of Sanofi, its Affiliates, Sublicensees or Sanofi Licensees and Ardelyx shall have the right to use the Sanofi Product Data on a non-exclusive basis to enable Ardelyx to proceed to Develop, Manufacture and Commercialize Program Products upon and after termination of this Agreement.</w:t>
      </w:r>
    </w:p>
    <w:p>
      <w:pPr>
        <w:spacing w:after="0" w:line="187" w:lineRule="exact"/>
        <w:rPr>
          <w:rFonts w:ascii="Times New Roman" w:cs="Times New Roman" w:eastAsia="Times New Roman" w:hAnsi="Times New Roman"/>
          <w:sz w:val="18"/>
          <w:szCs w:val="18"/>
          <w:color w:val="auto"/>
        </w:rPr>
      </w:pPr>
    </w:p>
    <w:p>
      <w:pPr>
        <w:ind w:firstLine="464"/>
        <w:spacing w:after="0" w:line="258" w:lineRule="auto"/>
        <w:tabs>
          <w:tab w:leader="none" w:pos="671"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Section 11.3 shall survive in addition to others specified in this Agreement to survive in such event.</w:t>
      </w:r>
    </w:p>
    <w:p>
      <w:pPr>
        <w:spacing w:after="0" w:line="112" w:lineRule="exact"/>
        <w:rPr>
          <w:rFonts w:ascii="Times New Roman" w:cs="Times New Roman" w:eastAsia="Times New Roman" w:hAnsi="Times New Roman"/>
          <w:sz w:val="18"/>
          <w:szCs w:val="18"/>
          <w:color w:val="auto"/>
        </w:rPr>
      </w:pPr>
    </w:p>
    <w:p>
      <w:pPr>
        <w:ind w:right="440" w:firstLine="8"/>
        <w:spacing w:after="0" w:line="262" w:lineRule="auto"/>
        <w:tabs>
          <w:tab w:leader="none" w:pos="348" w:val="left"/>
        </w:tabs>
        <w:numPr>
          <w:ilvl w:val="0"/>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65" w:right="239" w:bottom="1440" w:gutter="0" w:footer="0" w:header="0"/>
        </w:sectPr>
      </w:pPr>
    </w:p>
    <w:bookmarkStart w:id="393" w:name="page394"/>
    <w:bookmarkEnd w:id="393"/>
    <w:p>
      <w:pPr>
        <w:ind w:left="-8" w:firstLine="464"/>
        <w:spacing w:after="0" w:line="259" w:lineRule="auto"/>
        <w:tabs>
          <w:tab w:leader="none" w:pos="75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Sanofi shall be entitled, during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Sanofi Triggered Termination, to finish any work-in-progress and, unless Ardelyx requests the transfer thereof in accordance with the terms of Section 11.3(j), to sell any inventory of the Program Product that remains on hand as of the date of the termination, so long as Sanofi pays to Ardelyx royalties applicable to said subsequent sales in accordance with the terms and conditions set forth in this Agreement; provided that if such termination is by Ardelyx pursuant to Section 11.2(a), that Sanofi’s rights under this Section 11.3(m) shall be subject to Ardelyx’s prior written consent, which shall not be unreasonably withheld, delayed or conditioned.</w:t>
      </w:r>
    </w:p>
    <w:p>
      <w:pPr>
        <w:spacing w:after="0" w:line="179"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Sanofi shall continue to comply with 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80" w:firstLine="464"/>
        <w:spacing w:after="0" w:line="262" w:lineRule="auto"/>
        <w:tabs>
          <w:tab w:leader="none" w:pos="70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Article 11, in the event that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the time of the termination of this Agreement, the rights granted to Ardelyx under this Article 11 shall not include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the Parties agree on commercially reasonable terms for inclusion of such rights within the rights granted to Ardelyx under this Article 11 by way of a separate written agreement setting forth the applicable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such rights are not granted to Ardelyx, Sanofi shall have the right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8" w:right="320" w:firstLine="464"/>
        <w:spacing w:after="0" w:line="282" w:lineRule="auto"/>
        <w:tabs>
          <w:tab w:leader="none" w:pos="70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milestone shall be earned under Section 6.3(a) unless the milestone event has occurred prior to the delivery of a termination notice by either Party under this Article 11.</w:t>
      </w:r>
    </w:p>
    <w:p>
      <w:pPr>
        <w:spacing w:after="0" w:line="161" w:lineRule="exact"/>
        <w:rPr>
          <w:rFonts w:ascii="Times New Roman" w:cs="Times New Roman" w:eastAsia="Times New Roman" w:hAnsi="Times New Roman"/>
          <w:sz w:val="18"/>
          <w:szCs w:val="18"/>
          <w:color w:val="auto"/>
        </w:rPr>
      </w:pPr>
    </w:p>
    <w:p>
      <w:pPr>
        <w:ind w:left="-8" w:firstLine="464"/>
        <w:spacing w:after="0" w:line="256" w:lineRule="auto"/>
        <w:tabs>
          <w:tab w:leader="none" w:pos="70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Sanofi terminates (or is deemed to have terminated) this Agreement pursuant to Section 11.2(b)where such termination (or deemed termination) is the direct result of (i) a decision by a Regulatory Authority that is materially adverse to the continuation of the Program that Sanofi determines in good faith cannot be overcome by the exercise of Commercially Reasonable Efforts, (b) the occurrence of a material safety issue that Sanofi determines in good faith cannot be overcome by the exercise of Commercially Reasonable Efforts, or (c) the occurrence of an event of Force Majeure as per Section 14.2 that Sanofi determines in good faith cannot be overcome by the exercise of Commercially Reasonable Efforts, then all of the provisions of Section 11.3 shall apply with the following revisions:</w:t>
      </w:r>
    </w:p>
    <w:p>
      <w:pPr>
        <w:spacing w:after="0" w:line="80"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18"/>
          <w:szCs w:val="18"/>
          <w:color w:val="auto"/>
        </w:rPr>
        <w:t>(i) The following shall replace Section 11.3(c) in its entirety:</w:t>
      </w:r>
    </w:p>
    <w:p>
      <w:pPr>
        <w:spacing w:after="0" w:line="117" w:lineRule="exact"/>
        <w:rPr>
          <w:sz w:val="20"/>
          <w:szCs w:val="20"/>
          <w:color w:val="auto"/>
        </w:rPr>
      </w:pPr>
    </w:p>
    <w:p>
      <w:pPr>
        <w:ind w:left="912" w:right="20"/>
        <w:spacing w:after="0" w:line="256" w:lineRule="auto"/>
        <w:rPr>
          <w:sz w:val="20"/>
          <w:szCs w:val="20"/>
          <w:color w:val="auto"/>
        </w:rPr>
      </w:pPr>
      <w:r>
        <w:rPr>
          <w:rFonts w:ascii="Times New Roman" w:cs="Times New Roman" w:eastAsia="Times New Roman" w:hAnsi="Times New Roman"/>
          <w:sz w:val="18"/>
          <w:szCs w:val="18"/>
          <w:color w:val="auto"/>
        </w:rPr>
        <w:t>Sanofi shall, or shall cause its Affiliates to (i) grant, and hereby grants to Ardelyx an exclusive (including with regard to Sanofi and its Affiliates, except with respect to the license grant back to Sanofi below), perpetual, worldwide license, with the right to grant sublicenses under the Sanofi Sole Invention Patents, Sanofi Sole Program Know-How, and Joint Technology, and (ii) grant, and hereby grants, to Ardelyx a non-exclusive license, with the right to grant sublicenses under the Sanofi Background Technology solely to the extent incorporated into the Program Products, or Utilized in the Program solely to Develop, make, use, sell, offer for sale and import Program Compounds and Program Products in the Territory. With regard to the Sanofi Sole Program Know-How and the Joint</w:t>
      </w:r>
    </w:p>
    <w:p>
      <w:pPr>
        <w:spacing w:after="0" w:line="116" w:lineRule="exact"/>
        <w:rPr>
          <w:sz w:val="20"/>
          <w:szCs w:val="20"/>
          <w:color w:val="auto"/>
        </w:rPr>
      </w:pPr>
    </w:p>
    <w:p>
      <w:pPr>
        <w:ind w:left="-8" w:right="400" w:firstLine="8"/>
        <w:spacing w:after="0" w:line="262" w:lineRule="auto"/>
        <w:tabs>
          <w:tab w:leader="none" w:pos="34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72"/>
          </w:cols>
          <w:pgMar w:left="248" w:top="266" w:right="279" w:bottom="1440" w:gutter="0" w:footer="0" w:header="0"/>
        </w:sectPr>
      </w:pPr>
    </w:p>
    <w:bookmarkStart w:id="394" w:name="page395"/>
    <w:bookmarkEnd w:id="394"/>
    <w:p>
      <w:pPr>
        <w:ind w:left="92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Know-How exclusively licensed to Ardelyx under this clause (c), Ardelyx shall grant and hereby grants to Sanofi a fully paid-up, non-royalty bearing worldwide non-exclusive license, to use Sanofi Sole Program Know-How and Joint Program Know-How to the extent that, absent such license, the practice thereof, would not constitute an infringement of a Program Patent containing method of use, or composition of matter claims.</w:t>
      </w:r>
    </w:p>
    <w:p>
      <w:pPr>
        <w:spacing w:after="0" w:line="72" w:lineRule="exact"/>
        <w:rPr>
          <w:sz w:val="20"/>
          <w:szCs w:val="20"/>
          <w:color w:val="auto"/>
        </w:rPr>
      </w:pPr>
    </w:p>
    <w:p>
      <w:pPr>
        <w:jc w:val="both"/>
        <w:ind w:left="460" w:right="120" w:firstLine="443"/>
        <w:spacing w:after="0" w:line="261" w:lineRule="auto"/>
        <w:tabs>
          <w:tab w:leader="none" w:pos="1163"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Ardelyx shall compensate Sanofi or its Affiliates for any costs or expenses incurred by it or its Affiliates in connection with performing any activities contemplated by Section 11.3;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 written notice, Ardelyx may instruct Sanofi not to perform certain Section 11.3 activities, and if Ardelyx has provided such notice, it shall not be obligated to compensate Sanofi or its Affiliates for any costs or expenses associated with such noticed activities.</w:t>
      </w:r>
    </w:p>
    <w:p>
      <w:pPr>
        <w:spacing w:after="0" w:line="71" w:lineRule="exact"/>
        <w:rPr>
          <w:rFonts w:ascii="Times New Roman" w:cs="Times New Roman" w:eastAsia="Times New Roman" w:hAnsi="Times New Roman"/>
          <w:sz w:val="18"/>
          <w:szCs w:val="18"/>
          <w:color w:val="auto"/>
        </w:rPr>
      </w:pPr>
    </w:p>
    <w:p>
      <w:pPr>
        <w:ind w:left="1220" w:hanging="317"/>
        <w:spacing w:after="0"/>
        <w:tabs>
          <w:tab w:leader="none" w:pos="122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section shall apply:</w:t>
      </w:r>
    </w:p>
    <w:p>
      <w:pPr>
        <w:spacing w:after="0" w:line="117" w:lineRule="exact"/>
        <w:rPr>
          <w:sz w:val="20"/>
          <w:szCs w:val="20"/>
          <w:color w:val="auto"/>
        </w:rPr>
      </w:pPr>
    </w:p>
    <w:p>
      <w:pPr>
        <w:ind w:left="920" w:right="80"/>
        <w:spacing w:after="0" w:line="266" w:lineRule="auto"/>
        <w:rPr>
          <w:sz w:val="20"/>
          <w:szCs w:val="20"/>
          <w:color w:val="auto"/>
        </w:rPr>
      </w:pPr>
      <w:r>
        <w:rPr>
          <w:rFonts w:ascii="Times New Roman" w:cs="Times New Roman" w:eastAsia="Times New Roman" w:hAnsi="Times New Roman"/>
          <w:sz w:val="18"/>
          <w:szCs w:val="18"/>
          <w:color w:val="auto"/>
        </w:rPr>
        <w:t>In consideration of the transfer of Sanofi Product Data and, if applicable, INDs, Drug Approval Applications, and Regulatory Approvals as well as the [***] and any other rights granted under the above provisions in Section 11.3, if this Agreement is terminated by Sanofi [***], Ardelyx shall [***].</w:t>
      </w:r>
    </w:p>
    <w:p>
      <w:pPr>
        <w:spacing w:after="0" w:line="17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11.4 Consequences of Termination (or Right to Terminate) by Sanofi for Ardelyx’s breach or insolvency</w:t>
      </w:r>
      <w:r>
        <w:rPr>
          <w:rFonts w:ascii="Times New Roman" w:cs="Times New Roman" w:eastAsia="Times New Roman" w:hAnsi="Times New Roman"/>
          <w:sz w:val="18"/>
          <w:szCs w:val="18"/>
          <w:color w:val="auto"/>
        </w:rPr>
        <w:t>. If Sanofi is entitled to terminate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pursuant to Section 11.2(a) as a result of a material breach by Ardelyx or Section 11.2(d) for an insolvency or other transaction described therein affecting Ardelyx, Sanofi may elect to terminate this Agreement subject to the provisions set forth in Section 11.4(a), or to continue the Agreement subject to the provisions set forth in Section 11.4(b).</w:t>
      </w:r>
    </w:p>
    <w:p>
      <w:pPr>
        <w:spacing w:after="0" w:line="181" w:lineRule="exact"/>
        <w:rPr>
          <w:sz w:val="20"/>
          <w:szCs w:val="20"/>
          <w:color w:val="auto"/>
        </w:rPr>
      </w:pPr>
    </w:p>
    <w:p>
      <w:pPr>
        <w:ind w:firstLine="464"/>
        <w:spacing w:after="0" w:line="261" w:lineRule="auto"/>
        <w:tabs>
          <w:tab w:leader="none" w:pos="70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Sanofi terminates the Agreement under Section 11.2(a) or under Section 11.2(d), Section 11.3 shall apply as if such termination were a Sanofi Triggered Termination, except that (AA) notwithstanding anything set forth to the contrary in Section 11.3, Ardelyx shall compensate Sanofi for any costs or expenses incurred by it or its Affiliates in connection with performing any of the activities contemplated by Section 11.3, (BB) Section 11.3(n) shall not apply and Sanofi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(CC) the following additional section shall apply:</w:t>
      </w:r>
    </w:p>
    <w:p>
      <w:pPr>
        <w:spacing w:after="0" w:line="72" w:lineRule="exact"/>
        <w:rPr>
          <w:sz w:val="20"/>
          <w:szCs w:val="20"/>
          <w:color w:val="auto"/>
        </w:rPr>
      </w:pPr>
    </w:p>
    <w:p>
      <w:pPr>
        <w:ind w:left="920" w:right="20"/>
        <w:spacing w:after="0" w:line="261" w:lineRule="auto"/>
        <w:rPr>
          <w:sz w:val="20"/>
          <w:szCs w:val="20"/>
          <w:color w:val="auto"/>
        </w:rPr>
      </w:pPr>
      <w:r>
        <w:rPr>
          <w:rFonts w:ascii="Times New Roman" w:cs="Times New Roman" w:eastAsia="Times New Roman" w:hAnsi="Times New Roman"/>
          <w:sz w:val="18"/>
          <w:szCs w:val="18"/>
          <w:color w:val="auto"/>
        </w:rPr>
        <w:t xml:space="preserve">In consideration of the transfer of Sanofi Product Data and, if applicable, INDs, Drug Approval Applications, and Regulatory Approvals as well as the license granted under Section 11.3(c) and any other rights granted under the above provisions in Section 11.3, if this Agreement is terminated pursuant to Section 11.2(a) by Sanofi, Ardelyx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foregoing royalty payments shall be in addition and without prejudice to any other remedies that may be available to Sanofi due to Ardelyx’s breach,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(DD) the following shall replace Section 11.3(c) in its entirety:</w:t>
      </w:r>
    </w:p>
    <w:p>
      <w:pPr>
        <w:spacing w:after="0" w:line="117"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Sanofi shall, or shall cause its Affiliates to (i) grant, and hereby grants to Ardelyx an exclusive (including with regard to Sanofi and its Affiliates, except with respect to the license grant back to Sanofi below), perpetual, worldwide license,</w:t>
      </w:r>
    </w:p>
    <w:p>
      <w:pPr>
        <w:spacing w:after="0" w:line="90" w:lineRule="exact"/>
        <w:rPr>
          <w:sz w:val="20"/>
          <w:szCs w:val="20"/>
          <w:color w:val="auto"/>
        </w:rPr>
      </w:pPr>
    </w:p>
    <w:p>
      <w:pPr>
        <w:ind w:right="400" w:firstLine="8"/>
        <w:spacing w:after="0" w:line="262" w:lineRule="auto"/>
        <w:tabs>
          <w:tab w:leader="none" w:pos="348"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395" w:name="page396"/>
    <w:bookmarkEnd w:id="39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right to grant sublicenses under the Sanofi Sole Invention Patents, Sanofi Sole Program Know-How, and Joint Technology, and</w:t>
      </w:r>
    </w:p>
    <w:p>
      <w:pPr>
        <w:spacing w:after="0" w:line="27" w:lineRule="exact"/>
        <w:rPr>
          <w:sz w:val="20"/>
          <w:szCs w:val="20"/>
          <w:color w:val="auto"/>
        </w:rPr>
      </w:pPr>
    </w:p>
    <w:p>
      <w:pPr>
        <w:ind w:left="920" w:right="160" w:firstLine="1"/>
        <w:spacing w:after="0" w:line="252" w:lineRule="auto"/>
        <w:tabs>
          <w:tab w:leader="none" w:pos="1185"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and hereby grants, to Ardelyx a non-exclusive license, with the right to grant sublicenses under the Sanofi Background Technology solely to the extent incorporated into the Program Products, or Utilized in the Program solely to Develop, make, use, sell, offer for sale and import Program Compounds and Program Products in the Territory. With regard to the Sanofi Sole Program Know-How and the Joint Program Know-How exclusively licensed to Ardelyx under this clause (c), Ardelyx shall grant and hereby grants to Sanofi a fully paid-up, non-royalty bearing worldwide non-exclusive license, to use Sanofi Sole Program Know-How and Joint Program Know-How to the extent that, absent such license, the practice thereof, would not constitute an infringement of a Program Patent containing method of use, or composition of matter claims.</w:t>
      </w:r>
    </w:p>
    <w:p>
      <w:pPr>
        <w:spacing w:after="0" w:line="189" w:lineRule="exact"/>
        <w:rPr>
          <w:rFonts w:ascii="Times New Roman" w:cs="Times New Roman" w:eastAsia="Times New Roman" w:hAnsi="Times New Roman"/>
          <w:sz w:val="18"/>
          <w:szCs w:val="18"/>
          <w:color w:val="auto"/>
        </w:rPr>
      </w:pPr>
    </w:p>
    <w:p>
      <w:pPr>
        <w:ind w:right="160" w:firstLine="464"/>
        <w:spacing w:after="0" w:line="282" w:lineRule="auto"/>
        <w:tabs>
          <w:tab w:leader="none" w:pos="71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Sanofi has the right to terminate this Agreement under Section 11.2(a) or Section 11.2(d), but elects to continue this Agreement, this Agreement shall continue in full force and effect except as follows:</w:t>
      </w:r>
    </w:p>
    <w:p>
      <w:pPr>
        <w:spacing w:after="0" w:line="53"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Ardelyx’s rights under the Co-Promote Option (whether or not exercised prior to the termination) shall terminate.</w:t>
      </w:r>
    </w:p>
    <w:p>
      <w:pPr>
        <w:spacing w:after="0" w:line="117" w:lineRule="exact"/>
        <w:rPr>
          <w:rFonts w:ascii="Times New Roman" w:cs="Times New Roman" w:eastAsia="Times New Roman" w:hAnsi="Times New Roman"/>
          <w:sz w:val="18"/>
          <w:szCs w:val="18"/>
          <w:color w:val="auto"/>
        </w:rPr>
      </w:pPr>
    </w:p>
    <w:p>
      <w:pPr>
        <w:ind w:left="460" w:firstLine="443"/>
        <w:spacing w:after="0" w:line="282" w:lineRule="auto"/>
        <w:tabs>
          <w:tab w:leader="none" w:pos="1163"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Ardelyx shall cease to have the right to participate in the DAC and SAC, and, upon such request, Ardelyx shall furnish Sanofi with reasonable cooperation to assure a smooth transition to Sanofi (or its designee) of any such activities then being conducted or performed by Ardelyx.</w:t>
      </w:r>
    </w:p>
    <w:p>
      <w:pPr>
        <w:spacing w:after="0" w:line="53" w:lineRule="exact"/>
        <w:rPr>
          <w:rFonts w:ascii="Times New Roman" w:cs="Times New Roman" w:eastAsia="Times New Roman" w:hAnsi="Times New Roman"/>
          <w:sz w:val="18"/>
          <w:szCs w:val="18"/>
          <w:color w:val="auto"/>
        </w:rPr>
      </w:pPr>
    </w:p>
    <w:p>
      <w:pPr>
        <w:ind w:left="460" w:right="120" w:firstLine="443"/>
        <w:spacing w:after="0" w:line="266" w:lineRule="auto"/>
        <w:tabs>
          <w:tab w:leader="none" w:pos="1213"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Sanofi being entitled to terminate this Agreement under Section 11.2(a) due to Ardelyx breach (but not if Sanofi’s right to terminate is based solely on Ardelyx’s insolvency pursuant to Section 11.2(d)),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set forth in Section [***], shall be based on [***], and any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20" w:firstLine="464"/>
        <w:spacing w:after="0" w:line="258" w:lineRule="auto"/>
        <w:tabs>
          <w:tab w:leader="none" w:pos="70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In the event of such termination, this Section 11.4 shall survive in addition to others specified in this Agreement to survive in such event.</w:t>
      </w:r>
    </w:p>
    <w:p>
      <w:pPr>
        <w:spacing w:after="0" w:line="183" w:lineRule="exact"/>
        <w:rPr>
          <w:rFonts w:ascii="Times New Roman" w:cs="Times New Roman" w:eastAsia="Times New Roman" w:hAnsi="Times New Roman"/>
          <w:sz w:val="18"/>
          <w:szCs w:val="18"/>
          <w:color w:val="auto"/>
        </w:rPr>
      </w:pPr>
    </w:p>
    <w:p>
      <w:pPr>
        <w:ind w:right="80" w:firstLine="464"/>
        <w:spacing w:after="0" w:line="282" w:lineRule="auto"/>
        <w:tabs>
          <w:tab w:leader="none" w:pos="711"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milestone payments shall be earned under Section 6.3(a) unless the milestone event has occurred prior to the delivery of a termination notice by either Party under this Article 11.</w:t>
      </w:r>
    </w:p>
    <w:p>
      <w:pPr>
        <w:spacing w:after="0" w:line="158"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11.5 Bankruptcy</w:t>
      </w:r>
      <w:r>
        <w:rPr>
          <w:rFonts w:ascii="Times New Roman" w:cs="Times New Roman" w:eastAsia="Times New Roman" w:hAnsi="Times New Roman"/>
          <w:sz w:val="18"/>
          <w:szCs w:val="18"/>
          <w:color w:val="auto"/>
        </w:rPr>
        <w:t>. All rights and licenses granted under or pursuant to this Agreement by a Party are, and shall otherwise be deemed to be,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Section 365(n) of the</w:t>
      </w:r>
    </w:p>
    <w:p>
      <w:pPr>
        <w:spacing w:after="0" w:line="87" w:lineRule="exact"/>
        <w:rPr>
          <w:sz w:val="20"/>
          <w:szCs w:val="20"/>
          <w:color w:val="auto"/>
        </w:rPr>
      </w:pPr>
    </w:p>
    <w:p>
      <w:pPr>
        <w:ind w:right="440" w:firstLine="8"/>
        <w:spacing w:after="0" w:line="262" w:lineRule="auto"/>
        <w:tabs>
          <w:tab w:leader="none" w:pos="348"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0" w:right="239" w:bottom="1440" w:gutter="0" w:footer="0" w:header="0"/>
        </w:sectPr>
      </w:pPr>
    </w:p>
    <w:bookmarkStart w:id="396" w:name="page397"/>
    <w:bookmarkEnd w:id="39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 The Parties further agree that, in the event of the commencement of a bankruptcy proceeding by or against either Party under the Unites States Bankruptcy Code or equivalent provisions of applicable legislation in any other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subsection (a) above, following the rejection of this Agreement by or on behalf of the Party subject to such proceeding upon written request therefor by the non-subject Party.</w:t>
      </w:r>
    </w:p>
    <w:p>
      <w:pPr>
        <w:spacing w:after="0" w:line="18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11.6 Surviving Rights and Obligations</w:t>
      </w:r>
      <w:r>
        <w:rPr>
          <w:rFonts w:ascii="Times New Roman" w:cs="Times New Roman" w:eastAsia="Times New Roman" w:hAnsi="Times New Roman"/>
          <w:sz w:val="18"/>
          <w:szCs w:val="18"/>
          <w:color w:val="auto"/>
        </w:rPr>
        <w:t>. The rights and obligations set forth in this Agreement shall extend beyond the expiration or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only to the extent expressly provided for herein, or to the extent that the survival of such rights or obligations are necessary to permit their complete fulfillment or discharge. Without limiting the foregoing, the Parties have identified various rights and obligations which are understood to survive, as follows:</w:t>
      </w:r>
    </w:p>
    <w:p>
      <w:pPr>
        <w:spacing w:after="0" w:line="181" w:lineRule="exact"/>
        <w:rPr>
          <w:sz w:val="20"/>
          <w:szCs w:val="20"/>
          <w:color w:val="auto"/>
        </w:rPr>
      </w:pPr>
    </w:p>
    <w:p>
      <w:pPr>
        <w:ind w:firstLine="464"/>
        <w:spacing w:after="0" w:line="254" w:lineRule="auto"/>
        <w:tabs>
          <w:tab w:leader="none" w:pos="70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expiration or termination of this Agreement for any reason, the following provisions shall survive in addition to others specified in this Agreement to survive in such event: Article 1, Section 2.9(g), Section 2.10, Section 3.3 (last sentence), Section 5.8(d), Article 6 (solely with respect to payments due to Ardelyx after termination or expiration), Article 7 (for the length of time described in Section 7.6 but excluding Section 7.4 and Section 7.8), Section 8.2(a), Section 8.2(b) (only for the purpose of determining inventorship of inventions and Know-How, Section 8.2(c), Section 8.6 (only to the extent that an action or proceeding under Section 8.6 is initiated prior to the expiration or termination of this Agreement), Section 8.7(c) (in the case of expiration or, to the extent necessary for Sanofi to fulfill its obligations under the surviving provisions of this Agreement, in the case of termination), Section 9.3(c) (for three years after the Term), Section 9.3(e) (for three years after the Term), Section 9.3(f), Section 9.3(g), Section 9.4, Section 10.1 (for three years after December 31 of the Calendar Year in which this Agreement expired or terminated), Section 10.2, Section 10.3, Section 11.5, Section 11.6, Section 11.7, Section 12.1, Section 12.2, Article 13 and Article 14.</w:t>
      </w:r>
    </w:p>
    <w:p>
      <w:pPr>
        <w:spacing w:after="0" w:line="189" w:lineRule="exact"/>
        <w:rPr>
          <w:rFonts w:ascii="Times New Roman" w:cs="Times New Roman" w:eastAsia="Times New Roman" w:hAnsi="Times New Roman"/>
          <w:sz w:val="18"/>
          <w:szCs w:val="18"/>
          <w:color w:val="auto"/>
        </w:rPr>
      </w:pPr>
    </w:p>
    <w:p>
      <w:pPr>
        <w:ind w:right="300" w:firstLine="464"/>
        <w:spacing w:after="0" w:line="261" w:lineRule="auto"/>
        <w:tabs>
          <w:tab w:leader="none" w:pos="71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expiration of this Agreement, in addition to those provisions described in Section 11.6(a), the following provisions shall survive: Section 2.3(which shall survive only as it applies, mutatis mutandis, to the non-exclusive license set forth in Section 2.11), Section 2.11, Section 4.5(a), Section 4.5(c) if Ardelyx has exercised the Co-Promote Option prior to the expiration of this Agreement (and subject to the terms of the Co-Promotion Agreement), and Section 4.6.</w:t>
      </w:r>
    </w:p>
    <w:p>
      <w:pPr>
        <w:sectPr>
          <w:pgSz w:w="11900" w:h="16838" w:orient="portrait"/>
          <w:cols w:equalWidth="0" w:num="1">
            <w:col w:w="11380"/>
          </w:cols>
          <w:pgMar w:left="240" w:top="270" w:right="279" w:bottom="1440" w:gutter="0" w:footer="0" w:header="0"/>
        </w:sectPr>
      </w:pPr>
    </w:p>
    <w:bookmarkStart w:id="397" w:name="page398"/>
    <w:bookmarkEnd w:id="397"/>
    <w:p>
      <w:pPr>
        <w:ind w:left="700" w:hanging="236"/>
        <w:spacing w:after="0"/>
        <w:tabs>
          <w:tab w:leader="none" w:pos="70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termination of this Agreement, in addition to those provisions described in Section 11.6(a), the following provisions shall survive:</w:t>
      </w:r>
    </w:p>
    <w:p>
      <w:pPr>
        <w:spacing w:after="0" w:line="225" w:lineRule="exact"/>
        <w:rPr>
          <w:rFonts w:ascii="Times New Roman" w:cs="Times New Roman" w:eastAsia="Times New Roman" w:hAnsi="Times New Roman"/>
          <w:sz w:val="18"/>
          <w:szCs w:val="18"/>
          <w:color w:val="auto"/>
        </w:rPr>
      </w:pPr>
    </w:p>
    <w:p>
      <w:pPr>
        <w:ind w:right="40" w:firstLine="921"/>
        <w:spacing w:after="0" w:line="261" w:lineRule="auto"/>
        <w:tabs>
          <w:tab w:leader="none" w:pos="112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either Party: Section 2.1 (only to the extent specified in Section 11.3(a)), Section 2.2 (only to the extent specified in Section 11.3(a)), Section 2.3 (only to the extent and for so long as the licenses in Section 2.1 or Section 2.2 survive), Section 2.8(b) (only for so long as and to the extent that the licenses in Section 2.1 or Section 2.2 survive), and Sections 6.4 through 6.6 (solely to the extent provided in Sections 11.3 and 11.4), Sections 6.7 through 6.11 (solely with respect to payments received following the effective date of termination).</w:t>
      </w:r>
    </w:p>
    <w:p>
      <w:pPr>
        <w:spacing w:after="0" w:line="180" w:lineRule="exact"/>
        <w:rPr>
          <w:rFonts w:ascii="Times New Roman" w:cs="Times New Roman" w:eastAsia="Times New Roman" w:hAnsi="Times New Roman"/>
          <w:sz w:val="18"/>
          <w:szCs w:val="18"/>
          <w:color w:val="auto"/>
        </w:rPr>
      </w:pPr>
    </w:p>
    <w:p>
      <w:pPr>
        <w:ind w:firstLine="921"/>
        <w:spacing w:after="0" w:line="282" w:lineRule="auto"/>
        <w:tabs>
          <w:tab w:leader="none" w:pos="117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in the event of a Sanofi Triggered Termination: Section 2.9(a), Section 2.9(c), Section 2.9(d)(ii), Section 2.9(e) and Section 2.9(g) (such specified sub-sections of Section 2.9 surviving only during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Section 11.3.</w:t>
      </w:r>
    </w:p>
    <w:p>
      <w:pPr>
        <w:spacing w:after="0" w:line="161" w:lineRule="exact"/>
        <w:rPr>
          <w:rFonts w:ascii="Times New Roman" w:cs="Times New Roman" w:eastAsia="Times New Roman" w:hAnsi="Times New Roman"/>
          <w:sz w:val="18"/>
          <w:szCs w:val="18"/>
          <w:color w:val="auto"/>
        </w:rPr>
      </w:pPr>
    </w:p>
    <w:p>
      <w:pPr>
        <w:ind w:right="100" w:firstLine="921"/>
        <w:spacing w:after="0" w:line="282" w:lineRule="auto"/>
        <w:tabs>
          <w:tab w:leader="none" w:pos="122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the event of a termination by Sanofi under Section 11.2(a) or Section 11.2(d): Section 11.3 (which survives only as it applies, mutatis mutandis, to the consequences of termination set forth in Section 11.4(a)), 11.4(b), Section 11.4(c) and Section 11.4(d).</w:t>
      </w:r>
    </w:p>
    <w:p>
      <w:pPr>
        <w:spacing w:after="0" w:line="158"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11.7 Accrued Rights</w:t>
      </w:r>
      <w:r>
        <w:rPr>
          <w:rFonts w:ascii="Times New Roman" w:cs="Times New Roman" w:eastAsia="Times New Roman" w:hAnsi="Times New Roman"/>
          <w:sz w:val="18"/>
          <w:szCs w:val="18"/>
          <w:color w:val="auto"/>
        </w:rPr>
        <w:t>. Termination, relinquishment, or expiration of the Agreement for any reason shall be without prejudice to any rights that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accrued to the benefit of either Party prior to such termination, relinquishment, or expiration, including without limitation damages arising from any breach hereunder. Such termination, relinquishment, or expiration shall not relieve either Party from obligations that are expressly indicated to survive termination or expiration of the Agreement.</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12.1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64"/>
        <w:spacing w:after="0" w:line="253" w:lineRule="auto"/>
        <w:tabs>
          <w:tab w:leader="none" w:pos="701"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12.1(c), Sanofi hereby agrees to indemnify, defend, and hold harmless Ardelyx, its Affiliates, and each of its and their respective employees, officers, directors and agents from and against any and all Losses incurred by them resulting from or arising out of or in connection with any suits, claims, actions, investigations or demands made or brought by a Sanofi Licensee, Sublicensee or other Third Party (collectively,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Ardelyx, its Affiliates or their respective employees, officers, directors or agents, to the extent resulting from or arising out of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Exploitation, use, handling, storage, sale, or other disposition of Program Compounds or Program Products by Sanofi or its Affiliates, agents, Distributors, Sanofi Licensees, Sublicensees or other licensees or sublicensees in the Territory (including, subject to Section 12.1(c), Losses to the extent resulting from Ardelyx’s conduct of the Assigned Activities and Ardelyx’s participation in the Detailing, Pre-Approval Activities and Other Promotional Activities associated with the disposition of Program Products in the U.S. Territory by Ardelyx, but excluding Losses to the extent resulting from or arising out of any activities conducted by or on behalf of Ardelyx, its Affiliates, licensees or sublicensees with respect to any Ardelyx Compound prior to the Effective Date, under the Grantback License or with respect to any Program Compound or Program Product after the expiration or termination of this Agreement), (ii) any Sanofi representation or warranty set forth herein being untrue in any material respect when made, (iii) the gross negligence or willful misconduct by or on behalf of</w:t>
      </w:r>
    </w:p>
    <w:p>
      <w:pPr>
        <w:spacing w:after="0" w:line="118" w:lineRule="exact"/>
        <w:rPr>
          <w:rFonts w:ascii="Times New Roman" w:cs="Times New Roman" w:eastAsia="Times New Roman" w:hAnsi="Times New Roman"/>
          <w:sz w:val="18"/>
          <w:szCs w:val="18"/>
          <w:color w:val="auto"/>
        </w:rPr>
      </w:pPr>
    </w:p>
    <w:p>
      <w:pPr>
        <w:ind w:right="420" w:firstLine="8"/>
        <w:spacing w:after="0" w:line="262" w:lineRule="auto"/>
        <w:tabs>
          <w:tab w:leader="none" w:pos="348"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9" w:right="259" w:bottom="1440" w:gutter="0" w:footer="0" w:header="0"/>
        </w:sectPr>
      </w:pPr>
    </w:p>
    <w:bookmarkStart w:id="398" w:name="page399"/>
    <w:bookmarkEnd w:id="39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Sanofi, its Affiliates, agents, Distributors, Sanofi Licensees, Sublicensees or other licensees or sublicensees (but for clarity, excluding Ardelyx) in exercising its rights or performing its obligations hereunder or under the Co-Promote Agreement, (iv) breach of this Agreement or the Co-Promote Agreement by or on behalf of Sanofi or its Affiliates, and (v) violation of Applicable Law by or on behalf of Sanofi or its Affiliates in exercising its rights or performing its obligations hereunder or under the Co-Promote Agreement.</w:t>
      </w:r>
    </w:p>
    <w:p>
      <w:pPr>
        <w:spacing w:after="0" w:line="180" w:lineRule="exact"/>
        <w:rPr>
          <w:sz w:val="20"/>
          <w:szCs w:val="20"/>
          <w:color w:val="auto"/>
        </w:rPr>
      </w:pPr>
    </w:p>
    <w:p>
      <w:pPr>
        <w:ind w:firstLine="464"/>
        <w:spacing w:after="0" w:line="255" w:lineRule="auto"/>
        <w:tabs>
          <w:tab w:leader="none" w:pos="71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12.1(c), Ardelyx hereby agrees to indemnify, defend and hold harmless Sanofi, its Affiliates, and each of its and their respective employees, officers, directors and agents from and against any and all Losses incurred by them resulting from or arising out of or in connection with any Third Party Claims against Sanofi, its Affiliates or their respective employees, officers, directors or agents, to the extent resulting from or arising out of (i) the gross negligence or willful misconduct by or on behalf of Ardelyx or its Affiliates in exercising its rights or performing its obligations hereunder or under the Co-Promote Agreement, (ii) breach of this Agreement or the Co-Promote Agreement by or on behalf of Ardelyx or its Affiliates, or (iii) violation of Applicable Law by or on behalf of Ardelyx or its Affiliates in exercising its rights or performing its obligations hereunder or under the Co-Promote Agreement.</w:t>
      </w:r>
    </w:p>
    <w:p>
      <w:pPr>
        <w:spacing w:after="0" w:line="189" w:lineRule="exact"/>
        <w:rPr>
          <w:rFonts w:ascii="Times New Roman" w:cs="Times New Roman" w:eastAsia="Times New Roman" w:hAnsi="Times New Roman"/>
          <w:sz w:val="18"/>
          <w:szCs w:val="18"/>
          <w:color w:val="auto"/>
        </w:rPr>
      </w:pPr>
    </w:p>
    <w:p>
      <w:pPr>
        <w:jc w:val="both"/>
        <w:ind w:right="260" w:firstLine="464"/>
        <w:spacing w:after="0" w:line="261" w:lineRule="auto"/>
        <w:tabs>
          <w:tab w:leader="none" w:pos="70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12.1, in no event shall either Party’s obligations of indemnity or reimbursement under this Section 12.1 apply to any Third Party Claim or Loss to the extent that such Third Party Claim or Loss was caused by the negligence or willful misconduct of, breach of this Agreement or the Co-Promote Agreement, or violation of Applicable Law by, the other Party or any other Person seeking indemnification under this Article 12.</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12.2 Mechanism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64"/>
        <w:spacing w:after="0" w:line="254" w:lineRule="auto"/>
        <w:tabs>
          <w:tab w:leader="none" w:pos="701"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is seeking indemnification under Section 12.1(a) or 12.1(b), it shall notify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of the relevant Third Party Claim and the relevant Loss for which indemnification is being sought as soon as reasonably practicable after it becomes aware of such Third Party Claim. Each such notice shall contain a description of the Third Party Claim and the nature and amount of the Loss claimed (to the extent that the nature and amount of such Loss is known at 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subject to Section 12.2(c)), and shall cooperate as requested (at the expense of the Indemnifying Party) in the defense of the claim.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 against any Indemnified Party’s claim for indemnification.</w:t>
      </w:r>
    </w:p>
    <w:p>
      <w:pPr>
        <w:sectPr>
          <w:pgSz w:w="11900" w:h="16838" w:orient="portrait"/>
          <w:cols w:equalWidth="0" w:num="1">
            <w:col w:w="11400"/>
          </w:cols>
          <w:pgMar w:left="240" w:top="269" w:right="259" w:bottom="1440" w:gutter="0" w:footer="0" w:header="0"/>
        </w:sectPr>
      </w:pPr>
    </w:p>
    <w:bookmarkStart w:id="399" w:name="page400"/>
    <w:bookmarkEnd w:id="399"/>
    <w:p>
      <w:pPr>
        <w:ind w:right="100" w:firstLine="464"/>
        <w:spacing w:after="0" w:line="257" w:lineRule="auto"/>
        <w:tabs>
          <w:tab w:leader="none" w:pos="71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Section 12.2(a), the failure to give timely notice to the Indemnifying Party shall not release the Indemnifying Party from any liability to the Indemnified Party to the extent the Indemnifying Party is not prejudiced thereby and, for the avoidance of doubt, the Indemnifying Party shall not be liable to the extent any Loss is caused by any delay by the Indemnified Party in providing such notice. Notwithstanding the provisions of</w:t>
      </w:r>
    </w:p>
    <w:p>
      <w:pPr>
        <w:spacing w:after="0" w:line="1" w:lineRule="exact"/>
        <w:rPr>
          <w:rFonts w:ascii="Times New Roman" w:cs="Times New Roman" w:eastAsia="Times New Roman" w:hAnsi="Times New Roman"/>
          <w:sz w:val="18"/>
          <w:szCs w:val="18"/>
          <w:color w:val="auto"/>
        </w:rPr>
      </w:pPr>
    </w:p>
    <w:p>
      <w:pPr>
        <w:ind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12.2(a) 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but costs and expenses shall be borne by the Indemnifying Party.</w:t>
      </w:r>
    </w:p>
    <w:p>
      <w:pPr>
        <w:spacing w:after="0" w:line="186" w:lineRule="exact"/>
        <w:rPr>
          <w:rFonts w:ascii="Times New Roman" w:cs="Times New Roman" w:eastAsia="Times New Roman" w:hAnsi="Times New Roman"/>
          <w:sz w:val="18"/>
          <w:szCs w:val="18"/>
          <w:color w:val="auto"/>
        </w:rPr>
      </w:pPr>
    </w:p>
    <w:p>
      <w:pPr>
        <w:ind w:right="220" w:firstLine="464"/>
        <w:spacing w:after="0" w:line="282" w:lineRule="auto"/>
        <w:tabs>
          <w:tab w:leader="none" w:pos="70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settle or dispose of any such claim in any manner that would adversely affect the rights or interests or admit fault, of the other Party without the prior written consent of such other Party, which shall not be unreasonably withheld, delayed or conditioned.</w:t>
      </w:r>
    </w:p>
    <w:p>
      <w:pPr>
        <w:spacing w:after="0" w:line="161" w:lineRule="exact"/>
        <w:rPr>
          <w:rFonts w:ascii="Times New Roman" w:cs="Times New Roman" w:eastAsia="Times New Roman" w:hAnsi="Times New Roman"/>
          <w:sz w:val="18"/>
          <w:szCs w:val="18"/>
          <w:color w:val="auto"/>
        </w:rPr>
      </w:pPr>
    </w:p>
    <w:p>
      <w:pPr>
        <w:ind w:firstLine="464"/>
        <w:spacing w:after="0" w:line="266" w:lineRule="auto"/>
        <w:tabs>
          <w:tab w:leader="none" w:pos="711"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non-controlling Party, at the controlling Party’s expense and reasonable request, shall cooperate with the controlling Party and its counsel in the course of the defense or settlement of any such claim, such cooperation to include without limitation using reasonable efforts to provide or make available documents, information, and witnesses.</w:t>
      </w:r>
    </w:p>
    <w:p>
      <w:pPr>
        <w:spacing w:after="0" w:line="172" w:lineRule="exact"/>
        <w:rPr>
          <w:sz w:val="20"/>
          <w:szCs w:val="20"/>
          <w:color w:val="auto"/>
        </w:rPr>
      </w:pPr>
    </w:p>
    <w:p>
      <w:pPr>
        <w:jc w:val="both"/>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12.3 Insurance</w:t>
      </w:r>
      <w:r>
        <w:rPr>
          <w:rFonts w:ascii="Times New Roman" w:cs="Times New Roman" w:eastAsia="Times New Roman" w:hAnsi="Times New Roman"/>
          <w:sz w:val="18"/>
          <w:szCs w:val="18"/>
          <w:color w:val="auto"/>
        </w:rPr>
        <w:t>. Each Party shall have and maintain such type and amounts of liability insurance covering the Manufacture, supply, use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Compounds and the Program Products as is normal and customary in the pharmaceutical industry generally for Persons similarly situated, and shall upon request provide the other Party with a copy of its policies of insurance in that regard, along with any amendments and revisions thereto.</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03"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13.1 Referral of Disputes to the Parties’ Senior Executives</w:t>
      </w:r>
      <w:r>
        <w:rPr>
          <w:rFonts w:ascii="Times New Roman" w:cs="Times New Roman" w:eastAsia="Times New Roman" w:hAnsi="Times New Roman"/>
          <w:sz w:val="18"/>
          <w:szCs w:val="18"/>
          <w:color w:val="auto"/>
        </w:rPr>
        <w:t>. In the event of any dispute between the Parties arising out of or in connection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either Party may, by written notice to the other, have such dispute referred to the Senior Executives for attempted resolution by good faith negotiations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notice is received.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13.2 Mechanism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64"/>
        <w:spacing w:after="0" w:line="254" w:lineRule="auto"/>
        <w:tabs>
          <w:tab w:leader="none" w:pos="701"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Ardelyx at any time has a good faith belief that Sanofi may be in material breach of its obligations under Section 4.3, (ii) Ardelyx has notified Sanofi of its belief in writing and the Parties are not in agreement as to whether or not such breach under Section 4.3 exists, and (iii) the Parties have not resolved the dispute through good faith negotiations pursuant to Section 13.1 within the prescribed time, then either Party shall have the right (but not the obligation) to request, through written notice to the other Party (a “</w:t>
      </w:r>
      <w:r>
        <w:rPr>
          <w:rFonts w:ascii="Times New Roman" w:cs="Times New Roman" w:eastAsia="Times New Roman" w:hAnsi="Times New Roman"/>
          <w:sz w:val="18"/>
          <w:szCs w:val="18"/>
          <w:b w:val="1"/>
          <w:bCs w:val="1"/>
          <w:color w:val="auto"/>
        </w:rPr>
        <w:t>Mediation Notice</w:t>
      </w:r>
      <w:r>
        <w:rPr>
          <w:rFonts w:ascii="Times New Roman" w:cs="Times New Roman" w:eastAsia="Times New Roman" w:hAnsi="Times New Roman"/>
          <w:sz w:val="18"/>
          <w:szCs w:val="18"/>
          <w:color w:val="auto"/>
        </w:rPr>
        <w:t>”) within thirty (30) days after the expiry of the time period set forth in Section 13.1, that the Parties shall attempt in good faith to settle such dispute by mediation administered by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under its Commercial Mediation Procedures. For clarity, neither Party shall be obligated to exercise its right to initiate mediation pursuant to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13.2(a) before initiating arbitration pursuant to Section 13.2(b) , but should one Party properly</w:t>
      </w:r>
    </w:p>
    <w:p>
      <w:pPr>
        <w:spacing w:after="0" w:line="134" w:lineRule="exact"/>
        <w:rPr>
          <w:rFonts w:ascii="Times New Roman" w:cs="Times New Roman" w:eastAsia="Times New Roman" w:hAnsi="Times New Roman"/>
          <w:sz w:val="18"/>
          <w:szCs w:val="18"/>
          <w:color w:val="auto"/>
        </w:rPr>
      </w:pPr>
    </w:p>
    <w:p>
      <w:pPr>
        <w:ind w:right="400" w:firstLine="8"/>
        <w:spacing w:after="0" w:line="262" w:lineRule="auto"/>
        <w:tabs>
          <w:tab w:leader="none" w:pos="348" w:val="left"/>
        </w:tabs>
        <w:numPr>
          <w:ilvl w:val="0"/>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270" w:right="279" w:bottom="1440" w:gutter="0" w:footer="0" w:header="0"/>
        </w:sectPr>
      </w:pPr>
    </w:p>
    <w:bookmarkStart w:id="400" w:name="page401"/>
    <w:bookmarkEnd w:id="40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initiate mediation pursuant to this Section 13.2(a) before the other has initiated arbitration pursuant to Section 13.2(b), then such mediation shall be completed prior to either Party initiating arbitration pursuant to Section 13.2(b). If a Party elects to exercise its right to initiate mediation within the prescribed time, then the following shall apply: If the Parties are unable to reach agreement on the selection of the mediator within ten (10) Business Days after a Party’s receipt of the Mediation Notice from the initiating Party, then either or both Parties shall immediately request the AAA to select a mediator with the requisite background, experience and expertise in the biopharmaceutical industry to assist the Parties in resolving the dispute amicably. The place of mediation shall be New York City, New York, and all negotiations and communications shall be in English. The Parties shall have the right to be represented by counsel during the mediation. Each Party shall bear its own costs and expenses and attorneys’ fees, and the Parties shall share equally all costs of engaging such mediator and using the AAA to mediate such matter. Any decisions or recommendations of the mediator shall be confidential and non-binding on the Parties. If the Parties are unable to resolve the dispute through mediation pursuant to this Section 13.2(a) within a period of sixty (60) days following a Party’s receipt of the Mediation Notice from the initiating Party, then either Party shall thereafter have the right to refer the dispute to arbitration pursuant to Section 13.2(b).</w:t>
      </w:r>
    </w:p>
    <w:p>
      <w:pPr>
        <w:spacing w:after="0" w:line="186" w:lineRule="exact"/>
        <w:rPr>
          <w:sz w:val="20"/>
          <w:szCs w:val="20"/>
          <w:color w:val="auto"/>
        </w:rPr>
      </w:pPr>
    </w:p>
    <w:p>
      <w:pPr>
        <w:ind w:right="40" w:firstLine="464"/>
        <w:spacing w:after="0" w:line="254" w:lineRule="auto"/>
        <w:tabs>
          <w:tab w:leader="none" w:pos="711"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13.1 and 13.2(a), any dispute, controversy or claim arising out of or relating to this Agreement, including the existence, negotiation, validity, formation, interpretation, breach, performance or application of this Agreement shall be settled by binding arbitration administered by the AAA in accordance with its Commercial Arbitration Rules (or the AAA International Arbitration Rules, if recommended under the AAA guidelines), as such rules may be modified by this Section 13.2(b) or otherwise by subsequent written agreement of the Parties. The number of arbitrators shall be three (3), of whom the Parties shall select one (1) each. The two arbitrators so selected will select the third and final arbitrator. If the arbitrators selected by the Parties are unable or fail to agree upon the third arbitrator, the AAA shall select the third arbitrator. The place of arbitration shall be New York City, New York, and all proceedings and communications shall be in English. The Parties shall have the right to be represented by counsel. The Parties agree that such judgment or award may be enforced in any court of competent jurisdiction. Any judgment or award rendered by the arbitrators shall be final and binding on the Parties, except for clerical, typographical or computational errors.</w:t>
      </w:r>
    </w:p>
    <w:p>
      <w:pPr>
        <w:spacing w:after="0" w:line="185"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13.3 Preliminary Injunctions</w:t>
      </w:r>
      <w:r>
        <w:rPr>
          <w:rFonts w:ascii="Times New Roman" w:cs="Times New Roman" w:eastAsia="Times New Roman" w:hAnsi="Times New Roman"/>
          <w:sz w:val="18"/>
          <w:szCs w:val="18"/>
          <w:color w:val="auto"/>
        </w:rPr>
        <w:t>. Notwithstanding anything to the contrary, a Party may seek a temporary restraining order or a preliminary injunction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court of competent jurisdiction in order to prevent immediate and irreparable injury, loss, or damage on a provisional basis, pending the decision of the arbitrator(s) on the ultimate merits of any dispute.</w:t>
      </w:r>
    </w:p>
    <w:p>
      <w:pPr>
        <w:spacing w:after="0" w:line="171"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13.4 Intellectual Property Disputes</w:t>
      </w:r>
      <w:r>
        <w:rPr>
          <w:rFonts w:ascii="Times New Roman" w:cs="Times New Roman" w:eastAsia="Times New Roman" w:hAnsi="Times New Roman"/>
          <w:sz w:val="18"/>
          <w:szCs w:val="18"/>
          <w:color w:val="auto"/>
        </w:rPr>
        <w:t>. Notwithstanding anything to the contrary, any and all issues regarding the scope, inventorship,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enforceability or ownership of Program Patents, the Sole Program Know-How of each of the Parties, or Joint Program Know-How shall be determined in a court of competent jurisdiction under the local patent laws of the jurisdictions having issued the Patents in question, notwithstanding Section 14.7.</w:t>
      </w:r>
    </w:p>
    <w:p>
      <w:pPr>
        <w:sectPr>
          <w:pgSz w:w="11900" w:h="16838" w:orient="portrait"/>
          <w:cols w:equalWidth="0" w:num="1">
            <w:col w:w="11420"/>
          </w:cols>
          <w:pgMar w:left="240" w:top="270" w:right="239" w:bottom="1440" w:gutter="0" w:footer="0" w:header="0"/>
        </w:sectPr>
      </w:pPr>
    </w:p>
    <w:bookmarkStart w:id="401" w:name="page402"/>
    <w:bookmarkEnd w:id="401"/>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13.5 Confidentiality</w:t>
      </w:r>
      <w:r>
        <w:rPr>
          <w:rFonts w:ascii="Times New Roman" w:cs="Times New Roman" w:eastAsia="Times New Roman" w:hAnsi="Times New Roman"/>
          <w:sz w:val="18"/>
          <w:szCs w:val="18"/>
          <w:color w:val="auto"/>
        </w:rPr>
        <w:t>. All proceedings and decisions of the arbitrator(s) in connection with an arbitral proceeding pursuant to Section 13.2(b)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Confidential Information of each of the Parties and shall be subject to Article 7.</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14.1 Assignment; Performance by Affiliates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64"/>
        <w:spacing w:after="0" w:line="254" w:lineRule="auto"/>
        <w:tabs>
          <w:tab w:leader="none" w:pos="70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assign any of its rights or delegate any of its obligations under this Agreement in any country in whole or in part without the prior written consent of the other Party, except that each Party shall have the right, without such consent, (i) to perform any of its obligations and exercise any of its rights under this Agreement through, and to assign all of its rights and obligations under this Agreement to, any of its Affiliates, (ii) to assign all of its rights and obligations under this Agreement to a non-Affiliate successor in interest, whether by merger, consolidation, reorganization, acquisition, stock purchase, asset purchase or other similar transaction, to all or substantially all of the business of Ardelyx to which this Agreement relates (in the case of Ardelyx) or all or substantially all of the business of Sanofi to which this Agreement relates (in the case of Sanofi). In the event that a Party performs its obligations or exercises its rights under this Agreement through an Affiliate (without having assigned all of its rights and obligations to such Affiliate as permitted under this Section 14.1), doing so shall not relieve the relevant Party of its responsibilities for the performance of its obligations under this Agreement, and the relevant Party shall remain responsible and be guarantor of the performance by its Affiliates and shall cause its Affiliates to comply with the provisions of this Agreement in connection with such performance.</w:t>
      </w:r>
    </w:p>
    <w:p>
      <w:pPr>
        <w:spacing w:after="0" w:line="186" w:lineRule="exact"/>
        <w:rPr>
          <w:rFonts w:ascii="Times New Roman" w:cs="Times New Roman" w:eastAsia="Times New Roman" w:hAnsi="Times New Roman"/>
          <w:sz w:val="18"/>
          <w:szCs w:val="18"/>
          <w:color w:val="auto"/>
        </w:rPr>
      </w:pPr>
    </w:p>
    <w:p>
      <w:pPr>
        <w:ind w:right="60" w:firstLine="464"/>
        <w:spacing w:after="0" w:line="282" w:lineRule="auto"/>
        <w:tabs>
          <w:tab w:leader="none" w:pos="71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survive any succession of interest permitted pursuant to Section 14.1(a)(ii), whether by merger, consolidation, reorganization, acquisition, stock purchase, asset purchase or other similar transaction (such party undergoing such transaction, the “</w:t>
      </w:r>
      <w:r>
        <w:rPr>
          <w:rFonts w:ascii="Times New Roman" w:cs="Times New Roman" w:eastAsia="Times New Roman" w:hAnsi="Times New Roman"/>
          <w:sz w:val="18"/>
          <w:szCs w:val="18"/>
          <w:b w:val="1"/>
          <w:bCs w:val="1"/>
          <w:color w:val="auto"/>
        </w:rPr>
        <w:t>Subject Party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464"/>
        <w:spacing w:after="0" w:line="255" w:lineRule="auto"/>
        <w:tabs>
          <w:tab w:leader="none" w:pos="70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such transaction described in clause (b) above, the Patents and other Intellectual Property Rights owned or otherwise Controlled, as of the effective date of the closing of such transaction, by any counterparty with respect to such transaction (the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shall not become subject to the license grants, assignments, reports, disclosures and other requirements of this Agreement, unless (i) such Patent and Intellectual Property Rights become subject to the terms of this Agreement as a result of Section 2.9(d)(ii), or (ii) after the effective date of the transaction, the Patent or other Intellectual Property Rights of the Counterparty are used in the Development or Commercialization of a Program Product. In the event of (i) or (ii) above, the relevant Patent or Intellectual Property Rights of such Counterparty shall become automatically subject to the license grants, assignments, reports, disclosures, and other requirements of this Agreement.</w:t>
      </w:r>
    </w:p>
    <w:p>
      <w:pPr>
        <w:spacing w:after="0" w:line="189" w:lineRule="exact"/>
        <w:rPr>
          <w:rFonts w:ascii="Times New Roman" w:cs="Times New Roman" w:eastAsia="Times New Roman" w:hAnsi="Times New Roman"/>
          <w:sz w:val="18"/>
          <w:szCs w:val="18"/>
          <w:color w:val="auto"/>
        </w:rPr>
      </w:pPr>
    </w:p>
    <w:p>
      <w:pPr>
        <w:ind w:right="640" w:firstLine="464"/>
        <w:spacing w:after="0" w:line="282" w:lineRule="auto"/>
        <w:tabs>
          <w:tab w:leader="none" w:pos="71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successors and permitted assigns of the Parties. Any assignment not in accordance with this Agreement shall be void.</w:t>
      </w:r>
    </w:p>
    <w:p>
      <w:pPr>
        <w:sectPr>
          <w:pgSz w:w="11900" w:h="16838" w:orient="portrait"/>
          <w:cols w:equalWidth="0" w:num="1">
            <w:col w:w="11420"/>
          </w:cols>
          <w:pgMar w:left="240" w:top="266" w:right="239" w:bottom="1440" w:gutter="0" w:footer="0" w:header="0"/>
        </w:sectPr>
      </w:pPr>
    </w:p>
    <w:bookmarkStart w:id="402" w:name="page403"/>
    <w:bookmarkEnd w:id="402"/>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 Force Majeure</w:t>
      </w:r>
      <w:r>
        <w:rPr>
          <w:rFonts w:ascii="Times New Roman" w:cs="Times New Roman" w:eastAsia="Times New Roman" w:hAnsi="Times New Roman"/>
          <w:sz w:val="18"/>
          <w:szCs w:val="18"/>
          <w:color w:val="auto"/>
        </w:rPr>
        <w:t>. In this Agreement,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 event which is beyond a non-performing Party’s reasonable control, including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God, strike, lock-out or other industrial/labor disputes (whether involving the workforce of the Party so prevented or of any other Person), war, riot, civil commotion, terrorist act, epidemic, quarantine, fire, flood, storm, earthquake, natural disaster or compliance with any law or governmental order, rule, regulation or direction, whether or not it is later held to be invalid. A Party that is prevented or delayed in its performance under this Agreement by an event of Force Majeure (a “</w:t>
      </w:r>
      <w:r>
        <w:rPr>
          <w:rFonts w:ascii="Times New Roman" w:cs="Times New Roman" w:eastAsia="Times New Roman" w:hAnsi="Times New Roman"/>
          <w:sz w:val="18"/>
          <w:szCs w:val="18"/>
          <w:b w:val="1"/>
          <w:bCs w:val="1"/>
          <w:color w:val="auto"/>
        </w:rPr>
        <w:t>Force Majeure Party</w:t>
      </w:r>
      <w:r>
        <w:rPr>
          <w:rFonts w:ascii="Times New Roman" w:cs="Times New Roman" w:eastAsia="Times New Roman" w:hAnsi="Times New Roman"/>
          <w:sz w:val="18"/>
          <w:szCs w:val="18"/>
          <w:color w:val="auto"/>
        </w:rPr>
        <w:t>”) shall, as soon as reasonably practical but no later than thirty (30) days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Section 14.2,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w:t>
      </w:r>
    </w:p>
    <w:p>
      <w:pPr>
        <w:spacing w:after="0" w:line="183" w:lineRule="exact"/>
        <w:rPr>
          <w:sz w:val="20"/>
          <w:szCs w:val="20"/>
          <w:color w:val="auto"/>
        </w:rPr>
      </w:pPr>
    </w:p>
    <w:p>
      <w:pPr>
        <w:ind w:right="5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14.3 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in order to carry out the purposes and intent of this Agreement.</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14.4 Notices</w:t>
      </w:r>
      <w:r>
        <w:rPr>
          <w:rFonts w:ascii="Times New Roman" w:cs="Times New Roman" w:eastAsia="Times New Roman" w:hAnsi="Times New Roman"/>
          <w:sz w:val="18"/>
          <w:szCs w:val="18"/>
          <w:color w:val="auto"/>
        </w:rPr>
        <w:t>. All notices hereunder shall be in writing and shall be deemed given if delivered personally or by facsimile transmission (receipt verified),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mailed by registered or certified mail (return receipt requested), postage prepaid, or sent by internationally recognized overnight delivery service that maintains records of delivery, to the Parties at the following addresses (or at such other address for a Party as shall be specified by like notice; provided, that notices of a change of address shall be effective only upon receipt thereof). Such notice shall be deemed to have been given as of the date delivered personally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w:t>
      </w:r>
    </w:p>
    <w:p>
      <w:pPr>
        <w:sectPr>
          <w:pgSz w:w="11900" w:h="16838" w:orient="portrait"/>
          <w:cols w:equalWidth="0" w:num="1">
            <w:col w:w="11420"/>
          </w:cols>
          <w:pgMar w:left="240" w:top="265" w:right="239" w:bottom="1440" w:gutter="0" w:footer="0" w:header="0"/>
        </w:sect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Ardelyx, addressed 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Michael Raab, CEO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510-745-0493</w:t>
      </w:r>
    </w:p>
    <w:p>
      <w:pPr>
        <w:spacing w:after="0" w:line="112" w:lineRule="exact"/>
        <w:rPr>
          <w:sz w:val="20"/>
          <w:szCs w:val="20"/>
          <w:color w:val="auto"/>
        </w:rPr>
      </w:pPr>
    </w:p>
    <w:p>
      <w:pPr>
        <w:sectPr>
          <w:pgSz w:w="11900" w:h="16838" w:orient="portrait"/>
          <w:cols w:equalWidth="0" w:num="2">
            <w:col w:w="2800" w:space="720"/>
            <w:col w:w="7900"/>
          </w:cols>
          <w:pgMar w:left="240" w:top="26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510-745-0493</w:t>
      </w:r>
    </w:p>
    <w:p>
      <w:pPr>
        <w:sectPr>
          <w:pgSz w:w="11900" w:h="16838" w:orient="portrait"/>
          <w:cols w:equalWidth="0" w:num="2">
            <w:col w:w="2800" w:space="720"/>
            <w:col w:w="7900"/>
          </w:cols>
          <w:pgMar w:left="240" w:top="265" w:right="239" w:bottom="1440" w:gutter="0" w:footer="0" w:header="0"/>
          <w:type w:val="continuous"/>
        </w:sectPr>
      </w:pPr>
    </w:p>
    <w:bookmarkStart w:id="403" w:name="page404"/>
    <w:bookmarkEnd w:id="403"/>
    <w:tbl>
      <w:tblPr>
        <w:tblLayout w:type="fixed"/>
        <w:tblInd w:w="46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If to Sanofi, addressed to</w:t>
            </w: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Sanofi</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54, rue La Boétie</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75008 Paris</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Attention: Vice President, Corporate Licenses</w:t>
            </w:r>
          </w:p>
        </w:tc>
      </w:tr>
      <w:tr>
        <w:trPr>
          <w:trHeight w:val="234"/>
        </w:trPr>
        <w:tc>
          <w:tcPr>
            <w:tcW w:w="2440" w:type="dxa"/>
            <w:vAlign w:val="bottom"/>
          </w:tcPr>
          <w:p>
            <w:pPr>
              <w:spacing w:after="0"/>
              <w:rPr>
                <w:sz w:val="20"/>
                <w:szCs w:val="20"/>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xml:space="preserve">Facsimile : </w:t>
            </w:r>
            <w:r>
              <w:rPr>
                <w:rFonts w:ascii="Times New Roman" w:cs="Times New Roman" w:eastAsia="Times New Roman" w:hAnsi="Times New Roman"/>
                <w:sz w:val="15"/>
                <w:szCs w:val="15"/>
                <w:color w:val="auto"/>
              </w:rPr>
              <w: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Sanofi</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54, rue La Boétie</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75008 Paris</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440" w:type="dxa"/>
            <w:vAlign w:val="bottom"/>
          </w:tcPr>
          <w:p>
            <w:pPr>
              <w:spacing w:after="0"/>
              <w:rPr>
                <w:sz w:val="18"/>
                <w:szCs w:val="18"/>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Attention: Vice President, Legal Operations</w:t>
            </w:r>
          </w:p>
        </w:tc>
      </w:tr>
      <w:tr>
        <w:trPr>
          <w:trHeight w:val="234"/>
        </w:trPr>
        <w:tc>
          <w:tcPr>
            <w:tcW w:w="2440" w:type="dxa"/>
            <w:vAlign w:val="bottom"/>
          </w:tcPr>
          <w:p>
            <w:pPr>
              <w:spacing w:after="0"/>
              <w:rPr>
                <w:sz w:val="20"/>
                <w:szCs w:val="20"/>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Facsimile : [***]</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14.5 Waiver</w:t>
      </w:r>
      <w:r>
        <w:rPr>
          <w:rFonts w:ascii="Times New Roman" w:cs="Times New Roman" w:eastAsia="Times New Roman" w:hAnsi="Times New Roman"/>
          <w:sz w:val="18"/>
          <w:szCs w:val="18"/>
          <w:color w:val="auto"/>
        </w:rPr>
        <w:t>. Except as specifically provided for herein, the waiver from time to time by either of the Parties of any of their rights or their failure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any remedy shall not operate or be construed as a waiver of any other of such Party’s rights or remedies provided in this Agreement.</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14.6 Severability</w:t>
      </w:r>
      <w:r>
        <w:rPr>
          <w:rFonts w:ascii="Times New Roman" w:cs="Times New Roman" w:eastAsia="Times New Roman" w:hAnsi="Times New Roman"/>
          <w:sz w:val="18"/>
          <w:szCs w:val="18"/>
          <w:color w:val="auto"/>
        </w:rPr>
        <w:t>. If any term, covenant or condition of this Agreement or the application thereof to any Party or circumstance shall, to any extent,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 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spacing w:after="0" w:line="183"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14.7 Governing Law</w:t>
      </w:r>
      <w:r>
        <w:rPr>
          <w:rFonts w:ascii="Times New Roman" w:cs="Times New Roman" w:eastAsia="Times New Roman" w:hAnsi="Times New Roman"/>
          <w:sz w:val="18"/>
          <w:szCs w:val="18"/>
          <w:color w:val="auto"/>
        </w:rPr>
        <w:t>. This Agreement shall be governed by and interpreted under the laws of the State of New York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 principle that would otherwise result in the application of the laws of any State or jurisdiction other than the State of New York.</w:t>
      </w:r>
    </w:p>
    <w:p>
      <w:pPr>
        <w:spacing w:after="0" w:line="15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14.8 Jurisdiction</w:t>
      </w:r>
      <w:r>
        <w:rPr>
          <w:rFonts w:ascii="Times New Roman" w:cs="Times New Roman" w:eastAsia="Times New Roman" w:hAnsi="Times New Roman"/>
          <w:sz w:val="18"/>
          <w:szCs w:val="18"/>
          <w:color w:val="auto"/>
        </w:rPr>
        <w:t>. Subject to Sections 13.3, 14.7 and 14.5, the Parties hereby irrevocably and unconditionally consent to the exclusive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and federal courts of the borough of Manhattan, New York for any action, suit or proceeding (other than appeals therefrom) arising out of or relating to this Agreement and agree not to commence any action, suit or proceeding (other than appeals therefrom) related thereto except in such courts.</w:t>
      </w:r>
    </w:p>
    <w:p>
      <w:pPr>
        <w:spacing w:after="0" w:line="171"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14.9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5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14.10 Entire Agreement</w:t>
      </w:r>
      <w:r>
        <w:rPr>
          <w:rFonts w:ascii="Times New Roman" w:cs="Times New Roman" w:eastAsia="Times New Roman" w:hAnsi="Times New Roman"/>
          <w:sz w:val="18"/>
          <w:szCs w:val="18"/>
          <w:color w:val="auto"/>
        </w:rPr>
        <w:t>. This Agreement, including without limitation all exhibits attached hereto, sets forth all the covenants, promises,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representations, conditions, and understandings between the Parties and supersedes and terminates all prior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340" w:hanging="452"/>
        <w:spacing w:after="0" w:line="262" w:lineRule="auto"/>
        <w:tabs>
          <w:tab w:leader="none" w:pos="460"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269" w:right="259" w:bottom="1440" w:gutter="0" w:footer="0" w:header="0"/>
        </w:sectPr>
      </w:pPr>
    </w:p>
    <w:bookmarkStart w:id="404" w:name="page405"/>
    <w:bookmarkEnd w:id="404"/>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contemporaneous agreements and understanding between the Parties, including without limitation the agreement and amendments thereto set forth in Section 7.8.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spacing w:after="0" w:line="17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14.11 Limitation of Liability</w:t>
      </w:r>
      <w:r>
        <w:rPr>
          <w:rFonts w:ascii="Times New Roman" w:cs="Times New Roman" w:eastAsia="Times New Roman" w:hAnsi="Times New Roman"/>
          <w:sz w:val="18"/>
          <w:szCs w:val="18"/>
          <w:color w:val="auto"/>
        </w:rPr>
        <w:t>. EXCEPT IN CIRCUMSTANCES OF GROSS NEGLIGENCE OR INTENTIONAL MISCONDUCT BY A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OR WITH RESPECT TO THIRD PARTY CLAIMS UNDER SECTION 12.1, IN NO EVENT SHALL EITHER PARTY OR ITS RESPECTIVE AFFILIATES OR SUBLICENSEES BE LIABLE FOR SPECIAL, INDIRECT, INCIDENTAL, OR CONSEQUENTIAL DAMAGES, WHETHER IN CONTRACT, WARRANTY, TORT, STRICT LIABILITY, OR OTHERWISE, INCLUDING BUT NOT LIMITED TO LOSS OF PROFITS, REVENUE, MILESTONES OR ROYALTIES. This Section 14.11 shall not limit either Party’s obligations under Article 12.</w:t>
      </w:r>
    </w:p>
    <w:p>
      <w:pPr>
        <w:spacing w:after="0" w:line="180" w:lineRule="exact"/>
        <w:rPr>
          <w:sz w:val="20"/>
          <w:szCs w:val="20"/>
          <w:color w:val="auto"/>
        </w:rPr>
      </w:pPr>
    </w:p>
    <w:p>
      <w:pPr>
        <w:jc w:val="both"/>
        <w:ind w:right="4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14.12 No Partnership</w:t>
      </w:r>
      <w:r>
        <w:rPr>
          <w:rFonts w:ascii="Times New Roman" w:cs="Times New Roman" w:eastAsia="Times New Roman" w:hAnsi="Times New Roman"/>
          <w:sz w:val="18"/>
          <w:szCs w:val="18"/>
          <w:color w:val="auto"/>
        </w:rPr>
        <w:t>. It is expressly agreed that the relationship between Ardelyx and Sanofi shall not constitute a partnership, joint venture,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Neither Ardelyx nor Sanofi shall have the authority to make any statements, representations, or commitments of any kind, or to take any action, which shall be binding on the other Party, without the prior consent of such other Party to do so.</w:t>
      </w:r>
    </w:p>
    <w:p>
      <w:pPr>
        <w:spacing w:after="0" w:line="171"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14.13. No Benefit to Third Parties. </w:t>
      </w:r>
      <w:r>
        <w:rPr>
          <w:rFonts w:ascii="Times New Roman" w:cs="Times New Roman" w:eastAsia="Times New Roman" w:hAnsi="Times New Roman"/>
          <w:sz w:val="18"/>
          <w:szCs w:val="18"/>
          <w:color w:val="auto"/>
        </w:rPr>
        <w:t>The covenants and agreements set forth in this Agreement are for the sole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permitted assigns, other than as set forth in Article 12, and they shall not be construed as conferring any rights on any other Persons.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5"/>
          <w:szCs w:val="15"/>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AGE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OLLOWS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270" w:right="239" w:bottom="1440" w:gutter="0" w:footer="0" w:header="0"/>
        </w:sectPr>
      </w:pPr>
    </w:p>
    <w:bookmarkStart w:id="405" w:name="page406"/>
    <w:bookmarkEnd w:id="405"/>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in duplicate originals by their proper officers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Ardelyx, Inc.</w:t>
            </w:r>
          </w:p>
        </w:tc>
        <w:tc>
          <w:tcPr>
            <w:tcW w:w="4120" w:type="dxa"/>
            <w:vAlign w:val="bottom"/>
          </w:tcPr>
          <w:p>
            <w:pPr>
              <w:spacing w:after="0"/>
              <w:rPr>
                <w:sz w:val="20"/>
                <w:szCs w:val="20"/>
                <w:color w:val="auto"/>
              </w:rPr>
            </w:pP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Sanofi</w:t>
            </w:r>
          </w:p>
        </w:tc>
        <w:tc>
          <w:tcPr>
            <w:tcW w:w="410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Mike Raab</w:t>
            </w: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Phillipe Goupit</w:t>
            </w:r>
          </w:p>
        </w:tc>
      </w:tr>
      <w:tr>
        <w:trPr>
          <w:trHeight w:val="43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Mike Raab</w:t>
            </w: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Printed Name:</w:t>
            </w: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Phillipe Goupit</w:t>
            </w:r>
          </w:p>
        </w:tc>
      </w:tr>
      <w:tr>
        <w:trPr>
          <w:trHeight w:val="20"/>
        </w:trPr>
        <w:tc>
          <w:tcPr>
            <w:tcW w:w="1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r>
        <w:trPr>
          <w:trHeight w:val="39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420"/>
          </w:cols>
          <w:pgMar w:left="240" w:top="266" w:right="239" w:bottom="1440" w:gutter="0" w:footer="0" w:header="0"/>
        </w:sectPr>
      </w:pPr>
    </w:p>
    <w:bookmarkStart w:id="406" w:name="page407"/>
    <w:bookmarkEnd w:id="406"/>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LISTED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firstLine="8"/>
        <w:spacing w:after="0" w:line="262" w:lineRule="auto"/>
        <w:tabs>
          <w:tab w:leader="none" w:pos="348"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pages in this document have been omitted and filed separately with the Securities and Exchange Commission. Confidential treatment has been requested with respect to the omitted portions.</w:t>
      </w:r>
    </w:p>
    <w:p>
      <w:pPr>
        <w:sectPr>
          <w:pgSz w:w="11900" w:h="16838" w:orient="portrait"/>
          <w:cols w:equalWidth="0" w:num="1">
            <w:col w:w="11000"/>
          </w:cols>
          <w:pgMar w:left="240" w:top="266" w:right="659" w:bottom="1440" w:gutter="0" w:footer="0" w:header="0"/>
        </w:sectPr>
      </w:pPr>
    </w:p>
    <w:bookmarkStart w:id="407" w:name="page408"/>
    <w:bookmarkEnd w:id="407"/>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PATENT COSTS INCURRED BY ARDELYX FOR PROSECUTION AND MAINTENANCE PRIOR TO THE EFFECTIVE DATE; COSTS DO NOT INCLUDE COSTS AND EXPENSES INCURRED IN DRAFTING AND FILING OF ORIGINAL APPLICATIONS</w:t>
      </w:r>
    </w:p>
    <w:p>
      <w:pPr>
        <w:spacing w:after="0" w:line="15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8" w:right="320" w:firstLine="8"/>
        <w:spacing w:after="0" w:line="262" w:lineRule="auto"/>
        <w:tabs>
          <w:tab w:leader="none" w:pos="340"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292"/>
          </w:cols>
          <w:pgMar w:left="248" w:top="265" w:right="359" w:bottom="1440" w:gutter="0" w:footer="0" w:header="0"/>
        </w:sectPr>
      </w:pPr>
    </w:p>
    <w:bookmarkStart w:id="408" w:name="page409"/>
    <w:bookmarkEnd w:id="40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LIST OF COUNTRIES FOR PROSECUTION AND MAINTENANCE OF LISTED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firstLine="8"/>
        <w:spacing w:after="0" w:line="262" w:lineRule="auto"/>
        <w:tabs>
          <w:tab w:leader="none" w:pos="348"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5" w:right="679" w:bottom="1440" w:gutter="0" w:footer="0" w:header="0"/>
        </w:sectPr>
      </w:pPr>
    </w:p>
    <w:bookmarkStart w:id="409" w:name="page410"/>
    <w:bookmarkEnd w:id="40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ARDELYX PRESS RELEASE</w:t>
      </w:r>
    </w:p>
    <w:p>
      <w:pPr>
        <w:spacing w:after="0" w:line="225" w:lineRule="exact"/>
        <w:rPr>
          <w:sz w:val="20"/>
          <w:szCs w:val="20"/>
          <w:color w:val="auto"/>
        </w:rPr>
      </w:pPr>
    </w:p>
    <w:p>
      <w:pPr>
        <w:jc w:val="center"/>
        <w:ind w:left="360" w:right="40"/>
        <w:spacing w:after="0" w:line="286" w:lineRule="auto"/>
        <w:rPr>
          <w:sz w:val="20"/>
          <w:szCs w:val="20"/>
          <w:color w:val="auto"/>
        </w:rPr>
      </w:pPr>
      <w:r>
        <w:rPr>
          <w:rFonts w:ascii="Times New Roman" w:cs="Times New Roman" w:eastAsia="Times New Roman" w:hAnsi="Times New Roman"/>
          <w:sz w:val="18"/>
          <w:szCs w:val="18"/>
          <w:b w:val="1"/>
          <w:bCs w:val="1"/>
          <w:color w:val="auto"/>
        </w:rPr>
        <w:t>ARDELYX LICENSES NaP2b PHOSPHATE INHIBITOR PROGRAM FOR KIDNEY DISEASE TO SANOFI IN DEAL WORTH UP TO $198 MILLION</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Fremont, California. February XX, 2014 – </w:t>
      </w:r>
      <w:r>
        <w:rPr>
          <w:rFonts w:ascii="Times New Roman" w:cs="Times New Roman" w:eastAsia="Times New Roman" w:hAnsi="Times New Roman"/>
          <w:sz w:val="18"/>
          <w:szCs w:val="18"/>
          <w:color w:val="auto"/>
        </w:rPr>
        <w:t>Ardelyx, Inc. today announced that it has licensed to Sanofi (NYSE: SNY; EURONEXT: SAN) its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phosphate transport NaP2b inhibitor program (also known as NaPi2b, Npt2b and SLC34A2). Ardelyx will receive an undisclosed upfront payment from Sanofi. Total development and regulatory milestones could potentially reach up to $198 million. Ardelyx would also be entitled to royalties on product sales. In addition, Ardelyx retains an option to participate in co-promotional activities for the US market.</w:t>
      </w:r>
    </w:p>
    <w:p>
      <w:pPr>
        <w:spacing w:after="0" w:line="181" w:lineRule="exact"/>
        <w:rPr>
          <w:sz w:val="20"/>
          <w:szCs w:val="20"/>
          <w:color w:val="auto"/>
        </w:rPr>
      </w:pPr>
    </w:p>
    <w:p>
      <w:pPr>
        <w:jc w:val="both"/>
        <w:ind w:right="280"/>
        <w:spacing w:after="0" w:line="313" w:lineRule="auto"/>
        <w:rPr>
          <w:sz w:val="20"/>
          <w:szCs w:val="20"/>
          <w:color w:val="auto"/>
        </w:rPr>
      </w:pPr>
      <w:r>
        <w:rPr>
          <w:rFonts w:ascii="Times New Roman" w:cs="Times New Roman" w:eastAsia="Times New Roman" w:hAnsi="Times New Roman"/>
          <w:sz w:val="17"/>
          <w:szCs w:val="17"/>
          <w:color w:val="auto"/>
        </w:rPr>
        <w:t>“Sanofi’s R&amp;D and commercial capabilities in phosphate management are rivaled by no other company, including their ability to test and understand our NaP2b inhibitor compounds in relation to phosphate binders and other available phosphate management strategies,” stated Mike Raab, CEO of Ardelyx.</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Ardelyx’s NaP2b program includes a portfolio of minimally-absorbed NaP2b inhibitors in discovery and preclinical stage of development, and Sanofi will have full responsibility for further discovery efforts and development of any products. NaP2b is an intestinal phosphate transporter whose activity accounts for a significant portion of dietary phosphate absorption in humans. The inhibition of NaP2b should have utility for the treatment of hyperphosphatemia (elevated serum phosphate) in patients with end stage renal disease (ESRD) and other forms of chronic kidney disease (CKD).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Ardelyx, a venture-funded biopharmaceutical company, was founded on the design and development of non- and minimally-absorbed, first-in-class oral therapeutics that target specific gut transporters and receptors with drugs that address important medical issues in cardiorenal, metabolic and gastrointestinal diseases. With this approach, Ardelyx has developed a pipeline of drug candidates that act locally and specifically in the gastrointestinal (GI) tract, thereby limiting the potential for systemic side effects, while impacting targets and pathways that modulate systemic diseases.</w:t>
      </w:r>
    </w:p>
    <w:p>
      <w:pPr>
        <w:spacing w:after="0" w:line="1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Company’s lead product, tenapanor, a minimally-absorbed, orally administered NHE3 sodium transport inhibitor, is being evaluated both for prevention of sodium and fluid overload in patients with kidney and heart disease and for constipation-predominant irritable bowel syndrome (IBS-C). Tenapanor is being developed by AstraZeneca under an exclusive license from Ardelyx. Additionally, Ardelyx has other products in early development for cardiorenal,</w:t>
      </w:r>
    </w:p>
    <w:p>
      <w:pPr>
        <w:sectPr>
          <w:pgSz w:w="11900" w:h="16838" w:orient="portrait"/>
          <w:cols w:equalWidth="0" w:num="1">
            <w:col w:w="11300"/>
          </w:cols>
          <w:pgMar w:left="240" w:top="266" w:right="359" w:bottom="1440" w:gutter="0" w:footer="0" w:header="0"/>
        </w:sectPr>
      </w:pPr>
    </w:p>
    <w:bookmarkStart w:id="410" w:name="page411"/>
    <w:bookmarkEnd w:id="41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metabolic and gastrointestinal diseases. To date, Ardelyx has raised $56 million in venture and angel funding since it was founded in 2007, and has received $50 million in non-dilutive funding from AstraZeneca. Ardelyx is located in Fremont, California. For more information, visit Ardelyx’s website at </w:t>
      </w:r>
      <w:r>
        <w:rPr>
          <w:rFonts w:ascii="Times New Roman" w:cs="Times New Roman" w:eastAsia="Times New Roman" w:hAnsi="Times New Roman"/>
          <w:sz w:val="18"/>
          <w:szCs w:val="18"/>
          <w:u w:val="single" w:color="auto"/>
          <w:color w:val="auto"/>
        </w:rPr>
        <w:t>www.ardelyx.com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Ardelyx Media and Investors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Mark Kaufmann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mkaufmann@ardelyx.com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510-745-1751</w:t>
      </w:r>
    </w:p>
    <w:p>
      <w:pPr>
        <w:sectPr>
          <w:pgSz w:w="11900" w:h="16838" w:orient="portrait"/>
          <w:cols w:equalWidth="0" w:num="1">
            <w:col w:w="11260"/>
          </w:cols>
          <w:pgMar w:left="240" w:top="270" w:right="399" w:bottom="1440" w:gutter="0" w:footer="0" w:header="0"/>
        </w:sectPr>
      </w:pPr>
    </w:p>
    <w:bookmarkStart w:id="411" w:name="page412"/>
    <w:bookmarkEnd w:id="411"/>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TECHNOLOGY TRANSFER DELIVERABLES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 Ardelyx Background Know-How and Listed Patents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9960" w:firstLine="8"/>
        <w:spacing w:after="0" w:line="286" w:lineRule="auto"/>
        <w:tabs>
          <w:tab w:leader="none" w:pos="185"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Materials [***]</w:t>
      </w:r>
    </w:p>
    <w:p>
      <w:pPr>
        <w:spacing w:after="0" w:line="87" w:lineRule="exact"/>
        <w:rPr>
          <w:sz w:val="20"/>
          <w:szCs w:val="20"/>
          <w:color w:val="auto"/>
        </w:rPr>
      </w:pPr>
    </w:p>
    <w:p>
      <w:pPr>
        <w:ind w:firstLine="8"/>
        <w:spacing w:after="0" w:line="262" w:lineRule="auto"/>
        <w:tabs>
          <w:tab w:leader="none" w:pos="348"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pages in this document have been omitted and filed separately with the Securities and Exchange Commission. Confidential treatment has been requested with respect to the omitted portions.</w:t>
      </w:r>
    </w:p>
    <w:p>
      <w:pPr>
        <w:sectPr>
          <w:pgSz w:w="11900" w:h="16838" w:orient="portrait"/>
          <w:cols w:equalWidth="0" w:num="1">
            <w:col w:w="11000"/>
          </w:cols>
          <w:pgMar w:left="240" w:top="266" w:right="659" w:bottom="1440" w:gutter="0" w:footer="0" w:header="0"/>
        </w:sectPr>
      </w:pPr>
    </w:p>
    <w:bookmarkStart w:id="412" w:name="page413"/>
    <w:bookmarkEnd w:id="41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SPECIAL DISCLOSURE PROCESS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intended disclosure by Ardelyx of Confidential Information as per subsection 7.5 (d) or of the terms of this Agreement as per 10.2 to a Major Biopharmaceutical Company shall be made in compliance with the process described below:</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7" w:lineRule="exact"/>
        <w:rPr>
          <w:sz w:val="20"/>
          <w:szCs w:val="20"/>
          <w:color w:val="auto"/>
        </w:rPr>
      </w:pPr>
    </w:p>
    <w:p>
      <w:pPr>
        <w:ind w:firstLine="8"/>
        <w:spacing w:after="0" w:line="262" w:lineRule="auto"/>
        <w:tabs>
          <w:tab w:leader="none" w:pos="348"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240" w:top="265" w:right="67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Dated as of June 23, 2011</w:t>
      </w:r>
    </w:p>
    <w:p>
      <w:pPr>
        <w:sectPr>
          <w:pgSz w:w="11900" w:h="16838" w:orient="portrait"/>
          <w:cols w:equalWidth="0" w:num="1">
            <w:col w:w="10220"/>
          </w:cols>
          <w:pgMar w:left="1440" w:top="117" w:right="23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09"/>
        </w:trPr>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8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Request for Registration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Registration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S-3 Registration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from Holder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1.7</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 of Registration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of Registration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Under Securities Exchange Act of 1934</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of Registration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8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Covenants of the Company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28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First Offer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Observer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Information and Inventions Assignment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Vesting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2.7</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Actions Requiring Board Approval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 Holding Company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2.9</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2.10</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8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Certain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28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Series B Investors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Venue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3.4</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Titles and Subtitles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3.6</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and Waivers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3.9</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3.10</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Aggregation of Stock</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80" w:type="dxa"/>
            <w:vAlign w:val="bottom"/>
          </w:tcPr>
          <w:p>
            <w:pPr>
              <w:spacing w:after="0"/>
              <w:rPr>
                <w:sz w:val="18"/>
                <w:szCs w:val="18"/>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28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266" w:right="339" w:bottom="1440" w:gutter="0" w:footer="0" w:header="0"/>
        </w:sectPr>
      </w:pPr>
    </w:p>
    <w:bookmarkStart w:id="415" w:name="page416"/>
    <w:bookmarkEnd w:id="4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ARDELYX,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25" w:lineRule="exact"/>
        <w:rPr>
          <w:sz w:val="20"/>
          <w:szCs w:val="20"/>
          <w:color w:val="auto"/>
        </w:rPr>
      </w:pPr>
    </w:p>
    <w:p>
      <w:pPr>
        <w:jc w:val="both"/>
        <w:ind w:firstLine="456"/>
        <w:spacing w:after="0" w:line="291" w:lineRule="auto"/>
        <w:rPr>
          <w:sz w:val="20"/>
          <w:szCs w:val="20"/>
          <w:color w:val="auto"/>
        </w:rPr>
      </w:pPr>
      <w:r>
        <w:rPr>
          <w:rFonts w:ascii="Times New Roman" w:cs="Times New Roman" w:eastAsia="Times New Roman" w:hAnsi="Times New Roman"/>
          <w:sz w:val="17"/>
          <w:szCs w:val="17"/>
          <w:color w:val="auto"/>
        </w:rPr>
        <w:t>THIS AMENDED AND RESTATED INVESTORS’ RIGHTS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 as of June 23, 2011 by and among Ardelyx,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formerly known as Nteryx, Inc., Dominique Charmot and Jean Frechet (the “</w:t>
      </w:r>
      <w:r>
        <w:rPr>
          <w:rFonts w:ascii="Times New Roman" w:cs="Times New Roman" w:eastAsia="Times New Roman" w:hAnsi="Times New Roman"/>
          <w:sz w:val="17"/>
          <w:szCs w:val="17"/>
          <w:b w:val="1"/>
          <w:bCs w:val="1"/>
          <w:i w:val="1"/>
          <w:iCs w:val="1"/>
          <w:color w:val="auto"/>
        </w:rPr>
        <w:t>Founders</w:t>
      </w:r>
      <w:r>
        <w:rPr>
          <w:rFonts w:ascii="Times New Roman" w:cs="Times New Roman" w:eastAsia="Times New Roman" w:hAnsi="Times New Roman"/>
          <w:sz w:val="17"/>
          <w:szCs w:val="17"/>
          <w:color w:val="auto"/>
        </w:rPr>
        <w:t xml:space="preserve">”), the investors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(each an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Investors</w:t>
      </w:r>
      <w:r>
        <w:rPr>
          <w:rFonts w:ascii="Times New Roman" w:cs="Times New Roman" w:eastAsia="Times New Roman" w:hAnsi="Times New Roman"/>
          <w:sz w:val="17"/>
          <w:szCs w:val="17"/>
          <w:color w:val="auto"/>
        </w:rPr>
        <w:t>”), and such Investors who may be added to this Agreement as provided herein.</w:t>
      </w: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Founders currently own shares of common stock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B. Certain of the Investors and the Company are parties to that certain Series B Preferred Stock Purchase Agreement dated as of the date hereof (the “</w:t>
      </w:r>
      <w:r>
        <w:rPr>
          <w:rFonts w:ascii="Times New Roman" w:cs="Times New Roman" w:eastAsia="Times New Roman" w:hAnsi="Times New Roman"/>
          <w:sz w:val="18"/>
          <w:szCs w:val="18"/>
          <w:b w:val="1"/>
          <w:bCs w:val="1"/>
          <w:i w:val="1"/>
          <w:iCs w:val="1"/>
          <w:color w:val="auto"/>
        </w:rPr>
        <w:t>Series B Purchase Agreement</w:t>
      </w:r>
      <w:r>
        <w:rPr>
          <w:rFonts w:ascii="Times New Roman" w:cs="Times New Roman" w:eastAsia="Times New Roman" w:hAnsi="Times New Roman"/>
          <w:sz w:val="18"/>
          <w:szCs w:val="18"/>
          <w:color w:val="auto"/>
        </w:rPr>
        <w:t>”) relating to the issue and sale of shares of Series B Preferred Stock of the Company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The Company may sell and issue additional shares of Series B Preferred Stock (the “</w:t>
      </w:r>
      <w:r>
        <w:rPr>
          <w:rFonts w:ascii="Times New Roman" w:cs="Times New Roman" w:eastAsia="Times New Roman" w:hAnsi="Times New Roman"/>
          <w:sz w:val="18"/>
          <w:szCs w:val="18"/>
          <w:b w:val="1"/>
          <w:bCs w:val="1"/>
          <w:i w:val="1"/>
          <w:iCs w:val="1"/>
          <w:color w:val="auto"/>
        </w:rPr>
        <w:t>Additional Series B Shares</w:t>
      </w:r>
      <w:r>
        <w:rPr>
          <w:rFonts w:ascii="Times New Roman" w:cs="Times New Roman" w:eastAsia="Times New Roman" w:hAnsi="Times New Roman"/>
          <w:sz w:val="18"/>
          <w:szCs w:val="18"/>
          <w:color w:val="auto"/>
        </w:rPr>
        <w:t>”) to certain Investors and other investors (the “</w:t>
      </w:r>
      <w:r>
        <w:rPr>
          <w:rFonts w:ascii="Times New Roman" w:cs="Times New Roman" w:eastAsia="Times New Roman" w:hAnsi="Times New Roman"/>
          <w:sz w:val="18"/>
          <w:szCs w:val="18"/>
          <w:b w:val="1"/>
          <w:bCs w:val="1"/>
          <w:i w:val="1"/>
          <w:iCs w:val="1"/>
          <w:color w:val="auto"/>
        </w:rPr>
        <w:t>Additional Series B Investors</w:t>
      </w:r>
      <w:r>
        <w:rPr>
          <w:rFonts w:ascii="Times New Roman" w:cs="Times New Roman" w:eastAsia="Times New Roman" w:hAnsi="Times New Roman"/>
          <w:sz w:val="18"/>
          <w:szCs w:val="18"/>
          <w:color w:val="auto"/>
        </w:rPr>
        <w:t>”) pursuant to the Series B Purchase Agreement.</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C. The obligations of the Company and certain of the Investors under the Series B Purchase Agreement are conditioned, among other things, upon the execution and delivery of this Agreement by the Investors, the Founders and the Company.</w:t>
      </w:r>
    </w:p>
    <w:p>
      <w:pPr>
        <w:spacing w:after="0" w:line="158" w:lineRule="exact"/>
        <w:rPr>
          <w:sz w:val="20"/>
          <w:szCs w:val="20"/>
          <w:color w:val="auto"/>
        </w:rPr>
      </w:pPr>
    </w:p>
    <w:p>
      <w:pPr>
        <w:ind w:right="220" w:firstLine="456"/>
        <w:spacing w:after="0" w:line="268" w:lineRule="auto"/>
        <w:rPr>
          <w:sz w:val="20"/>
          <w:szCs w:val="20"/>
          <w:color w:val="auto"/>
        </w:rPr>
      </w:pPr>
      <w:r>
        <w:rPr>
          <w:rFonts w:ascii="Times New Roman" w:cs="Times New Roman" w:eastAsia="Times New Roman" w:hAnsi="Times New Roman"/>
          <w:sz w:val="18"/>
          <w:szCs w:val="18"/>
          <w:color w:val="auto"/>
        </w:rPr>
        <w:t>D. The Company, the Founders, and the Investors previously entered into that Investors’ Rights Agreement dated as of May 29, 2008 (the “</w:t>
      </w:r>
      <w:r>
        <w:rPr>
          <w:rFonts w:ascii="Times New Roman" w:cs="Times New Roman" w:eastAsia="Times New Roman" w:hAnsi="Times New Roman"/>
          <w:sz w:val="18"/>
          <w:szCs w:val="18"/>
          <w:b w:val="1"/>
          <w:bCs w:val="1"/>
          <w:u w:val="single" w:color="auto"/>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The parties to the Prior Agreement desire to terminate the Prior Agreement and accept the rights and covenants hereof in lieu of their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covenants under the Prior Agreement.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in consideration of the mutual premises and covenants set forth herein, the parties hereto agree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covenants and agrees as follows: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221" w:lineRule="exact"/>
        <w:rPr>
          <w:sz w:val="20"/>
          <w:szCs w:val="20"/>
          <w:color w:val="auto"/>
        </w:rPr>
      </w:pPr>
    </w:p>
    <w:p>
      <w:pPr>
        <w:ind w:right="140" w:firstLine="1492"/>
        <w:spacing w:after="0" w:line="286" w:lineRule="auto"/>
        <w:tabs>
          <w:tab w:leader="none" w:pos="172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Securities Act of 1933, as amended, and the rules and regulations of the SEC promulgated thereunder, as the same shall be in effect from time to time.</w:t>
      </w:r>
    </w:p>
    <w:p>
      <w:pPr>
        <w:spacing w:after="0" w:line="154" w:lineRule="exact"/>
        <w:rPr>
          <w:rFonts w:ascii="Times New Roman" w:cs="Times New Roman" w:eastAsia="Times New Roman" w:hAnsi="Times New Roman"/>
          <w:sz w:val="18"/>
          <w:szCs w:val="18"/>
          <w:color w:val="auto"/>
        </w:rPr>
      </w:pPr>
    </w:p>
    <w:p>
      <w:pPr>
        <w:ind w:right="40" w:firstLine="1492"/>
        <w:spacing w:after="0" w:line="268" w:lineRule="auto"/>
        <w:tabs>
          <w:tab w:leader="none" w:pos="173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means such form under the Act as in effect on the date hereof or any successor registration form under the Act subsequently adopted by the SEC that permits inclusion or incorporation of substantial information by reference to other documents filed by the Company with the SEC.</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266" w:right="319" w:bottom="1440" w:gutter="0" w:footer="0" w:header="0"/>
        </w:sectPr>
      </w:pPr>
    </w:p>
    <w:bookmarkStart w:id="416" w:name="page417"/>
    <w:bookmarkEnd w:id="416"/>
    <w:p>
      <w:pPr>
        <w:ind w:left="-20" w:right="60" w:firstLine="1492"/>
        <w:spacing w:after="0" w:line="286" w:lineRule="auto"/>
        <w:tabs>
          <w:tab w:leader="none" w:pos="170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Times New Roman" w:cs="Times New Roman" w:eastAsia="Times New Roman" w:hAnsi="Times New Roman"/>
          <w:sz w:val="18"/>
          <w:szCs w:val="18"/>
          <w:b w:val="1"/>
          <w:bCs w:val="1"/>
          <w:i w:val="1"/>
          <w:iCs w:val="1"/>
          <w:color w:val="auto"/>
        </w:rPr>
        <w:t>Founders Shares</w:t>
      </w:r>
      <w:r>
        <w:rPr>
          <w:rFonts w:ascii="Times New Roman" w:cs="Times New Roman" w:eastAsia="Times New Roman" w:hAnsi="Times New Roman"/>
          <w:sz w:val="18"/>
          <w:szCs w:val="18"/>
          <w:color w:val="auto"/>
        </w:rPr>
        <w:t>” means the shares of Common Stock (subject to appropriate adjustment for stock splits, stock dividends, combinations and other recapitalizations (collectively, “</w:t>
      </w:r>
      <w:r>
        <w:rPr>
          <w:rFonts w:ascii="Times New Roman" w:cs="Times New Roman" w:eastAsia="Times New Roman" w:hAnsi="Times New Roman"/>
          <w:sz w:val="18"/>
          <w:szCs w:val="18"/>
          <w:b w:val="1"/>
          <w:bCs w:val="1"/>
          <w:i w:val="1"/>
          <w:iCs w:val="1"/>
          <w:color w:val="auto"/>
        </w:rPr>
        <w:t>Recapitalizations</w:t>
      </w:r>
      <w:r>
        <w:rPr>
          <w:rFonts w:ascii="Times New Roman" w:cs="Times New Roman" w:eastAsia="Times New Roman" w:hAnsi="Times New Roman"/>
          <w:sz w:val="18"/>
          <w:szCs w:val="18"/>
          <w:color w:val="auto"/>
        </w:rPr>
        <w:t xml:space="preserve">”)) issued to the Founders in the amounts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54" w:lineRule="exact"/>
        <w:rPr>
          <w:rFonts w:ascii="Times New Roman" w:cs="Times New Roman" w:eastAsia="Times New Roman" w:hAnsi="Times New Roman"/>
          <w:sz w:val="18"/>
          <w:szCs w:val="18"/>
          <w:color w:val="auto"/>
        </w:rPr>
      </w:pPr>
    </w:p>
    <w:p>
      <w:pPr>
        <w:ind w:left="-20" w:firstLine="1492"/>
        <w:spacing w:after="0" w:line="317" w:lineRule="auto"/>
        <w:tabs>
          <w:tab w:leader="none" w:pos="1718"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means any person owning or having the right to acquire Registrable Securities or any assignee thereof in accordance with Section 1.11 hereof; provided, however, that the Founders shall not be deemed “Holders” for purposes of Sections 1.2, 1.4, 1.7, 1.12, and 3.8.</w:t>
      </w:r>
    </w:p>
    <w:p>
      <w:pPr>
        <w:spacing w:after="0" w:line="131" w:lineRule="exact"/>
        <w:rPr>
          <w:rFonts w:ascii="Times New Roman" w:cs="Times New Roman" w:eastAsia="Times New Roman" w:hAnsi="Times New Roman"/>
          <w:sz w:val="17"/>
          <w:szCs w:val="17"/>
          <w:color w:val="auto"/>
        </w:rPr>
      </w:pPr>
    </w:p>
    <w:p>
      <w:pPr>
        <w:ind w:left="-20" w:right="20" w:firstLine="1492"/>
        <w:spacing w:after="0" w:line="268" w:lineRule="auto"/>
        <w:tabs>
          <w:tab w:leader="none" w:pos="170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means the first firm commitment underwritten public offering of its Common Stock pursuant to an effective registration statement under the Act (other than a registration statement relating either to the sale of securities to employees of the Company pursuant to a stock option, stock purchase or similar plan or an SEC Rule 145 transaction).</w:t>
      </w:r>
    </w:p>
    <w:p>
      <w:pPr>
        <w:spacing w:after="0" w:line="170" w:lineRule="exact"/>
        <w:rPr>
          <w:rFonts w:ascii="Times New Roman" w:cs="Times New Roman" w:eastAsia="Times New Roman" w:hAnsi="Times New Roman"/>
          <w:sz w:val="18"/>
          <w:szCs w:val="18"/>
          <w:color w:val="auto"/>
        </w:rPr>
      </w:pPr>
    </w:p>
    <w:p>
      <w:pPr>
        <w:ind w:left="-20" w:right="120" w:firstLine="1492"/>
        <w:spacing w:after="0" w:line="286" w:lineRule="auto"/>
        <w:tabs>
          <w:tab w:leader="none" w:pos="168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1934</w:t>
      </w:r>
      <w:r>
        <w:rPr>
          <w:rFonts w:ascii="Times New Roman" w:cs="Times New Roman" w:eastAsia="Times New Roman" w:hAnsi="Times New Roman"/>
          <w:sz w:val="18"/>
          <w:szCs w:val="18"/>
          <w:color w:val="auto"/>
        </w:rPr>
        <w:t xml:space="preserve"> Act” means the Securities Exchange Act of 1934, as amended, and the rules and regulations of the SEC promulgated thereunder, as the same shall be in effect from time to time.</w:t>
      </w:r>
    </w:p>
    <w:p>
      <w:pPr>
        <w:spacing w:after="0" w:line="154" w:lineRule="exact"/>
        <w:rPr>
          <w:rFonts w:ascii="Times New Roman" w:cs="Times New Roman" w:eastAsia="Times New Roman" w:hAnsi="Times New Roman"/>
          <w:sz w:val="18"/>
          <w:szCs w:val="18"/>
          <w:color w:val="auto"/>
        </w:rPr>
      </w:pPr>
    </w:p>
    <w:p>
      <w:pPr>
        <w:ind w:left="1720" w:hanging="248"/>
        <w:spacing w:after="0"/>
        <w:tabs>
          <w:tab w:leader="none" w:pos="17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shall mean the Series A Preferred Stock of the Company and the Series B Preferred Stock.</w:t>
      </w:r>
    </w:p>
    <w:p>
      <w:pPr>
        <w:spacing w:after="0" w:line="225" w:lineRule="exact"/>
        <w:rPr>
          <w:rFonts w:ascii="Times New Roman" w:cs="Times New Roman" w:eastAsia="Times New Roman" w:hAnsi="Times New Roman"/>
          <w:sz w:val="18"/>
          <w:szCs w:val="18"/>
          <w:color w:val="auto"/>
        </w:rPr>
      </w:pPr>
    </w:p>
    <w:p>
      <w:pPr>
        <w:ind w:left="-20" w:right="180" w:firstLine="1492"/>
        <w:spacing w:after="0" w:line="286" w:lineRule="auto"/>
        <w:tabs>
          <w:tab w:leader="none" w:pos="171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54" w:lineRule="exact"/>
        <w:rPr>
          <w:rFonts w:ascii="Times New Roman" w:cs="Times New Roman" w:eastAsia="Times New Roman" w:hAnsi="Times New Roman"/>
          <w:sz w:val="18"/>
          <w:szCs w:val="18"/>
          <w:color w:val="auto"/>
        </w:rPr>
      </w:pPr>
    </w:p>
    <w:p>
      <w:pPr>
        <w:ind w:left="-20" w:right="200" w:firstLine="1492"/>
        <w:spacing w:after="0" w:line="255" w:lineRule="auto"/>
        <w:tabs>
          <w:tab w:leader="none" w:pos="167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means (i) the Common Stock issuable or issued upon conversion of the Preferred Stock, (ii) the Founders Shares; provided, however, that such Founder Shares shall not be deemed Registrable Securities and the holders thereof shall not be deemed Holders for the purposes of Sections 1.2, 1.4, 1.7, 1.12 and 3.8 and (iii) any Common Stock of the Company issued as (or issuable upon the conversion or exercise of any warrant, right or other security that is issued as) a dividend or other distribution with respect to, or in exchange for, or in replacement of, the shares referenced in (i) or (ii) above, excluding in all cases, however, any Registrable Securities sold by a person (x) in a transaction in which his, her or its rights under this Section 1 are not assigned, (y) pursuant to a registration statement under the Act that has been declared effective and such Registrable Securities have been disposed of pursuant to such effective registration statement, or (z) in a transaction in which such Registrable Securities are sold pursuant to Rule 144 (or any similar provision then in force) under the Act.</w:t>
      </w:r>
    </w:p>
    <w:p>
      <w:pPr>
        <w:spacing w:after="0" w:line="185" w:lineRule="exact"/>
        <w:rPr>
          <w:rFonts w:ascii="Times New Roman" w:cs="Times New Roman" w:eastAsia="Times New Roman" w:hAnsi="Times New Roman"/>
          <w:sz w:val="18"/>
          <w:szCs w:val="18"/>
          <w:color w:val="auto"/>
        </w:rPr>
      </w:pPr>
    </w:p>
    <w:p>
      <w:pPr>
        <w:ind w:left="-20" w:right="240" w:firstLine="1492"/>
        <w:spacing w:after="0" w:line="268" w:lineRule="auto"/>
        <w:tabs>
          <w:tab w:leader="none" w:pos="1678"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w:t>
      </w:r>
      <w:r>
        <w:rPr>
          <w:rFonts w:ascii="Times New Roman" w:cs="Times New Roman" w:eastAsia="Times New Roman" w:hAnsi="Times New Roman"/>
          <w:sz w:val="18"/>
          <w:szCs w:val="18"/>
          <w:b w:val="1"/>
          <w:bCs w:val="1"/>
          <w:i w:val="1"/>
          <w:iCs w:val="1"/>
          <w:color w:val="auto"/>
        </w:rPr>
        <w:t>Registrable Securities then outstanding</w:t>
      </w:r>
      <w:r>
        <w:rPr>
          <w:rFonts w:ascii="Times New Roman" w:cs="Times New Roman" w:eastAsia="Times New Roman" w:hAnsi="Times New Roman"/>
          <w:sz w:val="18"/>
          <w:szCs w:val="18"/>
          <w:color w:val="auto"/>
        </w:rPr>
        <w:t>” shall be determined by the number of shares of Common Stock outstanding that are, and the number of shares of Common Stock issuable pursuant to then exercisable or convertible securities that are, Registrable Securities.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60" w:top="266" w:right="239" w:bottom="1440" w:gutter="0" w:footer="0" w:header="0"/>
        </w:sectPr>
      </w:pPr>
    </w:p>
    <w:bookmarkStart w:id="417" w:name="page418"/>
    <w:bookmarkEnd w:id="417"/>
    <w:p>
      <w:pPr>
        <w:ind w:left="1740" w:hanging="248"/>
        <w:spacing w:after="0"/>
        <w:tabs>
          <w:tab w:leader="none" w:pos="174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Securities and Exchange Commission.</w:t>
      </w:r>
    </w:p>
    <w:p>
      <w:pPr>
        <w:spacing w:after="0" w:line="225" w:lineRule="exact"/>
        <w:rPr>
          <w:rFonts w:ascii="Times New Roman" w:cs="Times New Roman" w:eastAsia="Times New Roman" w:hAnsi="Times New Roman"/>
          <w:sz w:val="18"/>
          <w:szCs w:val="18"/>
          <w:color w:val="auto"/>
        </w:rPr>
      </w:pPr>
    </w:p>
    <w:p>
      <w:pPr>
        <w:ind w:right="80" w:firstLine="1492"/>
        <w:spacing w:after="0" w:line="272" w:lineRule="auto"/>
        <w:tabs>
          <w:tab w:leader="none" w:pos="1698"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Qualified Public Offering</w:t>
      </w:r>
      <w:r>
        <w:rPr>
          <w:rFonts w:ascii="Times New Roman" w:cs="Times New Roman" w:eastAsia="Times New Roman" w:hAnsi="Times New Roman"/>
          <w:sz w:val="17"/>
          <w:szCs w:val="17"/>
          <w:color w:val="auto"/>
        </w:rPr>
        <w:t>” shall mean the first firm commitment underwritten public offering of Common Stock of the Company pursuant to an effective registration statement on Form S-1 (as defined in the Act) or any successor form at a price per share of not less than $3.42 (appropriately adjusted for any Recapitalizations effected after the date hereof) with aggregate proceeds to the Company (before deductions of underwriters’ discounts and commissions) of not less than $30,000,000 and pursuant to which the Company’s Common Stock is listed on the New York Stock Exchange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NASDAQ.</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492"/>
        <w:spacing w:after="0" w:line="255" w:lineRule="auto"/>
        <w:tabs>
          <w:tab w:leader="none" w:pos="172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this Section 1.2, if the Company shall receive at any time after the earlier of (i) four (4) years after the date of this Agreement or (ii) six (6) months after the effective date of the Initial Public Offering, a written request from the Holders of at least twenty-five percent (25%) or more of the Registrable Securities then outstanding (the “</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that the Company file a registration statement under the Act covering the registration of at least twenty-five percent (25%) of the then outstanding Registrable Securities, or a lesser percent if the anticipated aggregate offering price, net of underwriting discounts and commissions, would exceed $5,000,000, then the Company shall, within twenty (20) days of the receipt thereof, give written notice of such request to all Holders, and subject to the limitations of this Section 1.2, use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85" w:lineRule="exact"/>
        <w:rPr>
          <w:rFonts w:ascii="Times New Roman" w:cs="Times New Roman" w:eastAsia="Times New Roman" w:hAnsi="Times New Roman"/>
          <w:sz w:val="18"/>
          <w:szCs w:val="18"/>
          <w:color w:val="auto"/>
        </w:rPr>
      </w:pPr>
    </w:p>
    <w:p>
      <w:pPr>
        <w:ind w:firstLine="1492"/>
        <w:spacing w:after="0" w:line="253" w:lineRule="auto"/>
        <w:tabs>
          <w:tab w:leader="none" w:pos="173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Notwithstanding any other provision of this Section 1.2, if the underwriter advises the Company that marketing factors require a limitation of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on a pro rata basis (as nearly as practicable) based on the number of Registrable Securities held by all such Holders (including the Initiating Holders), provided that no Registrable Securities shall be excluded unless and until all other securities of the Company have been excluded. Any Registrable Securities excluded or withdrawn from such underwriting shall be withdrawn from the registration.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5" w:right="239" w:bottom="1440" w:gutter="0" w:footer="0" w:header="0"/>
        </w:sectPr>
      </w:pPr>
    </w:p>
    <w:bookmarkStart w:id="418" w:name="page419"/>
    <w:bookmarkEnd w:id="418"/>
    <w:p>
      <w:pPr>
        <w:ind w:left="1740" w:hanging="248"/>
        <w:spacing w:after="0"/>
        <w:tabs>
          <w:tab w:leader="none" w:pos="174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the Company shall not be required to effect a registration pursuant to this Section 1.2:</w:t>
      </w:r>
    </w:p>
    <w:p>
      <w:pPr>
        <w:spacing w:after="0" w:line="225" w:lineRule="exact"/>
        <w:rPr>
          <w:rFonts w:ascii="Times New Roman" w:cs="Times New Roman" w:eastAsia="Times New Roman" w:hAnsi="Times New Roman"/>
          <w:sz w:val="18"/>
          <w:szCs w:val="18"/>
          <w:color w:val="auto"/>
        </w:rPr>
      </w:pPr>
    </w:p>
    <w:p>
      <w:pPr>
        <w:ind w:left="2160" w:hanging="212"/>
        <w:spacing w:after="0"/>
        <w:tabs>
          <w:tab w:leader="none" w:pos="21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effected two (2) registrations pursuant to this Section 1.2, and such registrations have been declared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ordered effective;</w:t>
      </w:r>
    </w:p>
    <w:p>
      <w:pPr>
        <w:spacing w:after="0" w:line="207" w:lineRule="exact"/>
        <w:rPr>
          <w:sz w:val="20"/>
          <w:szCs w:val="20"/>
          <w:color w:val="auto"/>
        </w:rPr>
      </w:pPr>
    </w:p>
    <w:p>
      <w:pPr>
        <w:ind w:right="460" w:firstLine="1948"/>
        <w:spacing w:after="0" w:line="282" w:lineRule="auto"/>
        <w:tabs>
          <w:tab w:leader="none" w:pos="220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effected a registration pursuant to this Section 1.2 within the preceding twelve (12) months, and such registration has been declared or ordered effective;</w:t>
      </w:r>
    </w:p>
    <w:p>
      <w:pPr>
        <w:spacing w:after="0" w:line="161" w:lineRule="exact"/>
        <w:rPr>
          <w:rFonts w:ascii="Times New Roman" w:cs="Times New Roman" w:eastAsia="Times New Roman" w:hAnsi="Times New Roman"/>
          <w:sz w:val="18"/>
          <w:szCs w:val="18"/>
          <w:color w:val="auto"/>
        </w:rPr>
      </w:pPr>
    </w:p>
    <w:p>
      <w:pPr>
        <w:jc w:val="both"/>
        <w:ind w:right="100" w:firstLine="1948"/>
        <w:spacing w:after="0" w:line="266" w:lineRule="auto"/>
        <w:tabs>
          <w:tab w:leader="none" w:pos="225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starting with the date sixty (60) days prior to the Company’s good faith estimate of the date of the filing of, and ending on a date one hundred eighty (180) days following the effective date of, a Company-initiated registration subject to Section 1.3, provided that the Company is actively employing in good faith all reasonable efforts to cause such registration statement to become effective;</w:t>
      </w:r>
    </w:p>
    <w:p>
      <w:pPr>
        <w:spacing w:after="0" w:line="176" w:lineRule="exact"/>
        <w:rPr>
          <w:rFonts w:ascii="Times New Roman" w:cs="Times New Roman" w:eastAsia="Times New Roman" w:hAnsi="Times New Roman"/>
          <w:sz w:val="18"/>
          <w:szCs w:val="18"/>
          <w:color w:val="auto"/>
        </w:rPr>
      </w:pPr>
    </w:p>
    <w:p>
      <w:pPr>
        <w:ind w:left="2260" w:hanging="312"/>
        <w:spacing w:after="0"/>
        <w:tabs>
          <w:tab w:leader="none" w:pos="22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propose to dispose of Registrable Securities that may be registered on Form S-3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w:t>
      </w:r>
    </w:p>
    <w:p>
      <w:pPr>
        <w:spacing w:after="0" w:line="207" w:lineRule="exact"/>
        <w:rPr>
          <w:sz w:val="20"/>
          <w:szCs w:val="20"/>
          <w:color w:val="auto"/>
        </w:rPr>
      </w:pPr>
    </w:p>
    <w:p>
      <w:pPr>
        <w:ind w:firstLine="1948"/>
        <w:spacing w:after="0" w:line="254" w:lineRule="auto"/>
        <w:tabs>
          <w:tab w:leader="none" w:pos="219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furnish to Holders requesting a registration pursuant to this Section 1.2, a certificate signed by the Company’s Chief Executive Officer or Chairman of the Board stating that in the good faith judgment of the Board of Directors of the Company, it would be seriously detrimental to the Company and its stockholders for such registration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provided further, that the Company shall not register any securities for the account of itself or any other stockholder during such one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189" w:lineRule="exact"/>
        <w:rPr>
          <w:rFonts w:ascii="Times New Roman" w:cs="Times New Roman" w:eastAsia="Times New Roman" w:hAnsi="Times New Roman"/>
          <w:sz w:val="18"/>
          <w:szCs w:val="18"/>
          <w:color w:val="auto"/>
        </w:rPr>
      </w:pPr>
    </w:p>
    <w:p>
      <w:pPr>
        <w:ind w:right="280" w:firstLine="1948"/>
        <w:spacing w:after="0" w:line="282" w:lineRule="auto"/>
        <w:tabs>
          <w:tab w:leader="none" w:pos="224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1492"/>
        <w:spacing w:after="0" w:line="261" w:lineRule="auto"/>
        <w:tabs>
          <w:tab w:leader="none" w:pos="172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(but without any obligation to do so) the Company proposes to register (including for this purpose a registration effected by the Company for stockholders other than the Holders, but not including a registration effected pursuant to Section 1.2 or Section 1.4 hereof) any of its stock or other securities under the Act in connection with the public offering of such securities (other than a registration relating solely to the sale of securities to participants in a Company stock plan, a registration relating to a corporate reorganization or other transaction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419" w:name="page420"/>
    <w:bookmarkEnd w:id="419"/>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the Company shall, subject to the provisions of Section 1.5(e), use all commercially reasonable efforts to cause to be registered under the Act all of the Registrable Securities that each such Holder has requested to be registered.</w:t>
      </w:r>
    </w:p>
    <w:p>
      <w:pPr>
        <w:spacing w:after="0" w:line="188" w:lineRule="exact"/>
        <w:rPr>
          <w:sz w:val="20"/>
          <w:szCs w:val="20"/>
          <w:color w:val="auto"/>
        </w:rPr>
      </w:pPr>
    </w:p>
    <w:p>
      <w:pPr>
        <w:ind w:right="20" w:firstLine="1492"/>
        <w:spacing w:after="0" w:line="266" w:lineRule="auto"/>
        <w:tabs>
          <w:tab w:leader="none" w:pos="173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Form S-3 Registration</w:t>
      </w:r>
      <w:r>
        <w:rPr>
          <w:rFonts w:ascii="Times New Roman" w:cs="Times New Roman" w:eastAsia="Times New Roman" w:hAnsi="Times New Roman"/>
          <w:sz w:val="18"/>
          <w:szCs w:val="18"/>
          <w:color w:val="auto"/>
        </w:rPr>
        <w:t>. In case the Company shall receive from the Holders of at least twenty-five percent (25%) of the Registrable Securities then outstanding a written request or requests that the Company effect a registration on Form S-3 and any related qualification or compliance with respect to all or a part of the Registrable Securities owned by such Holder or Holders, the Company shall:</w:t>
      </w:r>
    </w:p>
    <w:p>
      <w:pPr>
        <w:spacing w:after="0" w:line="176" w:lineRule="exact"/>
        <w:rPr>
          <w:sz w:val="20"/>
          <w:szCs w:val="20"/>
          <w:color w:val="auto"/>
        </w:rPr>
      </w:pPr>
    </w:p>
    <w:p>
      <w:pPr>
        <w:ind w:left="1740" w:hanging="248"/>
        <w:spacing w:after="0"/>
        <w:tabs>
          <w:tab w:leader="none" w:pos="174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and any related qualification or compliance, to all other Holders; and</w:t>
      </w:r>
    </w:p>
    <w:p>
      <w:pPr>
        <w:spacing w:after="0" w:line="225" w:lineRule="exact"/>
        <w:rPr>
          <w:rFonts w:ascii="Times New Roman" w:cs="Times New Roman" w:eastAsia="Times New Roman" w:hAnsi="Times New Roman"/>
          <w:sz w:val="18"/>
          <w:szCs w:val="18"/>
          <w:color w:val="auto"/>
        </w:rPr>
      </w:pPr>
    </w:p>
    <w:p>
      <w:pPr>
        <w:ind w:firstLine="1492"/>
        <w:spacing w:after="0" w:line="258" w:lineRule="auto"/>
        <w:tabs>
          <w:tab w:leader="none" w:pos="173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1.4:</w:t>
      </w:r>
    </w:p>
    <w:p>
      <w:pPr>
        <w:spacing w:after="0" w:line="183" w:lineRule="exact"/>
        <w:rPr>
          <w:rFonts w:ascii="Times New Roman" w:cs="Times New Roman" w:eastAsia="Times New Roman" w:hAnsi="Times New Roman"/>
          <w:sz w:val="18"/>
          <w:szCs w:val="18"/>
          <w:color w:val="auto"/>
        </w:rPr>
      </w:pPr>
    </w:p>
    <w:p>
      <w:pPr>
        <w:ind w:left="2160" w:hanging="212"/>
        <w:spacing w:after="0"/>
        <w:tabs>
          <w:tab w:leader="none" w:pos="216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such offering by the Holders;</w:t>
      </w:r>
    </w:p>
    <w:p>
      <w:pPr>
        <w:spacing w:after="0" w:line="225" w:lineRule="exact"/>
        <w:rPr>
          <w:rFonts w:ascii="Times New Roman" w:cs="Times New Roman" w:eastAsia="Times New Roman" w:hAnsi="Times New Roman"/>
          <w:sz w:val="18"/>
          <w:szCs w:val="18"/>
          <w:color w:val="auto"/>
        </w:rPr>
      </w:pPr>
    </w:p>
    <w:p>
      <w:pPr>
        <w:ind w:right="40" w:firstLine="1948"/>
        <w:spacing w:after="0" w:line="266" w:lineRule="auto"/>
        <w:tabs>
          <w:tab w:leader="none" w:pos="2205"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w:t>
      </w:r>
    </w:p>
    <w:p>
      <w:pPr>
        <w:spacing w:after="0" w:line="176" w:lineRule="exact"/>
        <w:rPr>
          <w:rFonts w:ascii="Times New Roman" w:cs="Times New Roman" w:eastAsia="Times New Roman" w:hAnsi="Times New Roman"/>
          <w:sz w:val="18"/>
          <w:szCs w:val="18"/>
          <w:color w:val="auto"/>
        </w:rPr>
      </w:pPr>
    </w:p>
    <w:p>
      <w:pPr>
        <w:ind w:firstLine="1948"/>
        <w:spacing w:after="0" w:line="266" w:lineRule="auto"/>
        <w:tabs>
          <w:tab w:leader="none" w:pos="2255"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furnish to the Holders a certificate signed by the Chief Executive Officer or Chairman of the Board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420" w:name="page421"/>
    <w:bookmarkEnd w:id="420"/>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statement for a period of not more than sixty (60) days after receipt of the request of the Holder or Holders under this Section 1.4; provided, however, that the Company shall not utilize this right more than once in any twelve (12) month period and provided further, that the Company shall not register any securities for the account of itself or any other stockholder during such 60-day period;</w:t>
      </w:r>
    </w:p>
    <w:p>
      <w:pPr>
        <w:spacing w:after="0" w:line="176" w:lineRule="exact"/>
        <w:rPr>
          <w:sz w:val="20"/>
          <w:szCs w:val="20"/>
          <w:color w:val="auto"/>
        </w:rPr>
      </w:pPr>
    </w:p>
    <w:p>
      <w:pPr>
        <w:ind w:right="260" w:firstLine="1948"/>
        <w:spacing w:after="0" w:line="282" w:lineRule="auto"/>
        <w:tabs>
          <w:tab w:leader="none" w:pos="2245"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within the six-month period preceding the date of such request, already effected one (1) registration on Form S-3 for the Holders pursuant to this Section 1.4; or</w:t>
      </w:r>
    </w:p>
    <w:p>
      <w:pPr>
        <w:spacing w:after="0" w:line="161" w:lineRule="exact"/>
        <w:rPr>
          <w:rFonts w:ascii="Times New Roman" w:cs="Times New Roman" w:eastAsia="Times New Roman" w:hAnsi="Times New Roman"/>
          <w:sz w:val="18"/>
          <w:szCs w:val="18"/>
          <w:color w:val="auto"/>
        </w:rPr>
      </w:pPr>
    </w:p>
    <w:p>
      <w:pPr>
        <w:ind w:right="80" w:firstLine="1948"/>
        <w:spacing w:after="0" w:line="282" w:lineRule="auto"/>
        <w:tabs>
          <w:tab w:leader="none" w:pos="2195"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particular jurisdiction in which the Company would be required to qualify to do business, where not otherwise required, or to execute a general consent to service of process in effecting such registration, qualification or compliance.</w:t>
      </w:r>
    </w:p>
    <w:p>
      <w:pPr>
        <w:spacing w:after="0" w:line="161" w:lineRule="exact"/>
        <w:rPr>
          <w:rFonts w:ascii="Times New Roman" w:cs="Times New Roman" w:eastAsia="Times New Roman" w:hAnsi="Times New Roman"/>
          <w:sz w:val="18"/>
          <w:szCs w:val="18"/>
          <w:color w:val="auto"/>
        </w:rPr>
      </w:pPr>
    </w:p>
    <w:p>
      <w:pPr>
        <w:ind w:right="40" w:firstLine="1492"/>
        <w:spacing w:after="0" w:line="266" w:lineRule="auto"/>
        <w:tabs>
          <w:tab w:leader="none" w:pos="172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the Company shall file a registration statement covering the Registrable Securities and other securities so requested to be registered as soon as practicable after receipt of the request or requests of the Holders. Registrations effected pursuant to this Section 1.4 shall not be counted as requests for registration effected pursuant to Section 1.2 or Section 1.3.</w:t>
      </w:r>
    </w:p>
    <w:p>
      <w:pPr>
        <w:spacing w:after="0" w:line="176"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Whenever required under this Section 1 to effect the registration of any Registrable Securities, the Company shall, as expeditiously as reasonably possible:</w:t>
      </w:r>
    </w:p>
    <w:p>
      <w:pPr>
        <w:spacing w:after="0" w:line="162" w:lineRule="exact"/>
        <w:rPr>
          <w:sz w:val="20"/>
          <w:szCs w:val="20"/>
          <w:color w:val="auto"/>
        </w:rPr>
      </w:pPr>
    </w:p>
    <w:p>
      <w:pPr>
        <w:ind w:right="260" w:firstLine="1492"/>
        <w:spacing w:after="0" w:line="261" w:lineRule="auto"/>
        <w:tabs>
          <w:tab w:leader="none" w:pos="172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a registration statement with respect to such Registrable Securities and use commercially reasonable efforts to cause such registration statement to become effective, and, keep such registration statement effective for a period of up to one hundred twenty</w:t>
      </w:r>
    </w:p>
    <w:p>
      <w:pPr>
        <w:ind w:left="440" w:hanging="432"/>
        <w:spacing w:after="0"/>
        <w:tabs>
          <w:tab w:leader="none" w:pos="44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if earlier, until the distribution contemplated in the Registration Statement has been completed;</w:t>
      </w:r>
    </w:p>
    <w:p>
      <w:pPr>
        <w:spacing w:after="0" w:line="206" w:lineRule="exact"/>
        <w:rPr>
          <w:rFonts w:ascii="Times New Roman" w:cs="Times New Roman" w:eastAsia="Times New Roman" w:hAnsi="Times New Roman"/>
          <w:sz w:val="18"/>
          <w:szCs w:val="18"/>
          <w:color w:val="auto"/>
        </w:rPr>
      </w:pPr>
    </w:p>
    <w:p>
      <w:pPr>
        <w:ind w:firstLine="1492"/>
        <w:spacing w:after="0" w:line="266" w:lineRule="auto"/>
        <w:tabs>
          <w:tab w:leader="none" w:pos="173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76" w:lineRule="exact"/>
        <w:rPr>
          <w:rFonts w:ascii="Times New Roman" w:cs="Times New Roman" w:eastAsia="Times New Roman" w:hAnsi="Times New Roman"/>
          <w:sz w:val="18"/>
          <w:szCs w:val="18"/>
          <w:color w:val="auto"/>
        </w:rPr>
      </w:pPr>
    </w:p>
    <w:p>
      <w:pPr>
        <w:jc w:val="both"/>
        <w:ind w:right="480" w:firstLine="1492"/>
        <w:spacing w:after="0" w:line="266" w:lineRule="auto"/>
        <w:tabs>
          <w:tab w:leader="none" w:pos="172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(i) a draft copy of the registration statement, and (ii) such numbers of copies of a prospectus, including a preliminary prospectus, in conformity with the requirements of the Act, and such other documents as it may reasonably request in order to facilitate the disposition of Registrable Securities owned by it;</w:t>
      </w:r>
    </w:p>
    <w:p>
      <w:pPr>
        <w:spacing w:after="0" w:line="176" w:lineRule="exact"/>
        <w:rPr>
          <w:rFonts w:ascii="Times New Roman" w:cs="Times New Roman" w:eastAsia="Times New Roman" w:hAnsi="Times New Roman"/>
          <w:sz w:val="18"/>
          <w:szCs w:val="18"/>
          <w:color w:val="auto"/>
        </w:rPr>
      </w:pPr>
    </w:p>
    <w:p>
      <w:pPr>
        <w:ind w:right="80" w:firstLine="1492"/>
        <w:spacing w:after="0" w:line="261" w:lineRule="auto"/>
        <w:tabs>
          <w:tab w:leader="none" w:pos="1738"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where not otherwise required, or to file a general consent to service of process in any such states or jurisdictions, unless the Company is already subject to service in such jurisdiction and except as may be required by the Act;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9" w:right="259" w:bottom="1440" w:gutter="0" w:footer="0" w:header="0"/>
        </w:sectPr>
      </w:pPr>
    </w:p>
    <w:bookmarkStart w:id="421" w:name="page422"/>
    <w:bookmarkEnd w:id="421"/>
    <w:p>
      <w:pPr>
        <w:ind w:left="-20" w:right="20" w:firstLine="1492"/>
        <w:spacing w:after="0" w:line="252" w:lineRule="auto"/>
        <w:tabs>
          <w:tab w:leader="none" w:pos="170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underwritten public offering, enter into and perform its obligations under an underwriting agreement, in usual and customary form, subject to compliance with the terms of Section 1.9 herein, with the managing underwriter of such offering. Each Holder participating in such underwriting shall also enter into and perform its obligations under such an agreement. In connection with any offering involving an underwriting of shares of the Company’s capital stock, the Company shall not be required to include any of the Holders’ securities in such underwriting unless such party accepts the terms of the underwriting as agreed upon between the Company and the underwriters selected by the Company and enter into an underwriting agreement in customary form, subject to compliance with the terms of Section 1.9 herein, with such underwriter or underwriters selected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subject to Section 1.2 above, the Company shall be required to include in the offering only that number of such securities, including Registrable Securities, that the underwriters determine in their sole discretion will not jeopardize the success of the offering (the securities so included to be apportioned pro rata among the selling stockholders according to the total amount of securities entitled to be included therein owned by each selling stockholder or in such other proportions as shall mutually be agreed to by such selling stockholders, except that no Registrable Securities of Holders other than the Founders shall be excluded until all Founders Shares have been excluded), but in no event shall the amount of securities of the selling Holders (other than the Founders) included in the offering be reduced below thirty percent (30%) of the total amount of securities included in such offering, unless such offering is the Initial Public Offering of the Company’s securities, in which case the selling stockholders may be excluded if the underwriters make the determination described above. For purposes of the preceding parenthetical concerning apportionment, for any selling stockholder that is a Holder of Registrable Securities and that is a partnership or corporation, the partners, retired partners and stockholders of such Holder, or the estates and family members of any such partners and retired partners and any trusts for the benefit of any of the foregoing persons shall be deemed to be a single “selling stockholder,” and any pro rata reduction with respect to such “selling stockholder” shall be based upon the aggregate amount of Registrable Securities owned by all entities and individuals included in such “selling stockholder,” as defined in this sentence;</w:t>
      </w:r>
    </w:p>
    <w:p>
      <w:pPr>
        <w:spacing w:after="0" w:line="191" w:lineRule="exact"/>
        <w:rPr>
          <w:rFonts w:ascii="Times New Roman" w:cs="Times New Roman" w:eastAsia="Times New Roman" w:hAnsi="Times New Roman"/>
          <w:sz w:val="18"/>
          <w:szCs w:val="18"/>
          <w:color w:val="auto"/>
        </w:rPr>
      </w:pPr>
    </w:p>
    <w:p>
      <w:pPr>
        <w:jc w:val="both"/>
        <w:ind w:left="-20" w:right="160" w:firstLine="1492"/>
        <w:spacing w:after="0" w:line="261" w:lineRule="auto"/>
        <w:tabs>
          <w:tab w:leader="none" w:pos="168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Holder of Registrable Securities covered by such registration statement, at any time when a prospectus relating thereto is required to be delivered under the Act, of (i) the issuance of any stop order by the SEC in respect of such registration statement, or (ii)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0" w:lineRule="exact"/>
        <w:rPr>
          <w:rFonts w:ascii="Times New Roman" w:cs="Times New Roman" w:eastAsia="Times New Roman" w:hAnsi="Times New Roman"/>
          <w:sz w:val="18"/>
          <w:szCs w:val="18"/>
          <w:color w:val="auto"/>
        </w:rPr>
      </w:pPr>
    </w:p>
    <w:p>
      <w:pPr>
        <w:ind w:left="-20" w:firstLine="1492"/>
        <w:spacing w:after="0" w:line="266" w:lineRule="auto"/>
        <w:tabs>
          <w:tab w:leader="none" w:pos="1718"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such Registrable Securities registered pursuant hereunder to be listed on each securities exchange on which similar securities issued by the Company are then listed; provided that in the case of a registration effected pursuant to Section 1.2 above, which registration constitutes the Initial Public Offering, the Registrable Securities shall be listed on the New York Stock Exchange or the NASDAQ Global Market system;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60" w:top="270" w:right="239" w:bottom="1440" w:gutter="0" w:footer="0" w:header="0"/>
        </w:sectPr>
      </w:pPr>
    </w:p>
    <w:bookmarkStart w:id="422" w:name="page423"/>
    <w:bookmarkEnd w:id="422"/>
    <w:p>
      <w:pPr>
        <w:ind w:left="-8" w:right="240" w:firstLine="1492"/>
        <w:spacing w:after="0" w:line="282" w:lineRule="auto"/>
        <w:tabs>
          <w:tab w:leader="none" w:pos="173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a transfer agent and registrar for all Registrable Securities registered pursuant hereunder and a CUSIP number for all such Registrable Securities, in each case not later than the effective date of such registration; and</w:t>
      </w:r>
    </w:p>
    <w:p>
      <w:pPr>
        <w:spacing w:after="0" w:line="161" w:lineRule="exact"/>
        <w:rPr>
          <w:rFonts w:ascii="Times New Roman" w:cs="Times New Roman" w:eastAsia="Times New Roman" w:hAnsi="Times New Roman"/>
          <w:sz w:val="18"/>
          <w:szCs w:val="18"/>
          <w:color w:val="auto"/>
        </w:rPr>
      </w:pPr>
    </w:p>
    <w:p>
      <w:pPr>
        <w:ind w:left="-8" w:firstLine="1492"/>
        <w:spacing w:after="0" w:line="254" w:lineRule="auto"/>
        <w:tabs>
          <w:tab w:leader="none" w:pos="169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furnish, at the request of any Holder requesting registration of Registrable Securities pursuant to this Section 1, on the date that such Registrable Securities are delivered to the underwriters for sale in connection with a registration pursuant to this Section 1, if such securities are being sold through underwriters, or, if such securities are not being sold through underwriters, on the date that the registration statement with respect to such securities becomes effective, (A)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w:t>
      </w:r>
    </w:p>
    <w:p>
      <w:pPr>
        <w:ind w:left="-8" w:right="160" w:firstLine="8"/>
        <w:spacing w:after="0" w:line="261" w:lineRule="auto"/>
        <w:tabs>
          <w:tab w:leader="none" w:pos="277"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dated as of such date, from the independent certified public accountants of the Company, in such form and substance as is customarily given by independent certified public accountants to underwriters in an underwritten public offering, addressed to the underwriters, if any.</w:t>
      </w:r>
    </w:p>
    <w:p>
      <w:pPr>
        <w:spacing w:after="0" w:line="180"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Information from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40" w:firstLine="1492"/>
        <w:spacing w:after="0" w:line="261" w:lineRule="auto"/>
        <w:tabs>
          <w:tab w:leader="none" w:pos="17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0" w:lineRule="exact"/>
        <w:rPr>
          <w:rFonts w:ascii="Times New Roman" w:cs="Times New Roman" w:eastAsia="Times New Roman" w:hAnsi="Times New Roman"/>
          <w:sz w:val="18"/>
          <w:szCs w:val="18"/>
          <w:color w:val="auto"/>
        </w:rPr>
      </w:pPr>
    </w:p>
    <w:p>
      <w:pPr>
        <w:ind w:left="-8" w:right="80" w:firstLine="1492"/>
        <w:spacing w:after="0" w:line="261" w:lineRule="auto"/>
        <w:tabs>
          <w:tab w:leader="none" w:pos="173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with respect to any registration requested pursuant to Section 1.2 or Section 1.4, respectively if, due to the operation of Section 1.6(a),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1.2(a) or Section 1.4, respectively</w:t>
      </w:r>
    </w:p>
    <w:p>
      <w:pPr>
        <w:spacing w:after="0" w:line="11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52"/>
          </w:cols>
          <w:pgMar w:left="248" w:top="269" w:right="299" w:bottom="1440" w:gutter="0" w:footer="0" w:header="0"/>
        </w:sectPr>
      </w:pPr>
    </w:p>
    <w:bookmarkStart w:id="423" w:name="page424"/>
    <w:bookmarkEnd w:id="423"/>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All expenses other than underwriting discounts and commissions incurred in connection with registrations, filings or qualifications pursuant to Sections 1.2 and 1.3 and 1.4, including, without limitation, all registration, filing and qualification fees (including “blue sky” fees), printers’ and accounting fees, fees and disbursements of counsel for the Company and the reasonable fees and disbursements of one counsel for the selling Holders not to exceed $35,000 shall be borne by the Company. Notwithstanding the foregoing, the Company shall not be required to pay for any expenses of any registration proceeding begun pursuant to Section 1.2 or Section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registered in the withdrawn registration) unless, in the case of a registration requested under Section 1.2, the Holders of a majority of the Registrable Securities agree to forfeit their right to one (1) demand registration pursuant to Section 1.2,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 or 1.4.</w:t>
      </w:r>
    </w:p>
    <w:p>
      <w:pPr>
        <w:spacing w:after="0" w:line="193"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the event any Registrable Securities are included in a registration statement under this Section 1:</w:t>
      </w:r>
    </w:p>
    <w:p>
      <w:pPr>
        <w:spacing w:after="0" w:line="225" w:lineRule="exact"/>
        <w:rPr>
          <w:sz w:val="20"/>
          <w:szCs w:val="20"/>
          <w:color w:val="auto"/>
        </w:rPr>
      </w:pPr>
    </w:p>
    <w:p>
      <w:pPr>
        <w:ind w:firstLine="1492"/>
        <w:spacing w:after="0" w:line="253" w:lineRule="auto"/>
        <w:tabs>
          <w:tab w:leader="none" w:pos="172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Holder, the partners, officers, directors and stockholders of, and legal counsel and accountants for, each Holder (each an “</w:t>
      </w:r>
      <w:r>
        <w:rPr>
          <w:rFonts w:ascii="Times New Roman" w:cs="Times New Roman" w:eastAsia="Times New Roman" w:hAnsi="Times New Roman"/>
          <w:sz w:val="18"/>
          <w:szCs w:val="18"/>
          <w:b w:val="1"/>
          <w:bCs w:val="1"/>
          <w:i w:val="1"/>
          <w:iCs w:val="1"/>
          <w:color w:val="auto"/>
        </w:rPr>
        <w:t>Additional Indemnified Party</w:t>
      </w:r>
      <w:r>
        <w:rPr>
          <w:rFonts w:ascii="Times New Roman" w:cs="Times New Roman" w:eastAsia="Times New Roman" w:hAnsi="Times New Roman"/>
          <w:sz w:val="18"/>
          <w:szCs w:val="18"/>
          <w:color w:val="auto"/>
        </w:rPr>
        <w:t>”),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or any state securities laws, insofar as such losses, claims, damages or liabilities (or actions, proceedings, or settlements in respect thereof) arise out of or are based upon any of the following statements, omissions or violations (collectively a “</w:t>
      </w:r>
      <w:r>
        <w:rPr>
          <w:rFonts w:ascii="Times New Roman" w:cs="Times New Roman" w:eastAsia="Times New Roman" w:hAnsi="Times New Roman"/>
          <w:sz w:val="18"/>
          <w:szCs w:val="18"/>
          <w:b w:val="1"/>
          <w:bCs w:val="1"/>
          <w:i w:val="1"/>
          <w:iCs w:val="1"/>
          <w:color w:val="auto"/>
        </w:rPr>
        <w:t>Violation</w:t>
      </w:r>
      <w:r>
        <w:rPr>
          <w:rFonts w:ascii="Times New Roman" w:cs="Times New Roman" w:eastAsia="Times New Roman" w:hAnsi="Times New Roman"/>
          <w:sz w:val="18"/>
          <w:szCs w:val="18"/>
          <w:color w:val="auto"/>
        </w:rPr>
        <w:t>”):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Additional Indemnified Party, underwriter and each person, if any, who controls such Holder or underwriter, for any legal or other expenses reasonably incurred by them in connection with investigating or defending any such loss, claim, damage, liability or action as such expenses are incurred; provided, however, that the indemnity agreement contained in this Section 1.9(a) shall not apply to amounts paid in settlement of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424" w:name="page425"/>
    <w:bookmarkEnd w:id="42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loss, claim, damage, liability or action if such settlement is effected without the consent of the Company (which consent shall not be unreasonably withheld, conditioned or delayed),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Additional Indemnified Party, underwriter and each person, if any, who controls such Holder or underwriter; provided further, however, that the foregoing indemnity agreement with respect to any preliminary prospectus shall not inure to the benefit of any Holder, Additional Indemnified Party, underwriter or any person who controls such Holder or underwriter, from whom the person asserting any such losses, claims, damages or liabilities purchased shares in the offering, if a copy of the prospectus (as then amended or supplemented if the Company shall have furnished any amendments or supplements thereto) was not sent or given by or on behalf of such Holder or underwriter to such person, if required by law so to have been delivered, at or prior to the written confirmation of the sale of the shares to such person, and if the prospectus (as so amended or supplemented) would have cured the defect giving rise to such loss, claim, damage or liability.</w:t>
      </w:r>
    </w:p>
    <w:p>
      <w:pPr>
        <w:spacing w:after="0" w:line="186" w:lineRule="exact"/>
        <w:rPr>
          <w:sz w:val="20"/>
          <w:szCs w:val="20"/>
          <w:color w:val="auto"/>
        </w:rPr>
      </w:pPr>
    </w:p>
    <w:p>
      <w:pPr>
        <w:ind w:right="60" w:firstLine="1492"/>
        <w:spacing w:after="0" w:line="253" w:lineRule="auto"/>
        <w:tabs>
          <w:tab w:leader="none" w:pos="1738"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each selling Holder, on a several and not joint basis,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any state securities laws, insofar as such losses, claims, damages or liabilities (or actions, proceedings, or settlements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1.9(b) for any legal or other expenses reasonably incurred by such person in connection with investigating or defending any such loss, claim, damage, liability or action; provided, however, that the indemnity agreement contained in this Section 1.9(b) shall not apply to amounts paid in settlement of any such loss, claim, damage, liability or action if such settlement is effected without the consent of the Holder (which consent shall not be unreasonably withheld, conditioned or delayed), provided that in no event shall any indemnity under this Section 1.9(b) exceed the net proceeds from the offering received by such Holder.</w:t>
      </w:r>
    </w:p>
    <w:p>
      <w:pPr>
        <w:spacing w:after="0" w:line="190" w:lineRule="exact"/>
        <w:rPr>
          <w:rFonts w:ascii="Times New Roman" w:cs="Times New Roman" w:eastAsia="Times New Roman" w:hAnsi="Times New Roman"/>
          <w:sz w:val="18"/>
          <w:szCs w:val="18"/>
          <w:color w:val="auto"/>
        </w:rPr>
      </w:pPr>
    </w:p>
    <w:p>
      <w:pPr>
        <w:ind w:right="60" w:firstLine="1492"/>
        <w:spacing w:after="0" w:line="256" w:lineRule="auto"/>
        <w:tabs>
          <w:tab w:leader="none" w:pos="1728"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1.9 of actual knowledge of the commencement of any action (including any governmental action), such indemnified party will, if a claim in respect thereof is to be made against any indemnifying party under this Section 1.9,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separate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425" w:name="page426"/>
    <w:bookmarkEnd w:id="42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1.9 to the extent of such prejudice, but the omission to so deliver written notice to the indemnifying party will not relieve it of any liability that it may have to any indemnified party otherwise than under this Section 1.9.</w:t>
      </w:r>
    </w:p>
    <w:p>
      <w:pPr>
        <w:spacing w:after="0" w:line="188" w:lineRule="exact"/>
        <w:rPr>
          <w:sz w:val="20"/>
          <w:szCs w:val="20"/>
          <w:color w:val="auto"/>
        </w:rPr>
      </w:pPr>
    </w:p>
    <w:p>
      <w:pPr>
        <w:ind w:firstLine="1492"/>
        <w:spacing w:after="0" w:line="253" w:lineRule="auto"/>
        <w:tabs>
          <w:tab w:leader="none" w:pos="173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and the relative benefits received by the indemnifying party on the one hand and of the indemnified party on the other in connection with the statements or omissions that resulted in such loss, liability, claim, damage or expense, as well as any other relevant equitable considerations, provided that no person guilty of fraud shall be entitled to contribution.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relative benefits received by the indemnifying party and the indemnified party shall be determined by reference to the net proceeds and underwriting discounts and commissions from the offering received by each such party. In no event shall any contribution under this Section 1.9(d) exceed the net proceeds from the offering received by such Holder, less any amounts paid under Section 1.9(b).</w:t>
      </w:r>
    </w:p>
    <w:p>
      <w:pPr>
        <w:spacing w:after="0" w:line="190" w:lineRule="exact"/>
        <w:rPr>
          <w:rFonts w:ascii="Times New Roman" w:cs="Times New Roman" w:eastAsia="Times New Roman" w:hAnsi="Times New Roman"/>
          <w:sz w:val="18"/>
          <w:szCs w:val="18"/>
          <w:color w:val="auto"/>
        </w:rPr>
      </w:pPr>
    </w:p>
    <w:p>
      <w:pPr>
        <w:jc w:val="both"/>
        <w:ind w:right="260" w:firstLine="1492"/>
        <w:spacing w:after="0" w:line="266" w:lineRule="auto"/>
        <w:tabs>
          <w:tab w:leader="none" w:pos="172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6" w:lineRule="exact"/>
        <w:rPr>
          <w:rFonts w:ascii="Times New Roman" w:cs="Times New Roman" w:eastAsia="Times New Roman" w:hAnsi="Times New Roman"/>
          <w:sz w:val="18"/>
          <w:szCs w:val="18"/>
          <w:color w:val="auto"/>
        </w:rPr>
      </w:pPr>
    </w:p>
    <w:p>
      <w:pPr>
        <w:ind w:right="180" w:firstLine="1492"/>
        <w:spacing w:after="0" w:line="281" w:lineRule="auto"/>
        <w:tabs>
          <w:tab w:leader="none" w:pos="1708"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and Holders under this Section 1.9 shall survive the completion of any offering of Registrable Securities in a registration statement under this Section 1, and otherwise.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165" w:lineRule="exact"/>
        <w:rPr>
          <w:sz w:val="20"/>
          <w:szCs w:val="20"/>
          <w:color w:val="auto"/>
        </w:rPr>
      </w:pPr>
    </w:p>
    <w:p>
      <w:pPr>
        <w:ind w:right="4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Reports Under Securities Exchange Act of 1934</w:t>
      </w:r>
      <w:r>
        <w:rPr>
          <w:rFonts w:ascii="Times New Roman" w:cs="Times New Roman" w:eastAsia="Times New Roman" w:hAnsi="Times New Roman"/>
          <w:sz w:val="18"/>
          <w:szCs w:val="18"/>
          <w:color w:val="auto"/>
        </w:rPr>
        <w:t>. With a view to making available to the Holders the benefits of Rule 144 promulgated under the Act and any other rule or regulation of the SEC that may at any time permit a Holder to sell securities of the Company to the public without registration or pursuant to a registration on Form S-3, the Company agrees to:</w:t>
      </w:r>
    </w:p>
    <w:p>
      <w:pPr>
        <w:spacing w:after="0" w:line="176" w:lineRule="exact"/>
        <w:rPr>
          <w:sz w:val="20"/>
          <w:szCs w:val="20"/>
          <w:color w:val="auto"/>
        </w:rPr>
      </w:pPr>
    </w:p>
    <w:p>
      <w:pPr>
        <w:ind w:left="1740" w:hanging="248"/>
        <w:spacing w:after="0"/>
        <w:tabs>
          <w:tab w:leader="none" w:pos="174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SEC Rule 144, at all times after ninety</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effective date of the Initial Public Offering;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69" w:right="259" w:bottom="1440" w:gutter="0" w:footer="0" w:header="0"/>
        </w:sectPr>
      </w:pPr>
    </w:p>
    <w:bookmarkStart w:id="426" w:name="page427"/>
    <w:bookmarkEnd w:id="426"/>
    <w:p>
      <w:pPr>
        <w:ind w:left="1740" w:hanging="248"/>
        <w:spacing w:after="0"/>
        <w:tabs>
          <w:tab w:leader="none" w:pos="174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file with the SEC in a timely manner all reports and other documents required of the Company under the Act and the 1934 Act; and</w:t>
      </w:r>
    </w:p>
    <w:p>
      <w:pPr>
        <w:spacing w:after="0" w:line="225" w:lineRule="exact"/>
        <w:rPr>
          <w:rFonts w:ascii="Times New Roman" w:cs="Times New Roman" w:eastAsia="Times New Roman" w:hAnsi="Times New Roman"/>
          <w:sz w:val="18"/>
          <w:szCs w:val="18"/>
          <w:color w:val="auto"/>
        </w:rPr>
      </w:pPr>
    </w:p>
    <w:p>
      <w:pPr>
        <w:ind w:right="20" w:firstLine="1492"/>
        <w:spacing w:after="0" w:line="256" w:lineRule="auto"/>
        <w:tabs>
          <w:tab w:leader="none" w:pos="172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a written statement by the Company that it has complied with the reporting requirements of SEC Rule 144 (at any time after ninety (90) days after the effective date of the Initial Public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or pursuant to such form.</w:t>
      </w:r>
    </w:p>
    <w:p>
      <w:pPr>
        <w:spacing w:after="0" w:line="188"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Assignment of Registration Rights</w:t>
      </w:r>
      <w:r>
        <w:rPr>
          <w:rFonts w:ascii="Times New Roman" w:cs="Times New Roman" w:eastAsia="Times New Roman" w:hAnsi="Times New Roman"/>
          <w:sz w:val="18"/>
          <w:szCs w:val="18"/>
          <w:color w:val="auto"/>
        </w:rPr>
        <w:t>. The rights to cause the Company to register Registrable Securities pursuant to this Section 1 may be assigned (but only with all related obligations) by a Holder to a transferee, member, retired member or assignee of such securities that (i) is a subsidiary, affiliate, parent, partner, limited partner, retired partner or stockholder of a Holder, (ii) is a Holder’s immediate family member (spouse or child) or trust for the benefit of an individual Holder, or (iii) after such assignment or transfer, holds at least 500,000 shares of Registrable Securities (subject to appropriate adjustment for Recapitalizations),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a copy of which writing is provided to the Company at the time of transfer, to be bound by and subject to the terms and conditions of this Agreement, including without limitation the provisions of Section 1.13 below; and (c) such assignment shall be effective only if immediately following such transfer the further disposition of such securities by the transferee or assignee is restricted under the Act. For the purposes of determining the number of shares of Registrable Securities held by a transferee or assignee, the holdings of transferees and assignees of a partnership who are partners or retired partners of such partnership (including spouses and ancestors, lineal descendants and siblings of such partners or spouses who acquire Registrable Securities by gift, will or intestate succession) shall be aggregated together and with the partnership; provided that all assignees and transferees who would not qualify individually for assignment of registration rights shall have a single attorney-in-fact for the purpose of exercising any rights, receiving notices or taking any action under this Section 1.</w:t>
      </w:r>
    </w:p>
    <w:p>
      <w:pPr>
        <w:spacing w:after="0" w:line="199"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From and after the date of this Agreement, the Company shall not, without the prior written consent of the Holders of a majority of the outstanding Registrable Securities, enter into any agreement with any holder or prospective holder of any securities of the Company registration rights the terms of which are equal to or more favorable than the registration rights granted to Holders hereunder.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427" w:name="page428"/>
    <w:bookmarkEnd w:id="427"/>
    <w:p>
      <w:pPr>
        <w:ind w:firstLine="913"/>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it will not, directly or indirectly, without the prior written consent of the Company and the managing underwriter, during the period commencing on the date of the final prospectus relating to a Qualified Public Offering ending on the date specified by the Company and the managing underwriter (such period not to exceed one hundred eighty (180) days or such longer period, not to exceed eighteen (18) days after the expiration of the 180-day period, as the Company or such underwriter shall request in order to facilitate compliance with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The foregoing provisions of this Section 1.13 shall apply only to the Initial Public Offering and shall not apply to the sale of any shares to an underwriter pursuant to an underwriting agreement, and shall only be applicable to the Holders if all officers and directors and greater than five percent (5%) stockholders of the Company enter into similar agreements. The underwriters in connection with a Qualified Public Offering by the Company are intended third party beneficiaries of this Section 1.13 and shall have the right, power and authority to enforce the provisions hereof as though they were a party hereto; further, each Holder hereby agrees to enter into written agreement with such underwriters containing terms substantially equivalent to the terms of this Section 1.13, and each Holder hereby agrees that such underwriters shall be entitled to require each such Holder to enter into such a written agreement. Notwithstanding the foregoing, nothing in this Section 1.13 shall prevent a Holder from making a transfer of any Common Stock that was listed on a national stock exchange, actively traded over-the-counter or traded on the NASDAQ Global Market at the time it was acquired by the Holder or was acquired by such Holder pursuant to Rule 144A of the Act, including any shares acquired in a Qualified Public Offering by the Company.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9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62"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No Holder shall be entitled to exercise any right provided for in this Section 1 after five (5) years following the consummation of a Qualified Public Offering or, as to any Holder, such earlier time at which all Registrable Securities held by such Holder (and any affiliate of the Holder with whom such Holder must aggregate its sales under Rule 144) can be sold in any ninety (90) day period without registration in compliance with Rule 144 of the Act or upon the consummation of a transaction or series of related transactions deemed to be a Liquidation Event pursuant to the Company’s Amended and Restated Certificate of Incorporation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69" w:right="239" w:bottom="1440" w:gutter="0" w:footer="0" w:header="0"/>
        </w:sectPr>
      </w:pPr>
    </w:p>
    <w:bookmarkStart w:id="428" w:name="page429"/>
    <w:bookmarkEnd w:id="428"/>
    <w:p>
      <w:pPr>
        <w:ind w:left="640" w:hanging="176"/>
        <w:spacing w:after="0"/>
        <w:tabs>
          <w:tab w:leader="none" w:pos="6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Investor holding at least 15,000,000 (appropriately adjusted for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Recapitalizations) shares of Registrable Securities (each, a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1492"/>
        <w:spacing w:after="0" w:line="258" w:lineRule="auto"/>
        <w:tabs>
          <w:tab w:leader="none" w:pos="17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one hundred twenty (120) days after the end of each fiscal year of the Company ended December 31, 2010 or later,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183" w:lineRule="exact"/>
        <w:rPr>
          <w:rFonts w:ascii="Times New Roman" w:cs="Times New Roman" w:eastAsia="Times New Roman" w:hAnsi="Times New Roman"/>
          <w:sz w:val="18"/>
          <w:szCs w:val="18"/>
          <w:color w:val="auto"/>
        </w:rPr>
      </w:pPr>
    </w:p>
    <w:p>
      <w:pPr>
        <w:ind w:right="220" w:firstLine="1492"/>
        <w:spacing w:after="0" w:line="256" w:lineRule="auto"/>
        <w:tabs>
          <w:tab w:leader="none" w:pos="173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and for the current fiscal year to date, all in reasonable detail and stating in comparative form (i) the figures as of the end of and for the comparable periods of the preceding fiscal year and (ii) the figures reflected in the operating budget for such period as specified in the operating plan of the Company delivered pursuant to subparagraph (c), prepared in accordance with GAAP, with the exception that no notes need be attached to such statements and year-end audit adjustments may not have been made;</w:t>
      </w:r>
    </w:p>
    <w:p>
      <w:pPr>
        <w:spacing w:after="0" w:line="187" w:lineRule="exact"/>
        <w:rPr>
          <w:rFonts w:ascii="Times New Roman" w:cs="Times New Roman" w:eastAsia="Times New Roman" w:hAnsi="Times New Roman"/>
          <w:sz w:val="18"/>
          <w:szCs w:val="18"/>
          <w:color w:val="auto"/>
        </w:rPr>
      </w:pPr>
    </w:p>
    <w:p>
      <w:pPr>
        <w:ind w:right="120" w:firstLine="1492"/>
        <w:spacing w:after="0" w:line="282" w:lineRule="auto"/>
        <w:tabs>
          <w:tab w:leader="none" w:pos="17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sixty (60) days prior to the end each fiscal year, a comprehensive operating budget for the next fiscal year, prepared on a monthly basis forecasting revenues, expenses and cash position;</w:t>
      </w:r>
    </w:p>
    <w:p>
      <w:pPr>
        <w:spacing w:after="0" w:line="161" w:lineRule="exact"/>
        <w:rPr>
          <w:rFonts w:ascii="Times New Roman" w:cs="Times New Roman" w:eastAsia="Times New Roman" w:hAnsi="Times New Roman"/>
          <w:sz w:val="18"/>
          <w:szCs w:val="18"/>
          <w:color w:val="auto"/>
        </w:rPr>
      </w:pPr>
    </w:p>
    <w:p>
      <w:pPr>
        <w:ind w:firstLine="1492"/>
        <w:spacing w:after="0" w:line="258" w:lineRule="auto"/>
        <w:tabs>
          <w:tab w:leader="none" w:pos="173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after the end of the first, three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 and</w:t>
      </w:r>
    </w:p>
    <w:p>
      <w:pPr>
        <w:spacing w:after="0" w:line="183" w:lineRule="exact"/>
        <w:rPr>
          <w:rFonts w:ascii="Times New Roman" w:cs="Times New Roman" w:eastAsia="Times New Roman" w:hAnsi="Times New Roman"/>
          <w:sz w:val="18"/>
          <w:szCs w:val="18"/>
          <w:color w:val="auto"/>
        </w:rPr>
      </w:pPr>
    </w:p>
    <w:p>
      <w:pPr>
        <w:jc w:val="both"/>
        <w:ind w:right="40" w:firstLine="1492"/>
        <w:spacing w:after="0" w:line="266" w:lineRule="auto"/>
        <w:tabs>
          <w:tab w:leader="none" w:pos="17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the financial condition, business, prospects or corporate affairs of the Company as such Investor or any assignee of such Investor may from time to time reasonably request, provided, however, that the Company shall not be obligated under this Section 2.1 to provide information that it deems in good faith to be a trade secret or similar confidential information.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429" w:name="page430"/>
    <w:bookmarkEnd w:id="429"/>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 to any information that it reasonably considers to be a trade secret or similar confidential information.</w:t>
      </w:r>
    </w:p>
    <w:p>
      <w:pPr>
        <w:spacing w:after="0" w:line="18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Subject to the terms and conditions specified in this Section 2.3, the Company hereby grants to each Major Investor a right of first offer with respect to future sales by the Company of its Shares (as hereinafter defined). For purposes of this Section 2.3, Major Investor includes any general partners and affiliates of a Major Investor. A Major Investor shall be entitled to apportion the right of first offer hereby granted it among itself and its partners and affiliates in such proportions as it deems appropriate, so long as such apportionment does not cause the loss of the exemption under Section 4(2) of the Act or any similar exemption under applicable state securities laws in connection with such sale of Shares by the Company.</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Each time the Company proposes to offer any shares of, or securities convertible into or exchangeable or exercisable for any shares of, any class of its capital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Company shall first make an offering of such Shares to each Major Investor in accordance with the following provisions:</w:t>
      </w:r>
    </w:p>
    <w:p>
      <w:pPr>
        <w:spacing w:after="0" w:line="158" w:lineRule="exact"/>
        <w:rPr>
          <w:sz w:val="20"/>
          <w:szCs w:val="20"/>
          <w:color w:val="auto"/>
        </w:rPr>
      </w:pPr>
    </w:p>
    <w:p>
      <w:pPr>
        <w:ind w:right="460" w:firstLine="1492"/>
        <w:spacing w:after="0" w:line="286" w:lineRule="auto"/>
        <w:tabs>
          <w:tab w:leader="none" w:pos="1728"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a notice in accordance with Section 3.6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the Major Investors stating (i) its bona fide intention to offer such Shares, (ii) the number of such Shares to be offered, and (iii) the price and terms upon which it proposes to offer such Shares.</w:t>
      </w:r>
    </w:p>
    <w:p>
      <w:pPr>
        <w:spacing w:after="0" w:line="158" w:lineRule="exact"/>
        <w:rPr>
          <w:rFonts w:ascii="Times New Roman" w:cs="Times New Roman" w:eastAsia="Times New Roman" w:hAnsi="Times New Roman"/>
          <w:sz w:val="18"/>
          <w:szCs w:val="18"/>
          <w:color w:val="auto"/>
        </w:rPr>
      </w:pPr>
    </w:p>
    <w:p>
      <w:pPr>
        <w:ind w:firstLine="1492"/>
        <w:spacing w:after="0" w:line="254" w:lineRule="auto"/>
        <w:tabs>
          <w:tab w:leader="none" w:pos="1738"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notification received by the Company, within twenty (20) calendar days after receipt of the Notice, the Major Investor may elect to purchase or obtain, at the price and on the terms specified in the Notice, up to that portion of such Shares that equals the proportion that the number of shares of Common Stock issued and held, or issuable upon conversion of the Preferred Stock then held, by such Major Investor bears to the total number of shares of Common Stock of the Company then outstanding (assuming full conversion and exercise of all outstanding convertible and exercisable securities). The Company shall promptly, in writing, inform each Major Investor which purchases all the shares available to it (a “</w:t>
      </w:r>
      <w:r>
        <w:rPr>
          <w:rFonts w:ascii="Times New Roman" w:cs="Times New Roman" w:eastAsia="Times New Roman" w:hAnsi="Times New Roman"/>
          <w:sz w:val="18"/>
          <w:szCs w:val="18"/>
          <w:b w:val="1"/>
          <w:bCs w:val="1"/>
          <w:i w:val="1"/>
          <w:iCs w:val="1"/>
          <w:color w:val="auto"/>
        </w:rPr>
        <w:t>Fully-Exercising Major Investor</w:t>
      </w:r>
      <w:r>
        <w:rPr>
          <w:rFonts w:ascii="Times New Roman" w:cs="Times New Roman" w:eastAsia="Times New Roman" w:hAnsi="Times New Roman"/>
          <w:sz w:val="18"/>
          <w:szCs w:val="18"/>
          <w:color w:val="auto"/>
        </w:rPr>
        <w:t>”) of any other Major Investor’s failure to do likewise. During the ten (10) day period commencing after receipt of such information, each Fully-Exercising Major Investor may elect to purchase that portion of the Shares for which Major Investors were entitled to subscribe but which were not subscribed for by the Major Investors which is equal to the proportion that the number of shares of Common Stock issued and held, or issuable upon conversion of Preferred Stock then held, by such Fully-Exercising Major Investor bears to the total number of shares of Common Stock issued and held, or issuable upon conversion of Preferred Stock then held, by all Fully-Exercising Major Investors who wish to purchase some of the unsubscribed shares.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0" w:right="259" w:bottom="1440" w:gutter="0" w:footer="0" w:header="0"/>
        </w:sectPr>
      </w:pPr>
    </w:p>
    <w:bookmarkStart w:id="430" w:name="page431"/>
    <w:bookmarkEnd w:id="430"/>
    <w:p>
      <w:pPr>
        <w:ind w:left="-40" w:right="40" w:firstLine="1492"/>
        <w:spacing w:after="0" w:line="256" w:lineRule="auto"/>
        <w:tabs>
          <w:tab w:leader="none" w:pos="1688"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all Shares that Major Investors are entitled to obtain pursuant to Section 2.3(b) are not elected to be obtained as provided in Section 2.3(b) hereof, the Company may, during the ninety (90) day period following the expiration of the period provided in Section 2.3(b) hereof, offer the remaining unsubscribed portion of such Shares to any person or persons at a price not less than,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83" w:lineRule="exact"/>
        <w:rPr>
          <w:rFonts w:ascii="Times New Roman" w:cs="Times New Roman" w:eastAsia="Times New Roman" w:hAnsi="Times New Roman"/>
          <w:sz w:val="18"/>
          <w:szCs w:val="18"/>
          <w:color w:val="auto"/>
        </w:rPr>
      </w:pPr>
    </w:p>
    <w:p>
      <w:pPr>
        <w:ind w:left="1700" w:hanging="248"/>
        <w:spacing w:after="0"/>
        <w:tabs>
          <w:tab w:leader="none" w:pos="170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offer in this Section 2.3 shall not be applicable to</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0" w:firstLine="1948"/>
        <w:spacing w:after="0" w:line="282" w:lineRule="auto"/>
        <w:tabs>
          <w:tab w:leader="none" w:pos="211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Series B Preferred Stock pursuant to the Series B Purchase Agreement (including the Additional Series B Shares to Additional Series B Investors);</w:t>
      </w:r>
    </w:p>
    <w:p>
      <w:pPr>
        <w:spacing w:after="0" w:line="161" w:lineRule="exact"/>
        <w:rPr>
          <w:rFonts w:ascii="Times New Roman" w:cs="Times New Roman" w:eastAsia="Times New Roman" w:hAnsi="Times New Roman"/>
          <w:sz w:val="18"/>
          <w:szCs w:val="18"/>
          <w:color w:val="auto"/>
        </w:rPr>
      </w:pPr>
    </w:p>
    <w:p>
      <w:pPr>
        <w:ind w:left="-40" w:right="60" w:firstLine="1948"/>
        <w:spacing w:after="0" w:line="258" w:lineRule="auto"/>
        <w:tabs>
          <w:tab w:leader="none" w:pos="216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securities pursuant to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cs="Times New Roman" w:eastAsia="Times New Roman" w:hAnsi="Times New Roman"/>
          <w:sz w:val="18"/>
          <w:szCs w:val="18"/>
          <w:b w:val="1"/>
          <w:bCs w:val="1"/>
          <w:i w:val="1"/>
          <w:iCs w:val="1"/>
          <w:color w:val="auto"/>
        </w:rPr>
        <w:t>Common Stock Equivalents</w:t>
      </w:r>
      <w:r>
        <w:rPr>
          <w:rFonts w:ascii="Times New Roman" w:cs="Times New Roman" w:eastAsia="Times New Roman" w:hAnsi="Times New Roman"/>
          <w:sz w:val="18"/>
          <w:szCs w:val="18"/>
          <w:color w:val="auto"/>
        </w:rPr>
        <w:t>”) without payment of any consideration by such holder for the additional shares of Common Stock or the Common Stock Equivalents (including the additional shares of Common Stock issuable upon conversion or exercise thereof);</w:t>
      </w:r>
    </w:p>
    <w:p>
      <w:pPr>
        <w:spacing w:after="0" w:line="183" w:lineRule="exact"/>
        <w:rPr>
          <w:rFonts w:ascii="Times New Roman" w:cs="Times New Roman" w:eastAsia="Times New Roman" w:hAnsi="Times New Roman"/>
          <w:sz w:val="18"/>
          <w:szCs w:val="18"/>
          <w:color w:val="auto"/>
        </w:rPr>
      </w:pPr>
    </w:p>
    <w:p>
      <w:pPr>
        <w:ind w:left="-40" w:firstLine="1948"/>
        <w:spacing w:after="0" w:line="258" w:lineRule="auto"/>
        <w:tabs>
          <w:tab w:leader="none" w:pos="221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18,051,206 shares (subject to appropriate adjustment for Recapitalizations) of Common Stock or options therefor to employees, consultants, officers, directors or service providers of the Company issued in connection with such individual’s provision of services to the Company directly or pursuant to a stock option plan, restricted stock purchase plan or similar equity incentive plan approved by the Board of Directors of the Company; provided that the foregoing number of shares of Common Stock may be increased by approval of the Board of Directors (including the approval of each Preferred Director (as defined in the Restated Certificate));</w:t>
      </w:r>
    </w:p>
    <w:p>
      <w:pPr>
        <w:spacing w:after="0" w:line="183" w:lineRule="exact"/>
        <w:rPr>
          <w:rFonts w:ascii="Times New Roman" w:cs="Times New Roman" w:eastAsia="Times New Roman" w:hAnsi="Times New Roman"/>
          <w:sz w:val="18"/>
          <w:szCs w:val="18"/>
          <w:color w:val="auto"/>
        </w:rPr>
      </w:pPr>
    </w:p>
    <w:p>
      <w:pPr>
        <w:ind w:left="-40" w:right="180" w:firstLine="1948"/>
        <w:spacing w:after="0" w:line="282" w:lineRule="auto"/>
        <w:tabs>
          <w:tab w:leader="none" w:pos="220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in a bona fide, firmly underwritten public offering under the Act before which or in connection with which all outstanding shares of Preferred Stock will be automatically converted to Common Stock;</w:t>
      </w:r>
    </w:p>
    <w:p>
      <w:pPr>
        <w:spacing w:after="0" w:line="161" w:lineRule="exact"/>
        <w:rPr>
          <w:rFonts w:ascii="Times New Roman" w:cs="Times New Roman" w:eastAsia="Times New Roman" w:hAnsi="Times New Roman"/>
          <w:sz w:val="18"/>
          <w:szCs w:val="18"/>
          <w:color w:val="auto"/>
        </w:rPr>
      </w:pPr>
    </w:p>
    <w:p>
      <w:pPr>
        <w:ind w:left="-40" w:right="20" w:firstLine="1948"/>
        <w:spacing w:after="0" w:line="282" w:lineRule="auto"/>
        <w:tabs>
          <w:tab w:leader="none" w:pos="215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Preferred Stock pursuant to the conversion or exercise of convertible or exercisable securities outstanding as of the date hereof or subsequently issued without violation of this Section 2.3;</w:t>
      </w:r>
    </w:p>
    <w:p>
      <w:pPr>
        <w:spacing w:after="0" w:line="161" w:lineRule="exact"/>
        <w:rPr>
          <w:rFonts w:ascii="Times New Roman" w:cs="Times New Roman" w:eastAsia="Times New Roman" w:hAnsi="Times New Roman"/>
          <w:sz w:val="18"/>
          <w:szCs w:val="18"/>
          <w:color w:val="auto"/>
        </w:rPr>
      </w:pPr>
    </w:p>
    <w:p>
      <w:pPr>
        <w:ind w:left="2220" w:hanging="312"/>
        <w:spacing w:after="0"/>
        <w:tabs>
          <w:tab w:leader="none" w:pos="22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the conversion of the Preferred Stock;</w:t>
      </w:r>
    </w:p>
    <w:p>
      <w:pPr>
        <w:spacing w:after="0" w:line="225" w:lineRule="exact"/>
        <w:rPr>
          <w:rFonts w:ascii="Times New Roman" w:cs="Times New Roman" w:eastAsia="Times New Roman" w:hAnsi="Times New Roman"/>
          <w:sz w:val="18"/>
          <w:szCs w:val="18"/>
          <w:color w:val="auto"/>
        </w:rPr>
      </w:pPr>
    </w:p>
    <w:p>
      <w:pPr>
        <w:ind w:left="-40" w:right="160" w:firstLine="1948"/>
        <w:spacing w:after="0" w:line="266" w:lineRule="auto"/>
        <w:tabs>
          <w:tab w:leader="none" w:pos="225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in connection with a bona fide business acquisition of or by the Company, whether by merger, consolidation, sale of assets, sale or exchange of stock or otherwise, each as approved by the Board of Directors of the Company (including the approval of each Preferred Director);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80" w:top="269" w:right="259" w:bottom="1440" w:gutter="0" w:footer="0" w:header="0"/>
        </w:sectPr>
      </w:pPr>
    </w:p>
    <w:bookmarkStart w:id="431" w:name="page432"/>
    <w:bookmarkEnd w:id="431"/>
    <w:p>
      <w:pPr>
        <w:ind w:right="260" w:firstLine="1948"/>
        <w:spacing w:after="0" w:line="266" w:lineRule="auto"/>
        <w:tabs>
          <w:tab w:leader="none" w:pos="234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issuance or sale of stock, warrants or other securities or rights to persons or entities with which the Company has bona fide commercial or strategic business relationships, provided such issuances are (I) approved by the Board of Directors of the Company (including the approval of at least one of the Preferred Directors) and (II) are effected for other than primarily equity financing purposes; or</w:t>
      </w:r>
    </w:p>
    <w:p>
      <w:pPr>
        <w:spacing w:after="0" w:line="176" w:lineRule="exact"/>
        <w:rPr>
          <w:rFonts w:ascii="Times New Roman" w:cs="Times New Roman" w:eastAsia="Times New Roman" w:hAnsi="Times New Roman"/>
          <w:sz w:val="18"/>
          <w:szCs w:val="18"/>
          <w:color w:val="auto"/>
        </w:rPr>
      </w:pPr>
    </w:p>
    <w:p>
      <w:pPr>
        <w:ind w:right="200" w:firstLine="1948"/>
        <w:spacing w:after="0" w:line="282" w:lineRule="auto"/>
        <w:tabs>
          <w:tab w:leader="none" w:pos="224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in connection with any transaction where such securities so issued are exempted from the right of first offer in this Section 2.3 by the affirmative vote of at least a majority of the Board of Directors including each Preferred Director.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right of first offer in this Section 2.3 shall not be applicable with respect to any Major Investor and any subsequent securities issuance, if (i) at the time of such subsequent securities issuance, the Major Investor is not an “accredited investor,” as that term is then defined in Rule 501(a) under the Act, and (ii) such subsequent securities issuance is otherwise being offered only to accredited investors.</w:t>
      </w:r>
    </w:p>
    <w:p>
      <w:pPr>
        <w:spacing w:after="0" w:line="176" w:lineRule="exact"/>
        <w:rPr>
          <w:sz w:val="20"/>
          <w:szCs w:val="20"/>
          <w:color w:val="auto"/>
        </w:rPr>
      </w:pPr>
    </w:p>
    <w:p>
      <w:pPr>
        <w:ind w:right="100" w:firstLine="1492"/>
        <w:spacing w:after="0" w:line="266" w:lineRule="auto"/>
        <w:tabs>
          <w:tab w:leader="none" w:pos="172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offer set forth in this Section 2.3 may not be assigned or transferred, provided, however, that a Major Investor may assign or transfer such rights to any other Major Investor and a Major Investor that is a venture capital fund may assign or transfer such rights to an affiliated venture capital fund.</w:t>
      </w:r>
    </w:p>
    <w:p>
      <w:pPr>
        <w:spacing w:after="0" w:line="176"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 The Company shall invite a representative of each Investor with Observer Rights to attend all meetings of its Board of Directors in a nonvoting observer capacity and, in this respect, shall give each Investor with Observer Rights copies of all notices, minutes, consents, and other materials that it provides to its directors; provided, however, that each representative of an Investor with Observer Rights shall agree to hold in confidence and trust all information so provided; and, provided further, that the Company reserves the right to withhold any information and to exclude any or all representatives from any meeting or portion thereof if the Company believes in good faith, upon the advice of outside counsel to the Company, that access to such information or attendance at such meeting or portion thereof is reasonably necessary to preserve the attorney-client privilege. The representatives must be persons acceptable to a majority of the Board of Directors of the Company. “</w:t>
      </w:r>
      <w:r>
        <w:rPr>
          <w:rFonts w:ascii="Times New Roman" w:cs="Times New Roman" w:eastAsia="Times New Roman" w:hAnsi="Times New Roman"/>
          <w:sz w:val="18"/>
          <w:szCs w:val="18"/>
          <w:b w:val="1"/>
          <w:bCs w:val="1"/>
          <w:i w:val="1"/>
          <w:iCs w:val="1"/>
          <w:color w:val="auto"/>
        </w:rPr>
        <w:t>Investor with Observer Rights</w:t>
      </w:r>
      <w:r>
        <w:rPr>
          <w:rFonts w:ascii="Times New Roman" w:cs="Times New Roman" w:eastAsia="Times New Roman" w:hAnsi="Times New Roman"/>
          <w:sz w:val="18"/>
          <w:szCs w:val="18"/>
          <w:color w:val="auto"/>
        </w:rPr>
        <w:t>” means each of: (a) a designee of New Enterprise Associates 12, Limited Partnership (“</w:t>
      </w:r>
      <w:r>
        <w:rPr>
          <w:rFonts w:ascii="Times New Roman" w:cs="Times New Roman" w:eastAsia="Times New Roman" w:hAnsi="Times New Roman"/>
          <w:sz w:val="18"/>
          <w:szCs w:val="18"/>
          <w:b w:val="1"/>
          <w:bCs w:val="1"/>
          <w:i w:val="1"/>
          <w:iCs w:val="1"/>
          <w:color w:val="auto"/>
        </w:rPr>
        <w:t>NEA</w:t>
      </w:r>
      <w:r>
        <w:rPr>
          <w:rFonts w:ascii="Times New Roman" w:cs="Times New Roman" w:eastAsia="Times New Roman" w:hAnsi="Times New Roman"/>
          <w:sz w:val="18"/>
          <w:szCs w:val="18"/>
          <w:color w:val="auto"/>
        </w:rPr>
        <w:t>”), so long as NEA holds at least twenty-five percent (25%) of the aggregate number of shares of Preferred Stock acquired by it pursuant to the Series A Purchase Agreement dated as of May 29, 2008 by and among the Company and the other parties named therein (the “</w:t>
      </w:r>
      <w:r>
        <w:rPr>
          <w:rFonts w:ascii="Times New Roman" w:cs="Times New Roman" w:eastAsia="Times New Roman" w:hAnsi="Times New Roman"/>
          <w:sz w:val="18"/>
          <w:szCs w:val="18"/>
          <w:b w:val="1"/>
          <w:bCs w:val="1"/>
          <w:i w:val="1"/>
          <w:iCs w:val="1"/>
          <w:color w:val="auto"/>
        </w:rPr>
        <w:t>Prior Purchase Agreement</w:t>
      </w:r>
      <w:r>
        <w:rPr>
          <w:rFonts w:ascii="Times New Roman" w:cs="Times New Roman" w:eastAsia="Times New Roman" w:hAnsi="Times New Roman"/>
          <w:sz w:val="18"/>
          <w:szCs w:val="18"/>
          <w:color w:val="auto"/>
        </w:rPr>
        <w:t>”) and the Series B Purchase Agreement (on an as-converted to Common Stock basis); (b) a designee of CMEA Ventures VII, L.P. (“</w:t>
      </w:r>
      <w:r>
        <w:rPr>
          <w:rFonts w:ascii="Times New Roman" w:cs="Times New Roman" w:eastAsia="Times New Roman" w:hAnsi="Times New Roman"/>
          <w:sz w:val="18"/>
          <w:szCs w:val="18"/>
          <w:b w:val="1"/>
          <w:bCs w:val="1"/>
          <w:i w:val="1"/>
          <w:iCs w:val="1"/>
          <w:color w:val="auto"/>
        </w:rPr>
        <w:t>CMEA</w:t>
      </w:r>
      <w:r>
        <w:rPr>
          <w:rFonts w:ascii="Times New Roman" w:cs="Times New Roman" w:eastAsia="Times New Roman" w:hAnsi="Times New Roman"/>
          <w:sz w:val="18"/>
          <w:szCs w:val="18"/>
          <w:color w:val="auto"/>
        </w:rPr>
        <w:t>”), so long as CMEA holds at least twenty-five percent (25%) of the aggregate number of shares of Preferred Stock acquired by it pursuant to the Prior Purchase Agreement and the Series B Purchase Agreement (on an as-converted to Common Stock basis); (c) Peter Schultz (“</w:t>
      </w:r>
      <w:r>
        <w:rPr>
          <w:rFonts w:ascii="Times New Roman" w:cs="Times New Roman" w:eastAsia="Times New Roman" w:hAnsi="Times New Roman"/>
          <w:sz w:val="18"/>
          <w:szCs w:val="18"/>
          <w:b w:val="1"/>
          <w:bCs w:val="1"/>
          <w:i w:val="1"/>
          <w:iCs w:val="1"/>
          <w:color w:val="auto"/>
        </w:rPr>
        <w:t>Schultz</w:t>
      </w:r>
      <w:r>
        <w:rPr>
          <w:rFonts w:ascii="Times New Roman" w:cs="Times New Roman" w:eastAsia="Times New Roman" w:hAnsi="Times New Roman"/>
          <w:sz w:val="18"/>
          <w:szCs w:val="18"/>
          <w:color w:val="auto"/>
        </w:rPr>
        <w:t>”) so long as he holds at least twenty-five percent (25%) of the aggregate number of shares of Preferred Stock acquired by him pursuant to the Prior Purchase Agreement and the Series B Purchase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432" w:name="page433"/>
    <w:bookmarkEnd w:id="432"/>
    <w:p>
      <w:pPr>
        <w:ind w:right="1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an as-converted to Common Stock basis); and (d) Jean Frechet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Frechet”</w:t>
      </w:r>
      <w:r>
        <w:rPr>
          <w:rFonts w:ascii="Times New Roman" w:cs="Times New Roman" w:eastAsia="Times New Roman" w:hAnsi="Times New Roman"/>
          <w:sz w:val="18"/>
          <w:szCs w:val="18"/>
          <w:color w:val="auto"/>
        </w:rPr>
        <w:t>) so long as he holds at least twenty-five percent (25%) of the aggregate number of shares of Preferred Stock acquired by him pursuant to the Prior Purchase Agreement and the Series B Purchase Agreement (on an as-converted to Common Stock basis).</w:t>
      </w:r>
    </w:p>
    <w:p>
      <w:pPr>
        <w:spacing w:after="0" w:line="175"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Proprietary Information and Inventions Assignment Agreements</w:t>
      </w:r>
      <w:r>
        <w:rPr>
          <w:rFonts w:ascii="Times New Roman" w:cs="Times New Roman" w:eastAsia="Times New Roman" w:hAnsi="Times New Roman"/>
          <w:sz w:val="18"/>
          <w:szCs w:val="18"/>
          <w:color w:val="auto"/>
        </w:rPr>
        <w:t>. The Company shall require all employees with access to proprietary information to execute and deliver (i) the Company’s standard form of proprietary information and inventions assignment agreement in substantially the form approved by the Company’s Board of Directors and all consultants with access to proprietary information to enter into a consulting agreement that contains non-disclosure and, to the extent such consultant is involved in the development of intellectual property for the Company, assignment of inventions provisions.</w:t>
      </w:r>
    </w:p>
    <w:p>
      <w:pPr>
        <w:spacing w:after="0" w:line="184"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Common Stock Vesting</w:t>
      </w:r>
      <w:r>
        <w:rPr>
          <w:rFonts w:ascii="Times New Roman" w:cs="Times New Roman" w:eastAsia="Times New Roman" w:hAnsi="Times New Roman"/>
          <w:sz w:val="18"/>
          <w:szCs w:val="18"/>
          <w:color w:val="auto"/>
        </w:rPr>
        <w:t>. Shares of Common Stock (or options therefor) issued to future employees and service providers of the Company after the date hereof shall, unless otherwise approved by a majority of the Board of Directors (i) vest as follows: no shares shall vest until the completion of the twelve (12) month anniversary of the commencement of employment or service, at which time twenty-five percent (25%) of the Common Stock (or option therefor) shall vest; and the remainder shall vest in equal monthly installments over the following thirty-six (36) months and (ii) include a 180-day lockup period or such longer period, not to exceed eighteen (18) days after the expiration of the 180-day period, as the Company or such underwriter shall request in order to facilitate compliance with FINRA Rule 2711(f)(4) or NYSE Rule 472(f)(4), or any successor provisions or amendments thereto) in connection with a Qualified Public Offering. Unless otherwise approved by the Board of Directors, with respect to any shares of Common Stock purchased by any such person, the Company’s repurchase option shall provide that upon such person’s termination of employment or service with the Company, with or without cause, the Company or its assignee (to the extent permissible under applicable securities laws and other laws) shall have the option to purchase at cost any unvested shares of stock held by such person.</w:t>
      </w:r>
    </w:p>
    <w:p>
      <w:pPr>
        <w:spacing w:after="0" w:line="186"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Actions Requiring Board Approval</w:t>
      </w:r>
      <w:r>
        <w:rPr>
          <w:rFonts w:ascii="Times New Roman" w:cs="Times New Roman" w:eastAsia="Times New Roman" w:hAnsi="Times New Roman"/>
          <w:sz w:val="18"/>
          <w:szCs w:val="18"/>
          <w:color w:val="auto"/>
        </w:rPr>
        <w:t>. The Company shall not, without the approval of the Board of Directors of the Company (including the approval of each Preferred Director), make any acquisitions of tangible or intangible assets of another entity by means of a transaction or a series of related transactions (including, without limitation, any reorganization, merger or consolidation) with a transaction value individually or in the aggregate in excess of $500,000, unless such acquisition was included in a capital expenditure budget previously approved by the Board of Directors of the Company (including the approval of each Preferred Director).</w:t>
      </w:r>
    </w:p>
    <w:p>
      <w:pPr>
        <w:spacing w:after="0" w:line="184"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Real Property Holding Company</w:t>
      </w:r>
      <w:r>
        <w:rPr>
          <w:rFonts w:ascii="Times New Roman" w:cs="Times New Roman" w:eastAsia="Times New Roman" w:hAnsi="Times New Roman"/>
          <w:sz w:val="18"/>
          <w:szCs w:val="18"/>
          <w:color w:val="auto"/>
        </w:rPr>
        <w:t>. The Company shall provide prompt notice to NEA following any “determination date” (as defined in Treasury Regulation Section 1.897-2(c)(1)) on which the Company becomes a United States real property holding corporation. In addition, upon a written request by NEA, the Company shall provide NEA with a written statement informing NEA whether NEA’s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6" w:right="239" w:bottom="1440" w:gutter="0" w:footer="0" w:header="0"/>
        </w:sectPr>
      </w:pPr>
    </w:p>
    <w:bookmarkStart w:id="433" w:name="page434"/>
    <w:bookmarkEnd w:id="433"/>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by Treasury Regulation Section 1.897-2(h)(2) or any successor regulation, that such statement has been made. The Company’s written statement to NEA shall be delivered to NEA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180"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all commercially reasonable efforts to increase its D&amp;O liability policy coverage and employee practices liability coverage to at least $5,000,000, respectively, immediately prior to an Initial Public Offering. The Company shall, as soon as practicable following the date hereof, obtain directors and officers liability insurance on terms and limits reasonably satisfactory to the Board of Directors.</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Board Expenses</w:t>
      </w:r>
      <w:r>
        <w:rPr>
          <w:rFonts w:ascii="Times New Roman" w:cs="Times New Roman" w:eastAsia="Times New Roman" w:hAnsi="Times New Roman"/>
          <w:sz w:val="18"/>
          <w:szCs w:val="18"/>
          <w:color w:val="auto"/>
        </w:rPr>
        <w:t>. Upon request, and subject to the Company’s policy for reimbursement of expenses, the Company shall promptly reimburse in full, each non-employee director of the Company for all of his or her reasonable out-of-pocket expenses incurred related to attending meetings of the Company’s Board of Directors or any committee thereof.</w:t>
      </w:r>
    </w:p>
    <w:p>
      <w:pPr>
        <w:spacing w:after="0" w:line="176"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Related Party Relationship Notification</w:t>
      </w:r>
      <w:r>
        <w:rPr>
          <w:rFonts w:ascii="Times New Roman" w:cs="Times New Roman" w:eastAsia="Times New Roman" w:hAnsi="Times New Roman"/>
          <w:sz w:val="18"/>
          <w:szCs w:val="18"/>
          <w:color w:val="auto"/>
        </w:rPr>
        <w:t>. The Company agrees to notify the Board of Directors prior to employing, engaging as a consultant or independent contractor or otherwise entering into a business relationship with any member of an officer or director’s immediate family.</w:t>
      </w:r>
    </w:p>
    <w:p>
      <w:pPr>
        <w:spacing w:after="0" w:line="162"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Holder acknowledges that the information received by them pursuant to this Agreement may be confidential and for its use only, and it will not use such confidential information in violation of the Act or reproduce, disclose or disseminate such information to any other person, except in connection with the exercise of rights under this Agreement; provided, however, that a Holder may disclose confidential information (x) to its attorneys, accountants, consultants, and other professionals to the extent necessary to obtain their services in connection with monitoring its investment in the Company, (y) to any affiliate, partner, limited partner, member, auditor, stockholder or wholly owned subsidiary of such Holder in the ordinary course of business or if the recipient is bound by confidentiality obligations with respect to such confidential information, or (z) as may otherwise be required by law. Confidential information for purposes of this Section 2.12 shall not include information, technical data or know-how that: (i) is rightfully in the Holder’s possession at the time of disclosure as shown by the Holder’s files and records immediately prior to the time of disclosure; (ii) before or after it has been disclosed to the Holder, is or becomes part of the public knowledge or literature, not as a result of any action or inaction of the Holder; (iii) is approved for release by written authorization of the Company; or (iv) is rightfully disclosed to the Holder by a third party that is not bound by obligations of confidentiality.</w:t>
      </w:r>
    </w:p>
    <w:p>
      <w:pPr>
        <w:spacing w:after="0" w:line="193"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Certain Covenants</w:t>
      </w:r>
      <w:r>
        <w:rPr>
          <w:rFonts w:ascii="Times New Roman" w:cs="Times New Roman" w:eastAsia="Times New Roman" w:hAnsi="Times New Roman"/>
          <w:sz w:val="18"/>
          <w:szCs w:val="18"/>
          <w:color w:val="auto"/>
        </w:rPr>
        <w:t>. The covenants set forth in this Sections 2.1 through Section 2.11 shall terminate and be of no further force or effect upon the consummation of a Qualified Public Offering, at such time as the Company is required to file reports pursuant to Section 13 or 15(d) of the 1934 Act or upon a Liquidation Event (as defined in the Restated Certificate).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434" w:name="page435"/>
    <w:bookmarkEnd w:id="434"/>
    <w:p>
      <w:pPr>
        <w:ind w:left="640" w:hanging="176"/>
        <w:spacing w:after="0"/>
        <w:tabs>
          <w:tab w:leader="none" w:pos="6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Additional Series B Investors</w:t>
      </w:r>
      <w:r>
        <w:rPr>
          <w:rFonts w:ascii="Times New Roman" w:cs="Times New Roman" w:eastAsia="Times New Roman" w:hAnsi="Times New Roman"/>
          <w:sz w:val="18"/>
          <w:szCs w:val="18"/>
          <w:color w:val="auto"/>
        </w:rPr>
        <w:t>. Upon the sale of Additional Series B Shares to Additional Series B Investors in accordance with the Series B Purchase Agreement, the Company, without prior action on the part of any Investor, shall require each Additional Series B Investor to execute and deliver this Agreement. Each such Additional Series B Investor, upon execution and delivery of this Agreement by the Company and such Additional Series B Investor, shall be deemed an Investor hereunder.</w:t>
      </w:r>
    </w:p>
    <w:p>
      <w:pPr>
        <w:spacing w:after="0" w:line="180"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All disputes and controversies arising out of or in connection with this Agreement shall be resolved exclusively by the state and federal courts located in Santa Clara County in the State of California and each party hereto agrees to submit to the jurisdiction of said courts and agrees that venue shall lie exclusively with such courts.</w:t>
      </w:r>
    </w:p>
    <w:p>
      <w:pPr>
        <w:spacing w:after="0" w:line="184"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(including by facsimile, .pdf or other electronic copy), each of which shall be deemed an original, but all of which together shall constitute one and the same instrument.</w:t>
      </w:r>
    </w:p>
    <w:p>
      <w:pPr>
        <w:spacing w:after="0" w:line="162"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may be otherwise provided herein, all notices, requests, waivers and other communications made pursuant to this Agreement shall be in writing and shall be conclusively deemed to have been duly given (a) when hand delivered to the other party; (b) when sent by facsimile to the number set forth below if sent between 8:00 a.m. and 5:00 p.m. recipient’s local time on a business day, or on the next business day if sent by facsimile to the number set forth below if sent other than between 8:00 a.m. and 5:00 p.m. recipient’s local time on a business day; (c) when sent by electronic mail to the electronic mail address set forth below, if any, if sent between 8:00 a.m. and 5:00 p.m. recipient’s local time on a business day, or on the next business day if sent by electronic mail to the electronic mail address set forth below, if any, if sent other than between 8:00 a.m. and 5:00 p.m. recipient’s local time on a business day; (d) three business days after deposit in the U.S. mail with first class or certified mail receipt requested postage prepaid and addressed to the other party at the address set forth below; or (e) the next business day after deposit with a national overnight delivery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435" w:name="page436"/>
    <w:bookmarkEnd w:id="435"/>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 postage prepaid, addressed to the parties as set forth below with next business day delivery guaranteed, provided that the sending party receives a confirmation of delivery from the delivery service provider.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Section 3.6 by giving the other party written notice of the new address in the manner set forth above.</w:t>
      </w:r>
    </w:p>
    <w:p>
      <w:pPr>
        <w:spacing w:after="0" w:line="184" w:lineRule="exact"/>
        <w:rPr>
          <w:sz w:val="20"/>
          <w:szCs w:val="20"/>
          <w:color w:val="auto"/>
        </w:rPr>
      </w:pPr>
    </w:p>
    <w:p>
      <w:pPr>
        <w:ind w:right="5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62"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holders of two-thirds of the Registrable Securities then outstanding; provided, however, that: (i) Section 2.1, Section 2.2 and Section 2.3 shall not be amended or waived without the written consent of the holders of a majority of the then outstanding Registrable Securities held by the Major Investors; (ii) Section 2.4 shall not be amended to remove or alter the observer rights of (a) NEA, so long as it holds at least twenty-five percent (25%) of the aggregate number of shares of Preferred Stock acquired by it pursuant to the Prior Purchase Agreement and the Series B Purchase Agreement (on an as-converted to Common Stock basis),</w:t>
      </w:r>
    </w:p>
    <w:p>
      <w:pPr>
        <w:ind w:firstLine="8"/>
        <w:spacing w:after="0" w:line="251" w:lineRule="auto"/>
        <w:tabs>
          <w:tab w:leader="none" w:pos="25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CMEA, so long as it holds at least twenty-five percent (25%) of the aggregate number of shares of Preferred Stock acquired by it pursuant to the Prior Purchase Agreement and the Series B Purchase Agreement (on an as-converted to Common Stock basis), (c) Schultz, so long as he holds at least twenty-five percent (25%) of the aggregate number of shares of Preferred Stock acquired by him pursuant to the Prior Purchase Agreement and the Series B Purchase Agreement (on an as-converted to Common Stock basis), and (d) Frechet, so long as he holds at least twenty-five percent (25%) of the aggregate number of shares of Preferred Stock acquired by him pursuant to the Prior Purchase Agreement and the Series B Purchase Agreement (on an as-converted to Common Stock basis) unless NEA, CMEA, Schutlz, and Frechet, as applicable, consent in writing to such removal or alteration; and (iii) each Founder who is then employed by the Company or otherwise engaged as a consultant, director or other service provider of the Company shall consent in writing to any amendment that adversely affects such Founder. Any amendment or waiver effected in accordance with this paragraph shall be binding upon each holder of any Registrable Securities, each future holder of all such Registrable Securities and the Company.</w:t>
      </w:r>
    </w:p>
    <w:p>
      <w:pPr>
        <w:spacing w:after="0" w:line="194" w:lineRule="exact"/>
        <w:rPr>
          <w:sz w:val="20"/>
          <w:szCs w:val="20"/>
          <w:color w:val="auto"/>
        </w:rPr>
      </w:pPr>
    </w:p>
    <w:p>
      <w:pPr>
        <w:jc w:val="both"/>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76"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entities advised by the same investment adviser and affiliated entities or persons shall be aggregated together for the purpose of determining the availability of any rights under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69" w:right="239" w:bottom="1440" w:gutter="0" w:footer="0" w:header="0"/>
        </w:sectPr>
      </w:pPr>
    </w:p>
    <w:bookmarkStart w:id="436" w:name="page437"/>
    <w:bookmarkEnd w:id="436"/>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3.11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The Prior Agreement is hereby amended and restated in its entirety to read as set forth in this Agreement and the Prior Agreement shall have no further force or effect.</w:t>
      </w:r>
    </w:p>
    <w:p>
      <w:pPr>
        <w:spacing w:after="0" w:line="16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referred to herein constitute the entire agreement among the parties with respect to the subject matter hereof and no party shall be liable or bound to any other party in any manner by any warranties, representations or covenants except as specifically set forth herein or therein.</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80"/>
          </w:cols>
          <w:pgMar w:left="240" w:top="269" w:right="47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above written.</w:t>
      </w:r>
    </w:p>
    <w:p>
      <w:pPr>
        <w:spacing w:after="0" w:line="24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Raab</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Raab</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ectPr>
          <w:pgSz w:w="11900" w:h="16838" w:orient="portrait"/>
          <w:cols w:equalWidth="0" w:num="1">
            <w:col w:w="10960"/>
          </w:cols>
          <w:pgMar w:left="700" w:top="270" w:right="239" w:bottom="1440" w:gutter="0" w:footer="0" w:header="0"/>
        </w:sectPr>
      </w:pPr>
    </w:p>
    <w:bookmarkStart w:id="438" w:name="page439"/>
    <w:bookmarkEnd w:id="438"/>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FOUNDER: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DOMINIQUE CHARMOT</w:t>
      </w: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9019"/>
          </w:cols>
          <w:pgMar w:left="1440" w:top="266" w:right="1440" w:bottom="1440" w:gutter="0" w:footer="0" w:header="0"/>
        </w:sectPr>
      </w:pPr>
    </w:p>
    <w:bookmarkStart w:id="439" w:name="page440"/>
    <w:bookmarkEnd w:id="439"/>
    <w:p>
      <w:pPr>
        <w:ind w:left="56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FOUNDER AND INVESTOR:</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JEAN FRECHET</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9019"/>
          </w:cols>
          <w:pgMar w:left="1440" w:top="266" w:right="1440" w:bottom="1440" w:gutter="0" w:footer="0" w:header="0"/>
        </w:sectPr>
      </w:pPr>
    </w:p>
    <w:bookmarkStart w:id="440" w:name="page441"/>
    <w:bookmarkEnd w:id="440"/>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NEW ENTERPRISE ASSOCIATES 12, LIMITED</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07"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NEA Partners 12, Limited Partnership, its general</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NEA 12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 Citron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Louis Citron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VENTURES 2008, LIMITED PARTNERSHIP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 Citron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Louis Citron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10220"/>
          </w:cols>
          <w:pgMar w:left="1440" w:top="265" w:right="239" w:bottom="1440" w:gutter="0" w:footer="0" w:header="0"/>
        </w:sectPr>
      </w:pPr>
    </w:p>
    <w:bookmarkStart w:id="441" w:name="page442"/>
    <w:bookmarkEnd w:id="441"/>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CMEA VENTURES VII, L.P.</w:t>
      </w:r>
    </w:p>
    <w:p>
      <w:pPr>
        <w:spacing w:after="0" w:line="22" w:lineRule="exact"/>
        <w:rPr>
          <w:sz w:val="20"/>
          <w:szCs w:val="20"/>
          <w:color w:val="auto"/>
        </w:rPr>
      </w:pPr>
    </w:p>
    <w:tbl>
      <w:tblPr>
        <w:tblLayout w:type="fixed"/>
        <w:tblInd w:w="56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CMEA Ventures VII GP,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CMEA Ventures VII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Collier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J. Collier, M.D.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CMEA VENTURES VII (PARALLEL),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CMEA Ventures VII GP, L.P., Its General Partner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CMEA Ventures VII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Collier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J. Collier, M.D.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bl>
    <w:p>
      <w:pPr>
        <w:spacing w:after="0" w:line="1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10220"/>
          </w:cols>
          <w:pgMar w:left="1440" w:top="265" w:right="239" w:bottom="1440" w:gutter="0" w:footer="0" w:header="0"/>
        </w:sectPr>
      </w:pPr>
    </w:p>
    <w:bookmarkStart w:id="442" w:name="page443"/>
    <w:bookmarkEnd w:id="442"/>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PETER SCHULTZ</w:t>
      </w: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Peter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9019"/>
          </w:cols>
          <w:pgMar w:left="1440" w:top="266" w:right="1440" w:bottom="1440" w:gutter="0" w:footer="0" w:header="0"/>
        </w:sectPr>
      </w:pPr>
    </w:p>
    <w:bookmarkStart w:id="443" w:name="page444"/>
    <w:bookmarkEnd w:id="443"/>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ISY GOLDWASSER</w:t>
      </w: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Isy Goldwasser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9019"/>
          </w:cols>
          <w:pgMar w:left="1440" w:top="266" w:right="1440" w:bottom="1440" w:gutter="0" w:footer="0" w:header="0"/>
        </w:sectPr>
      </w:pPr>
    </w:p>
    <w:bookmarkStart w:id="444" w:name="page445"/>
    <w:bookmarkEnd w:id="444"/>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ABBOTT INVESTMENT COMPANY, LLC</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 Gilstrap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C. Gilstrap</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9080"/>
          </w:cols>
          <w:pgMar w:left="1440" w:top="266" w:right="1379" w:bottom="1440" w:gutter="0" w:footer="0" w:header="0"/>
        </w:sectPr>
      </w:pPr>
    </w:p>
    <w:bookmarkStart w:id="445" w:name="page446"/>
    <w:bookmarkEnd w:id="445"/>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STEPHENS, INC. FBO JAMES C. GILSTRAP IRA</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Gilstrap</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C. Gilstrap</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p>
        </w:tc>
      </w:tr>
      <w:tr>
        <w:trPr>
          <w:trHeight w:val="432"/>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STEPHENS,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Bob Egandoerfer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0</wp:posOffset>
            </wp:positionV>
            <wp:extent cx="252158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8"/>
          <w:szCs w:val="18"/>
          <w:color w:val="auto"/>
        </w:rPr>
        <w:t>Name: Bob Egandoerfer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Operations Manager</w:t>
      </w:r>
    </w:p>
    <w:p>
      <w:pPr>
        <w:spacing w:after="0" w:line="2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SIGNATURE PAGE TO</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INVESTORS’ RIGHTS AGREEMENT</w:t>
      </w:r>
    </w:p>
    <w:p>
      <w:pPr>
        <w:sectPr>
          <w:pgSz w:w="11900" w:h="16838" w:orient="portrait"/>
          <w:cols w:equalWidth="0" w:num="1">
            <w:col w:w="10220"/>
          </w:cols>
          <w:pgMar w:left="1440" w:top="265" w:right="239" w:bottom="1440" w:gutter="0" w:footer="0" w:header="0"/>
        </w:sectPr>
      </w:pPr>
    </w:p>
    <w:bookmarkStart w:id="446" w:name="page447"/>
    <w:bookmarkEnd w:id="446"/>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SCHEDULE OF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Name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12, Limited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Ventures 2008, Limited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CMEA Ventures VII,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CMEA Ventures VII (Parallel),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Schultz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Frechet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Isy Goldwasser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Walters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Abbott Investment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Stephens, Inc. FBO James C. Gilstrap IRA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J. and Maria E. Quirk Revocable Trust, Edward J. Quirk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RSN Enterprises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Dervan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Amgen Ventures, LLC</w:t>
      </w:r>
    </w:p>
    <w:p>
      <w:pPr>
        <w:sectPr>
          <w:pgSz w:w="11900" w:h="16838" w:orient="portrait"/>
          <w:cols w:equalWidth="0" w:num="1">
            <w:col w:w="10219"/>
          </w:cols>
          <w:pgMar w:left="240" w:top="266" w:right="1440"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0" w:type="dxa"/>
            <w:vAlign w:val="bottom"/>
            <w:gridSpan w:val="3"/>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SCHEDULE B</w:t>
            </w:r>
          </w:p>
        </w:tc>
      </w:tr>
      <w:tr>
        <w:trPr>
          <w:trHeight w:val="432"/>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0" w:type="dxa"/>
            <w:vAlign w:val="bottom"/>
            <w:gridSpan w:val="3"/>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SCHEDULE OF FOUNDERS</w:t>
            </w:r>
          </w:p>
        </w:tc>
      </w:tr>
      <w:tr>
        <w:trPr>
          <w:trHeight w:val="392"/>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Founder Name</w:t>
            </w:r>
          </w:p>
        </w:tc>
        <w:tc>
          <w:tcPr>
            <w:tcW w:w="606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Dominique Charmot</w:t>
            </w:r>
          </w:p>
        </w:tc>
        <w:tc>
          <w:tcPr>
            <w:tcW w:w="606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1,990,125</w:t>
            </w:r>
          </w:p>
        </w:tc>
        <w:tc>
          <w:tcPr>
            <w:tcW w:w="100" w:type="dxa"/>
            <w:vAlign w:val="bottom"/>
            <w:shd w:val="clear" w:color="auto" w:fill="CCEEFF"/>
          </w:tcPr>
          <w:p>
            <w:pPr>
              <w:spacing w:after="0"/>
              <w:rPr>
                <w:sz w:val="17"/>
                <w:szCs w:val="17"/>
                <w:color w:val="auto"/>
              </w:rPr>
            </w:pPr>
          </w:p>
        </w:tc>
      </w:tr>
      <w:tr>
        <w:trPr>
          <w:trHeight w:val="32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Frechet</w:t>
            </w:r>
          </w:p>
        </w:tc>
        <w:tc>
          <w:tcPr>
            <w:tcW w:w="8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8" w:name="page449"/>
    <w:bookmarkEnd w:id="448"/>
    <w:p>
      <w:pPr>
        <w:jc w:val="right"/>
        <w:spacing w:after="0"/>
        <w:rPr>
          <w:sz w:val="20"/>
          <w:szCs w:val="20"/>
          <w:color w:val="auto"/>
        </w:rPr>
      </w:pPr>
      <w:r>
        <w:rPr>
          <w:rFonts w:ascii="Times New Roman" w:cs="Times New Roman" w:eastAsia="Times New Roman" w:hAnsi="Times New Roman"/>
          <w:sz w:val="18"/>
          <w:szCs w:val="18"/>
          <w:b w:val="1"/>
          <w:bCs w:val="1"/>
          <w:color w:val="auto"/>
        </w:rPr>
        <w:t>Exhibit 10.6A</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LEASE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 Delaware corporation</w:t>
      </w:r>
    </w:p>
    <w:p>
      <w:pPr>
        <w:sectPr>
          <w:pgSz w:w="11900" w:h="16838" w:orient="portrait"/>
          <w:cols w:equalWidth="0" w:num="1">
            <w:col w:w="10220"/>
          </w:cols>
          <w:pgMar w:left="1440" w:top="117" w:right="239" w:bottom="1440" w:gutter="0" w:footer="0" w:header="0"/>
        </w:sectPr>
      </w:pPr>
    </w:p>
    <w:bookmarkStart w:id="449" w:name="page450"/>
    <w:bookmarkEnd w:id="4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w:t>
      </w:r>
    </w:p>
    <w:p>
      <w:pPr>
        <w:spacing w:after="0" w:line="229"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THIS LEASE (this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entered into as of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August, 2008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by and between 34175 ARDENWOOD VENTURE,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NTERYX,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A. WHEREAS, Landlord owns certain real property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and the improvements thereon located at 34175 Ardenwood Boulevard in Fremont, California, including the building located thereon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in which the Premises (as defined below) are located; and</w:t>
      </w:r>
    </w:p>
    <w:p>
      <w:pPr>
        <w:spacing w:after="0" w:line="162"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B. WHEREAS, Landlord wishes to lease to Tenant, and Tenant desires to lease from Landlord,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located in the Building, pursuant to the terms and conditions of this Lease, as detailed below.</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2" w:lineRule="exact"/>
        <w:rPr>
          <w:sz w:val="20"/>
          <w:szCs w:val="20"/>
          <w:color w:val="auto"/>
        </w:rPr>
      </w:pPr>
    </w:p>
    <w:p>
      <w:pPr>
        <w:ind w:right="40" w:firstLine="8"/>
        <w:spacing w:after="0" w:line="258" w:lineRule="auto"/>
        <w:tabs>
          <w:tab w:leader="none" w:pos="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of Premises</w:t>
      </w:r>
      <w:r>
        <w:rPr>
          <w:rFonts w:ascii="Times New Roman" w:cs="Times New Roman" w:eastAsia="Times New Roman" w:hAnsi="Times New Roman"/>
          <w:sz w:val="18"/>
          <w:szCs w:val="18"/>
          <w:color w:val="auto"/>
        </w:rPr>
        <w:t xml:space="preserve">. Landlord hereby leases to Tenant, and Tenant hereby leases from Landlord, the Premises, as shown on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attached hereto for use by Tenant in accordance with the Permitted Use (as defined below) and no other uses. The Property and all landscaping, parking facilities and other improvements and appurtenances related thereto, including, without limitation, the Building, are hereinafter collectively referred to as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All portions of the Project that are for the non-exclusive use of tenants of the Building, including, without limitation, driveways, sidewalks, parking areas, landscaped areas, service corridors, stairways, elevators, public restrooms and public lobbies, are hereinafter referred to as “</w:t>
      </w:r>
      <w:r>
        <w:rPr>
          <w:rFonts w:ascii="Times New Roman" w:cs="Times New Roman" w:eastAsia="Times New Roman" w:hAnsi="Times New Roman"/>
          <w:sz w:val="18"/>
          <w:szCs w:val="18"/>
          <w:u w:val="single" w:color="auto"/>
          <w:color w:val="auto"/>
        </w:rPr>
        <w:t>Common Area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Lease Provisions</w:t>
      </w:r>
      <w:r>
        <w:rPr>
          <w:rFonts w:ascii="Times New Roman" w:cs="Times New Roman" w:eastAsia="Times New Roman" w:hAnsi="Times New Roman"/>
          <w:sz w:val="18"/>
          <w:szCs w:val="18"/>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2.1. This Lease shall take effect upon the date of execution and delivery hereof by all parties hereto and, except as specifically otherwise provided within this Lease, each of the provisions hereof shall be binding upon and inure to the benefit of Landlord and Tenant from the date of execution and delivery hereof by all parties hereto; provided, however, and notwithstanding the provisions of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Tenant’s repair obligations under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with respect to the Property shall not commence until the earlier of (a) the Term Commencement Date and (b) the date that Tenant occupies the Premises.</w:t>
      </w:r>
    </w:p>
    <w:p>
      <w:pPr>
        <w:sectPr>
          <w:pgSz w:w="11900" w:h="16838" w:orient="portrait"/>
          <w:cols w:equalWidth="0" w:num="1">
            <w:col w:w="11400"/>
          </w:cols>
          <w:pgMar w:left="240" w:top="266" w:right="259" w:bottom="1440" w:gutter="0" w:footer="0" w:header="0"/>
        </w:sectPr>
      </w:pPr>
    </w:p>
    <w:bookmarkStart w:id="450" w:name="page451"/>
    <w:bookmarkEnd w:id="450"/>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In the definitions below, each current Rentable Area (as defined below) is expressed in rentable square footage. Rentable Area and Tenant’s Pro Rata Share (as defined below) are all subject to adjustment as provided in this Lease.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Definition or Provision</w:t>
            </w:r>
          </w:p>
        </w:tc>
        <w:tc>
          <w:tcPr>
            <w:tcW w:w="146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Means the Following (As of the Term</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Commencement Date)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700" w:type="dxa"/>
            <w:vAlign w:val="bottom"/>
            <w:tcBorders>
              <w:top w:val="single" w:sz="8" w:color="CCEEFF"/>
            </w:tcBorders>
            <w:gridSpan w:val="5"/>
            <w:shd w:val="clear" w:color="auto" w:fill="CCEEFF"/>
          </w:tcPr>
          <w:p>
            <w:pPr>
              <w:jc w:val="center"/>
              <w:ind w:left="270"/>
              <w:spacing w:after="0" w:line="203" w:lineRule="exact"/>
              <w:rPr>
                <w:sz w:val="20"/>
                <w:szCs w:val="20"/>
                <w:color w:val="auto"/>
              </w:rPr>
            </w:pPr>
            <w:r>
              <w:rPr>
                <w:rFonts w:ascii="Times New Roman" w:cs="Times New Roman" w:eastAsia="Times New Roman" w:hAnsi="Times New Roman"/>
                <w:sz w:val="18"/>
                <w:szCs w:val="18"/>
                <w:color w:val="auto"/>
              </w:rPr>
              <w:t>Rentable Area of Premises</w:t>
            </w:r>
          </w:p>
        </w:tc>
        <w:tc>
          <w:tcPr>
            <w:tcW w:w="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27,620 square feet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Rentable Area of Building</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72,500 square feet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gridSpan w:val="5"/>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Tenant’s Pro Rata Share of Building</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38.10%</w:t>
            </w:r>
          </w:p>
        </w:tc>
        <w:tc>
          <w:tcPr>
            <w:tcW w:w="0" w:type="dxa"/>
            <w:vAlign w:val="bottom"/>
          </w:tcPr>
          <w:p>
            <w:pPr>
              <w:spacing w:after="0"/>
              <w:rPr>
                <w:sz w:val="1"/>
                <w:szCs w:val="1"/>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2.3. Tenant’s Op Ex Share (as defined below):</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80" w:type="dxa"/>
            <w:vAlign w:val="bottom"/>
            <w:gridSpan w:val="2"/>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Rentable S.F.</w:t>
            </w:r>
          </w:p>
        </w:tc>
        <w:tc>
          <w:tcPr>
            <w:tcW w:w="20" w:type="dxa"/>
            <w:vAlign w:val="bottom"/>
          </w:tcPr>
          <w:p>
            <w:pPr>
              <w:spacing w:after="0"/>
              <w:rPr>
                <w:sz w:val="24"/>
                <w:szCs w:val="24"/>
                <w:color w:val="auto"/>
              </w:rPr>
            </w:pPr>
          </w:p>
        </w:tc>
        <w:tc>
          <w:tcPr>
            <w:tcW w:w="2280" w:type="dxa"/>
            <w:vAlign w:val="bottom"/>
            <w:gridSpan w:val="2"/>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Tenant’s Op Ex Share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08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1-6</w:t>
            </w:r>
          </w:p>
        </w:tc>
        <w:tc>
          <w:tcPr>
            <w:tcW w:w="7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12,000</w:t>
            </w: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gridSpan w:val="3"/>
          </w:tcPr>
          <w:p>
            <w:pPr>
              <w:jc w:val="center"/>
              <w:ind w:left="2010"/>
              <w:spacing w:after="0"/>
              <w:rPr>
                <w:sz w:val="20"/>
                <w:szCs w:val="20"/>
                <w:color w:val="auto"/>
              </w:rPr>
            </w:pPr>
            <w:r>
              <w:rPr>
                <w:rFonts w:ascii="Times New Roman" w:cs="Times New Roman" w:eastAsia="Times New Roman" w:hAnsi="Times New Roman"/>
                <w:sz w:val="18"/>
                <w:szCs w:val="18"/>
                <w:color w:val="auto"/>
                <w:w w:val="96"/>
              </w:rPr>
              <w:t>7-12</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2"/>
          </w:tcPr>
          <w:p>
            <w:pPr>
              <w:jc w:val="center"/>
              <w:ind w:left="774"/>
              <w:spacing w:after="0"/>
              <w:rPr>
                <w:sz w:val="20"/>
                <w:szCs w:val="20"/>
                <w:color w:val="auto"/>
              </w:rPr>
            </w:pPr>
            <w:r>
              <w:rPr>
                <w:rFonts w:ascii="Times New Roman" w:cs="Times New Roman" w:eastAsia="Times New Roman" w:hAnsi="Times New Roman"/>
                <w:sz w:val="18"/>
                <w:szCs w:val="18"/>
                <w:color w:val="auto"/>
              </w:rPr>
              <w:t>15,000</w:t>
            </w:r>
          </w:p>
        </w:tc>
        <w:tc>
          <w:tcPr>
            <w:tcW w:w="2300" w:type="dxa"/>
            <w:vAlign w:val="bottom"/>
            <w:gridSpan w:val="3"/>
          </w:tcPr>
          <w:p>
            <w:pPr>
              <w:jc w:val="center"/>
              <w:ind w:left="853"/>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gridSpan w:val="3"/>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13-24</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rPr>
              <w:t>20,000</w:t>
            </w:r>
          </w:p>
        </w:tc>
        <w:tc>
          <w:tcPr>
            <w:tcW w:w="2300" w:type="dxa"/>
            <w:vAlign w:val="bottom"/>
            <w:gridSpan w:val="3"/>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color w:val="auto"/>
                <w:w w:val="99"/>
              </w:rPr>
              <w:t>25-36</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gridSpan w:val="2"/>
          </w:tcPr>
          <w:p>
            <w:pPr>
              <w:jc w:val="center"/>
              <w:ind w:left="774"/>
              <w:spacing w:after="0"/>
              <w:rPr>
                <w:sz w:val="20"/>
                <w:szCs w:val="20"/>
                <w:color w:val="auto"/>
              </w:rPr>
            </w:pPr>
            <w:r>
              <w:rPr>
                <w:rFonts w:ascii="Times New Roman" w:cs="Times New Roman" w:eastAsia="Times New Roman" w:hAnsi="Times New Roman"/>
                <w:sz w:val="18"/>
                <w:szCs w:val="18"/>
                <w:color w:val="auto"/>
              </w:rPr>
              <w:t>24,000</w:t>
            </w:r>
          </w:p>
        </w:tc>
        <w:tc>
          <w:tcPr>
            <w:tcW w:w="2300" w:type="dxa"/>
            <w:vAlign w:val="bottom"/>
            <w:gridSpan w:val="3"/>
          </w:tcPr>
          <w:p>
            <w:pPr>
              <w:jc w:val="center"/>
              <w:ind w:left="853"/>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gridSpan w:val="3"/>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w w:val="99"/>
              </w:rPr>
              <w:t>37-60</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rPr>
              <w:t>27,620</w:t>
            </w:r>
          </w:p>
        </w:tc>
        <w:tc>
          <w:tcPr>
            <w:tcW w:w="2300" w:type="dxa"/>
            <w:vAlign w:val="bottom"/>
            <w:gridSpan w:val="3"/>
            <w:shd w:val="clear" w:color="auto" w:fill="CCEEFF"/>
          </w:tcPr>
          <w:p>
            <w:pPr>
              <w:jc w:val="center"/>
              <w:ind w:left="853"/>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 Initial monthly and annual installments of Base Rent for the Premises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as of the Term Commencement Date:</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260" w:type="dxa"/>
            <w:vAlign w:val="bottom"/>
          </w:tcPr>
          <w:p>
            <w:pPr>
              <w:spacing w:after="0"/>
              <w:rPr>
                <w:sz w:val="16"/>
                <w:szCs w:val="16"/>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Rentable S.F.</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Rentable S.F.</w:t>
            </w: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 Monthly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Annual</w:t>
            </w:r>
          </w:p>
        </w:tc>
      </w:tr>
      <w:tr>
        <w:trPr>
          <w:trHeight w:val="203"/>
        </w:trPr>
        <w:tc>
          <w:tcPr>
            <w:tcW w:w="2240" w:type="dxa"/>
            <w:vAlign w:val="bottom"/>
            <w:tcBorders>
              <w:top w:val="single" w:sz="8" w:color="CCEEFF"/>
            </w:tcBorders>
            <w:gridSpan w:val="2"/>
            <w:shd w:val="clear" w:color="auto" w:fill="CCEEFF"/>
          </w:tcPr>
          <w:p>
            <w:pPr>
              <w:jc w:val="center"/>
              <w:ind w:left="1670"/>
              <w:spacing w:after="0" w:line="203" w:lineRule="exact"/>
              <w:rPr>
                <w:sz w:val="20"/>
                <w:szCs w:val="20"/>
                <w:color w:val="auto"/>
              </w:rPr>
            </w:pPr>
            <w:r>
              <w:rPr>
                <w:rFonts w:ascii="Times New Roman" w:cs="Times New Roman" w:eastAsia="Times New Roman" w:hAnsi="Times New Roman"/>
                <w:sz w:val="18"/>
                <w:szCs w:val="18"/>
                <w:color w:val="auto"/>
                <w:w w:val="99"/>
              </w:rPr>
              <w:t>1-6</w:t>
            </w:r>
          </w:p>
        </w:tc>
        <w:tc>
          <w:tcPr>
            <w:tcW w:w="2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12,000</w:t>
            </w:r>
          </w:p>
        </w:tc>
        <w:tc>
          <w:tcPr>
            <w:tcW w:w="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$2.30 monthly</w:t>
            </w:r>
          </w:p>
        </w:tc>
        <w:tc>
          <w:tcPr>
            <w:tcW w:w="5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$27,600</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$331,200</w:t>
            </w:r>
          </w:p>
        </w:tc>
      </w:tr>
      <w:tr>
        <w:trPr>
          <w:trHeight w:val="216"/>
        </w:trPr>
        <w:tc>
          <w:tcPr>
            <w:tcW w:w="22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auto"/>
                <w:w w:val="96"/>
              </w:rPr>
              <w:t>7-12</w:t>
            </w:r>
          </w:p>
        </w:tc>
        <w:tc>
          <w:tcPr>
            <w:tcW w:w="3080" w:type="dxa"/>
            <w:vAlign w:val="bottom"/>
            <w:gridSpan w:val="2"/>
          </w:tcPr>
          <w:p>
            <w:pPr>
              <w:jc w:val="center"/>
              <w:ind w:left="2150"/>
              <w:spacing w:after="0"/>
              <w:rPr>
                <w:sz w:val="20"/>
                <w:szCs w:val="20"/>
                <w:color w:val="auto"/>
              </w:rPr>
            </w:pPr>
            <w:r>
              <w:rPr>
                <w:rFonts w:ascii="Times New Roman" w:cs="Times New Roman" w:eastAsia="Times New Roman" w:hAnsi="Times New Roman"/>
                <w:sz w:val="18"/>
                <w:szCs w:val="18"/>
                <w:color w:val="auto"/>
                <w:w w:val="96"/>
              </w:rPr>
              <w:t>15,000</w:t>
            </w:r>
          </w:p>
        </w:tc>
        <w:tc>
          <w:tcPr>
            <w:tcW w:w="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$2.30 monthly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$34,500</w:t>
            </w:r>
          </w:p>
        </w:tc>
        <w:tc>
          <w:tcPr>
            <w:tcW w:w="5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$414,000</w:t>
            </w:r>
          </w:p>
        </w:tc>
      </w:tr>
      <w:tr>
        <w:trPr>
          <w:trHeight w:val="216"/>
        </w:trPr>
        <w:tc>
          <w:tcPr>
            <w:tcW w:w="2240" w:type="dxa"/>
            <w:vAlign w:val="bottom"/>
            <w:gridSpan w:val="2"/>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9"/>
              </w:rPr>
              <w:t>13-24</w:t>
            </w:r>
          </w:p>
        </w:tc>
        <w:tc>
          <w:tcPr>
            <w:tcW w:w="3080" w:type="dxa"/>
            <w:vAlign w:val="bottom"/>
            <w:gridSpan w:val="2"/>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color w:val="auto"/>
                <w:w w:val="96"/>
              </w:rPr>
              <w:t>20,000</w:t>
            </w: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$2.40 monthly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$48,000</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$576,000</w:t>
            </w:r>
          </w:p>
        </w:tc>
      </w:tr>
      <w:tr>
        <w:trPr>
          <w:trHeight w:val="216"/>
        </w:trPr>
        <w:tc>
          <w:tcPr>
            <w:tcW w:w="224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25-36</w:t>
            </w:r>
          </w:p>
        </w:tc>
        <w:tc>
          <w:tcPr>
            <w:tcW w:w="3080" w:type="dxa"/>
            <w:vAlign w:val="bottom"/>
            <w:gridSpan w:val="2"/>
          </w:tcPr>
          <w:p>
            <w:pPr>
              <w:jc w:val="center"/>
              <w:ind w:left="2150"/>
              <w:spacing w:after="0"/>
              <w:rPr>
                <w:sz w:val="20"/>
                <w:szCs w:val="20"/>
                <w:color w:val="auto"/>
              </w:rPr>
            </w:pPr>
            <w:r>
              <w:rPr>
                <w:rFonts w:ascii="Times New Roman" w:cs="Times New Roman" w:eastAsia="Times New Roman" w:hAnsi="Times New Roman"/>
                <w:sz w:val="18"/>
                <w:szCs w:val="18"/>
                <w:color w:val="auto"/>
                <w:w w:val="96"/>
              </w:rPr>
              <w:t>24,000</w:t>
            </w:r>
          </w:p>
        </w:tc>
        <w:tc>
          <w:tcPr>
            <w:tcW w:w="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$2.65 monthly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$63,600</w:t>
            </w:r>
          </w:p>
        </w:tc>
        <w:tc>
          <w:tcPr>
            <w:tcW w:w="5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$763,200</w:t>
            </w:r>
          </w:p>
        </w:tc>
      </w:tr>
      <w:tr>
        <w:trPr>
          <w:trHeight w:val="216"/>
        </w:trPr>
        <w:tc>
          <w:tcPr>
            <w:tcW w:w="2240" w:type="dxa"/>
            <w:vAlign w:val="bottom"/>
            <w:gridSpan w:val="2"/>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9"/>
              </w:rPr>
              <w:t>37-48</w:t>
            </w:r>
          </w:p>
        </w:tc>
        <w:tc>
          <w:tcPr>
            <w:tcW w:w="3080" w:type="dxa"/>
            <w:vAlign w:val="bottom"/>
            <w:gridSpan w:val="2"/>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color w:val="auto"/>
                <w:w w:val="96"/>
              </w:rPr>
              <w:t>27,620</w:t>
            </w: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 monthly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$77,336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$928,032</w:t>
            </w:r>
          </w:p>
        </w:tc>
      </w:tr>
      <w:tr>
        <w:trPr>
          <w:trHeight w:val="234"/>
        </w:trPr>
        <w:tc>
          <w:tcPr>
            <w:tcW w:w="224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9"/>
              </w:rPr>
              <w:t>49-60</w:t>
            </w:r>
          </w:p>
        </w:tc>
        <w:tc>
          <w:tcPr>
            <w:tcW w:w="3080" w:type="dxa"/>
            <w:vAlign w:val="bottom"/>
            <w:gridSpan w:val="2"/>
          </w:tcPr>
          <w:p>
            <w:pPr>
              <w:jc w:val="center"/>
              <w:ind w:left="2150"/>
              <w:spacing w:after="0"/>
              <w:rPr>
                <w:sz w:val="20"/>
                <w:szCs w:val="20"/>
                <w:color w:val="auto"/>
              </w:rPr>
            </w:pPr>
            <w:r>
              <w:rPr>
                <w:rFonts w:ascii="Times New Roman" w:cs="Times New Roman" w:eastAsia="Times New Roman" w:hAnsi="Times New Roman"/>
                <w:sz w:val="18"/>
                <w:szCs w:val="18"/>
                <w:color w:val="auto"/>
                <w:w w:val="96"/>
              </w:rPr>
              <w:t>27,620</w:t>
            </w:r>
          </w:p>
        </w:tc>
        <w:tc>
          <w:tcPr>
            <w:tcW w:w="5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$2.90 monthly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$80,098</w:t>
            </w:r>
          </w:p>
        </w:tc>
        <w:tc>
          <w:tcPr>
            <w:tcW w:w="5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$961,176</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2.5. (a) Estimated Term Commencement Date for the Phase 1 Premises: September 7, 2008</w:t>
      </w:r>
    </w:p>
    <w:p>
      <w:pPr>
        <w:spacing w:after="0" w:line="225" w:lineRule="exact"/>
        <w:rPr>
          <w:sz w:val="20"/>
          <w:szCs w:val="20"/>
          <w:color w:val="auto"/>
        </w:rPr>
      </w:pPr>
    </w:p>
    <w:p>
      <w:pPr>
        <w:ind w:left="460" w:right="3860" w:firstLine="461"/>
        <w:spacing w:after="0" w:line="501" w:lineRule="auto"/>
        <w:tabs>
          <w:tab w:leader="none" w:pos="1171"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Term Commencement Date for the Phase 2 Premises: December 10, 2008 2.6. Estimated Term Expiration Date: September 6, 2013</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Security Deposit: $80,098</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2.8. Permitted Use: General office, research and development, engineering, rodent and rodent-sized mammal vivarium, pilot manufacturing and laboratory use, and related uses in conformity with Applicable Laws (as defined below)</w:t>
      </w:r>
    </w:p>
    <w:p>
      <w:pPr>
        <w:sectPr>
          <w:pgSz w:w="11900" w:h="16838" w:orient="portrait"/>
          <w:cols w:equalWidth="0" w:num="1">
            <w:col w:w="11120"/>
          </w:cols>
          <w:pgMar w:left="240" w:top="269" w:right="53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2.9. Address for Rent Payment: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511229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 90051-2997</w:t>
      </w:r>
    </w:p>
    <w:p>
      <w:pPr>
        <w:spacing w:after="0" w:line="164" w:lineRule="exact"/>
        <w:rPr>
          <w:sz w:val="20"/>
          <w:szCs w:val="20"/>
          <w:color w:val="auto"/>
        </w:rPr>
      </w:pPr>
    </w:p>
    <w:p>
      <w:pPr>
        <w:sectPr>
          <w:pgSz w:w="11900" w:h="16838" w:orient="portrait"/>
          <w:cols w:equalWidth="0" w:num="2">
            <w:col w:w="3720" w:space="720"/>
            <w:col w:w="6680"/>
          </w:cols>
          <w:pgMar w:left="240" w:top="269" w:right="539" w:bottom="1440" w:gutter="0" w:footer="0" w:header="0"/>
          <w:type w:val="continuous"/>
        </w:sect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240" w:top="269" w:right="539" w:bottom="1440" w:gutter="0" w:footer="0" w:header="0"/>
          <w:type w:val="continuous"/>
        </w:sectPr>
      </w:pPr>
    </w:p>
    <w:bookmarkStart w:id="451" w:name="page452"/>
    <w:bookmarkEnd w:id="451"/>
    <w:p>
      <w:pPr>
        <w:ind w:left="452"/>
        <w:spacing w:after="0"/>
        <w:rPr>
          <w:sz w:val="20"/>
          <w:szCs w:val="20"/>
          <w:color w:val="auto"/>
        </w:rPr>
      </w:pPr>
      <w:r>
        <w:rPr>
          <w:rFonts w:ascii="Times New Roman" w:cs="Times New Roman" w:eastAsia="Times New Roman" w:hAnsi="Times New Roman"/>
          <w:sz w:val="17"/>
          <w:szCs w:val="17"/>
          <w:color w:val="auto"/>
        </w:rPr>
        <w:t>2.10. Address for Notices 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-213360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Counsel/Real Estate</w:t>
      </w:r>
    </w:p>
    <w:p>
      <w:pPr>
        <w:spacing w:after="0" w:line="112" w:lineRule="exact"/>
        <w:rPr>
          <w:sz w:val="20"/>
          <w:szCs w:val="20"/>
          <w:color w:val="auto"/>
        </w:rPr>
      </w:pPr>
    </w:p>
    <w:p>
      <w:pPr>
        <w:sectPr>
          <w:pgSz w:w="11900" w:h="16838" w:orient="portrait"/>
          <w:cols w:equalWidth="0" w:num="2">
            <w:col w:w="4232" w:space="720"/>
            <w:col w:w="6240"/>
          </w:cols>
          <w:pgMar w:left="248" w:top="270" w:right="459" w:bottom="1440" w:gutter="0" w:footer="0" w:header="0"/>
        </w:sectPr>
      </w:pPr>
    </w:p>
    <w:p>
      <w:pPr>
        <w:ind w:left="11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Tarlton Properties,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955 Alma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California 94301</w:t>
      </w:r>
    </w:p>
    <w:p>
      <w:pPr>
        <w:spacing w:after="0" w:line="200" w:lineRule="exact"/>
        <w:rPr>
          <w:sz w:val="20"/>
          <w:szCs w:val="20"/>
          <w:color w:val="auto"/>
        </w:rPr>
      </w:pPr>
    </w:p>
    <w:p>
      <w:pPr>
        <w:sectPr>
          <w:pgSz w:w="11900" w:h="16838" w:orient="portrait"/>
          <w:cols w:equalWidth="0" w:num="2">
            <w:col w:w="4232" w:space="720"/>
            <w:col w:w="6240"/>
          </w:cols>
          <w:pgMar w:left="248" w:top="270" w:right="459" w:bottom="1440" w:gutter="0" w:footer="0" w:header="0"/>
          <w:type w:val="continuous"/>
        </w:sectPr>
      </w:pPr>
    </w:p>
    <w:p>
      <w:pPr>
        <w:spacing w:after="0" w:line="5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2.11. Address for Notices to Tenant:</w:t>
      </w:r>
    </w:p>
    <w:p>
      <w:pPr>
        <w:spacing w:after="0" w:line="117" w:lineRule="exact"/>
        <w:rPr>
          <w:sz w:val="20"/>
          <w:szCs w:val="20"/>
          <w:color w:val="auto"/>
        </w:rPr>
      </w:pPr>
    </w:p>
    <w:p>
      <w:pPr>
        <w:ind w:left="1172"/>
        <w:spacing w:after="0"/>
        <w:rPr>
          <w:sz w:val="20"/>
          <w:szCs w:val="20"/>
          <w:color w:val="auto"/>
        </w:rPr>
      </w:pPr>
      <w:r>
        <w:rPr>
          <w:rFonts w:ascii="Times New Roman" w:cs="Times New Roman" w:eastAsia="Times New Roman" w:hAnsi="Times New Roman"/>
          <w:sz w:val="18"/>
          <w:szCs w:val="18"/>
          <w:color w:val="auto"/>
        </w:rPr>
        <w:t>Before the Term Commencement Date:</w:t>
      </w:r>
    </w:p>
    <w:p>
      <w:pPr>
        <w:spacing w:after="0" w:line="117"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18"/>
          <w:szCs w:val="18"/>
          <w:color w:val="auto"/>
        </w:rPr>
        <w:t>560 S. Winchester Blvd.</w:t>
      </w:r>
    </w:p>
    <w:p>
      <w:pPr>
        <w:spacing w:after="0" w:line="27"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18"/>
          <w:szCs w:val="18"/>
          <w:color w:val="auto"/>
        </w:rPr>
        <w:t>San Jose, California 95128</w:t>
      </w:r>
    </w:p>
    <w:p>
      <w:pPr>
        <w:spacing w:after="0" w:line="9"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17"/>
          <w:szCs w:val="17"/>
          <w:color w:val="auto"/>
        </w:rPr>
        <w:t>Attn: Vice President - Finance</w:t>
      </w:r>
    </w:p>
    <w:p>
      <w:pPr>
        <w:spacing w:after="0" w:line="124" w:lineRule="exact"/>
        <w:rPr>
          <w:sz w:val="20"/>
          <w:szCs w:val="20"/>
          <w:color w:val="auto"/>
        </w:rPr>
      </w:pPr>
    </w:p>
    <w:p>
      <w:pPr>
        <w:ind w:left="1172"/>
        <w:spacing w:after="0"/>
        <w:rPr>
          <w:sz w:val="20"/>
          <w:szCs w:val="20"/>
          <w:color w:val="auto"/>
        </w:rPr>
      </w:pPr>
      <w:r>
        <w:rPr>
          <w:rFonts w:ascii="Times New Roman" w:cs="Times New Roman" w:eastAsia="Times New Roman" w:hAnsi="Times New Roman"/>
          <w:sz w:val="18"/>
          <w:szCs w:val="18"/>
          <w:color w:val="auto"/>
        </w:rPr>
        <w:t>After the Term Commencement Date:</w:t>
      </w:r>
    </w:p>
    <w:p>
      <w:pPr>
        <w:spacing w:after="0" w:line="117"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18"/>
          <w:szCs w:val="18"/>
          <w:color w:val="auto"/>
        </w:rPr>
        <w:t>The Premises</w:t>
      </w:r>
    </w:p>
    <w:p>
      <w:pPr>
        <w:spacing w:after="0" w:line="27" w:lineRule="exact"/>
        <w:rPr>
          <w:sz w:val="20"/>
          <w:szCs w:val="20"/>
          <w:color w:val="auto"/>
        </w:rPr>
      </w:pPr>
    </w:p>
    <w:p>
      <w:pPr>
        <w:ind w:left="4852"/>
        <w:spacing w:after="0"/>
        <w:rPr>
          <w:sz w:val="20"/>
          <w:szCs w:val="20"/>
          <w:color w:val="auto"/>
        </w:rPr>
      </w:pPr>
      <w:r>
        <w:rPr>
          <w:rFonts w:ascii="Times New Roman" w:cs="Times New Roman" w:eastAsia="Times New Roman" w:hAnsi="Times New Roman"/>
          <w:sz w:val="17"/>
          <w:szCs w:val="17"/>
          <w:color w:val="auto"/>
        </w:rPr>
        <w:t>Attn: Vice President - Finance</w:t>
      </w:r>
    </w:p>
    <w:p>
      <w:pPr>
        <w:spacing w:after="0" w:line="232"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2.12. The following Exhibits are attached hereto and incorporated herein by reference:</w:t>
      </w:r>
    </w:p>
    <w:p>
      <w:pPr>
        <w:sectPr>
          <w:pgSz w:w="11900" w:h="16838" w:orient="portrait"/>
          <w:cols w:equalWidth="0" w:num="1">
            <w:col w:w="11192"/>
          </w:cols>
          <w:pgMar w:left="248" w:top="270" w:right="459" w:bottom="1440" w:gutter="0" w:footer="0" w:header="0"/>
          <w:type w:val="continuous"/>
        </w:sectPr>
      </w:pPr>
    </w:p>
    <w:p>
      <w:pPr>
        <w:spacing w:after="0" w:line="252"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A-1</w:t>
      </w:r>
    </w:p>
    <w:p>
      <w:pPr>
        <w:spacing w:after="0" w:line="27"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A-2</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C-1</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C-2</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G-1</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G-2</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G-3</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color w:val="auto"/>
        </w:rPr>
        <w:t>Exhibit 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 Premises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 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Acknowledgement of Phase 1 Term Commencement Date and Term Expiration 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Acknowledgement of Phase 2 Term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Additional TI Allowance Acceptance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l Tenant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 Tenant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Personal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Estoppel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Landlord’s Personal Property</w:t>
      </w:r>
    </w:p>
    <w:p>
      <w:pPr>
        <w:spacing w:after="0" w:line="200" w:lineRule="exact"/>
        <w:rPr>
          <w:sz w:val="20"/>
          <w:szCs w:val="20"/>
          <w:color w:val="auto"/>
        </w:rPr>
      </w:pPr>
    </w:p>
    <w:p>
      <w:pPr>
        <w:sectPr>
          <w:pgSz w:w="11900" w:h="16838" w:orient="portrait"/>
          <w:cols w:equalWidth="0" w:num="2">
            <w:col w:w="1672" w:space="280"/>
            <w:col w:w="9240"/>
          </w:cols>
          <w:pgMar w:left="248" w:top="270" w:right="459" w:bottom="1440" w:gutter="0" w:footer="0" w:header="0"/>
          <w:type w:val="continuous"/>
        </w:sectPr>
      </w:pPr>
    </w:p>
    <w:p>
      <w:pPr>
        <w:spacing w:after="0" w:line="7" w:lineRule="exact"/>
        <w:rPr>
          <w:sz w:val="20"/>
          <w:szCs w:val="20"/>
          <w:color w:val="auto"/>
        </w:rPr>
      </w:pPr>
    </w:p>
    <w:p>
      <w:pPr>
        <w:ind w:left="-8" w:firstLine="8"/>
        <w:spacing w:after="0" w:line="282" w:lineRule="auto"/>
        <w:tabs>
          <w:tab w:leader="none" w:pos="172"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actual term of this Lease shall be sixty (60) months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starting on the actual Term Commencement Date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and ending on the Term Expiration Date, subject to earlier termination of this Lease as provided herein.</w:t>
      </w:r>
    </w:p>
    <w:p>
      <w:pPr>
        <w:spacing w:after="0" w:line="94"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92"/>
          </w:cols>
          <w:pgMar w:left="248" w:top="270" w:right="459" w:bottom="1440" w:gutter="0" w:footer="0" w:header="0"/>
          <w:type w:val="continuous"/>
        </w:sectPr>
      </w:pPr>
    </w:p>
    <w:bookmarkStart w:id="452" w:name="page453"/>
    <w:bookmarkEnd w:id="452"/>
    <w:p>
      <w:pPr>
        <w:ind w:left="180" w:hanging="172"/>
        <w:spacing w:after="0"/>
        <w:tabs>
          <w:tab w:leader="none" w:pos="1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Possession and Commencement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7"/>
          <w:szCs w:val="17"/>
          <w:color w:val="auto"/>
        </w:rPr>
        <w:t xml:space="preserve">4.1. Landlord shall use commercially reasonable efforts to tender possession of (a) the portion of the Premises depicted on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 xml:space="preserve"> attached hereto (such portion of the Premises, the “</w:t>
      </w:r>
      <w:r>
        <w:rPr>
          <w:rFonts w:ascii="Times New Roman" w:cs="Times New Roman" w:eastAsia="Times New Roman" w:hAnsi="Times New Roman"/>
          <w:sz w:val="17"/>
          <w:szCs w:val="17"/>
          <w:u w:val="single" w:color="auto"/>
          <w:color w:val="auto"/>
        </w:rPr>
        <w:t>Phase 1 Premises</w:t>
      </w:r>
      <w:r>
        <w:rPr>
          <w:rFonts w:ascii="Times New Roman" w:cs="Times New Roman" w:eastAsia="Times New Roman" w:hAnsi="Times New Roman"/>
          <w:sz w:val="17"/>
          <w:szCs w:val="17"/>
          <w:color w:val="auto"/>
        </w:rPr>
        <w:t xml:space="preserve">”) to Tenant on the Estimated Term Commencement Date for the Phase 1 Premises with the work described on </w:t>
      </w:r>
      <w:r>
        <w:rPr>
          <w:rFonts w:ascii="Times New Roman" w:cs="Times New Roman" w:eastAsia="Times New Roman" w:hAnsi="Times New Roman"/>
          <w:sz w:val="17"/>
          <w:szCs w:val="17"/>
          <w:u w:val="single" w:color="auto"/>
          <w:color w:val="auto"/>
        </w:rPr>
        <w:t>Exhibit G-1</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Phase 1 Tenant Improvements</w:t>
      </w:r>
      <w:r>
        <w:rPr>
          <w:rFonts w:ascii="Times New Roman" w:cs="Times New Roman" w:eastAsia="Times New Roman" w:hAnsi="Times New Roman"/>
          <w:sz w:val="17"/>
          <w:szCs w:val="17"/>
          <w:color w:val="auto"/>
        </w:rPr>
        <w:t xml:space="preserve">”) Substantially Complete (as defined below) and (b) the remainder of the Premises as depicted on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attached hereto (such portion of the Premises, the “</w:t>
      </w:r>
      <w:r>
        <w:rPr>
          <w:rFonts w:ascii="Times New Roman" w:cs="Times New Roman" w:eastAsia="Times New Roman" w:hAnsi="Times New Roman"/>
          <w:sz w:val="17"/>
          <w:szCs w:val="17"/>
          <w:u w:val="single" w:color="auto"/>
          <w:color w:val="auto"/>
        </w:rPr>
        <w:t>Phase 2 Premises</w:t>
      </w:r>
      <w:r>
        <w:rPr>
          <w:rFonts w:ascii="Times New Roman" w:cs="Times New Roman" w:eastAsia="Times New Roman" w:hAnsi="Times New Roman"/>
          <w:sz w:val="17"/>
          <w:szCs w:val="17"/>
          <w:color w:val="auto"/>
        </w:rPr>
        <w:t xml:space="preserve">”) on the Estimated Term Commencement Date for the Phase 2 Premises, with the work described on </w:t>
      </w:r>
      <w:r>
        <w:rPr>
          <w:rFonts w:ascii="Times New Roman" w:cs="Times New Roman" w:eastAsia="Times New Roman" w:hAnsi="Times New Roman"/>
          <w:sz w:val="17"/>
          <w:szCs w:val="17"/>
          <w:u w:val="single" w:color="auto"/>
          <w:color w:val="auto"/>
        </w:rPr>
        <w:t>Exhibit G-2</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Phase 2 Tenant Improvements</w:t>
      </w:r>
      <w:r>
        <w:rPr>
          <w:rFonts w:ascii="Times New Roman" w:cs="Times New Roman" w:eastAsia="Times New Roman" w:hAnsi="Times New Roman"/>
          <w:sz w:val="17"/>
          <w:szCs w:val="17"/>
          <w:color w:val="auto"/>
        </w:rPr>
        <w:t>” and, collectively with the Phase 1 Tenant Improvements, the “</w:t>
      </w:r>
      <w:r>
        <w:rPr>
          <w:rFonts w:ascii="Times New Roman" w:cs="Times New Roman" w:eastAsia="Times New Roman" w:hAnsi="Times New Roman"/>
          <w:sz w:val="17"/>
          <w:szCs w:val="17"/>
          <w:u w:val="single" w:color="auto"/>
          <w:color w:val="auto"/>
        </w:rPr>
        <w:t>Tenant Improvements</w:t>
      </w:r>
      <w:r>
        <w:rPr>
          <w:rFonts w:ascii="Times New Roman" w:cs="Times New Roman" w:eastAsia="Times New Roman" w:hAnsi="Times New Roman"/>
          <w:sz w:val="17"/>
          <w:szCs w:val="17"/>
          <w:color w:val="auto"/>
        </w:rPr>
        <w:t xml:space="preserve">”) and the work described in </w:t>
      </w:r>
      <w:r>
        <w:rPr>
          <w:rFonts w:ascii="Times New Roman" w:cs="Times New Roman" w:eastAsia="Times New Roman" w:hAnsi="Times New Roman"/>
          <w:sz w:val="17"/>
          <w:szCs w:val="17"/>
          <w:u w:val="single" w:color="auto"/>
          <w:color w:val="auto"/>
        </w:rPr>
        <w:t>Exhibit G-3</w:t>
      </w:r>
      <w:r>
        <w:rPr>
          <w:rFonts w:ascii="Times New Roman" w:cs="Times New Roman" w:eastAsia="Times New Roman" w:hAnsi="Times New Roman"/>
          <w:sz w:val="17"/>
          <w:szCs w:val="17"/>
          <w:color w:val="auto"/>
        </w:rPr>
        <w:t xml:space="preserve"> attached hereto (the “</w:t>
      </w:r>
      <w:r>
        <w:rPr>
          <w:rFonts w:ascii="Times New Roman" w:cs="Times New Roman" w:eastAsia="Times New Roman" w:hAnsi="Times New Roman"/>
          <w:sz w:val="17"/>
          <w:szCs w:val="17"/>
          <w:u w:val="single" w:color="auto"/>
          <w:color w:val="auto"/>
        </w:rPr>
        <w:t>Landlord Work</w:t>
      </w:r>
      <w:r>
        <w:rPr>
          <w:rFonts w:ascii="Times New Roman" w:cs="Times New Roman" w:eastAsia="Times New Roman" w:hAnsi="Times New Roman"/>
          <w:sz w:val="17"/>
          <w:szCs w:val="17"/>
          <w:color w:val="auto"/>
        </w:rPr>
        <w:t>”) Substantially Complete. Tenant agrees that in the event such work is not Substantially Complete on or before such dates for any reason, then (w) this Lease shall not be void or voidable,</w:t>
      </w:r>
    </w:p>
    <w:p>
      <w:pPr>
        <w:spacing w:after="0" w:line="3" w:lineRule="exact"/>
        <w:rPr>
          <w:sz w:val="20"/>
          <w:szCs w:val="20"/>
          <w:color w:val="auto"/>
        </w:rPr>
      </w:pPr>
    </w:p>
    <w:p>
      <w:pPr>
        <w:ind w:firstLine="8"/>
        <w:spacing w:after="0" w:line="251" w:lineRule="auto"/>
        <w:tabs>
          <w:tab w:leader="none" w:pos="25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not be liable to Tenant for any loss or damage resulting therefrom, (y) the Term Expiration Date shall be extended accordingly (with respect to a delay in the Term Commencement Date for the Phase 1 Premises only) and (z) Tenant shall not be responsible for the payment of any Base Rent or Operating Expenses (as each term is defined below) until the actual Term Commencement Date as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occurs. The term “</w:t>
      </w:r>
      <w:r>
        <w:rPr>
          <w:rFonts w:ascii="Times New Roman" w:cs="Times New Roman" w:eastAsia="Times New Roman" w:hAnsi="Times New Roman"/>
          <w:sz w:val="18"/>
          <w:szCs w:val="18"/>
          <w:u w:val="single" w:color="auto"/>
          <w:color w:val="auto"/>
        </w:rPr>
        <w:t>Substantially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Complete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xml:space="preserve">” means that the respective Tenant Improvements are substantially complete in accordance with the Approved Plans (as defined in the Work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except for minor punch list items that do not materially interfere with Tenant’s use of the respective Premises for the Permitted Use and, as to the Phase 2 Tenant Improvements and Landlord Work only, Landlord has obtained all approvals and permits from the appropriate Governmental Authorities (as defined below) required for legal occupancy of the Premises for the Permitted Use. Notwithstanding anything in this Lease (including the Work Letter) to the contrary, Landlord’s obligation to timely achieve Substantial Completion shall be subject to extension on a day-for-day basis as a result of accident; breakage; repair; strike, lockout or other labor disturbance or labor dispute of any character; act of terrorism; shortage of materials, which shortage is not unique to Landlord or Tenant, as the case may be; governmental regulation, moratorium or other governmental action, inaction or delay; or Landlord’s inability, despite the exercise of reasonable diligence or by any other cause, including Landlord’s negligence, to furnish any such utility or service (collectively,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right="120" w:firstLine="456"/>
        <w:spacing w:after="0" w:line="272" w:lineRule="auto"/>
        <w:rPr>
          <w:sz w:val="20"/>
          <w:szCs w:val="20"/>
          <w:color w:val="auto"/>
        </w:rPr>
      </w:pPr>
      <w:r>
        <w:rPr>
          <w:rFonts w:ascii="Times New Roman" w:cs="Times New Roman" w:eastAsia="Times New Roman" w:hAnsi="Times New Roman"/>
          <w:sz w:val="17"/>
          <w:szCs w:val="17"/>
          <w:color w:val="auto"/>
        </w:rPr>
        <w:t>4.2. The “</w:t>
      </w:r>
      <w:r>
        <w:rPr>
          <w:rFonts w:ascii="Times New Roman" w:cs="Times New Roman" w:eastAsia="Times New Roman" w:hAnsi="Times New Roman"/>
          <w:sz w:val="17"/>
          <w:szCs w:val="17"/>
          <w:u w:val="single" w:color="auto"/>
          <w:color w:val="auto"/>
        </w:rPr>
        <w:t>Term Commencement Date</w:t>
      </w:r>
      <w:r>
        <w:rPr>
          <w:rFonts w:ascii="Times New Roman" w:cs="Times New Roman" w:eastAsia="Times New Roman" w:hAnsi="Times New Roman"/>
          <w:sz w:val="17"/>
          <w:szCs w:val="17"/>
          <w:color w:val="auto"/>
        </w:rPr>
        <w:t>” (a) with respect to the Phase 1 Premises shall be the date on which Landlord tenders possession of the Phase 1 Premises to Tenant with the Phase 1 Tenant Improvements Substantially Complete, and (b) with respect to the remainder of the Premises shall be the date on which Landlord tenders possession of the Phase 2 Premises to Tenant with the Phase 2 Tenant Improvements and Landlord Work Substantially Complete. If possession is delayed by action of Tenant (“</w:t>
      </w:r>
      <w:r>
        <w:rPr>
          <w:rFonts w:ascii="Times New Roman" w:cs="Times New Roman" w:eastAsia="Times New Roman" w:hAnsi="Times New Roman"/>
          <w:sz w:val="17"/>
          <w:szCs w:val="17"/>
          <w:u w:val="single" w:color="auto"/>
          <w:color w:val="auto"/>
        </w:rPr>
        <w:t>Tenant Delay</w:t>
      </w:r>
      <w:r>
        <w:rPr>
          <w:rFonts w:ascii="Times New Roman" w:cs="Times New Roman" w:eastAsia="Times New Roman" w:hAnsi="Times New Roman"/>
          <w:sz w:val="17"/>
          <w:szCs w:val="17"/>
          <w:color w:val="auto"/>
        </w:rPr>
        <w:t xml:space="preserve">”), then the Term Commencement Date shall be the date that the Term Commencement Date would have occurred but for such Tenant Delay;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Landlord shall notify Tenant in writing of any actual Tenant Delay promptly after Landlord becomes aware of such Tenant Delay. Tenant shall execute and deliver to Landlord written acknowledgment of the actual Term Commencement Date with respect to the applicable Premises and the Term Expiration Date within ten (10) days after Tenant takes occupancy of the respective Premises, in the forms attached as </w:t>
      </w:r>
      <w:r>
        <w:rPr>
          <w:rFonts w:ascii="Times New Roman" w:cs="Times New Roman" w:eastAsia="Times New Roman" w:hAnsi="Times New Roman"/>
          <w:sz w:val="17"/>
          <w:szCs w:val="17"/>
          <w:u w:val="single" w:color="auto"/>
          <w:color w:val="auto"/>
        </w:rPr>
        <w:t>Exhibit C-1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C-2</w:t>
      </w:r>
      <w:r>
        <w:rPr>
          <w:rFonts w:ascii="Times New Roman" w:cs="Times New Roman" w:eastAsia="Times New Roman" w:hAnsi="Times New Roman"/>
          <w:sz w:val="17"/>
          <w:szCs w:val="17"/>
          <w:color w:val="auto"/>
        </w:rPr>
        <w:t xml:space="preserve"> hereto. Failure to execute and deliver such acknowledgments, however, shall not affect the Term</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9" w:right="239" w:bottom="1440" w:gutter="0" w:footer="0" w:header="0"/>
        </w:sectPr>
      </w:pPr>
    </w:p>
    <w:bookmarkStart w:id="453" w:name="page454"/>
    <w:bookmarkEnd w:id="45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Commencement Date or Landlord’s or Tenant’s liability hereunder. Failure by Tenant to obtain validation by any medical review board or other similar governmental licensing of the Premises required for the Permitted Use by Tenant shall not serve to extend the Term Commencement Date. Notwithstanding the foregoing, if the respective Term Commencement Date has not occurred for any reason (excluding Tenant Delay and Force Majeure (with Force Majeure not to exceed thirty (30) days)) on or before the date that is (y) fourteen (14) days after the respective Estimated Term Commencement Date, then, in addition to Tenant’s other rights or remedies, Tenant shall be entitled to abatement of Base Rent and Operating Expenses for the Phase 1 Premises or Phase 2 Premises, as applicable, for one (1) day for each one (1) day that the respective Term Commencement Date is delayed beyond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with respect to this </w:t>
      </w:r>
      <w:r>
        <w:rPr>
          <w:rFonts w:ascii="Times New Roman" w:cs="Times New Roman" w:eastAsia="Times New Roman" w:hAnsi="Times New Roman"/>
          <w:sz w:val="18"/>
          <w:szCs w:val="18"/>
          <w:u w:val="single" w:color="auto"/>
          <w:color w:val="auto"/>
        </w:rPr>
        <w:t>Subsection 4.2(y)</w:t>
      </w:r>
      <w:r>
        <w:rPr>
          <w:rFonts w:ascii="Times New Roman" w:cs="Times New Roman" w:eastAsia="Times New Roman" w:hAnsi="Times New Roman"/>
          <w:sz w:val="18"/>
          <w:szCs w:val="18"/>
          <w:color w:val="auto"/>
        </w:rPr>
        <w:t xml:space="preserve"> only, Landlord shall not receive a delay in the commencement of its rent abatement obligation with respect to the Phase 2 Premises only due to Force Majeure); or (z) forty-four (44) days after the Estimated Term Commencement Date (with respect to the Phase 1 Premises) or fifty-nine (59) days after the Estimated Term Commencement Date (with respect to the Phase 2 Premises), then Tenant may terminate this Lease by written notice to Landlord delivered no later than two (2) business days following such respective dates effective as of Landlord’s receipt of such notice, whereupon any monies previously paid by Tenant to Landlord (less any amounts owed by Tenant for breaches of this Lease) shall be reimbursed to Tenant.</w:t>
      </w:r>
    </w:p>
    <w:p>
      <w:pPr>
        <w:spacing w:after="0" w:line="19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4.3. Landlord shall permit Tenant to enter upon the Premises prior to the respective Term Commencement Date solely for the purpose of installing improvements or the placement of personal property. Tenant shall furnish to Landlord evidence satisfactory to Landlord that insurance coverages required of Tenant under the provisions of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are in effect, and such entry shall be subject to all the terms and conditions of this Lease other than the payment of Base Rent or Tenant’s Op Ex Share of Operating Expenses (as each term is defined below);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Term Commencement Date is delayed due to such early access, then such delay shall constitute a Tenant Delay and the applicable Term Commencement Date shall be the date that such Term Commencement Date would have occurred but for such delay;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notify Tenant in writing of any actual Tenant Delay promptly after Landlord becomes aware of such Tenant Delay. Tenant shall promptly repair any damage it causes to the Premises during such early entry period.</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4.4. Landlord shall cause to be constructed the tenant improvements in the Premises (the “</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xml:space="preserve">”) pursuant to the Work Letter. Tenant shall be responsible for the cost of the Tenant Improvements as reflected in the Initial Budget (as defined in the Work Letter) plus any costs arising from Tenant Delay (including Tenant’s failure to timely respond to requests as outlined in the Lease (including the Work Letter)) or from Changes (as defined in the Work Letter) requested by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may pay such costs out of a Tenant Improvement allowance of (a) One Million Four Hundred Thirty-Six Thousand Two Hundred Forty Dollars ($1,436,240) (based upon Fifty-Two Dollars ($52) per rentable square foot) (the “</w:t>
      </w:r>
      <w:r>
        <w:rPr>
          <w:rFonts w:ascii="Times New Roman" w:cs="Times New Roman" w:eastAsia="Times New Roman" w:hAnsi="Times New Roman"/>
          <w:sz w:val="18"/>
          <w:szCs w:val="18"/>
          <w:u w:val="single" w:color="auto"/>
          <w:color w:val="auto"/>
        </w:rPr>
        <w:t>Base 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Allowance</w:t>
      </w:r>
      <w:r>
        <w:rPr>
          <w:rFonts w:ascii="Times New Roman" w:cs="Times New Roman" w:eastAsia="Times New Roman" w:hAnsi="Times New Roman"/>
          <w:sz w:val="18"/>
          <w:szCs w:val="18"/>
          <w:color w:val="auto"/>
        </w:rPr>
        <w:t xml:space="preserve">”) plus (b) if properly requested by Tenant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Six Hundred Ninety Thousand Five Hundred Dollars ($690,500) (based upon Twenty-Five Dollars ($25) per rentable square foot) (the “</w:t>
      </w:r>
      <w:r>
        <w:rPr>
          <w:rFonts w:ascii="Times New Roman" w:cs="Times New Roman" w:eastAsia="Times New Roman" w:hAnsi="Times New Roman"/>
          <w:sz w:val="18"/>
          <w:szCs w:val="18"/>
          <w:u w:val="single" w:color="auto"/>
          <w:color w:val="auto"/>
        </w:rPr>
        <w:t>Additional TI Allowance</w:t>
      </w:r>
      <w:r>
        <w:rPr>
          <w:rFonts w:ascii="Times New Roman" w:cs="Times New Roman" w:eastAsia="Times New Roman" w:hAnsi="Times New Roman"/>
          <w:sz w:val="18"/>
          <w:szCs w:val="18"/>
          <w:color w:val="auto"/>
        </w:rPr>
        <w:t>”), for a total of Two Million One Hundred Twenty-Six Thousand Seven Hundred Forty Dollars ($2,126,740) (based upon Seventy-Seven Dollars ($77) per rentable square foot). The Base TI Allowance, together with Additional TI Allowance (if properly requested by Tenant pursuant to this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454" w:name="page455"/>
    <w:bookmarkEnd w:id="454"/>
    <w:p>
      <w:pPr>
        <w:ind w:right="280"/>
        <w:spacing w:after="0" w:line="257"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r>
        <w:rPr>
          <w:rFonts w:ascii="Times New Roman" w:cs="Times New Roman" w:eastAsia="Times New Roman" w:hAnsi="Times New Roman"/>
          <w:sz w:val="18"/>
          <w:szCs w:val="18"/>
          <w:color w:val="auto"/>
        </w:rPr>
        <w:t>, shall be referred to herein as the “</w:t>
      </w:r>
      <w:r>
        <w:rPr>
          <w:rFonts w:ascii="Times New Roman" w:cs="Times New Roman" w:eastAsia="Times New Roman" w:hAnsi="Times New Roman"/>
          <w:sz w:val="18"/>
          <w:szCs w:val="18"/>
          <w:u w:val="single" w:color="auto"/>
          <w:color w:val="auto"/>
        </w:rPr>
        <w:t>TI Allowance</w:t>
      </w:r>
      <w:r>
        <w:rPr>
          <w:rFonts w:ascii="Times New Roman" w:cs="Times New Roman" w:eastAsia="Times New Roman" w:hAnsi="Times New Roman"/>
          <w:sz w:val="18"/>
          <w:szCs w:val="18"/>
          <w:color w:val="auto"/>
        </w:rPr>
        <w:t>.” The TI Allowance may be applied to the costs of (n) construction, (o) project management by Landlord (which fee shall equal five percent (5%) of the cost of the Tenant Improvements, including the Base TI Allowance and, if used by Tenant, the Additional TI Allowance), (p) space planning, architect, engineering and other related services performed by third parties unaffiliated with Tenant,</w:t>
      </w:r>
    </w:p>
    <w:p>
      <w:pPr>
        <w:spacing w:after="0" w:line="2" w:lineRule="exact"/>
        <w:rPr>
          <w:sz w:val="20"/>
          <w:szCs w:val="20"/>
          <w:color w:val="auto"/>
        </w:rPr>
      </w:pPr>
    </w:p>
    <w:p>
      <w:pPr>
        <w:ind w:left="260" w:hanging="252"/>
        <w:spacing w:after="0"/>
        <w:tabs>
          <w:tab w:leader="none" w:pos="26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permits and other taxes, fees, charges and levies by Governmental Authorities (as defined below) for permits or for inspections of the Tenant</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Improvements, and (r) costs and expenses for labor, material, equipment and fixtures. In no event shall the TI Allowance be used for (w) payments to Tenant or any affiliates of Tenant, (x) the purchase of any furniture, personal property or other non-building system equipment, (y) costs resulting from any default by Tenant of its obligations under this Lease or (z) costs that are recoverable by Tenant from a third party (e.g., insurers, warrantors, or tortfeasors). Notwithstanding anything to the contrary in this Lease or the Work Letter, except for Changes requested by Tenant (that shall be performed for an amount not to exceed the “not to exceed” price provided by Landlord to Tenant at the time Landlord approves such Change) and costs due to Tenant Delays, Landlord shall be solely responsible, and Tenant shall not be responsible, for any costs to construct the Tenant Improvements (to the extent specifically described in </w:t>
      </w:r>
      <w:r>
        <w:rPr>
          <w:rFonts w:ascii="Times New Roman" w:cs="Times New Roman" w:eastAsia="Times New Roman" w:hAnsi="Times New Roman"/>
          <w:sz w:val="18"/>
          <w:szCs w:val="18"/>
          <w:u w:val="single" w:color="auto"/>
          <w:color w:val="auto"/>
        </w:rPr>
        <w:t>Exhibits 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G-2)</w:t>
      </w:r>
      <w:r>
        <w:rPr>
          <w:rFonts w:ascii="Times New Roman" w:cs="Times New Roman" w:eastAsia="Times New Roman" w:hAnsi="Times New Roman"/>
          <w:sz w:val="18"/>
          <w:szCs w:val="18"/>
          <w:color w:val="auto"/>
        </w:rPr>
        <w:t xml:space="preserve"> in excess of the Base T1 Allowance. Landlord shall perform the Landlord Work at Landlord’s sole cost.</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4.5. Base Rent shall be increased to include the amount of the Additional TI Allowance disbursed by Landlord in accordance with this Lease amortized over seven (7) years at a rate of nine and one-half percent (9.5%), which amount shall be increased on each annual anniversary of the Term Commencement Date for the Phase 1 Premises by the percentage by which the Base Rent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increases on such date. Tenant shall have until June 30, 2010 (the “</w:t>
      </w:r>
      <w:r>
        <w:rPr>
          <w:rFonts w:ascii="Times New Roman" w:cs="Times New Roman" w:eastAsia="Times New Roman" w:hAnsi="Times New Roman"/>
          <w:sz w:val="18"/>
          <w:szCs w:val="18"/>
          <w:u w:val="single" w:color="auto"/>
          <w:color w:val="auto"/>
        </w:rPr>
        <w:t>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Deadline</w:t>
      </w:r>
      <w:r>
        <w:rPr>
          <w:rFonts w:ascii="Times New Roman" w:cs="Times New Roman" w:eastAsia="Times New Roman" w:hAnsi="Times New Roman"/>
          <w:sz w:val="18"/>
          <w:szCs w:val="18"/>
          <w:color w:val="auto"/>
        </w:rPr>
        <w:t>”), to expend the unused portion of the TI Allowance, after which date Landlord’s obligation to fund such costs shall expire. The amount by which Base Rent shall be increased shall be determined (and Base Rent shall be increased accordingly) as of the Term Commencement Date and, if such determination does not reflect use by Tenant of all of the Additional TI Allowance, shall be determined again as of each subsequent disbursal date, with the amortization period for each such disbursal after the TI Deadline equal to the difference between seven (7) years and the amount of time that has elapsed between the Term Commencement Date and such disbursal date.</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4.6. Landlord shall not be obligated to expend any portion of the Additional TI Allowance until Landlord shall have received from Tenant a letter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executed by an authorized officer of Tenant.</w:t>
      </w:r>
    </w:p>
    <w:p>
      <w:pPr>
        <w:spacing w:after="0" w:line="162" w:lineRule="exact"/>
        <w:rPr>
          <w:sz w:val="20"/>
          <w:szCs w:val="20"/>
          <w:color w:val="auto"/>
        </w:rPr>
      </w:pPr>
    </w:p>
    <w:p>
      <w:pPr>
        <w:ind w:firstLine="8"/>
        <w:spacing w:after="0" w:line="256" w:lineRule="auto"/>
        <w:tabs>
          <w:tab w:leader="none" w:pos="1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Premises</w:t>
      </w:r>
      <w:r>
        <w:rPr>
          <w:rFonts w:ascii="Times New Roman" w:cs="Times New Roman" w:eastAsia="Times New Roman" w:hAnsi="Times New Roman"/>
          <w:sz w:val="18"/>
          <w:szCs w:val="18"/>
          <w:color w:val="auto"/>
        </w:rPr>
        <w:t xml:space="preserv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Term Commencement Date and (b) except as expressly set forth in </w:t>
      </w:r>
      <w:r>
        <w:rPr>
          <w:rFonts w:ascii="Times New Roman" w:cs="Times New Roman" w:eastAsia="Times New Roman" w:hAnsi="Times New Roman"/>
          <w:sz w:val="18"/>
          <w:szCs w:val="18"/>
          <w:u w:val="single" w:color="auto"/>
          <w:color w:val="auto"/>
        </w:rPr>
        <w:t>Section 17.7</w:t>
      </w:r>
      <w:r>
        <w:rPr>
          <w:rFonts w:ascii="Times New Roman" w:cs="Times New Roman" w:eastAsia="Times New Roman" w:hAnsi="Times New Roman"/>
          <w:sz w:val="18"/>
          <w:szCs w:val="18"/>
          <w:color w:val="auto"/>
        </w:rPr>
        <w:t>, Landlord shall have no obligation to alter, repair or otherwise prepare the Premises for Tenant’s occupancy or to pay for or construct any improvements to the Premises, other than with regard to (y) the base building infrastructure (including the roof and Building systems) shall be in good working order and repair as of the Term Commencement Date and for sixty (60) days thereafter at Landlord’s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455" w:name="page456"/>
    <w:bookmarkEnd w:id="455"/>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sole cost and not as an Operating Expense, and (z) the Landlord Work and the Tenant Improvements. Tenant’s taking of possession of the Premises shall, except as otherwise agreed to in writing by Landlord and Tenant, or with respect to Landlord’s express obligations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Work Letter, conclusively establish that the Premises, the Building and the Project were at such time in good, sanitary and satisfactory condition and repair. Notwithstanding the foregoing, Landlord shall deliver the Premises to Tenant in compliance with Applicable Laws.</w:t>
      </w:r>
    </w:p>
    <w:p>
      <w:pPr>
        <w:spacing w:after="0" w:line="180" w:lineRule="exact"/>
        <w:rPr>
          <w:sz w:val="20"/>
          <w:szCs w:val="20"/>
          <w:color w:val="auto"/>
        </w:rPr>
      </w:pPr>
    </w:p>
    <w:p>
      <w:pPr>
        <w:ind w:left="180" w:hanging="172"/>
        <w:spacing w:after="0"/>
        <w:tabs>
          <w:tab w:leader="none" w:pos="1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7.1. The term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shall reflect such areas as reasonably calculated by Landlord’s architect, as the same may be reasonably adjusted from time to time by Landlord in consultation with Landlord’s architect to reflect changes to the Premises or Building, as applicable. The “Rentable Area” of the Premises and Building are currently deemed to be the amounts set forth in Section 2.2.</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7.2.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180"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7.3. The term “Rentable Area,” when applied to the Premises, is that area equal to the usable area of the Premises, plus an equitable allocation of Rentable Area within the Building that is not then utilized or expected to be utilized as usable area, including, but not limited to, that portion of the Building devoted to corridors, equipment rooms, restrooms, elevator lobby, atrium and mailroom.</w:t>
      </w:r>
    </w:p>
    <w:p>
      <w:pPr>
        <w:spacing w:after="0" w:line="176" w:lineRule="exact"/>
        <w:rPr>
          <w:sz w:val="20"/>
          <w:szCs w:val="20"/>
          <w:color w:val="auto"/>
        </w:rPr>
      </w:pPr>
    </w:p>
    <w:p>
      <w:pPr>
        <w:ind w:left="180" w:hanging="172"/>
        <w:spacing w:after="0"/>
        <w:tabs>
          <w:tab w:leader="none" w:pos="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8.1. Tenant shall pay to Landlord as Base Rent for the Premises, commencing on the Term Commencement Date, the sums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Base Rent shall be paid in equal monthly installments as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each in advance on the first day of each and every calendar month during the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8.2. In addition to Base Rent, Tenant shall pay to Landlord as additional rent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at times hereinafter specified in this Lease</w:t>
      </w:r>
    </w:p>
    <w:p>
      <w:pPr>
        <w:spacing w:after="0" w:line="27" w:lineRule="exact"/>
        <w:rPr>
          <w:sz w:val="20"/>
          <w:szCs w:val="20"/>
          <w:color w:val="auto"/>
        </w:rPr>
      </w:pPr>
    </w:p>
    <w:p>
      <w:pPr>
        <w:ind w:firstLine="8"/>
        <w:spacing w:after="0" w:line="253" w:lineRule="auto"/>
        <w:tabs>
          <w:tab w:leader="none" w:pos="24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Tenant’s Op Ex Share</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of Operating Expenses (as defined below) and (b) any other amounts that Tenant assumes or agrees to pay under the provisions of this Lease that are owed to Landlord, including, without limitation, any and all other sums that may become due by reason of any default of Tenant or failure on Tenant’s part to comply with the agreements, terms, covenants and conditions of this Lease to be performed by Tenant, after notice and the lapse of any applicable cure periods. For the sake of clarity, Tenant’s Op Ex Share of Operating Expenses includes such share of Common Area expenses plus one hundred percent (100%) of the cost of Operating Expenses for the Premises.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69" w:right="259" w:bottom="1440" w:gutter="0" w:footer="0" w:header="0"/>
        </w:sectPr>
      </w:pPr>
    </w:p>
    <w:bookmarkStart w:id="456" w:name="page457"/>
    <w:bookmarkEnd w:id="456"/>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 Base Rent and Additional Rent shall together be denominated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xml:space="preserve">.” Rent shall be paid to Landlord, without abatement, deduction or offset (except as expressly provided in this Lease), in lawful money of the United States of America at the office of Landlord as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that month and shall be paid at the then-current rate for such fractional month.</w:t>
      </w:r>
    </w:p>
    <w:p>
      <w:pPr>
        <w:spacing w:after="0" w:line="184" w:lineRule="exact"/>
        <w:rPr>
          <w:sz w:val="20"/>
          <w:szCs w:val="20"/>
          <w:color w:val="auto"/>
        </w:rPr>
      </w:pPr>
    </w:p>
    <w:p>
      <w:pPr>
        <w:ind w:left="180" w:hanging="172"/>
        <w:spacing w:after="0"/>
        <w:tabs>
          <w:tab w:leader="none" w:pos="1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 As used herein, the term “</w:t>
      </w: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shall include:</w:t>
      </w:r>
    </w:p>
    <w:p>
      <w:pPr>
        <w:spacing w:after="0" w:line="225" w:lineRule="exact"/>
        <w:rPr>
          <w:sz w:val="20"/>
          <w:szCs w:val="20"/>
          <w:color w:val="auto"/>
        </w:rPr>
      </w:pPr>
    </w:p>
    <w:p>
      <w:pPr>
        <w:ind w:right="20" w:firstLine="921"/>
        <w:spacing w:after="0" w:line="267" w:lineRule="auto"/>
        <w:tabs>
          <w:tab w:leader="none" w:pos="1158"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impositions including, without limitation, property tax costs consisting of real and personal property taxes and assessments, including amounts due under any improvement bond upon the Building or the Project, including the parcel or parcels of real property upon which the Building and areas serving the Building are located or assessments in lieu thereof imposed by any federal, state, regional, local or municipal governmental authority, agency or subdivision (each, a “</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are levied;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resulting from Applicable Laws (as defined below) or interpretations thereof, promulgated by any Governmental Authority in connection with the use or occupancy of the Project or the parking facilities serving the Project; taxes on this transaction or any document to which Tenant is a party creating or transferring an interest in the Premises; and any expenses, including the reasonable cost of attorneys or experts, reasonably incurred by Landlord in seeking reduction by the taxing authority of the applicable taxes, less tax refunds obtained as a result of an application for review thereof. Operating Expenses shall not include any net income, franchise, capital stock, estate or inheritance taxes, or taxes that are the personal obligation of Tenant or of another tenant of the Project. In addition, Operating Expenses shall not include and Tenant shall not be required to pay any portion of any tax or assessment expense or any increase therein (i) levied on Landlord’s rental income, unless such tax or assessment is imposed in lieu of real property taxes, (ii) in excess of the amount that would be payable if such tax or assessment were paid in installments over the longest permitted term or</w:t>
      </w:r>
    </w:p>
    <w:p>
      <w:pPr>
        <w:ind w:left="320" w:hanging="312"/>
        <w:spacing w:after="0"/>
        <w:tabs>
          <w:tab w:leader="none" w:pos="32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on land and improvements other than the Project; and</w:t>
      </w:r>
    </w:p>
    <w:p>
      <w:pPr>
        <w:spacing w:after="0" w:line="206" w:lineRule="exact"/>
        <w:rPr>
          <w:rFonts w:ascii="Times New Roman" w:cs="Times New Roman" w:eastAsia="Times New Roman" w:hAnsi="Times New Roman"/>
          <w:sz w:val="18"/>
          <w:szCs w:val="18"/>
          <w:color w:val="auto"/>
        </w:rPr>
      </w:pPr>
    </w:p>
    <w:p>
      <w:pPr>
        <w:ind w:right="240" w:firstLine="921"/>
        <w:spacing w:after="0" w:line="261" w:lineRule="auto"/>
        <w:tabs>
          <w:tab w:leader="none" w:pos="1168"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of any kind paid or incurred by Landlord in connection with the operation or maintenance of the Building and the Project including, by way of example and not of limitation, costs of repairs and replacements to improvements within the Project as appropriate to maintain the Project as required hereunder, including costs of utilities furnished to the Common Areas; sewer fees; cable television; trash collection; cleaning, including windows;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457" w:name="page458"/>
    <w:bookmarkEnd w:id="4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heating; ventilation; air-conditioning; maintenance of landscaping and grounds; maintenance of drives and parking areas; maintenance of the roof;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Project or Building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 carpeting, landscaping and other customary and ordinary items of personal property provided by Landlord for use in Common Areas or in the Project office; capital expenditures; costs of complying with all federal, state, municipal and local laws, codes, ordinances, rules and regulations of Governmental Authorities, committees, associations, or other regulatory committees, agencies or governing bodies having jurisdiction over the Property, the Project, the Building, the Premises, Landlord or Tenant, including both statutory and common law and hazard waste rules and regulations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xml:space="preserve">”); insurance premiums, including premiums for public liability, property casualty, earthquake, terrorism and environmental coverages; portions of insured losses paid by Landlord as part of the deductible portion of a loss pursuant to the terms of insurance policies (subject to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without limitation, janitors and floor waxers (for the Common Areas), window washers, watchmen, gardeners, sweepers and handymen.</w:t>
      </w:r>
    </w:p>
    <w:p>
      <w:pPr>
        <w:spacing w:after="0" w:line="197"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Notwithstanding the foregoing, Operating Expenses shall not include any leasing commissions; expenses that relate to preparation of rental space for a tenant; expenses of initial development and construction, including, but not limited to, grading, paving, landscaping and decorating (as distinguished from maintenance, repair and replacement of the foregoing); legal expenses relating to other tenants; costs of repairs to the extent reimbursed by payment of insurance proceeds received by Landlord; interest upon loans to Landlord or secured by a mortgage or deed of trust covering the Project or a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interest upon a government assessment or improvement bond payable in installments shall constitute an Operating Expense under </w:t>
      </w:r>
      <w:r>
        <w:rPr>
          <w:rFonts w:ascii="Times New Roman" w:cs="Times New Roman" w:eastAsia="Times New Roman" w:hAnsi="Times New Roman"/>
          <w:sz w:val="18"/>
          <w:szCs w:val="18"/>
          <w:u w:val="single" w:color="auto"/>
          <w:color w:val="auto"/>
        </w:rPr>
        <w:t>Subsection 10.1(a)</w:t>
      </w:r>
      <w:r>
        <w:rPr>
          <w:rFonts w:ascii="Times New Roman" w:cs="Times New Roman" w:eastAsia="Times New Roman" w:hAnsi="Times New Roman"/>
          <w:sz w:val="18"/>
          <w:szCs w:val="18"/>
          <w:color w:val="auto"/>
        </w:rPr>
        <w:t>); salaries of executive officers of Landlord; depreciation claimed by Landlord for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exclusion of depreciation is not intended to delete from Operating Expenses actual costs of repairs and replacements in regard thereto that are provided for in </w:t>
      </w:r>
      <w:r>
        <w:rPr>
          <w:rFonts w:ascii="Times New Roman" w:cs="Times New Roman" w:eastAsia="Times New Roman" w:hAnsi="Times New Roman"/>
          <w:sz w:val="18"/>
          <w:szCs w:val="18"/>
          <w:u w:val="single" w:color="auto"/>
          <w:color w:val="auto"/>
        </w:rPr>
        <w:t>this Lease</w:t>
      </w:r>
      <w:r>
        <w:rPr>
          <w:rFonts w:ascii="Times New Roman" w:cs="Times New Roman" w:eastAsia="Times New Roman" w:hAnsi="Times New Roman"/>
          <w:sz w:val="18"/>
          <w:szCs w:val="18"/>
          <w:color w:val="auto"/>
        </w:rPr>
        <w:t xml:space="preserve">); taxes that are excluded from Operating Expenses by the last two (2) sentences of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costs occasioned by the gross negligence or willful misconduct of Landlord or its agents, employees or contractors; costs caused by casualties or condemnation; costs to cure code violations that existed on the Term Commencement Date; costs incurred in connection with the presence of any Hazardous Material at the Property (other than the Premises), except to the extent caused by the release or emission of the Hazardous Material in question or a violation of Applicable Laws or a breach of this Lease by Tenant; costs incurred in connection with the presence of Hazardous Materials in the Premises as described in </w:t>
      </w:r>
      <w:r>
        <w:rPr>
          <w:rFonts w:ascii="Times New Roman" w:cs="Times New Roman" w:eastAsia="Times New Roman" w:hAnsi="Times New Roman"/>
          <w:sz w:val="18"/>
          <w:szCs w:val="18"/>
          <w:u w:val="single" w:color="auto"/>
          <w:color w:val="auto"/>
        </w:rPr>
        <w:t>Subsections 22.1(b)(i)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expense reserves; costs of structural repairs to the Building; and costs that would properly be capitalized under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to the extent amortized over the useful life of the capital</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9" w:right="239" w:bottom="1440" w:gutter="0" w:footer="0" w:header="0"/>
        </w:sectPr>
      </w:pPr>
    </w:p>
    <w:bookmarkStart w:id="458" w:name="page459"/>
    <w:bookmarkEnd w:id="45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in question. To the extent that Tenant uses more than Tenant’s pro rata share (“</w:t>
      </w:r>
      <w:r>
        <w:rPr>
          <w:rFonts w:ascii="Times New Roman" w:cs="Times New Roman" w:eastAsia="Times New Roman" w:hAnsi="Times New Roman"/>
          <w:sz w:val="18"/>
          <w:szCs w:val="18"/>
          <w:u w:val="single" w:color="auto"/>
          <w:color w:val="auto"/>
        </w:rPr>
        <w:t>Tenant’s Pro Rata Share</w:t>
      </w:r>
      <w:r>
        <w:rPr>
          <w:rFonts w:ascii="Times New Roman" w:cs="Times New Roman" w:eastAsia="Times New Roman" w:hAnsi="Times New Roman"/>
          <w:sz w:val="18"/>
          <w:szCs w:val="18"/>
          <w:color w:val="auto"/>
        </w:rPr>
        <w:t>”) of any item of Operating Expenses, Tenant shall pay Landlord for such excess in addition to Tenant’s obligation to pay Tenant’s Op Ex Share of Operating Expenses.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10.2. Tenant shall pay to Landlord on the first day of each calendar month of the Term, as Additional Rent, (a) the Property Management Fee (as defined below) and (b) Landlord’s estimate of Tenant’s Op Ex Share of Operating Expenses with respect to the Building and the Project, as applicable, for such month.</w:t>
      </w:r>
    </w:p>
    <w:p>
      <w:pPr>
        <w:spacing w:after="0" w:line="176" w:lineRule="exact"/>
        <w:rPr>
          <w:sz w:val="20"/>
          <w:szCs w:val="20"/>
          <w:color w:val="auto"/>
        </w:rPr>
      </w:pPr>
    </w:p>
    <w:p>
      <w:pPr>
        <w:ind w:right="440" w:firstLine="921"/>
        <w:spacing w:after="0" w:line="282" w:lineRule="auto"/>
        <w:tabs>
          <w:tab w:leader="none" w:pos="116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Property Management Fee</w:t>
      </w:r>
      <w:r>
        <w:rPr>
          <w:rFonts w:ascii="Times New Roman" w:cs="Times New Roman" w:eastAsia="Times New Roman" w:hAnsi="Times New Roman"/>
          <w:sz w:val="18"/>
          <w:szCs w:val="18"/>
          <w:color w:val="auto"/>
        </w:rPr>
        <w:t>” shall equal three percent (3%) of the Base Rent due from Tenant; provided, however, that the Property Management Fee shall not apply to reimbursements made by Tenant to Landlord for Tenant’s use of utilities.</w:t>
      </w:r>
    </w:p>
    <w:p>
      <w:pPr>
        <w:spacing w:after="0" w:line="161" w:lineRule="exact"/>
        <w:rPr>
          <w:rFonts w:ascii="Times New Roman" w:cs="Times New Roman" w:eastAsia="Times New Roman" w:hAnsi="Times New Roman"/>
          <w:sz w:val="18"/>
          <w:szCs w:val="18"/>
          <w:color w:val="auto"/>
        </w:rPr>
      </w:pPr>
    </w:p>
    <w:p>
      <w:pPr>
        <w:ind w:right="40" w:firstLine="921"/>
        <w:spacing w:after="0" w:line="256" w:lineRule="auto"/>
        <w:tabs>
          <w:tab w:leader="none" w:pos="116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ninety (90) days after the conclusion of each calendar year (or such longer period as may be reasonably required by Landlord), Landlord shall furnish to Tenant a statement showing in reasonable detail the actual Operating Expenses and Tenant’s Op Ex Share of Operating Expenses for the previous calendar year. Any additional sum due from Tenant to Landlord shall be due and payable within thirty (30) days after Tenant’s receipt of such statement. If the amounts paid by Tenant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exceed Tenant’s Op Ex Share of Operating Expenses for the previous calendar year, then Landlord shall credit the difference against the Rent next due and owing from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Lease term has expired, Landlord shall accompany said statement with payment for the amount of such difference.</w:t>
      </w:r>
    </w:p>
    <w:p>
      <w:pPr>
        <w:spacing w:after="0" w:line="187" w:lineRule="exact"/>
        <w:rPr>
          <w:rFonts w:ascii="Times New Roman" w:cs="Times New Roman" w:eastAsia="Times New Roman" w:hAnsi="Times New Roman"/>
          <w:sz w:val="18"/>
          <w:szCs w:val="18"/>
          <w:color w:val="auto"/>
        </w:rPr>
      </w:pPr>
    </w:p>
    <w:p>
      <w:pPr>
        <w:ind w:right="140" w:firstLine="921"/>
        <w:spacing w:after="0" w:line="282" w:lineRule="auto"/>
        <w:tabs>
          <w:tab w:leader="none" w:pos="115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due under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for any period that is less than a full month shall be prorated (based on the actual number of days in the month) for such fractional month.</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10.3. Landlord’s annual statement shall be final and binding upon Tenant unless Tenant, within sixty (60) days after Tenant’s receipt thereof, shall contest any item therein by giving written notice to Landlord, specifying each item contested and the reasons therefor. If, during such sixty (60) period, Tenant reasonably and in good faith questions or contests the correctness of Landlord’s statement of Tenant’s Op Ex Share of Operating Expenses, Landlord shall provide Tenant with reasonable access to Landlord’s books and records to the extent relevant to determination of Operating Expenses, and such information as Landlord reasonably determines to be responsive to Tenant’s written inquiries. In the event that, after Tenant’s review of such information, Landlord and Tenant cannot agree upon the amount of Tenant’s Op Ex Share of Operating Expenses, then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Times New Roman" w:cs="Times New Roman" w:eastAsia="Times New Roman" w:hAnsi="Times New Roman"/>
          <w:sz w:val="18"/>
          <w:szCs w:val="18"/>
          <w:u w:val="single" w:color="auto"/>
          <w:color w:val="auto"/>
        </w:rPr>
        <w:t>Independent Review</w:t>
      </w:r>
      <w:r>
        <w:rPr>
          <w:rFonts w:ascii="Times New Roman" w:cs="Times New Roman" w:eastAsia="Times New Roman" w:hAnsi="Times New Roman"/>
          <w:sz w:val="18"/>
          <w:szCs w:val="18"/>
          <w:color w:val="auto"/>
        </w:rPr>
        <w:t>”). Landlord shall make such books and records available at the location where Landlord maintains them in the ordinary course of its business. Landlord need not provide copies of any books or records. Tenant shall commence the Independent Review within fifteen (15) days after the date Landlord has given Tenant access to Landlord’s books and records for the Independent Review. Tenant shall complete the Independent Review and notify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459" w:name="page460"/>
    <w:bookmarkEnd w:id="45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in writing of Tenant’s specific objections to Landlord’s calculation of Operating Expenses (including Tenant’s accounting firm’s written statement of the basis, nature and amount of each proposed adjustment) no later than sixty (60) days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sixty (60)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San Francisco Bay Area (the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Tenant’s Op Ex Share of Operating Expenses actually paid for the calendar year in question exceeded Tenant’s obligations for such calendar year, then Landlord shall, at Tenant’s option, either (a) credit the excess to the next succeeding installments of Rent or (b) pay the excess to Tenant within thirty</w:t>
      </w:r>
    </w:p>
    <w:p>
      <w:pPr>
        <w:spacing w:after="0" w:line="12" w:lineRule="exact"/>
        <w:rPr>
          <w:sz w:val="20"/>
          <w:szCs w:val="20"/>
          <w:color w:val="auto"/>
        </w:rPr>
      </w:pPr>
    </w:p>
    <w:p>
      <w:pPr>
        <w:jc w:val="both"/>
        <w:ind w:right="20" w:firstLine="8"/>
        <w:spacing w:after="0" w:line="254" w:lineRule="auto"/>
        <w:tabs>
          <w:tab w:leader="none" w:pos="34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such results; and if such excess was more than five percent (5%) of Tenant’s Pro Rata Share of Operating Expenses, Landlord shall pay all of the costs of the Independent Review and the Accountants. If the parties agree or the Accountant(s) determine that Tenant’s payments of Tenant’s Op Ex Share of Operating Expenses for such calendar year were less than Tenant’s obligation for the calendar year, then Tenant shall pay the deficiency to Landlord within thirty (30) days after delivery of such results.</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10.4. Tenant shall not be responsible for Operating Expenses attributable to the time period prior to the Term Commencement Date; and if Landlord shall permit Tenant to enter the Premises prior to the Term Commencement Date, Tenant shall not be responsible for Operating Expenses from such earlier date of possession. Tenant’s responsibility for Tenant’s Op Ex Share of Operating Expenses shall continue to the latest of (a) the date of termination of the Lease, (b) the date Tenant has fully vacated the Premises or (c) if termination of the Lease is due to a default by Tenant, the date of rental commencement of a replacement tenant.</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10.5. Operating Expenses for the calendar year in which Tenant’s obligation to share therein commences and for the calendar year in which such obligation ceases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460" w:name="page461"/>
    <w:bookmarkEnd w:id="460"/>
    <w:p>
      <w:pPr>
        <w:ind w:right="220" w:firstLine="45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10.6. Within six (6) business days after the end of each calendar month, Tenant shall submit to Landlord an invoice, or, in the event an invoice is not available, an itemized list, of all costs and expenses that (a) Tenant has incurred (either internally or by employing third parties) during the prior month and</w:t>
      </w:r>
    </w:p>
    <w:p>
      <w:pPr>
        <w:spacing w:after="0" w:line="1" w:lineRule="exact"/>
        <w:rPr>
          <w:sz w:val="20"/>
          <w:szCs w:val="20"/>
          <w:color w:val="auto"/>
        </w:rPr>
      </w:pPr>
    </w:p>
    <w:p>
      <w:pPr>
        <w:ind w:left="260" w:hanging="252"/>
        <w:spacing w:after="0"/>
        <w:tabs>
          <w:tab w:leader="none" w:pos="2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Tenant reasonably believes it is entitled to reimbursements from Landlord pursuant to the terms of this Lease.</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Taxes on Tenant’s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11.1. Tenant shall pay prior to delinquency any and all taxes levied against any personal property or trade fixtures placed by Tenant in or about the Premises.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11.2. If any such taxes on Tenant’s personal property or trade fixtures are levied against Landlord or Landlord’s property or, if the assessed valuation of the Building or the Property is increased by inclusion therein of a value attributable to Tenant’s personal property or trade fixtures, and if Landlord, after written notice to Tenant, pays the taxes based upon any such increase in the assessed valued of the Building or the Project, then Tenant shall, upon demand, repay to Landlord the taxes so paid by Landlord.</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11.3.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Times New Roman" w:cs="Times New Roman" w:eastAsia="Times New Roman" w:hAnsi="Times New Roman"/>
          <w:sz w:val="18"/>
          <w:szCs w:val="18"/>
          <w:u w:val="single" w:color="auto"/>
          <w:color w:val="auto"/>
        </w:rPr>
        <w:t>Building Standard</w:t>
      </w:r>
      <w:r>
        <w:rPr>
          <w:rFonts w:ascii="Times New Roman" w:cs="Times New Roman" w:eastAsia="Times New Roman" w:hAnsi="Times New Roman"/>
          <w:sz w:val="18"/>
          <w:szCs w:val="18"/>
          <w:color w:val="auto"/>
        </w:rPr>
        <w:t xml:space="preserve">”) in other spaces in the Building are assessed, then the real property taxes and assessments levied against Landlord or the Building by reason of such excess assessed valuation shall be deemed to be taxes levied against personal property of Tenant and shall be governed by the provisions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Any such excess assessed valuation due to improvements in or alterations to space in the Building leased by other tenants of Landlord shall not be included in the Operating Expenses defined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but shall be treated, as to such other tenants, as provided in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If the records of the County Assessor are available and sufficiently detailed to serve as a basis for determining whether said Tenant improvements or alterations are assessed at a higher valuation than the Building Standard, then such records shall be binding on both Landlord and Tenant.</w:t>
      </w:r>
    </w:p>
    <w:p>
      <w:pPr>
        <w:spacing w:after="0" w:line="185" w:lineRule="exact"/>
        <w:rPr>
          <w:sz w:val="20"/>
          <w:szCs w:val="20"/>
          <w:color w:val="auto"/>
        </w:rPr>
      </w:pPr>
    </w:p>
    <w:p>
      <w:pPr>
        <w:ind w:left="280" w:hanging="272"/>
        <w:spacing w:after="0"/>
        <w:tabs>
          <w:tab w:leader="none" w:pos="2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12.1. Tenant has deposited with Landlord the sum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this Lease. If Tenant Defaults with respect to any provision of this Lease, including, but not limited to,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461" w:name="page462"/>
    <w:bookmarkEnd w:id="46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shall survive the expiration or earlier termination of this Lease. TENANT HEREBY WAIVES THE REQUIREMENTS OF SECTION 1950.7 OF THE CALIFORNIA CIVIL CODE WITH RESPECT TO THE USES TO WHICH SECURITY DEPOSITS MAY BE APPLIED PURSUANT TO THIS LEASE AND SUCH SECTION, AS THE SAME MAY BE AMENDED FROM TIME TO TIME.</w:t>
      </w:r>
    </w:p>
    <w:p>
      <w:pPr>
        <w:spacing w:after="0" w:line="184"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12.2.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12.3.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12.4. Provided Tenant has surrendered the Premises to Landlord, the Security Deposit, or any balance thereof (after Landlord has made appropriate deductions, if any, to restore the condition of the Premises to that required by the Lease and to cure any other defaults by Tenant under the Lease), shall be returned to Tenant (or, at Landlord’s option, to the last assignee of Tenant’s interest hereunder) within thirty (30) days after the expiration or earlier termination of this Lease.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12.5. [Intentionally omitted]</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12.6. If the Security Deposit shall be in cash, Landlord shall hold the Security Deposit in an account at a banking organization selected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12.7. The Security Deposit may be in the form of cash, a letter of credit or any other security instrument acceptable to Landlord in its sole discretion.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may at any time, except during Default (as defined below), deliver a letter of credit (the “</w:t>
      </w:r>
      <w:r>
        <w:rPr>
          <w:rFonts w:ascii="Times New Roman" w:cs="Times New Roman" w:eastAsia="Times New Roman" w:hAnsi="Times New Roman"/>
          <w:sz w:val="18"/>
          <w:szCs w:val="18"/>
          <w:u w:val="single" w:color="auto"/>
          <w:color w:val="auto"/>
        </w:rPr>
        <w:t>L/C Security</w:t>
      </w:r>
      <w:r>
        <w:rPr>
          <w:rFonts w:ascii="Times New Roman" w:cs="Times New Roman" w:eastAsia="Times New Roman" w:hAnsi="Times New Roman"/>
          <w:sz w:val="18"/>
          <w:szCs w:val="18"/>
          <w:color w:val="auto"/>
        </w:rPr>
        <w:t>”) as the entire Security Deposit, as follows.</w:t>
      </w:r>
    </w:p>
    <w:p>
      <w:pPr>
        <w:spacing w:after="0" w:line="207" w:lineRule="exact"/>
        <w:rPr>
          <w:sz w:val="20"/>
          <w:szCs w:val="20"/>
          <w:color w:val="auto"/>
        </w:rPr>
      </w:pPr>
    </w:p>
    <w:p>
      <w:pPr>
        <w:jc w:val="both"/>
        <w:ind w:firstLine="921"/>
        <w:spacing w:after="0" w:line="270" w:lineRule="auto"/>
        <w:tabs>
          <w:tab w:leader="none" w:pos="1158"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Tenant elects to deliver L/C Security, then Tenant shall provide Landlord, and maintain in full force and effect throughout the Term, a letter of credit in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issued by an issuer reasonably satisfactory to Landlord, in the amount of the Security Deposit, with an initial term of at least one year. If, at the Term Expiration Date, any Rent remains uncalculated or unpaid, then: (i) Landlord shall with reasonable diligence complete any necessary calculations; (ii) Tenant shall extend the expiry date of such L/C Security from time to time as Landlord reasonably requires, but no longer than ninety</w:t>
      </w:r>
    </w:p>
    <w:p>
      <w:pPr>
        <w:spacing w:after="0" w:line="2"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and (iii) in such extended period, Landlord shall not unreasonably refuse to consent to an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0" w:right="279" w:bottom="1440" w:gutter="0" w:footer="0" w:header="0"/>
        </w:sectPr>
      </w:pPr>
    </w:p>
    <w:bookmarkStart w:id="462" w:name="page463"/>
    <w:bookmarkEnd w:id="462"/>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reduction of the L/C Security. Tenant shall reimburse Landlord’s legal costs (as estimated by Landlord’s counsel) in handling Landlord’s acceptance of L/C Security or its replacement or extension, not to exceed Five Hundred Dollars ($500) per occurrence.</w:t>
      </w:r>
    </w:p>
    <w:p>
      <w:pPr>
        <w:spacing w:after="0" w:line="162" w:lineRule="exact"/>
        <w:rPr>
          <w:sz w:val="20"/>
          <w:szCs w:val="20"/>
          <w:color w:val="auto"/>
        </w:rPr>
      </w:pPr>
    </w:p>
    <w:p>
      <w:pPr>
        <w:ind w:firstLine="921"/>
        <w:spacing w:after="0" w:line="266" w:lineRule="auto"/>
        <w:tabs>
          <w:tab w:leader="none" w:pos="116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delivers to Landlord satisfactory L/C Security in place of the entire Security Deposit, Landlord shall remit to Tenant any cash Security Deposit Landlord previously held. Tenant may at any time replace the L/C Security with a cash Security Deposit, at which time Landlord shall return the L/C Security to Tenant.</w:t>
      </w:r>
    </w:p>
    <w:p>
      <w:pPr>
        <w:spacing w:after="0" w:line="176" w:lineRule="exact"/>
        <w:rPr>
          <w:rFonts w:ascii="Times New Roman" w:cs="Times New Roman" w:eastAsia="Times New Roman" w:hAnsi="Times New Roman"/>
          <w:sz w:val="18"/>
          <w:szCs w:val="18"/>
          <w:color w:val="auto"/>
        </w:rPr>
      </w:pPr>
    </w:p>
    <w:p>
      <w:pPr>
        <w:ind w:right="40" w:firstLine="921"/>
        <w:spacing w:after="0" w:line="255" w:lineRule="auto"/>
        <w:tabs>
          <w:tab w:leader="none" w:pos="115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may draw upon the L/C Security, and hold and apply the proceeds in the same manner and for the same purposes as the Security Deposit, if: (i) an uncured Default (as defined below) exists; (ii) as of the date thirty (30) 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 (2) the date one year after the then-current expiry date of the L/C Security; (iii) Tenant fails to pay (when and as Landlord reasonably requires) any bank charges for Landlord’s transfer of the L/C Security; or (iv)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issuer will not accept draw requests by overnight courier, the issuer of the L/C Security ceases, or announces that it will cease, to maintain an office within twenty (20) miles of the city where Landlord may present drafts under the L/C Security. This paragraph does not limit any other provisions of this Lease allowing Landlord to draw the L/C Security under specified circumstances.</w:t>
      </w:r>
    </w:p>
    <w:p>
      <w:pPr>
        <w:spacing w:after="0" w:line="185" w:lineRule="exact"/>
        <w:rPr>
          <w:rFonts w:ascii="Times New Roman" w:cs="Times New Roman" w:eastAsia="Times New Roman" w:hAnsi="Times New Roman"/>
          <w:sz w:val="18"/>
          <w:szCs w:val="18"/>
          <w:color w:val="auto"/>
        </w:rPr>
      </w:pPr>
    </w:p>
    <w:p>
      <w:pPr>
        <w:ind w:right="60" w:firstLine="921"/>
        <w:spacing w:after="0" w:line="258" w:lineRule="auto"/>
        <w:tabs>
          <w:tab w:leader="none" w:pos="116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183" w:lineRule="exact"/>
        <w:rPr>
          <w:rFonts w:ascii="Times New Roman" w:cs="Times New Roman" w:eastAsia="Times New Roman" w:hAnsi="Times New Roman"/>
          <w:sz w:val="18"/>
          <w:szCs w:val="18"/>
          <w:color w:val="auto"/>
        </w:rPr>
      </w:pPr>
    </w:p>
    <w:p>
      <w:pPr>
        <w:ind w:right="40" w:firstLine="921"/>
        <w:spacing w:after="0" w:line="261" w:lineRule="auto"/>
        <w:tabs>
          <w:tab w:leader="none" w:pos="115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changes while L/C Security is in force, then Tenant shall deliver (and, if the issuer requires, Landlord shall consent to) a corresponding amendment to the L/C Security.</w:t>
      </w:r>
    </w:p>
    <w:p>
      <w:pPr>
        <w:spacing w:after="0" w:line="1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13.1. Tenant shall use the Premises only for the purpose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and shall not use the Premises, or permit or suffer the Premises to be used, for any other purpose without Landlord’s prior written consent, which consent Landlord may withhold in its sole and absolute discretion.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69" w:right="259" w:bottom="1440" w:gutter="0" w:footer="0" w:header="0"/>
        </w:sectPr>
      </w:pPr>
    </w:p>
    <w:bookmarkStart w:id="463" w:name="page464"/>
    <w:bookmarkEnd w:id="463"/>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 Tenant shall not use or occupy the Premises in violation of Applicable Laws; zoning ordinances; or the certificate of occupancy issued for the Building,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13.3. Tenant shall not do or permit to be done anything that will invalidate or increase the cost (unless Tenant promptly pays such increase) of any fire, environmental, extended coverage or any other insurance policy covering the Building and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13.4. Tenant shall keep all doors opening onto public corridors closed, except when in use for ingress and egress.</w:t>
      </w:r>
    </w:p>
    <w:p>
      <w:pPr>
        <w:spacing w:after="0" w:line="225"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13.5. No additional locks or bolts of any kind shall be placed upon any of the doors or windows by Tenant, nor shall any changes be made to existing locks or the mechanisms thereof without Landlord’s prior written consent; provided, however, subject to Landlord’s consent as to the details thereof, which consent shall not be unreasonably withheld or delayed, Tenant shall be permitted to modify or add to the current security system and master key system for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continue to have access to the Premises consistent with Landlord’s rights under this Lease. Tenant shall, upon termination of this Lease, return to Landlord all keys to offices and restrooms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13.6. No awnings or other projections shall be attached to any outside wall of the Building. No curtains, blinds, shades or screens shall be attached to or hung in, or used in connection with, any window or door of the Premises other than Landlord’s standard window coverings without Landlord’s prior written consent, which consent shall not be unreasonably withheld or delayed. Neither the interior nor exterior of any windows shall be coated or otherwise sunscreened without Landlord’s prior written consent, which consent shall not be unreasonably withheld or delayed, nor shall any bottles, parcels or other articles be placed on the windowsills.</w:t>
      </w:r>
    </w:p>
    <w:p>
      <w:pPr>
        <w:spacing w:after="0" w:line="184"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13.7. No sign, advertisement or notice (“Signage”) shall be exhibited, painted or affixed by Tenant on any part of the Premises or the Building without Landlord’s prior written consent. Interior signs on doors and the directory tablet shall be inscribed, painted or affixed for Tenant by Landlord at Tenant’s sole cost and expense, and shall be of a size, color and type and be located in a place acceptable to Landlord. The directory tablet shall be provided exclusively for the display of the name and location of tenants only. Tenant shall not place anything on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69" w:right="259" w:bottom="1440" w:gutter="0" w:footer="0" w:header="0"/>
        </w:sectPr>
      </w:pPr>
    </w:p>
    <w:bookmarkStart w:id="464" w:name="page465"/>
    <w:bookmarkEnd w:id="464"/>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exterior of the corridor walls or corridor doors other than Landlord’s standard lettering. Tenant shall have Signage rights for the Premises substantially consistent with the Signage permitted for other comparable Tenants in the Project, as Landlord reasonably determines. At Landlord’s option, Landlord may install any such Signage, and Tenant shall pay all costs associated with such installation within five (5) days after demand therefor.</w:t>
      </w:r>
    </w:p>
    <w:p>
      <w:pPr>
        <w:spacing w:after="0" w:line="176"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13.8. Tenant shall only place equipment within the Premises with floor loading consistent with the structural design of the Building without Landlord’s prior written approval, and such equipment shall be placed in a location designed to carry the weight of such equipment. Tenant shall have the right to signage that is both (a) approved in advance by Landlord and (b) in compliance with Applicable Laws, including, without limitation, City of Fremont codes, including the signage described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13.9. Tenant shall cause any office equipment or machinery to be installed in the Premises so as to reasonably prevent sounds or vibrations therefrom from extending into the Common Areas or other offices in the Building.</w:t>
      </w:r>
    </w:p>
    <w:p>
      <w:pPr>
        <w:spacing w:after="0" w:line="162"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13.10. Tenant shall not (a) do or permit anything to be done in or about the Premises that shall in any way obstruct or interfere with the rights of other tenants or occupants of the Building or the Project, or injure or annoy them, (b) use or allow the Premises to be used for immoral, unlawful or objectionable purposes, (c) cause, maintain or permit any nuisance or waste in, on or about the Premises, the Building or the Project or (d) take any other action that would in Landlord’s reasonable determination in any manner adversely affect other tenants’ quiet use and enjoyment of their space or adversely impact their ability to conduct business in a professional and suitable work environment.</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13.11. Notwithstanding any other provision herein to the contrary, Tenant shall be responsible for all liabilities, costs and expenses arising out of or in connection with the compliance of the Premises with the Americans with Disabilities Act, 42 U.S.C. § 12101, et seq. (together with regulations promulgated pursuant thereto, the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xml:space="preserve">”), and Tenant shall indemnify, save, defend and hold Landlord harmless from and against any loss, cost, liability or expense (including reasonable attorneys’ fees and disbursements) arising out of any failure of the Premises to comply with the ADA; provided, however, that Landlord shall perform alterations to the Premises required by a change in Applicable Laws (other than alterations necessitated by Tenant’s particular use of the Premises, which Tenant shall complete at its sole cost and expense), which Tenant shall pay (a) as Operating Expenses (subject to the terms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if such alterations are not confined to the Premises, or (b) to Landlord within thirty (30) days after receipt of an invoice therefor, if such alterations are confined to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Subsection 13.11(b)</w:t>
      </w:r>
      <w:r>
        <w:rPr>
          <w:rFonts w:ascii="Times New Roman" w:cs="Times New Roman" w:eastAsia="Times New Roman" w:hAnsi="Times New Roman"/>
          <w:sz w:val="18"/>
          <w:szCs w:val="18"/>
          <w:color w:val="auto"/>
        </w:rPr>
        <w:t xml:space="preserve">, if such costs are for capital repairs or replacements to the Premises, they shall be amortized over the improvements’ useful lives in accordance with GAAP);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notifies Landlord in writing of the need for any such alterations. The provisions of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0" w:right="239" w:bottom="1440" w:gutter="0" w:footer="0" w:header="0"/>
        </w:sectPr>
      </w:pPr>
    </w:p>
    <w:bookmarkStart w:id="465" w:name="page466"/>
    <w:bookmarkEnd w:id="465"/>
    <w:p>
      <w:pPr>
        <w:ind w:left="280" w:hanging="272"/>
        <w:spacing w:after="0"/>
        <w:tabs>
          <w:tab w:leader="none" w:pos="2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Regulations, CC&amp;Rs, Parking Facilities and Common Areas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14.1. Tenant shall have the non-exclusive right, in common with others, to use the Common Areas, subject to the rules and regulations adopted by Landlord and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together with such other reasonable and nondiscriminatory rules and regulations as are hereafter promulgated by Landlord in its reasonable discretion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Tenant shall have the right to install certain equipment (including, without limitation, a satellite dish), which equipment and the location thereof shall be subject to Landlord’s reasonable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equipment and the installation thereof shall (i) comply with any recorded covenants, conditions or restrictions on the Project or Property (the “</w:t>
      </w:r>
      <w:r>
        <w:rPr>
          <w:rFonts w:ascii="Times New Roman" w:cs="Times New Roman" w:eastAsia="Times New Roman" w:hAnsi="Times New Roman"/>
          <w:sz w:val="18"/>
          <w:szCs w:val="18"/>
          <w:u w:val="single" w:color="auto"/>
          <w:color w:val="auto"/>
        </w:rPr>
        <w:t>CC&amp;Rs</w:t>
      </w:r>
      <w:r>
        <w:rPr>
          <w:rFonts w:ascii="Times New Roman" w:cs="Times New Roman" w:eastAsia="Times New Roman" w:hAnsi="Times New Roman"/>
          <w:sz w:val="18"/>
          <w:szCs w:val="18"/>
          <w:color w:val="auto"/>
        </w:rPr>
        <w:t>”), (ii) not void any warranty on the roof and (iii) not be visible from the street and (b) any penetrations of the roof shall be done by a contractor selected by Landlord in its sole and absolute discretion. Tenant shall also have the right, at no additional cost, to use Tenant’s Pro Rata Share of the fenced space behind the Building (including the bunkers) for storage of Hazardous Materials (as defined below), which use shall include the exclusive use of portions thereof, which Tenant shall secure at its sole cost and expense. Tenant shall faithfully observe and comply with the Rules and Regulations. Landlord shall not be responsible to Tenant for the violation or nonperformance by any other tenant or any agent, employee or invitee thereof of any of the Rules and Regulations.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14.2. This Lease is subject to any CC&amp;Rs. Tenant shall comply with the CC&amp;Rs.</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14.3. Tenant shall have a non-exclusive, irrevocable license to use Tenant’s Pro Rata Share of parking facilities (three and one-half (3.5) spaces per one thousand (1,000) rentable square feet of the Premises) serving the Building in common on an unreserved basis with other tenants of the Building and the Project during the Term at no cost (other than as part of Operating Expenses).</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14.4. Tenant agrees not to unreasonably overburden the parking facilities and agrees to cooperate with Landlord and other tenants in the use of the parking facilities. Nothing in this Section, however, is intended to create an affirmative duty on Landlord’s part to monitor parking.</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14.5. Subject to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Landlord reserves the right to reasonably modify the Common Areas, including the right to add or remove exterior and interior landscaping and to subdivide real property. Tenant acknowledges that Landlord specifically reserves the right to allow the exclusive use of corridors and restroom facilities located on specific floors to one or more tenants occupying such floors;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not be deprived of the use of the corridors reasonably required to serve the Premises or of restroom facilities serving the floor upon which the Premises are located.</w:t>
      </w:r>
    </w:p>
    <w:p>
      <w:pPr>
        <w:spacing w:after="0" w:line="180" w:lineRule="exact"/>
        <w:rPr>
          <w:sz w:val="20"/>
          <w:szCs w:val="20"/>
          <w:color w:val="auto"/>
        </w:rPr>
      </w:pPr>
    </w:p>
    <w:p>
      <w:pPr>
        <w:ind w:left="280" w:hanging="272"/>
        <w:spacing w:after="0"/>
        <w:tabs>
          <w:tab w:leader="none" w:pos="2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Control by 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15.1. Landlord reserves full control over the Building and the Project to the extent not inconsistent with Tenant’s enjoyment of the Premises as provided by this Lease. This reservation includes, without limitation, Landlord’s right to subdivide the Project, convert the Building to condominium units, grant easements and licenses to third parties, and maintain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466" w:name="page467"/>
    <w:bookmarkEnd w:id="466"/>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 ownership of the Building separate from fee title to the Property. No exercise of such right shall materially interfere with the Permitted Use or materially increase Tenant’s obligations or decrease its rights under this Lease.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15.2. Possession of areas of the Premises necessary for utilities, services, safety and operation of the Building is reserved to Landlord.</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15.3. Tenant shall, at Landlord’s request, promptly execute such further documents as may be reasonably appropriate to assist Landlord in the performance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need not execute any document that creates additional liability for Tenant or that deprives Tenant of the quiet enjoyment and use of the Premises as provided for in this Lease.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15.4. Landlord may, at any and all reasonable times during non-business hours (or during business hours if Tenant so requests), and upon one</w:t>
      </w:r>
    </w:p>
    <w:p>
      <w:pPr>
        <w:spacing w:after="0" w:line="27" w:lineRule="exact"/>
        <w:rPr>
          <w:sz w:val="20"/>
          <w:szCs w:val="20"/>
          <w:color w:val="auto"/>
        </w:rPr>
      </w:pPr>
    </w:p>
    <w:p>
      <w:pPr>
        <w:ind w:firstLine="8"/>
        <w:spacing w:after="0" w:line="251" w:lineRule="auto"/>
        <w:tabs>
          <w:tab w:leader="none" w:pos="25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time restrictions shall apply or advance notice be required if an emergency necessitates immediate entry), enter the Premises to (a) inspect the same and to determine whether Tenant is in compliance with its obligations hereunder, (b) supply any service Landlord is required to provide hereunder, (c) show the Premises to prospective purchasers or tenants during the final year of the Term, (d) post notices of nonresponsibility, (e) access the telephone equipment, electrical substation and fire risers and (f) alter, improve or repair any portion of the Building other than the Premises for which access to the Premises is reasonably necessary. In connection with any such alteration, improvement or repair as described in </w:t>
      </w:r>
      <w:r>
        <w:rPr>
          <w:rFonts w:ascii="Times New Roman" w:cs="Times New Roman" w:eastAsia="Times New Roman" w:hAnsi="Times New Roman"/>
          <w:sz w:val="18"/>
          <w:szCs w:val="18"/>
          <w:u w:val="single" w:color="auto"/>
          <w:color w:val="auto"/>
        </w:rPr>
        <w:t>Subsection 15.4(f)</w:t>
      </w:r>
      <w:r>
        <w:rPr>
          <w:rFonts w:ascii="Times New Roman" w:cs="Times New Roman" w:eastAsia="Times New Roman" w:hAnsi="Times New Roman"/>
          <w:sz w:val="18"/>
          <w:szCs w:val="18"/>
          <w:color w:val="auto"/>
        </w:rPr>
        <w:t xml:space="preserve">, Landlord may erect in the Premises or elsewhere in the Project scaffolding and other structures reasonably required for the alteration, improvement or repair work to be performed. In no event shall Tenant’s Rent abate as a result of Landlord’s activities pursuant to this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 Any entry by Landlord and Landlord’s agents shall not impair Tenant’s operations more than reasonably necessary.</w:t>
      </w:r>
    </w:p>
    <w:p>
      <w:pPr>
        <w:spacing w:after="0" w:line="193" w:lineRule="exact"/>
        <w:rPr>
          <w:sz w:val="20"/>
          <w:szCs w:val="20"/>
          <w:color w:val="auto"/>
        </w:rPr>
      </w:pPr>
    </w:p>
    <w:p>
      <w:pPr>
        <w:ind w:right="240" w:firstLine="8"/>
        <w:spacing w:after="0" w:line="282" w:lineRule="auto"/>
        <w:tabs>
          <w:tab w:leader="none" w:pos="27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So long as Tenant is not in Default under this Lease, Landlord or anyone acting through or under Landlord shall not disturb Tenant’s occupancy of the Premises, except as permitted by this Lease.</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 and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17.1.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governmental or third party fees, surcharges and taxes thereon. If any such utility is not separately metered to Tenant, Tenant shall pay a reasonable proportion (to be determined by Landlord) of all charges of such utility jointly metered with other premises as part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0" w:right="299" w:bottom="1440" w:gutter="0" w:footer="0" w:header="0"/>
        </w:sectPr>
      </w:pPr>
    </w:p>
    <w:bookmarkStart w:id="467" w:name="page468"/>
    <w:bookmarkEnd w:id="467"/>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Tenant’s Op Ex Share of Operating Expenses or, in the alternative, Landlord may, at its option, monitor the usage of such utilities by Tenant and charge Tenant with the cost of purchasing, installing and monitoring such metering equipment, which cost shall be paid by Tenant as Additional Rent.</w:t>
      </w:r>
    </w:p>
    <w:p>
      <w:pPr>
        <w:spacing w:after="0" w:line="162"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7"/>
          <w:szCs w:val="17"/>
          <w:color w:val="auto"/>
        </w:rPr>
        <w:t>17.2. Landlord shall not be liable for, nor shall any eviction of Tenant result from, the failure to furnish any utility or service, whether or not such failure is caused by Force Majeure. In the event of such failure, Tenant shall not be entitled to termination of this Lease or any abatement or reduction of Rent, nor shall Tenant be relieved from the operation of any covenant or agreement of this Lease. If the Premises should become untenantable for the Permitted Use as a consequence of cessation of utilities for longer than seven (7) days due to Landlord’s gross negligence or willful misconduct, then Tenant shall be entitled to an equitable abatement of Base Rent and Operating Expenses in proportion that the untenantable portion of the Premises bears to the entire Premises.</w:t>
      </w:r>
    </w:p>
    <w:p>
      <w:pPr>
        <w:spacing w:after="0" w:line="16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17.3. Tenant shall pay for, prior to delinquency of payment therefor, any utilities and services that may be furnished to the Premises during or, if Tenant occupies the Premises after the expiration or earlier termination of the Term, after the Term.</w:t>
      </w:r>
    </w:p>
    <w:p>
      <w:pPr>
        <w:spacing w:after="0" w:line="16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17.4. Tenant shall not, without Landlord’s prior written consent, use any device in the Premises (including, without limitation, data processing machines) that will in any way (a) increase the amount of ventilation, air exchange, gas, steam, electricity or water beyond the existing capacity of the Building as proportionately allocated to the Premises based upon Tenant’s Pro Rata Share as usually furnished or supplied for the use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or (b) exceed Tenant’s Pro Rata Share of the Building’s capacity to provide such utilities or services; provided, however, that Tenant shall be permitted with Landlord’s prior written consent to make any upgrades required to increase the capacity of any Building systems utilized solely by Tenant to the extent necessary to accommodate any such devices so long as Tenant otherwise complies with Applicable Laws the provisions of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xml:space="preserve"> below.</w:t>
      </w:r>
    </w:p>
    <w:p>
      <w:pPr>
        <w:spacing w:after="0" w:line="18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17.5. If Tenant shall require utilities or services in excess of those usually furnished or supplied for tenants in similar spaces in the Building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17.6. Utilities and services provided by Landlord to the Premises that are separately metered shall be paid by Tenant directly to the supplier of such utility or service.</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17.7. Landlord shall provide water in Common Areas for lavatory purposes only;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Landlord determines that Tenant requires, uses or consumes water for any purpose other than the Permitted Use or uses a materially disproportionate amount of water compared to other tenants in the Building, Landlord may install a water meter and thereby measure Tenant’s water consumption for all purposes. Tenant shall pay Landlord for the costs of such meter and the installation thereof and, throughout the duration of Tenant’s occupancy of the Premises, Tenant shall keep said meter and installation equipment in good working order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9" w:right="239" w:bottom="1440" w:gutter="0" w:footer="0" w:header="0"/>
        </w:sectPr>
      </w:pPr>
    </w:p>
    <w:bookmarkStart w:id="468" w:name="page469"/>
    <w:bookmarkEnd w:id="46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repair at Tenant’s sole cost and expense. If Tenant fails to so maintain such meter and equipment, Landlord may repair or replace the same and shall collect the costs therefor from Tenant. Tenant agrees to pay for water consumed, as shown on said meter, as and when bills are rendered. If Tenant fails to timely make such payments, Landlord may pay such charges and collect the same from Tenant. Any such costs or expenses incurred, or payments made by Landlord for any of the reasons or purposes hereinabove stated, shall be deemed to be Additional Rent payment by Tenant and collectible by Landlord as such. If any other tenant in the Building uses a materially disproportionate amount of water compared to Tenant, then Tenant shall not be responsible for the cost of water used by such tenant that is materially disproportionate to Tenant’s use. Landlord shall also provide to the Premises (a) water for laboratory and kitchen purposes and deionized water, compressed air and a vacuum line through the existing systems, (b) gas, electricity, telephone, trash pickup and sewer service through the existing systems and (c) emergency back-up generator service at the level provided by the generator currently located at the Building. Notwithstanding anything in this Lease to the contrary, (x) Landlord shall install, at its sole cost and expense (and not as an Operating Expense), separate meters or other devices to separately measure electricity delivered to the Premises prior to other tenants occupying the Building, (y) Landlord shall not be required to upgrade any Building systems except as may be expressly stated in </w:t>
      </w:r>
      <w:r>
        <w:rPr>
          <w:rFonts w:ascii="Times New Roman" w:cs="Times New Roman" w:eastAsia="Times New Roman" w:hAnsi="Times New Roman"/>
          <w:sz w:val="18"/>
          <w:szCs w:val="18"/>
          <w:u w:val="single" w:color="auto"/>
          <w:color w:val="auto"/>
        </w:rPr>
        <w:t>Exhibits G-1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G-3</w:t>
      </w:r>
      <w:r>
        <w:rPr>
          <w:rFonts w:ascii="Times New Roman" w:cs="Times New Roman" w:eastAsia="Times New Roman" w:hAnsi="Times New Roman"/>
          <w:sz w:val="18"/>
          <w:szCs w:val="18"/>
          <w:color w:val="auto"/>
        </w:rPr>
        <w:t xml:space="preserve"> and (z) until another tenant occupies the building, Tenant shall pay one hundred percent (100%) of any increase in the monthly cost of utilities to the Project that exceed the cost of utilities for the thirty</w:t>
      </w:r>
    </w:p>
    <w:p>
      <w:pPr>
        <w:spacing w:after="0" w:line="3" w:lineRule="exact"/>
        <w:rPr>
          <w:sz w:val="20"/>
          <w:szCs w:val="20"/>
          <w:color w:val="auto"/>
        </w:rPr>
      </w:pPr>
    </w:p>
    <w:p>
      <w:pPr>
        <w:ind w:firstLine="8"/>
        <w:spacing w:after="0" w:line="255" w:lineRule="auto"/>
        <w:tabs>
          <w:tab w:leader="none" w:pos="34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prior to the Execution Date (the “Base Utility Cost”); provided, however, until such time as another tenant occupies the Building, the Base Utility Cost shall be equitably increased on each anniversary of the Term Commencement Date based on the increases during such year in the applicable utility rates.</w:t>
      </w:r>
    </w:p>
    <w:p>
      <w:pPr>
        <w:spacing w:after="0" w:line="18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17.8. Landlord reserves the right to stop service of the elevator, plumbing, ventilation, air conditioning and electric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electric service when prevented from doing so by Force Majeure or a failure by a third party to deliver gas, oil or another suitable fuel supply, or Landlord’s inability by exercise of reasonable diligence to obtain gas, oil or another suitable fuel.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17.9. For the Premises, Landlord shall (a) maintain and operate the heating, ventilating and air conditioning systems used for the Permitted Use only (“</w:t>
      </w:r>
      <w:r>
        <w:rPr>
          <w:rFonts w:ascii="Times New Roman" w:cs="Times New Roman" w:eastAsia="Times New Roman" w:hAnsi="Times New Roman"/>
          <w:sz w:val="18"/>
          <w:szCs w:val="18"/>
          <w:u w:val="single" w:color="auto"/>
          <w:color w:val="auto"/>
        </w:rPr>
        <w:t>HVAC</w:t>
      </w:r>
      <w:r>
        <w:rPr>
          <w:rFonts w:ascii="Times New Roman" w:cs="Times New Roman" w:eastAsia="Times New Roman" w:hAnsi="Times New Roman"/>
          <w:sz w:val="18"/>
          <w:szCs w:val="18"/>
          <w:color w:val="auto"/>
        </w:rPr>
        <w:t xml:space="preserve">”) and (b) subject to clause (a) above, furnish HVAC as reasonably required (except as this Lease otherwise provides or as to any special requirements that arise from Tenant’s particular use of the Premises) for reasonably comfortable occupancy of the Premises twenty-four (24) hours a day, 365 or 366 days a year. Notwithstanding anything to the contrary in this paragraph, subject to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Landlord shall have no liability, and Tenant shall have no right or remedy, on account of any interruption or impairment in HVAC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diligently endeavors to cure any such interruption or impairment.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69" w:right="259" w:bottom="1440" w:gutter="0" w:footer="0" w:header="0"/>
        </w:sectPr>
      </w:pPr>
    </w:p>
    <w:bookmarkStart w:id="469" w:name="page470"/>
    <w:bookmarkEnd w:id="469"/>
    <w:p>
      <w:pPr>
        <w:ind w:left="280" w:hanging="272"/>
        <w:spacing w:after="0"/>
        <w:tabs>
          <w:tab w:leader="none" w:pos="2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Alterations.</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18.1. Tenant shall make no alterations, additions or improvements in or to the Premises or engage in any construction, demolition, reconstruction, renovation, or other work (whether major or minor) of any kind in, at, or serving the Premises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xml:space="preserve">”) without Landlord’s prior written approval, which approval Landlord shall not unreasonably withhold;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the event any proposed Alteration affects (a) any structural portions of the Building, including exterior walls, roof, foundation or core of the Building, (b) the exterior of the Building or (c) any Building systems, including elevator, plumbing, air conditioning, heating, electrical, security, life safety and power, then Landlord may withhold its approval with respect thereto in its sole and absolute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Landlord shall not unreasonably withhold its consent to typical Alterations that affect the Building systems so long as such Alterations do not involve major changes to such systems. Tenant shall, in making any such Alterations, use only those architects, contractors, suppliers and mechanics of which Landlord has given prior written approval, which approval shall be in Landlord’s reasonable discretion. In seeking Landlord’s approval, Tenant shall provide Landlord, at least ten (10) days in advance of any proposed construction, with plans, specifications, bid proposals, work contracts, requests for laydown areas and such other information concerning the nature and cost of the Alterations as Landlord may reasonably request. Notwithstanding the foregoing, Tenant may construct non-structural Alterations in the Premises without Landlord’s prior approval, if the cost of any such Alterations does not exceed Fifty Thousand Dollars ($50,000);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Tenant shall notify Landlord in writing at least five (5) business days prior to commencing any such Alterations if the cost thereof exceeds Ten Thousand Dollars ($10,000) in any one instance or Fifty Thousand Dollars ($50,000) in any twelve (12) month period.</w:t>
      </w:r>
    </w:p>
    <w:p>
      <w:pPr>
        <w:spacing w:after="0" w:line="19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18.2. Tenant shall not construct or permit to be constructed partitions or other obstructions that might interfere with free access to mechanical installation or service facilities of the Building, or interfere with the moving of Landlord’s equipment to or from the enclosures containing such installations or facilities.</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18.3. Tenant shall accomplish any work performed on the Premises or the Building in such a manner as to permit any fire sprinkler system and fire water supply lines to remain fully operable at all times.</w:t>
      </w:r>
    </w:p>
    <w:p>
      <w:pPr>
        <w:spacing w:after="0" w:line="162"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18.4. Any work performed on the Premises or the Building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Tenant shall provide Landlord with complete “as-built” drawing print sets and electronic CADD files on disc (or files in such other current format in common use as Landlord reasonably approves or requires) showing any changes in the Premises.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18.5. Before commencing any work, Tenant shall give Landlord at least fourteen (14) days’ prior written notice of the proposed commencement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w:t>
      </w:r>
    </w:p>
    <w:p>
      <w:pPr>
        <w:spacing w:after="0" w:line="207"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18.6. All Alterations, attached equipment, decorations, fixtures, trade fixtures, additions and improvements, subject to </w:t>
      </w:r>
      <w:r>
        <w:rPr>
          <w:rFonts w:ascii="Times New Roman" w:cs="Times New Roman" w:eastAsia="Times New Roman" w:hAnsi="Times New Roman"/>
          <w:sz w:val="18"/>
          <w:szCs w:val="18"/>
          <w:u w:val="single" w:color="auto"/>
          <w:color w:val="auto"/>
        </w:rPr>
        <w:t>Section 18.8</w:t>
      </w:r>
      <w:r>
        <w:rPr>
          <w:rFonts w:ascii="Times New Roman" w:cs="Times New Roman" w:eastAsia="Times New Roman" w:hAnsi="Times New Roman"/>
          <w:sz w:val="18"/>
          <w:szCs w:val="18"/>
          <w:color w:val="auto"/>
        </w:rPr>
        <w:t>, attached to or built into the Premises, made by either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0" w:right="239" w:bottom="1440" w:gutter="0" w:footer="0" w:header="0"/>
        </w:sectPr>
      </w:pPr>
    </w:p>
    <w:bookmarkStart w:id="470" w:name="page471"/>
    <w:bookmarkEnd w:id="470"/>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Parties, including, without limitation, all floor and wall coverings, built-in cabinet work and paneling, sinks and related plumbing fixtures, built-in laboratory benches, exterior venting fume hoods and walk-in freezers and refrigerators, ductwork, conduits, electrical panels and circuits, shall (unless, prior to such construction or installation, Landlord elects otherwise) become the property of Landlord upon the expiration or earlier termination of the Term, and shall remain upon and be surrendered with the Premises as a part thereof. The Premises shall at all times remain the property of Landlord and shall be surrendered to Landlord upon the expiration or earlier termination of this Lease. Subject to </w:t>
      </w:r>
      <w:r>
        <w:rPr>
          <w:rFonts w:ascii="Times New Roman" w:cs="Times New Roman" w:eastAsia="Times New Roman" w:hAnsi="Times New Roman"/>
          <w:sz w:val="18"/>
          <w:szCs w:val="18"/>
          <w:u w:val="single" w:color="auto"/>
          <w:color w:val="auto"/>
        </w:rPr>
        <w:t>Section 18.8</w:t>
      </w:r>
      <w:r>
        <w:rPr>
          <w:rFonts w:ascii="Times New Roman" w:cs="Times New Roman" w:eastAsia="Times New Roman" w:hAnsi="Times New Roman"/>
          <w:sz w:val="18"/>
          <w:szCs w:val="18"/>
          <w:color w:val="auto"/>
        </w:rPr>
        <w:t>, all Tenant Improvements, Alterations and Signage installed by or under Tenant shall be the property of Landlord.</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18.7. Tenant shall repair any damage to the Premises caused by Tenant’s removal of any property from the Premises. During any such restoration period, Tenant shall pay Rent to Landlord as provided herein as if said space were otherwise occupied by Tenant. The provisions of this Section shall survive the expiration or earlier termination of this Lease.</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 xml:space="preserve">18.8. Except with respect to those items paid for by Landlord, Tenant’s trade fixtures, furniture, equipment and other personal property installed in and upon the Premises, including those items listed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shall at all times be and remain Tenant’s property, including Tenant’s process-related equipment that may be bolted to the floor or otherwise attached to the Premises but that can be removed without structural injury to the Premises or the Building. Landlord shall have no lien or other interest in any item of Tenant’s Property. Subject to the foregoing, any Alterations performed by Tenant shall become the property of Landlord; provided, however, that, when Tenant submits plans for Alterations for Landlord’s approval, if Tenant so requests in writing, Landlord shall be obligated to indicate whether Tenant shall be required to or may remove such Alterations upon the expiration or earlier termination of this Lease. If Tenant shall fail to remove any of its effects from the Premises prior to termination of this Lease, then Landlord may, at its option, remove the same in any manner permitted by Applicable Laws and store said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said personal property.</w:t>
      </w:r>
    </w:p>
    <w:p>
      <w:pPr>
        <w:spacing w:after="0" w:line="19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18.9. Notwithstanding any other provision of this </w:t>
      </w:r>
      <w:r>
        <w:rPr>
          <w:rFonts w:ascii="Times New Roman" w:cs="Times New Roman" w:eastAsia="Times New Roman" w:hAnsi="Times New Roman"/>
          <w:sz w:val="18"/>
          <w:szCs w:val="18"/>
          <w:u w:val="single" w:color="auto"/>
          <w:color w:val="auto"/>
        </w:rPr>
        <w:t>Article 18</w:t>
      </w:r>
      <w:r>
        <w:rPr>
          <w:rFonts w:ascii="Times New Roman" w:cs="Times New Roman" w:eastAsia="Times New Roman" w:hAnsi="Times New Roman"/>
          <w:sz w:val="18"/>
          <w:szCs w:val="18"/>
          <w:color w:val="auto"/>
        </w:rPr>
        <w:t xml:space="preserve"> to the contrary, in no event shall Tenant remove any improvement from the Premises as to which Landlord contributed payment, including, without limitation, the Tenant Improvements made pursuant to the Work Letter without Landlord’s prior written consent, which consent Landlord may withhold in its sole and absolute discretion.</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18.10. With regard to any Alterations performed by Tenant, Tenant shall pay to Landlord an amount equal to five percent (5%) of the hard cost incurred by Tenant for all changes installed by Tenant or its contractors or agents to cover Landlord’s overhead and expenses for plan review, coordination, scheduling and supervision thereof. For purposes of payment of such sum, Tenant shall submit to Landlord copies of all bills, invoices and statements covering the costs of such charges, accompanied by payment to Landlord of the fee set forth in this Section. Tenant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471" w:name="page472"/>
    <w:bookmarkEnd w:id="471"/>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reimburse Landlord for any extra expenses incurred by Landlord by reason of faulty work done by Tenant or its contractors, or by reason of delays caused by such work, or by reason of inadequate clean-up.</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18.11. Within sixty (60) days after final completion of the Tenant Improvements (or any other Alterations performed by Tenant with respect to the Premises), Tenant shall submit to Landlord documentation showing the amounts expended by Tenant with respect to such Tenant Improvements (or any other Alterations performed by Tenant with respect to the Premises), together with supporting documentation reasonably acceptable to Landlord.</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18.12. Tenant shall require its contractors and subcontractors performing work on the Premises to name Landlord and its affiliates and lenders as additional insureds on their respective insurance policies.</w:t>
      </w:r>
    </w:p>
    <w:p>
      <w:pPr>
        <w:spacing w:after="0" w:line="162" w:lineRule="exact"/>
        <w:rPr>
          <w:sz w:val="20"/>
          <w:szCs w:val="20"/>
          <w:color w:val="auto"/>
        </w:rPr>
      </w:pPr>
    </w:p>
    <w:p>
      <w:pPr>
        <w:ind w:left="280" w:hanging="272"/>
        <w:spacing w:after="0"/>
        <w:tabs>
          <w:tab w:leader="none" w:pos="2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and Maintenance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19.1. Landlord shall repair and maintain the structural and exterior portions and Common Areas of the Building and the Project, including, without limitation, roofing and covering materials, foundations, exterior walls, plumbing, fire sprinkler systems (if any), heating, ventilating, air conditioning, elevators, the systems described in </w:t>
      </w:r>
      <w:r>
        <w:rPr>
          <w:rFonts w:ascii="Times New Roman" w:cs="Times New Roman" w:eastAsia="Times New Roman" w:hAnsi="Times New Roman"/>
          <w:sz w:val="18"/>
          <w:szCs w:val="18"/>
          <w:u w:val="single" w:color="auto"/>
          <w:color w:val="auto"/>
        </w:rPr>
        <w:t>Subsections 17.7(a)-(c)</w:t>
      </w:r>
      <w:r>
        <w:rPr>
          <w:rFonts w:ascii="Times New Roman" w:cs="Times New Roman" w:eastAsia="Times New Roman" w:hAnsi="Times New Roman"/>
          <w:sz w:val="18"/>
          <w:szCs w:val="18"/>
          <w:color w:val="auto"/>
        </w:rPr>
        <w:t xml:space="preserve"> from outside the Premises to the border of the Premises, and electrical systems installed or furnished by Landlord. Any costs related to the repair or maintenance activities specified in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shall be included as a part of Operating Expenses (subject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except to the extent such repairs or maintenance is required because of any act, neglect, fault or omissions of Tenant, its agents, servants, employees or invitees, in which case Tenant shall pay to Landlord the cost of such repairs and maintenance.</w:t>
      </w:r>
    </w:p>
    <w:p>
      <w:pPr>
        <w:spacing w:after="0" w:line="18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19.2. Except for services of Landlord, if any, required by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Tenant shall at Tenant’s sole cost and expense maintain and keep the Premises and every part thereof in good condition and repair, damage thereto from ordinary wear and tear excepted. Tenant shall, upon the expiration or sooner termination of the Term, surrender the Premises to Landlord in as good of a condition as when received, ordinary wear and tear excepted and subject to the provisions of this Lease regarding condemnation; and shall, at Landlord’s request, remove all telephone and data systems, wiring and equipment from the Premises, and repair any damage to the Premises caused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Tenant may instead terminate, cut and label both ends of any such wiring, in which case Tenant shall not be required to remove such wiring. Landlord shall have no obligation to alter, remodel, improve, repair, decorate or paint the Premises or any part thereof, other than pursuant to the terms and provisions of this Lease, including the Work Letter.</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19.3. Landlord shall not be liable for any failure to make any repairs or to perform any maintenance that is an obligation of Landlord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472" w:name="page473"/>
    <w:bookmarkEnd w:id="472"/>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19.4. Repairs under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xml:space="preserve"> that are obligations of Landlord are subject to allocation among Tenant and other tenants as Operating Expenses, except as otherwise provided in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19.5.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xml:space="preserve"> relates to repairs and maintenance arising in the ordinary course of operation of the Building and the Project and any related facilities. In the event of fire, earthquake, flood, vandalism, war, terrorism, natural disaster or similar cause of damage or destruction,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shall apply in lieu of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19.6. Subject to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if any excavation shall be made upon land adjacent to or under the Building, or shall be authorized to be made, Tenant shall afford to the person causing or authorized to cause such excavation, license to enter the Premises for the purpose of performing such work as said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80" w:lineRule="exact"/>
        <w:rPr>
          <w:sz w:val="20"/>
          <w:szCs w:val="20"/>
          <w:color w:val="auto"/>
        </w:rPr>
      </w:pPr>
    </w:p>
    <w:p>
      <w:pPr>
        <w:ind w:left="280" w:hanging="272"/>
        <w:spacing w:after="0"/>
        <w:tabs>
          <w:tab w:leader="none" w:pos="2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20.1. Subject to the immediately succeeding sentence, Tenant shall keep the Premises, the Building and the Project free from any liens arising out of work performed, materials furnished or obligations incurred by Tenant. Tenant further covenants and agrees that any mechanic’s lien filed against the Premises, the Building or the Project for work claimed to have been done for, or materials claimed to have been furnished to, shall be discharged or bonded by Tenant within ten (10) days after the filing thereof, at Tenant’s sole cost and expense.</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20.2. Should Tenant fail to discharge or bond against any lien of the nature described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Landlord may, at Landlord’s election, pay such claim or post a bond or otherwise provide security to eliminate the lien as a claim against title, and Tenant shall immediately reimburse Landlord for the costs thereof as Additional Rent.</w:t>
      </w:r>
    </w:p>
    <w:p>
      <w:pPr>
        <w:spacing w:after="0" w:line="176"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20.3.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Building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69" w:right="259" w:bottom="1440" w:gutter="0" w:footer="0" w:header="0"/>
        </w:sectPr>
      </w:pPr>
    </w:p>
    <w:bookmarkStart w:id="473" w:name="page474"/>
    <w:bookmarkEnd w:id="473"/>
    <w:p>
      <w:pPr>
        <w:ind w:right="40" w:firstLine="8"/>
        <w:spacing w:after="0" w:line="254" w:lineRule="auto"/>
        <w:tabs>
          <w:tab w:leader="none" w:pos="27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Estoppel Certificate</w:t>
      </w:r>
      <w:r>
        <w:rPr>
          <w:rFonts w:ascii="Times New Roman" w:cs="Times New Roman" w:eastAsia="Times New Roman" w:hAnsi="Times New Roman"/>
          <w:sz w:val="18"/>
          <w:szCs w:val="18"/>
          <w:color w:val="auto"/>
        </w:rPr>
        <w:t xml:space="preserve">. Tenant shall, within ten (10) business days of receipt of written notice from Landlord, execute, acknowledge and deliver a statement in writing substantially in the form attached to this Lease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or on any other form reasonably requested by a proposed lender, mortgagee or beneficiary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reasonably requested thereon. Any such statement may be relied upon by any prospective purchaser or encumbrancer of all or any portion of the real property of which the Premises are a part. Tenant’s failure to deliver such statement within the prescribed time shall, at Landlord’s option, constitute a Default (as defined below) under this Lease after expiration of applicable notice and cure periods and, in any event, shall be binding upon Tenant that the Lease is in full force and effect and without modification except as may be represented by Landlord in any certificate prepared by Landlord and delivered to Tenant for execution.</w:t>
      </w:r>
    </w:p>
    <w:p>
      <w:pPr>
        <w:spacing w:after="0" w:line="18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22.1. Tenant shall not cause or permit any Hazardous Materials (as defined below) to be brought upon, kept or used in or about the Premises, the Building or the Project in violation of Applicable Laws by Tenant, its agents, employees, contractors or invitees. If Tenant breaches such obligation, or if the presence of Hazardous Materials as a result of such a breach results in contamination of the Premises, the Building, the Project or any adjacent property, or if contamination of (a) the Building, the Project or any adjacent property by Hazardous Materials otherwise occurs during the Term or any extension or renewal hereof or holding over hereunder as a result of (i) the use of Hazardous Materials by or (ii)(A) the negligence or willful misconduct of, (B) violation of Applicable Laws by or (C) breach of this Lease by Tenant or its agents, employees, contractors or invitees, or (b) the Premises (other than as result of (i) the negligence or willful misconduct of Landlord or its agents, employees or contractors, (ii) Hazardous Materials that were present in the Premises prior to the respective Term Commencement Date or (iii) migration of contamination not caused by Tenant or its agents, employees, contractors or invitees from outside of the Premises) then Tenant shall indemnify, save, defend and hold Landlord, its agents and contractors harmless from and against any and all claims, judgments, damages, penalties, fines, costs, liabilities and losses (including, without limitation, diminution in value of the Premises, the Building, the Project or any portion thereof; damages for the loss or restriction on use of rentable or usable space or of any amenity of the Premises or Project; damages arising from any adverse impact on marketing of space in the Premises, the Building or the Project; and sums paid in settlement of claims, attorneys’ fees, consultants’ fees and experts’ fees) to the extent they arise during or after the Term as a result of such breach or contamination. This indemnification of Landlord by Tenant includes, without limitation, costs incurred in connection with any investigation of site conditions or any cleanup, remedial, removal or restoration work required by any Governmental Authority because of Hazardous Materials present in the air, soil or groundwater above, on or under the Premises. Without limiting the foregoing, if the presence of any Hazardous Materials in, on, under or about the Premises, the Building, the Project or any adjacent property caused (or permitted in the case</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269" w:right="299" w:bottom="1440" w:gutter="0" w:footer="0" w:header="0"/>
        </w:sectPr>
      </w:pPr>
    </w:p>
    <w:bookmarkStart w:id="474" w:name="page475"/>
    <w:bookmarkEnd w:id="47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Premises, other than as described in </w:t>
      </w:r>
      <w:r>
        <w:rPr>
          <w:rFonts w:ascii="Times New Roman" w:cs="Times New Roman" w:eastAsia="Times New Roman" w:hAnsi="Times New Roman"/>
          <w:sz w:val="18"/>
          <w:szCs w:val="18"/>
          <w:u w:val="single" w:color="auto"/>
          <w:color w:val="auto"/>
        </w:rPr>
        <w:t>Subsections 22.1(b)(i)-(iii)</w:t>
      </w:r>
      <w:r>
        <w:rPr>
          <w:rFonts w:ascii="Times New Roman" w:cs="Times New Roman" w:eastAsia="Times New Roman" w:hAnsi="Times New Roman"/>
          <w:sz w:val="18"/>
          <w:szCs w:val="18"/>
          <w:color w:val="auto"/>
        </w:rPr>
        <w:t xml:space="preserve">) by Tenant or its agents, employees, contractors or invitees results in any contamination of the Premises, the Building, the Project or any adjacent property, then Tenant shall promptly take all actions at its sole cost and expense as are necessary to return the Premises, the Building, the Project and any adjacent property to their respective condition existing prior to the time of such contamination;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Landlord’s written approval of such action shall first be obtained, which approval Landlord shall not unreasonably withhold;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it shall be reasonable for Landlord to withhold its consent if such actions could have a material adverse long-term or short-term effect on the Premises, the Building or the Project.</w:t>
      </w:r>
    </w:p>
    <w:p>
      <w:pPr>
        <w:spacing w:after="0" w:line="188" w:lineRule="exact"/>
        <w:rPr>
          <w:sz w:val="20"/>
          <w:szCs w:val="20"/>
          <w:color w:val="auto"/>
        </w:rPr>
      </w:pPr>
    </w:p>
    <w:p>
      <w:pPr>
        <w:ind w:right="40" w:firstLine="456"/>
        <w:spacing w:after="0" w:line="251" w:lineRule="auto"/>
        <w:rPr>
          <w:sz w:val="20"/>
          <w:szCs w:val="20"/>
          <w:color w:val="auto"/>
        </w:rPr>
      </w:pPr>
      <w:r>
        <w:rPr>
          <w:rFonts w:ascii="Times New Roman" w:cs="Times New Roman" w:eastAsia="Times New Roman" w:hAnsi="Times New Roman"/>
          <w:sz w:val="18"/>
          <w:szCs w:val="18"/>
          <w:color w:val="auto"/>
        </w:rPr>
        <w:t xml:space="preserve">22.2. Landlord acknowledges that it is not the intent of this </w:t>
      </w:r>
      <w:r>
        <w:rPr>
          <w:rFonts w:ascii="Times New Roman" w:cs="Times New Roman" w:eastAsia="Times New Roman" w:hAnsi="Times New Roman"/>
          <w:sz w:val="18"/>
          <w:szCs w:val="18"/>
          <w:u w:val="single" w:color="auto"/>
          <w:color w:val="auto"/>
        </w:rPr>
        <w:t>Article 22</w:t>
      </w:r>
      <w:r>
        <w:rPr>
          <w:rFonts w:ascii="Times New Roman" w:cs="Times New Roman" w:eastAsia="Times New Roman" w:hAnsi="Times New Roman"/>
          <w:sz w:val="18"/>
          <w:szCs w:val="18"/>
          <w:color w:val="auto"/>
        </w:rPr>
        <w:t xml:space="preserve"> to prohibit Tenant from operating its business as described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Tenant may operate its business according to the custom of Tenant’s industry so long as the use or presence of Hazardous Materials is strictly and properly monitored according to Applicable Laws. As a material inducement to Landlord to allow Tenant to use Hazardous Materials in connection with its business, Tenant agrees to deliver to Landlord prior to the Term Commencement Date a list identifying each type of Hazardous Material to be present on the Premises and setting forth any and all governmental approvals or permits required in connection with the presence of such Hazardous Material on the Premises (the “</w:t>
      </w:r>
      <w:r>
        <w:rPr>
          <w:rFonts w:ascii="Times New Roman" w:cs="Times New Roman" w:eastAsia="Times New Roman" w:hAnsi="Times New Roman"/>
          <w:sz w:val="18"/>
          <w:szCs w:val="18"/>
          <w:u w:val="single" w:color="auto"/>
          <w:color w:val="auto"/>
        </w:rPr>
        <w:t>Hazardous Materials List</w:t>
      </w:r>
      <w:r>
        <w:rPr>
          <w:rFonts w:ascii="Times New Roman" w:cs="Times New Roman" w:eastAsia="Times New Roman" w:hAnsi="Times New Roman"/>
          <w:sz w:val="18"/>
          <w:szCs w:val="18"/>
          <w:color w:val="auto"/>
        </w:rPr>
        <w:t>”). Tenant shall deliver to Landlord an updated Hazardous Materials List on or prior to each annual anniversary of the Term Commencement Date and shall also deliver an updated Hazardous Materials List before any new Hazardous Materials are brought onto the Premises by Tenant or its agents, employees, contractors or invitees. Tenant shall deliver to Landlord true and correct copies of the following documents (hereinafter referred to as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relating to the handling, storage, disposal and emission of Hazardous Materials prior to the Term Commencement Date or, if unavailable at that time, concurrent with the receipt from or submission to any Governmental Authority: permits; approvals; reports and correspondence; storage and management plans; notices of violations of Applicable Laws; plans relating to the installation of any storage tanks to be installed in or under the Premises, the Building or the Project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installation of storage tanks shall only be permitted after Landlord has given Tenant its written consent to do so, which consent Landlord may withhold in its sole and absolute discretion); and all closure plans or any other documents required by any and all Governmental Authorities for any storage tanks installed in, on or under the Premises, the Building or the Project by Tenant or its agents, employees, contractors or invitees for the closure of any such storage tanks. Tenant shall not be required, however, to provide Landlord with any portion of the Documents containing information of a proprietary nature that, in and of themselves, do not contain a reference to any Hazardous Materials or activities related to Hazardous Materials. Upon Landlord’s written request, Tenant agrees that it shall enter into a written agreement with other tenants of the Building and the Project concerning the equitable allocation of fire control areas (as defined in the Uniform Building Code as adopted by the city or municipality(ies) in which the Project is located (the “</w:t>
      </w:r>
      <w:r>
        <w:rPr>
          <w:rFonts w:ascii="Times New Roman" w:cs="Times New Roman" w:eastAsia="Times New Roman" w:hAnsi="Times New Roman"/>
          <w:sz w:val="18"/>
          <w:szCs w:val="18"/>
          <w:u w:val="single" w:color="auto"/>
          <w:color w:val="auto"/>
        </w:rPr>
        <w:t>UBC</w:t>
      </w:r>
      <w:r>
        <w:rPr>
          <w:rFonts w:ascii="Times New Roman" w:cs="Times New Roman" w:eastAsia="Times New Roman" w:hAnsi="Times New Roman"/>
          <w:sz w:val="18"/>
          <w:szCs w:val="18"/>
          <w:color w:val="auto"/>
        </w:rPr>
        <w:t xml:space="preserve">”)) within the Building and the Project for the storage of Hazardous Materials. In the event that Tenant’s use of Hazardous Materials is such that it utilizes fire control areas in the Building or the Project in excess of Tenant’s Pro Rata Share of the Building or the Project, as applicable,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Tenant agrees that it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and the Project is not greater than Tenant’s Pro Rata Share of the Building or the Project, as applicable.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475" w:name="page476"/>
    <w:bookmarkEnd w:id="475"/>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 Notwithstanding the provisions of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if (a) Tenant or any proposed transferee, assignee or sublessee of Tenant has been required by any prior landlord, Lender or Governmental Authority to undergo a material remedial action in connection with Hazardous Materials contaminating a property if the contamination resulted from such party’s action or omission or use of the property in question and such party has failed to timely commence such remedial action and prosecute the same to completion in accordance with its contractual requirements and Applicable Laws or (ii) Tenant or any proposed transferee, assignee or sublessee is subject to a material enforcement order issued by any Governmental Authority in connection with the use, disposal or storage of Hazardous Materials and is not complying with such order,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22.4. At any time, and from time to time, prior to the expiration of the Term, Landlord shall have the right to conduct appropriate tests of the Premises, the Building and the Project to demonstrate that Hazardous Materials are present or that contamination has occurred due to Tenant or Tenant’s agents, employees or invitees. Tenant shall pay all reasonable costs of such tests of the Premises if such tests reveal that Tenant has breached its obligations under this </w:t>
      </w:r>
      <w:r>
        <w:rPr>
          <w:rFonts w:ascii="Times New Roman" w:cs="Times New Roman" w:eastAsia="Times New Roman" w:hAnsi="Times New Roman"/>
          <w:sz w:val="18"/>
          <w:szCs w:val="18"/>
          <w:u w:val="single" w:color="auto"/>
          <w:color w:val="auto"/>
        </w:rPr>
        <w:t>Article 22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22.5. If underground or other storage tanks storing Hazardous Materials are placed on the Premises by Tenant, Tenant shall monitor the storage tanks, maintain appropriate records, implement reporting procedures, properly close any underground storage tanks, and take or cause to be taken all other steps necessary or required under the Applicable Laws,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22.6. Tenant’s obligations under this </w:t>
      </w:r>
      <w:r>
        <w:rPr>
          <w:rFonts w:ascii="Times New Roman" w:cs="Times New Roman" w:eastAsia="Times New Roman" w:hAnsi="Times New Roman"/>
          <w:sz w:val="18"/>
          <w:szCs w:val="18"/>
          <w:u w:val="single" w:color="auto"/>
          <w:color w:val="auto"/>
        </w:rPr>
        <w:t>Article 22</w:t>
      </w:r>
      <w:r>
        <w:rPr>
          <w:rFonts w:ascii="Times New Roman" w:cs="Times New Roman" w:eastAsia="Times New Roman" w:hAnsi="Times New Roman"/>
          <w:sz w:val="18"/>
          <w:szCs w:val="18"/>
          <w:color w:val="auto"/>
        </w:rPr>
        <w:t xml:space="preserve"> shall survive the expiration or earlier termination of the Lease. During any period of time needed by Tenant or Landlord after the termination of this Lease to complete the removal from the Premises of any such Hazardous Materials, Tenant shall continue to pay Rent in accordance with this Lease, which Rent shall be prorated daily.</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22.7. As used herein, the term “</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hazardous or toxic substance, material or waste that is or becomes regulated by any Governmental Authority, but shall not include office and janitorial supplies that Tenant uses in normal quantities and in accordance with Applicable Laws and this Lease for the conduct of its business in accordance with the Permitted Use.</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22.8. To Landlord’s knowledge, made without inquiry, (a) no Hazardous Material is present on the Property or the soil, surface water or groundwater in violation of Applicable Laws, except as may be set forth in the environmental report prepared by URS dated as of May 23, 2006, and the Baxter/Fremont Final Closure Report dated July 2007 prepared by Baxter BioScience, (b) no underground storage tanks are present on the Property and (c) no action,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476" w:name="page477"/>
    <w:bookmarkEnd w:id="476"/>
    <w:p>
      <w:pPr>
        <w:ind w:right="1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 or claim is pending or threatened regarding the Property concerning any Hazardous Material or pursuant to any environmental Applicable Law. Under no circumstance shall Tenant be liable for, and Landlord shall indemnify, defend, protect and hold harmless Tenant, its agents, contractors, stockholders, directors, successors, representatives and assigns from and against all Claims arising out of or in connection with any Hazardous Materials existing at, on or under the Property prior to the Execution Date to the extent not caused by Tenant or its agents, employees, contractors, subtenants or invitees. Tenant may engage, at its sole cost, an environmental consultant to conduct an environmental study in order to obtain a baseline of any pre-existing environmental conditions of the Property; provided that Landlord shall not be deemed to have affirmed any data or conclusions reported in such study.</w:t>
      </w:r>
    </w:p>
    <w:p>
      <w:pPr>
        <w:spacing w:after="0" w:line="174" w:lineRule="exact"/>
        <w:rPr>
          <w:sz w:val="20"/>
          <w:szCs w:val="20"/>
          <w:color w:val="auto"/>
        </w:rPr>
      </w:pPr>
    </w:p>
    <w:p>
      <w:pPr>
        <w:ind w:right="20" w:firstLine="8"/>
        <w:spacing w:after="0" w:line="261" w:lineRule="auto"/>
        <w:tabs>
          <w:tab w:leader="none" w:pos="27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Odors and Exhaust</w:t>
      </w:r>
      <w:r>
        <w:rPr>
          <w:rFonts w:ascii="Times New Roman" w:cs="Times New Roman" w:eastAsia="Times New Roman" w:hAnsi="Times New Roman"/>
          <w:sz w:val="18"/>
          <w:szCs w:val="18"/>
          <w:color w:val="auto"/>
        </w:rPr>
        <w:t>. Tenant acknowledges that Landlord would not enter into this Lease with Tenant unless Tenant assured Landlord that under no circumstances will any other occupants of the Building or Project (including persons legally present in any outdoor areas of the Project) be subjected to odors or fumes (whether or not noxious), and that the Building and Project will not be damaged by any exhaust, in each case from Tenant’s operations, including in Tenant’s vivarium. Landlord and Tenant therefore agree as follows:</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23.1. Tenant shall not cause or permit (or conduct any activities that would cause) any release of any odors or fumes of any kind from the Premises due to Tenant’s operations.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23.2.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reasonably determines that any existing ventilation system is inadequate, or if no ventilation system exists, Tenant shall in compliance with Applicable Laws vent all fumes and odors from the Premises (and remove odors from Tenant’s exhaust stream) as Landlord reasonably requires. The placement and configuration of all ventilation exhaust pipes, louvers and other equipment shall be subject to Landlord’s reasonable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23.3. Tenant shall, at Tenant’s sole cost and expense, provide odor eliminators and other devices (such as filters, air cleaners, scrubbers and whatever other equipment may in Landlord’s reasonable judgment be necessary or appropriate from time to time) to completely remove, eliminate and abate any odors, fumes or other substances in Tenant’s exhaust stream that, in Landlord’s reasonable judgment, emanate from Tenant’s Premises. Any work Tenant performs under this paragraph shall constitute Alterations.</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23.4. Tenant’s responsibility to remove, eliminate and abate odors, fumes and exhaust shall continue throughout the Term. Landlord’s approval of the Tenant Improvements shall not preclude Landlord from reasonably requiring additional measures to eliminate odors, fumes and other adverse impacts of Tenant’s exhaust stream (as Landlord may designate in Landlord’s reasonable discretion). Tenant shall install additional equipment as Landlord reasonably requires from time to time under the preceding sentence. Such installations shall constitute Alterations.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270" w:right="279" w:bottom="1440" w:gutter="0" w:footer="0" w:header="0"/>
        </w:sectPr>
      </w:pPr>
    </w:p>
    <w:bookmarkStart w:id="477" w:name="page478"/>
    <w:bookmarkEnd w:id="477"/>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23.5. If Tenant fails to install satisfactory odor control equipment within thirty (30) days after Landlord’s demand made at any time, then Landlord may, without limiting Landlord’s other rights and remedies, require Tenant to cease and suspend any operations in the Premises that, in Landlord’s reasonable determination, cause odors or fumes. For example, if Landlord determines that Tenant’s production of a certain type of product causes odors or fumes, and Tenant does not install satisfactory odor control equipment within thirty (30) days after Landlord’s request, then Landlord may require Tenant to stop producing such type of product in the Premises unless and until Tenant has installed odor control equipment satisfactory to Landlord.</w:t>
      </w:r>
    </w:p>
    <w:p>
      <w:pPr>
        <w:spacing w:after="0" w:line="184" w:lineRule="exact"/>
        <w:rPr>
          <w:sz w:val="20"/>
          <w:szCs w:val="20"/>
          <w:color w:val="auto"/>
        </w:rPr>
      </w:pPr>
    </w:p>
    <w:p>
      <w:pPr>
        <w:ind w:left="280" w:hanging="272"/>
        <w:spacing w:after="0"/>
        <w:tabs>
          <w:tab w:leader="none" w:pos="2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24.1. Landlord shall maintain insurance for the Building and the Project in amounts equal to full replacement cost (exclusive of the costs of excavation, foundations and footings, and without reference to depreciation taken by Landlord upon its books or tax returns),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workmen’s compensation insurance and fidelity bonds for employees employed to perform services. Notwithstanding the foregoing, Landlord may, but shall not be deemed required to, provide insurance for any improvements installed by Tenant, without regard to whether or not such are made a part of or are affixed to the Building.</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24.2. In addition, Landlord shall carry public liability insurance with a single limit of not less than One Million Dollars ($1,000,000) for death or bodily injury, or property damage with respect to the Project.</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24.3. Tenant shall, at its own cost and expense, procure and maintain in effect, beginning on the Term Commencement Date or the date of occupancy, whichever occurs first, and continuing throughout the Term (and occupancy by Tenant, if any, after termination of this Lease) comprehensive public liability insurance with limits of not less than Two Million Dollars ($2,000,000) per occurrence for death or bodily injury and not less than Two Million Dollars ($2,000,000) for property damage with respect to the Premises (including $100,000 fire legal liability (each loss)).</w:t>
      </w:r>
    </w:p>
    <w:p>
      <w:pPr>
        <w:spacing w:after="0" w:line="180" w:lineRule="exact"/>
        <w:rPr>
          <w:sz w:val="20"/>
          <w:szCs w:val="20"/>
          <w:color w:val="auto"/>
        </w:rPr>
      </w:pPr>
    </w:p>
    <w:p>
      <w:pPr>
        <w:ind w:right="60" w:firstLine="456"/>
        <w:spacing w:after="0" w:line="269" w:lineRule="auto"/>
        <w:rPr>
          <w:sz w:val="20"/>
          <w:szCs w:val="20"/>
          <w:color w:val="auto"/>
        </w:rPr>
      </w:pPr>
      <w:r>
        <w:rPr>
          <w:rFonts w:ascii="Times New Roman" w:cs="Times New Roman" w:eastAsia="Times New Roman" w:hAnsi="Times New Roman"/>
          <w:sz w:val="17"/>
          <w:szCs w:val="17"/>
          <w:color w:val="auto"/>
        </w:rPr>
        <w:t>24.4. The insurance required to be purchased and maintained by Tenant pursuant to this Lease shall name Landlord, BioMed Realty, L.P., BioMed Realty Trust, Inc., and their respective officers, employees, agents, general partners, members, subsidiaries, affiliates and Lenders (“</w:t>
      </w:r>
      <w:r>
        <w:rPr>
          <w:rFonts w:ascii="Times New Roman" w:cs="Times New Roman" w:eastAsia="Times New Roman" w:hAnsi="Times New Roman"/>
          <w:sz w:val="17"/>
          <w:szCs w:val="17"/>
          <w:u w:val="single" w:color="auto"/>
          <w:color w:val="auto"/>
        </w:rPr>
        <w:t>Landlord Parties</w:t>
      </w:r>
      <w:r>
        <w:rPr>
          <w:rFonts w:ascii="Times New Roman" w:cs="Times New Roman" w:eastAsia="Times New Roman" w:hAnsi="Times New Roman"/>
          <w:sz w:val="17"/>
          <w:szCs w:val="17"/>
          <w:color w:val="auto"/>
        </w:rPr>
        <w:t>”) as additional insureds. Said insurance shall be with companies having a rating of not less than policyholder rating of A- and financial category rating of at least Class IX in “Best’s Insurance Guide.” Tenant shall obtain for Landlord from the insurance companies or cause the insurance companies to furnish certificates of coverage to Landlord. No such policy shall be cancelable or subject to reduction of coverage or other modification or cancellation except after thirty</w:t>
      </w:r>
    </w:p>
    <w:p>
      <w:pPr>
        <w:spacing w:after="0" w:line="3" w:lineRule="exact"/>
        <w:rPr>
          <w:sz w:val="20"/>
          <w:szCs w:val="20"/>
          <w:color w:val="auto"/>
        </w:rPr>
      </w:pPr>
    </w:p>
    <w:p>
      <w:pPr>
        <w:ind w:right="120" w:firstLine="8"/>
        <w:spacing w:after="0" w:line="261" w:lineRule="auto"/>
        <w:tabs>
          <w:tab w:leader="none" w:pos="34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to Landlord from the insurer (except in the event of non-payment of premium, in which case ten (10) days written notice shall be given).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69" w:right="259" w:bottom="1440" w:gutter="0" w:footer="0" w:header="0"/>
        </w:sectPr>
      </w:pPr>
    </w:p>
    <w:bookmarkStart w:id="478" w:name="page479"/>
    <w:bookmarkEnd w:id="47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such policies shall be written as primary policies, not contributing with and not in excess of the coverage that Landlord may carry. Tenant’s policy may be a “blanket policy.” Tenant shall, at least five (5) days prior to the expiration of such policies, furnish Landlord with renewals or binders. Tenant agrees that if Tenant does not take out and maintain such insurance, Landlord may (but shall not be required to) procure said insurance on Tenant’s behalf and at its cost to be paid by Tenant as Additional Rent.</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24.5. Tenant assumes the risk of damage to any fixtures, goods, inventory, merchandise, equipment and leasehold improvements installed by Tenant,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24.6.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24.7. Notwithstanding anything to the contrary in this Lease, Landlord and Tenant each hereby waive any and all rights of recovery against the other or against the officers, directors, employees, agents and representatives of the other on account of loss or damage occasioned by such waiving party or its property or the property of others under such waiving party’s control, in each case to the extent that such loss or damage is insured against under any fire and extended coverage insurance policy that either Landlord or Tenant may have in force at the time of such loss or damage or is required to be insured against under this Lease. Such waivers shall continue so long as their respective insurers so permit. Any termination of such a waiver shall be by written notice to the other party, containing a description of the circumstances hereinafter set forth in this </w:t>
      </w:r>
      <w:r>
        <w:rPr>
          <w:rFonts w:ascii="Times New Roman" w:cs="Times New Roman" w:eastAsia="Times New Roman" w:hAnsi="Times New Roman"/>
          <w:sz w:val="18"/>
          <w:szCs w:val="18"/>
          <w:u w:val="single" w:color="auto"/>
          <w:color w:val="auto"/>
        </w:rPr>
        <w:t>Section 24.7</w:t>
      </w:r>
      <w:r>
        <w:rPr>
          <w:rFonts w:ascii="Times New Roman" w:cs="Times New Roman" w:eastAsia="Times New Roman" w:hAnsi="Times New Roman"/>
          <w:sz w:val="18"/>
          <w:szCs w:val="18"/>
          <w:color w:val="auto"/>
        </w:rPr>
        <w:t xml:space="preserve">. Landlord and Tenant, upon obtaining the policies of insurance required or permitted under this Lease, shall give notice to the insurance carrier or carriers that the foregoing mutual waiver of subrogation is contained in this Lease. Such waivers shall continue so long as their respective insurers permit. If such waivers are no longer permitted by an insurer, the following provisions shall apply. If such policies shall not be obtainable with such waiver or shall be so obtainable only at a premium over that chargeable without such waiver, then the party seeking such policy shall notify the other of such conditions, and the party so notified shall have ten (10) days thereafter to either (a) procure such insurance with companies reasonably satisfactory to the other party or (b) agree to pay such additional premium (in Tenant’s case, in the proportion that the area of the Premises bears to the insured area). If the parties do not accomplish either (a) or (b), then this </w:t>
      </w:r>
      <w:r>
        <w:rPr>
          <w:rFonts w:ascii="Times New Roman" w:cs="Times New Roman" w:eastAsia="Times New Roman" w:hAnsi="Times New Roman"/>
          <w:sz w:val="18"/>
          <w:szCs w:val="18"/>
          <w:u w:val="single" w:color="auto"/>
          <w:color w:val="auto"/>
        </w:rPr>
        <w:t>Section 24.7</w:t>
      </w:r>
      <w:r>
        <w:rPr>
          <w:rFonts w:ascii="Times New Roman" w:cs="Times New Roman" w:eastAsia="Times New Roman" w:hAnsi="Times New Roman"/>
          <w:sz w:val="18"/>
          <w:szCs w:val="18"/>
          <w:color w:val="auto"/>
        </w:rPr>
        <w:t xml:space="preserve"> shall have no effect during such time as such policies shall not be obtainable or the party in whose favor a waiver of subrogation is desired refuses to pay the additional premium. If such policies shall at any time be unobtainable, but shall be subsequently obtainable, then neither party shall be subsequently liable for a failure to obtain such insurance until a reasonable time after notification thereof by the other party. If the release of either Landlord or Tenant, as set forth in the first sentence of this </w:t>
      </w:r>
      <w:r>
        <w:rPr>
          <w:rFonts w:ascii="Times New Roman" w:cs="Times New Roman" w:eastAsia="Times New Roman" w:hAnsi="Times New Roman"/>
          <w:sz w:val="18"/>
          <w:szCs w:val="18"/>
          <w:u w:val="single" w:color="auto"/>
          <w:color w:val="auto"/>
        </w:rPr>
        <w:t>Section 24.7</w:t>
      </w:r>
      <w:r>
        <w:rPr>
          <w:rFonts w:ascii="Times New Roman" w:cs="Times New Roman" w:eastAsia="Times New Roman" w:hAnsi="Times New Roman"/>
          <w:sz w:val="18"/>
          <w:szCs w:val="18"/>
          <w:color w:val="auto"/>
        </w:rPr>
        <w:t>, shall contravene Applicable Laws, then the liability of the party in question shall be deemed not released but shall be secondary to the other party’s insurer.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69" w:right="259" w:bottom="1440" w:gutter="0" w:footer="0" w:header="0"/>
        </w:sectPr>
      </w:pPr>
    </w:p>
    <w:bookmarkStart w:id="479" w:name="page480"/>
    <w:bookmarkEnd w:id="47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24.8. Landlord may require insurance policy limits required under this Lease to be raised to conform with requirements of Landlord’s Lender.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24.9. Any costs incurred by Landlord pursuant to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shall constitute a portion of Operating Expenses, subject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 or Destruction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25.1. Landlord shall commence and proceed diligently with the work of repair, reconstruction and restoration of the Building or the Project, as applicable, and this Lease shall continue in full force and effect in the event of a partial destruction of the Building or the Project by fire or other perils covered by extended coverage insurance not exceeding twenty-five percent (25%) of the full insurable value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damage thereto is such that the Building or the Project may be repaired, reconstructed or restored within a period of twelve (12) months from the date of the happening of such casualty, (b) Landlord shall receive insurance proceeds sufficient to cover the cost of such repairs (except for any deductible amount provided by Landlord’s policy, which deductible amount, if paid by Landlord, shall constitute an Operating Expense (unless the casualty is an earthquake and this Lease is terminated due to such earthquake)), and (c) in the event of an earthquake, Tenant’s Pro Rata Share of Operating Expenses for the insurance deductible shall not exceed Two Hundred Thousand Dollars ($200,000) per occurrence.</w:t>
      </w:r>
    </w:p>
    <w:p>
      <w:pPr>
        <w:spacing w:after="0" w:line="18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25.2. In the event of any damage to or destruction of the Building or the Project other than as described in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 xml:space="preserve">, Landlord may elect to repair, reconstruct and restore the Building or the Project, as applicable, in which case this Lease shall continue in full force and effect and Landlord shall restore such damage as provided in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damage to the Property is minor (e.g., if the repair or restoration would cost less than ten percent (10%) of the replacement cost of the Property), Landlord shall restore such casualty damage as provided in </w:t>
      </w:r>
      <w:r>
        <w:rPr>
          <w:rFonts w:ascii="Times New Roman" w:cs="Times New Roman" w:eastAsia="Times New Roman" w:hAnsi="Times New Roman"/>
          <w:sz w:val="18"/>
          <w:szCs w:val="18"/>
          <w:u w:val="single" w:color="auto"/>
          <w:color w:val="auto"/>
        </w:rPr>
        <w:t>Subsection 25.1(a)</w:t>
      </w:r>
      <w:r>
        <w:rPr>
          <w:rFonts w:ascii="Times New Roman" w:cs="Times New Roman" w:eastAsia="Times New Roman" w:hAnsi="Times New Roman"/>
          <w:sz w:val="18"/>
          <w:szCs w:val="18"/>
          <w:color w:val="auto"/>
        </w:rPr>
        <w:t xml:space="preserve"> and (b) if Landlord actually restores such casualty damage, then Landlord shall not have the right to terminate this Lease. If Landlord elects not to repair the Building or the Project, as applicable, then this Lease shall terminate as of the date of such damage or destruction.</w:t>
      </w:r>
    </w:p>
    <w:p>
      <w:pPr>
        <w:spacing w:after="0" w:line="18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25.3. Landlord shall give written notice to Tenant within sixty (60) days following the date of damage or destruction of its election not to repair, reconstruct or restore the Building or the Project, as applicable.</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25.4. Upon any termination of this Lease under any of the provisions of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17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25.5. In the event of repair, reconstruction and restoration as provided in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all Base Rent and Operating Expenses to be paid by Tenant under this Lease shall be abated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0" w:right="279" w:bottom="1440" w:gutter="0" w:footer="0" w:header="0"/>
        </w:sectPr>
      </w:pPr>
    </w:p>
    <w:bookmarkStart w:id="480" w:name="page481"/>
    <w:bookmarkEnd w:id="48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proportionately based on the extent to which Tenant’s use of the Premises is impaired during the period of such repair, reconstruction or restoration, unless Landlord provides Tenant with other space during the period of repair that, in Tenant’s reasonable opinion, is suitable for the temporary conduct of Tenant’s business (in which case Base Rent and Operating Expenses shall be abated to the extent such substitute space is smaller than the Premises).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25.6. Notwithstanding anything to the contrary contained in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should Landlord be delayed or prevented from completing the repair, reconstruction or restoration of the damage or destruction to the Premises after the occurrence of such damage or destruction by Force Majeure, then the time for Landlord to commence or complete repairs shall be extended on a day-for-day basis. Notwithstanding the foregoing, if Landlord reasonably estimates that repair, reconstruction or restoration of the damage or destruction to the Premises will not be complete by the date that is twelve (12) months after the date of damage or destruction, Tenant may terminate this Lease by delivering written notice thereof to Landlord within five (5) days after Landlord delivers such estimate to Tenant, Tenant shall be released from any obligations under this Lease (except with regard to those provisions that, by their express terms, survive the expiration or earlier termination hereof).</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25.7. If Landlord is obligated to or elects to repair, reconstruct or restore as herein provided, then Landlord shall be obligated to make such repair, reconstruction or restoration only with regard to those portions of the Premises, the Building or the Project that were originally provided at Landlord’s expense. The repair, reconstruction or restoration of improvements not originally provided by Landlord or at Landlord’s expense shall be the obligation of Tenant. In the event Tenant has elected to upgrade certain improvements from the Building Standard (except as part of the Tenant Improvements), Landlord shall, upon the need for replacement due to an insured loss, provide only the Building Standard, except to the extent that excess insurance proceeds, if received, are adequate to provide such upgrades, in addition to providing for basic repair, reconstruction and restoration of the Premises, the Building and the Project.</w:t>
      </w:r>
    </w:p>
    <w:p>
      <w:pPr>
        <w:spacing w:after="0" w:line="189"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25.8. Notwithstanding anything to the contrary contained in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but subject to </w:t>
      </w:r>
      <w:r>
        <w:rPr>
          <w:rFonts w:ascii="Times New Roman" w:cs="Times New Roman" w:eastAsia="Times New Roman" w:hAnsi="Times New Roman"/>
          <w:sz w:val="18"/>
          <w:szCs w:val="18"/>
          <w:u w:val="single" w:color="auto"/>
          <w:color w:val="auto"/>
        </w:rPr>
        <w:t>Subsection 25.2(b)</w:t>
      </w:r>
      <w:r>
        <w:rPr>
          <w:rFonts w:ascii="Times New Roman" w:cs="Times New Roman" w:eastAsia="Times New Roman" w:hAnsi="Times New Roman"/>
          <w:sz w:val="18"/>
          <w:szCs w:val="18"/>
          <w:color w:val="auto"/>
        </w:rPr>
        <w:t xml:space="preserve">, Landlord shall not have any obligation whatsoever to repair, reconstruct or restore the Premises if material damage resulting from any casualty covered under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occurs during the last twenty-four (24) months of the Term or any extension hereof or immaterial damage resulting from any casualty covered under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occurs during the last six (6) months of the Term or any extension hereof or, or to the extent that insurance proceeds are not available therefor.</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25.9. Landlord’s obligation, should it elect or be obligated to repair or rebuild, shall be limited to the Property and the Building;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Tenant may, at its expense, replace or fully repair all of Tenant’s personal property installed by Tenant existing at the time of such damage or destruction;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in no event shall Landlord be required to replace or repair any of Tenant’s personal property. If the Property or the Building is to be repaired in accordance with the foregoing, Landlord shall make available to Tenant any portion of insurance proceeds it receives that are allocable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Tenant is not then in default under this Lease, and subject to the requirements of any Lender of Landlord.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270" w:right="299" w:bottom="1440" w:gutter="0" w:footer="0" w:header="0"/>
        </w:sectPr>
      </w:pPr>
    </w:p>
    <w:bookmarkStart w:id="481" w:name="page482"/>
    <w:bookmarkEnd w:id="481"/>
    <w:p>
      <w:pPr>
        <w:ind w:left="280" w:hanging="272"/>
        <w:spacing w:after="0"/>
        <w:tabs>
          <w:tab w:leader="none" w:pos="28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Eminent Domain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26.1. In the event the whole of the Premises, or such part thereof as shall substantially interfere with Tenant’s use and occupancy thereof,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said authority.</w:t>
      </w:r>
    </w:p>
    <w:p>
      <w:pPr>
        <w:spacing w:after="0" w:line="176"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26.2. In the event of a partial taking of the Building or the Project, or of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as of such taking if such taking is, in Landlord’s sole opinion, of a material nature such as to make it uneconomical to continue use of the unappropriated portion for purposes of renting office or laboratory space.</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26.3. Tenant shall be entitled to any award that is specifically awarded as compensation for (a) the taking of Tenant’s personal property that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installed at Tenant’s expense, (b) the costs of Tenant moving to a new location and (c) lost profits, goodwill and leasehold improvements paid for by Tenant.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in the previous sentence, any award for such taking shall be the property of Landlord.</w:t>
      </w:r>
    </w:p>
    <w:p>
      <w:pPr>
        <w:spacing w:after="0" w:line="20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26.4. lf, upon any taking of the nature described in this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this Lease continues in effect, then Landlord shall promptly proceed to restore the Premises, the Building and the Project, as applicable, to substantially their same condition prior to such partial taking. To the extent such restoration is feasible, as determined by Landlord in its reasonable discretion, the Rent shall be decreased proportionately to reflect the loss of any portion of the Premises no longer available to Tenant.</w:t>
      </w:r>
    </w:p>
    <w:p>
      <w:pPr>
        <w:spacing w:after="0" w:line="180" w:lineRule="exact"/>
        <w:rPr>
          <w:sz w:val="20"/>
          <w:szCs w:val="20"/>
          <w:color w:val="auto"/>
        </w:rPr>
      </w:pPr>
    </w:p>
    <w:p>
      <w:pPr>
        <w:ind w:left="280" w:hanging="272"/>
        <w:spacing w:after="0"/>
        <w:tabs>
          <w:tab w:leader="none" w:pos="28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27.1. At least five (5) business days prior to Tenant’s surrender of possession of any part of the Premises, Tenant shall provide Landlord with written evidence of all appropriate governmental closures obtained by Tenant in accordance with Applicable Laws, including, without limitation, laws pertaining to the surrender of the Premises. Tenant’s obligations under this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shall survive the expiration or earlier termination of the Lease.</w:t>
      </w:r>
    </w:p>
    <w:p>
      <w:pPr>
        <w:spacing w:after="0" w:line="176"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27.2. No surrender of possession of any part of the Premises shall release Tenant from any of its obligations hereunder, unless such surrender is accepted in writing by Landlord.</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27.3. The voluntary or other surrender of this Lease by Tenant shall not effect a merger with Landlord’s fee title or leasehold interest in the Premises, the Building or the Property, unless Landlord consents in writing, and shall, at Landlord’s option, operate as an assignment to Landlord of any or all subleases.</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27.4. The voluntary or other surrender of any ground or other underlying lease that now exists or may hereafter be executed affecting the Building or the Project, or a mutual cancellation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270" w:right="279" w:bottom="1440" w:gutter="0" w:footer="0" w:header="0"/>
        </w:sectPr>
      </w:pPr>
    </w:p>
    <w:bookmarkStart w:id="482" w:name="page483"/>
    <w:bookmarkEnd w:id="482"/>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76" w:lineRule="exact"/>
        <w:rPr>
          <w:sz w:val="20"/>
          <w:szCs w:val="20"/>
          <w:color w:val="auto"/>
        </w:rPr>
      </w:pPr>
    </w:p>
    <w:p>
      <w:pPr>
        <w:ind w:left="280" w:hanging="272"/>
        <w:spacing w:after="0"/>
        <w:tabs>
          <w:tab w:leader="none" w:pos="28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28.1.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(b) any amounts for which Tenant would otherwise be liable under this Lease if the Lease were still in effect, including, without limitation, payments for Tenant’s Op Ex Share of Operating Expenses. Any such month-to-month tenancy shall be subject to every other term, covenant and agreement contained herein.</w:t>
      </w:r>
    </w:p>
    <w:p>
      <w:pPr>
        <w:spacing w:after="0" w:line="184"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28.2. Notwithstanding the foregoing, if Tenant remains in possession of the Premises after the expiration or earlier termination of the Term without Landlord’s prior written consent, Tenant shall become a tenant at sufferance subject to the terms and conditions of this Lease, except that the monthly base rent shall be equal to one hundred fifty percent (150%) of the Base Rent in effect during the last thirty (30) days of the Term.</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28.3. Acceptance by Landlord of Rent after the expiration or earlier termination of the Term shall not result in an extension, renewal or reinstatement of this Lease.</w:t>
      </w:r>
    </w:p>
    <w:p>
      <w:pPr>
        <w:spacing w:after="0" w:line="162"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28.4. The foregoing provisions of this Article 28 are in addition to and do not affect Landlord’s right of reentry or any other rights of Landlord hereunder or as otherwise provided by Applicable Laws.</w:t>
      </w:r>
    </w:p>
    <w:p>
      <w:pPr>
        <w:spacing w:after="0" w:line="162" w:lineRule="exact"/>
        <w:rPr>
          <w:sz w:val="20"/>
          <w:szCs w:val="20"/>
          <w:color w:val="auto"/>
        </w:rPr>
      </w:pPr>
    </w:p>
    <w:p>
      <w:pPr>
        <w:ind w:left="280" w:hanging="272"/>
        <w:spacing w:after="0"/>
        <w:tabs>
          <w:tab w:leader="none" w:pos="28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Exculpation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29.1. Tenant agrees to indemnify, save, defend and hold Landlord harmless from and against any and all demands, claims, liabilities, losses, costs, expenses, actions, causes of action, damages or judgments, and all reasonable expenses (including, without limitation, reasonable attorneys’ fees, charges and disbursements) incurred in investigating or resisting the same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arising from injury or death to any person or damage to any property occurring within or about the Premises, the Building or the Property arising directly or indirectly out of Tenant’s or Tenant’s employees’, agents’ or guests’ use or occupancy of the Premises or a breach or default by Tenant in the performance of any of its obligations hereunder, except to the extent caused by Landlord’s willful misconduct or negligence or breach of this Lease.</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29.2. Notwithstanding any provision of </w:t>
      </w:r>
      <w:r>
        <w:rPr>
          <w:rFonts w:ascii="Times New Roman" w:cs="Times New Roman" w:eastAsia="Times New Roman" w:hAnsi="Times New Roman"/>
          <w:sz w:val="18"/>
          <w:szCs w:val="18"/>
          <w:u w:val="single" w:color="auto"/>
          <w:color w:val="auto"/>
        </w:rPr>
        <w:t>Section 29.1</w:t>
      </w:r>
      <w:r>
        <w:rPr>
          <w:rFonts w:ascii="Times New Roman" w:cs="Times New Roman" w:eastAsia="Times New Roman" w:hAnsi="Times New Roman"/>
          <w:sz w:val="18"/>
          <w:szCs w:val="18"/>
          <w:color w:val="auto"/>
        </w:rPr>
        <w:t xml:space="preserve"> to the contrary, Landlord shall not be liable to Tenant for, and Tenant assumes all risk of, damage to personal property or scientific research, including, without limitation, loss of records kept by Tenant within the Premises and damage or losses caused by fire, electrical malfunction, gas explosion or water damage of any type (including, without limitation, broken water lines, malfunctioning fire sprinkler systems, roof leaks or stoppages of lines), unless any such loss is due to Landlord’s gross negligence or willful disregard of written notice by Tenant of need for a repair that Landlord is responsible to make for an unreasonable period of time. Tenant further waives any claim for injury to Tenant’s business or loss of income relating to any such damage or destruction of personal property as described in this </w:t>
      </w:r>
      <w:r>
        <w:rPr>
          <w:rFonts w:ascii="Times New Roman" w:cs="Times New Roman" w:eastAsia="Times New Roman" w:hAnsi="Times New Roman"/>
          <w:sz w:val="18"/>
          <w:szCs w:val="18"/>
          <w:u w:val="single" w:color="auto"/>
          <w:color w:val="auto"/>
        </w:rPr>
        <w:t>Section 29.2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269" w:right="259" w:bottom="1440" w:gutter="0" w:footer="0" w:header="0"/>
        </w:sectPr>
      </w:pPr>
    </w:p>
    <w:bookmarkStart w:id="483" w:name="page484"/>
    <w:bookmarkEnd w:id="483"/>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29.3. Landlord shall not be liable for any damages arising from any act, omission or neglect of any other tenant in the Building or the Project, or of any other third party.</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29.4. Tenant acknowledges that security devices and services, if any, while intended to deter crime, may not in given instances prevent theft or other criminal acts. Landlord shall not be liable for injuries or losses caused by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29.5. The provisions of this </w:t>
      </w:r>
      <w:r>
        <w:rPr>
          <w:rFonts w:ascii="Times New Roman" w:cs="Times New Roman" w:eastAsia="Times New Roman" w:hAnsi="Times New Roman"/>
          <w:sz w:val="18"/>
          <w:szCs w:val="18"/>
          <w:u w:val="single" w:color="auto"/>
          <w:color w:val="auto"/>
        </w:rPr>
        <w:t>Article 29</w:t>
      </w:r>
      <w:r>
        <w:rPr>
          <w:rFonts w:ascii="Times New Roman" w:cs="Times New Roman" w:eastAsia="Times New Roman" w:hAnsi="Times New Roman"/>
          <w:sz w:val="18"/>
          <w:szCs w:val="18"/>
          <w:color w:val="auto"/>
        </w:rPr>
        <w:t xml:space="preserve"> shall survive the expiration or earlier termination of this Lease.</w:t>
      </w:r>
    </w:p>
    <w:p>
      <w:pPr>
        <w:spacing w:after="0" w:line="225" w:lineRule="exact"/>
        <w:rPr>
          <w:sz w:val="20"/>
          <w:szCs w:val="20"/>
          <w:color w:val="auto"/>
        </w:rPr>
      </w:pPr>
    </w:p>
    <w:p>
      <w:pPr>
        <w:ind w:left="280" w:hanging="272"/>
        <w:spacing w:after="0"/>
        <w:tabs>
          <w:tab w:leader="none" w:pos="2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Subletting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56"/>
        <w:spacing w:after="0" w:line="269" w:lineRule="auto"/>
        <w:rPr>
          <w:sz w:val="20"/>
          <w:szCs w:val="20"/>
          <w:color w:val="auto"/>
        </w:rPr>
      </w:pPr>
      <w:r>
        <w:rPr>
          <w:rFonts w:ascii="Times New Roman" w:cs="Times New Roman" w:eastAsia="Times New Roman" w:hAnsi="Times New Roman"/>
          <w:sz w:val="17"/>
          <w:szCs w:val="17"/>
          <w:color w:val="auto"/>
        </w:rPr>
        <w:t>30.1. Except as hereinafter expressly permitted, Tenant shall not, either voluntarily or by operation of Applicable Laws, directly or indirectly sell, hypothecate, assign, pledge, encumber or otherwise transfer this Lease, or sublet the Premises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without Landlord’s prior written consent, which consent Landlord may not unreasonably withhold, condition or delay. Tenant shall have the right to Transfer without Landlord’s prior written consent the Premises or any part hereof to any person that directly, or indirectly through one or more intermediaries, controls, is controlled by, or is under common control with Tenant; or any party that results from a merger, nonbankruptcy reorganization, government action, or consolidation of Tenant; or any party that acquires all or substantially all of the assets or stock of Tenant (a “</w:t>
      </w:r>
      <w:r>
        <w:rPr>
          <w:rFonts w:ascii="Times New Roman" w:cs="Times New Roman" w:eastAsia="Times New Roman" w:hAnsi="Times New Roman"/>
          <w:sz w:val="17"/>
          <w:szCs w:val="17"/>
          <w:u w:val="single" w:color="auto"/>
          <w:color w:val="auto"/>
        </w:rPr>
        <w:t>Tenant Affiliate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Tenant shall notify Landlord in writing at least fourteen</w:t>
      </w:r>
    </w:p>
    <w:p>
      <w:pPr>
        <w:jc w:val="both"/>
        <w:ind w:firstLine="8"/>
        <w:spacing w:after="0" w:line="265" w:lineRule="auto"/>
        <w:tabs>
          <w:tab w:leader="none" w:pos="345"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the effectiveness of such Transfer to a Tenant Affiliate (an “</w:t>
      </w:r>
      <w:r>
        <w:rPr>
          <w:rFonts w:ascii="Times New Roman" w:cs="Times New Roman" w:eastAsia="Times New Roman" w:hAnsi="Times New Roman"/>
          <w:sz w:val="17"/>
          <w:szCs w:val="17"/>
          <w:u w:val="single" w:color="auto"/>
          <w:color w:val="auto"/>
        </w:rPr>
        <w:t>Exempt Transfer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further, that an Exempt Transfer must be to an entity that has a financial strength equal or greater to that of Tenant as of the date of the proposed Exempt Transfer. A sale or transfer of Tenant’s capital stock shall not be deemed an assignment, subletting or any other transfer of this Lease or the Premises. For purposes of Exempt Transfers, “control” requires both</w:t>
      </w:r>
    </w:p>
    <w:p>
      <w:pPr>
        <w:ind w:right="6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owning (directly or indirectly) more than fifty percent (50%) of the stock or other equity interests of another person and (b) possessing, directly or indirectly, the power to direct or cause the direction of the management and policies of such person.</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30.2. In the event Tenant desires to effect a Transfer, then, at least twenty (20) but not more than ninety (90) days prior to the date when Tenant desires the assignment or sublease to be effective (the “</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Tenant shall provide written notice to Landlord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containing information (including references) naming the proposed transferee, assignee or sublessee; the Transfer Date; any ownership or commercial relationship between Tenant and the proposed transferee, assignee or sublessee; and the consideration and all other material terms and conditions of the proposed Transfer, all in such detail as Landlord shall reasonably require.</w:t>
      </w:r>
    </w:p>
    <w:p>
      <w:pPr>
        <w:spacing w:after="0" w:line="184"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30.3. Landlord, in determining whether consent should be given to a proposed Transfer, may give consideration to (a) the financial strength of such transferee, assignee or sublessee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69" w:right="239" w:bottom="1440" w:gutter="0" w:footer="0" w:header="0"/>
        </w:sectPr>
      </w:pPr>
    </w:p>
    <w:bookmarkStart w:id="484" w:name="page485"/>
    <w:bookmarkEnd w:id="48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Tenant remaining liable for Tenant’s performance), (b) any change in use that such transferee, assignee or sublessee proposes to make in the use of the Premises that is not a Permitted Use under this Lease and (c) Landlord’s desire to exercise its rights under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to cancel this Lease. In no event shall Landlord be deemed to be unreasonable for declining to consent to a Transfer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Times New Roman" w:cs="Times New Roman" w:eastAsia="Times New Roman" w:hAnsi="Times New Roman"/>
          <w:sz w:val="18"/>
          <w:szCs w:val="18"/>
          <w:u w:val="single" w:color="auto"/>
          <w:color w:val="auto"/>
        </w:rPr>
        <w:t>Revenue Code</w:t>
      </w:r>
      <w:r>
        <w:rPr>
          <w:rFonts w:ascii="Times New Roman" w:cs="Times New Roman" w:eastAsia="Times New Roman" w:hAnsi="Times New Roman"/>
          <w:sz w:val="18"/>
          <w:szCs w:val="18"/>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w:t>
      </w:r>
    </w:p>
    <w:p>
      <w:pPr>
        <w:spacing w:after="0" w:line="19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30.4. As conditions precedent to Tenant subleasing the Premises or to Landlord considering a request by Tenant to Tenant’s transfer of rights or sharing of the Premises, Landlord may require any or all of the following:</w:t>
      </w:r>
    </w:p>
    <w:p>
      <w:pPr>
        <w:spacing w:after="0" w:line="162" w:lineRule="exact"/>
        <w:rPr>
          <w:sz w:val="20"/>
          <w:szCs w:val="20"/>
          <w:color w:val="auto"/>
        </w:rPr>
      </w:pPr>
    </w:p>
    <w:p>
      <w:pPr>
        <w:ind w:left="1160" w:hanging="239"/>
        <w:spacing w:after="0"/>
        <w:tabs>
          <w:tab w:leader="none" w:pos="11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remain fully liable under this Lease during the unexpired Term;</w:t>
      </w:r>
    </w:p>
    <w:p>
      <w:pPr>
        <w:spacing w:after="0" w:line="225" w:lineRule="exact"/>
        <w:rPr>
          <w:rFonts w:ascii="Times New Roman" w:cs="Times New Roman" w:eastAsia="Times New Roman" w:hAnsi="Times New Roman"/>
          <w:sz w:val="18"/>
          <w:szCs w:val="18"/>
          <w:color w:val="auto"/>
        </w:rPr>
      </w:pPr>
    </w:p>
    <w:p>
      <w:pPr>
        <w:ind w:right="300" w:firstLine="921"/>
        <w:spacing w:after="0" w:line="282" w:lineRule="auto"/>
        <w:tabs>
          <w:tab w:leader="none" w:pos="116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provide Landlord with evidence reasonably satisfactory to Landlord respecting the relevant business experience and financial responsibility and status of the proposed transferee, assignee or sublessee;</w:t>
      </w:r>
    </w:p>
    <w:p>
      <w:pPr>
        <w:spacing w:after="0" w:line="161" w:lineRule="exact"/>
        <w:rPr>
          <w:rFonts w:ascii="Times New Roman" w:cs="Times New Roman" w:eastAsia="Times New Roman" w:hAnsi="Times New Roman"/>
          <w:sz w:val="18"/>
          <w:szCs w:val="18"/>
          <w:color w:val="auto"/>
        </w:rPr>
      </w:pPr>
    </w:p>
    <w:p>
      <w:pPr>
        <w:ind w:right="40" w:firstLine="921"/>
        <w:spacing w:after="0" w:line="266" w:lineRule="auto"/>
        <w:tabs>
          <w:tab w:leader="none" w:pos="115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reimburse Landlord for Landlord’s actual costs and expenses, including, without limitation, reasonable attorneys’ fees, charges and disbursements incurred in connection with the review, processing and documentation of such request (not to exceed Two Thousand Five Hundred Dollars ($2,500) in any one instance);</w:t>
      </w:r>
    </w:p>
    <w:p>
      <w:pPr>
        <w:spacing w:after="0" w:line="176" w:lineRule="exact"/>
        <w:rPr>
          <w:rFonts w:ascii="Times New Roman" w:cs="Times New Roman" w:eastAsia="Times New Roman" w:hAnsi="Times New Roman"/>
          <w:sz w:val="18"/>
          <w:szCs w:val="18"/>
          <w:color w:val="auto"/>
        </w:rPr>
      </w:pPr>
    </w:p>
    <w:p>
      <w:pPr>
        <w:ind w:firstLine="921"/>
        <w:spacing w:after="0" w:line="261" w:lineRule="auto"/>
        <w:tabs>
          <w:tab w:leader="none" w:pos="116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Tenant’s transfer of rights or sharing of the Premises (other than to a Tenant Affiliate) provides for the receipt by, on behalf of or on account of Tenant of any consideration of any kind whatsoever (including, without limitation,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as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0" w:right="239" w:bottom="1440" w:gutter="0" w:footer="0" w:header="0"/>
        </w:sectPr>
      </w:pPr>
    </w:p>
    <w:bookmarkStart w:id="485" w:name="page486"/>
    <w:bookmarkEnd w:id="48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received, after deductions for any transaction costs incurred by Tenant, including marketing expenses, tenant improvement allowances actually provided by Tenant, alterations, cash concessions, brokerage commissions, attorneys’ fees and free rent. If said consideration consists of cash paid to Tenant, payment to Landlord shall be made upon receipt by Tenant of such cash payment;</w:t>
      </w:r>
    </w:p>
    <w:p>
      <w:pPr>
        <w:spacing w:after="0" w:line="176" w:lineRule="exact"/>
        <w:rPr>
          <w:sz w:val="20"/>
          <w:szCs w:val="20"/>
          <w:color w:val="auto"/>
        </w:rPr>
      </w:pPr>
    </w:p>
    <w:p>
      <w:pPr>
        <w:ind w:right="60" w:firstLine="921"/>
        <w:spacing w:after="0" w:line="256" w:lineRule="auto"/>
        <w:tabs>
          <w:tab w:leader="none" w:pos="115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Landlord or its Lenders, successors or assigns be obligated to accept such attornment;</w:t>
      </w:r>
    </w:p>
    <w:p>
      <w:pPr>
        <w:spacing w:after="0" w:line="187"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to any such Transfer shall be effected on Landlord’s reasonable forms;</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then be in default hereunder in any respect;</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proposed transferee, assignee or sublessee’s use of the Premises shall be the same as the Permitted Use;</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bound by any provision of any agreement pertaining to the Transfer, except for Landlord’s written consent to the same;</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all transfer and other taxes (including interest and penalties) assessed or payable for any Transfer;</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(or waiver of its rights) for any Transfer shall not waive Landlord’s right to consent to any later Transfer;</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deliver to Landlord one executed copy of any and all written instruments evidencing or relating to the Transfer; and</w:t>
      </w:r>
    </w:p>
    <w:p>
      <w:pPr>
        <w:spacing w:after="0" w:line="225" w:lineRule="exact"/>
        <w:rPr>
          <w:rFonts w:ascii="Times New Roman" w:cs="Times New Roman" w:eastAsia="Times New Roman" w:hAnsi="Times New Roman"/>
          <w:sz w:val="18"/>
          <w:szCs w:val="18"/>
          <w:color w:val="auto"/>
        </w:rPr>
      </w:pPr>
    </w:p>
    <w:p>
      <w:pPr>
        <w:ind w:right="60" w:firstLine="921"/>
        <w:spacing w:after="0" w:line="261" w:lineRule="auto"/>
        <w:tabs>
          <w:tab w:leader="none" w:pos="121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list of Hazardous Materials (as defined in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30.5. Any Transfer that is not in compliance with the provisions of this Article 30 shall be void and shall, at the option of Landlord, terminate this Lease.</w:t>
      </w:r>
    </w:p>
    <w:p>
      <w:pPr>
        <w:spacing w:after="0" w:line="162"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30.6. The consent by Landlord to a Transfer shall not relieve Tenant or proposed transferee, assignee or sublessee from obtaining Landlord’s consent to any further Transfer, nor shall it release Tenant or any proposed transferee, assignee or sublessee of Tenant from full and primary liability under this Lease.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486" w:name="page487"/>
    <w:bookmarkEnd w:id="486"/>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30.7.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30.8. [Intentionally omitted]</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30.9. If Tenant sublets the Premises or any portion thereof, Tenant hereby immediately and irrevocably assigns to Landlord, as security for Tenant’s obligations under this Lease, all rent from any such subletting, and appoints Landlord as assignee for Tenant, and Landlord (or a receiver for Tenant appointed on Landlord’s application) may collect such rent and apply it toward Tenant’s obligations under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occurrence of a Default (as defined below) by Tenant, Tenant shall have the right to collect such rent.</w:t>
      </w:r>
    </w:p>
    <w:p>
      <w:pPr>
        <w:spacing w:after="0" w:line="180" w:lineRule="exact"/>
        <w:rPr>
          <w:sz w:val="20"/>
          <w:szCs w:val="20"/>
          <w:color w:val="auto"/>
        </w:rPr>
      </w:pPr>
    </w:p>
    <w:p>
      <w:pPr>
        <w:ind w:left="280" w:hanging="272"/>
        <w:spacing w:after="0"/>
        <w:tabs>
          <w:tab w:leader="none" w:pos="28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and Attornment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31.1.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 The subordination of this Lease to a ground lease or instrument of security shall be conditioned upon Tenant’s receipt from any such ground lessors or lenders of a written agreement in form reasonably satisfactory to Tenant providing for recognition of Tenant’s interest under this Lease in the event of the termination of the ground lease or of a foreclosure of lender’s security interest, as applicable.</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31.2. Notwithstanding the foregoing, Tenant shall execute and deliver upon demand such further commercially reasonable instrument or instruments evidencing such subordination of this Lease to the lien of any such mortgage or mortgages or deeds of trust or lease in which Landlord is tenant as may be required by Landlord. If any such mortgagee, beneficiary or landlord under a lease wherein Landlord is tenant (each, a “</w:t>
      </w:r>
      <w:r>
        <w:rPr>
          <w:rFonts w:ascii="Times New Roman" w:cs="Times New Roman" w:eastAsia="Times New Roman" w:hAnsi="Times New Roman"/>
          <w:sz w:val="18"/>
          <w:szCs w:val="18"/>
          <w:u w:val="single" w:color="auto"/>
          <w:color w:val="auto"/>
        </w:rPr>
        <w:t>Mortgagee</w:t>
      </w:r>
      <w:r>
        <w:rPr>
          <w:rFonts w:ascii="Times New Roman" w:cs="Times New Roman" w:eastAsia="Times New Roman" w:hAnsi="Times New Roman"/>
          <w:sz w:val="18"/>
          <w:szCs w:val="18"/>
          <w:color w:val="auto"/>
        </w:rPr>
        <w:t>”)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(10) days after written request therefor, Tenant hereby constitutes and appoints Landlord or its special attorney-in-fact to execute and deliver any such document or documents in the name of Tenant. Such power is coupled with an interest and is irrevocable.</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31.3. Upon written request of Landlord and opportunity for Tenant to review, Tenant agrees to execute any Lease amendments not materially altering the terms of this Lease, if required by a mortgagee or beneficiary of a deed of trust encumbering real property of which the Premises constitute a part incident to the financing of the real property of which the Premises constitute a part. Any change affecting the amount or timing of the consideration to be paid by Tenant or modifying the Term shall be deemed as materially altering the terms 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270" w:right="259" w:bottom="1440" w:gutter="0" w:footer="0" w:header="0"/>
        </w:sectPr>
      </w:pPr>
    </w:p>
    <w:bookmarkStart w:id="487" w:name="page488"/>
    <w:bookmarkEnd w:id="487"/>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76" w:lineRule="exact"/>
        <w:rPr>
          <w:sz w:val="20"/>
          <w:szCs w:val="20"/>
          <w:color w:val="auto"/>
        </w:rPr>
      </w:pPr>
    </w:p>
    <w:p>
      <w:pPr>
        <w:ind w:left="280" w:hanging="272"/>
        <w:spacing w:after="0"/>
        <w:tabs>
          <w:tab w:leader="none" w:pos="28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32.1. Late payment by Tenant to Landlord of Rent and other sums due shall cause Landlord to incur costs not contemplated by this Lease, the exact amount of which shall be extremely difficult and impracticable to ascertain. Such costs include, but are not limited to, processing and accounting charges and late charges that may be imposed on Landlord by the terms of any mortgage or trust deed covering the Premises. Therefore, if any installment of Rent due from Tenant is not received by Landlord within five (5) days after the date such payment is due, Tenant shall pay to Landlord an additional sum of five percent (5%) of the overdue Rent as a late charge. The parties agree that this late charge represents a fair and reasonable estimate of the costs that Landlord shall incur by reason of late payment by Tenant.</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32.2.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32.3. If Tenant fails to pay any sum of money required to be paid by it hereunder, or shall fail to perform any other act on its part to be performed hereunder, in each case within applicable notice and cure periods, Landlord may, without waiving or releasing Tenant from any obligations of Tenant, but shall not be obligated to, make such payment or perform such act. Notwithstanding the foregoing, in the event of an emergency, Landlord shall have the right to enter the Premises and act in accordance with its rights as provided elsewhere in this Lease. In addition to the late charge described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Tenant shall pay to Landlord as Additional Rent all sums so paid or incurred by Landlord, together with interest thereon, from the date such sums were paid or incurred, at the annual rate equal to twelve percent (12%) per annum or the highest rate permitted by Applicable Laws, whichever is less.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32.4. The occurrence of any one or more of the following events shall constitute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hereunder by Tenant: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The abandonment of the Premises by Tenant;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269" w:right="259" w:bottom="1440" w:gutter="0" w:footer="0" w:header="0"/>
        </w:sectPr>
      </w:pPr>
    </w:p>
    <w:bookmarkStart w:id="488" w:name="page489"/>
    <w:bookmarkEnd w:id="488"/>
    <w:p>
      <w:pPr>
        <w:ind w:right="180" w:firstLine="921"/>
        <w:spacing w:after="0" w:line="282" w:lineRule="auto"/>
        <w:tabs>
          <w:tab w:leader="none" w:pos="1168"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failure by Tenant to make any payment of Rent, as and when due, or to satisfy its obligations under </w:t>
      </w:r>
      <w:r>
        <w:rPr>
          <w:rFonts w:ascii="Times New Roman" w:cs="Times New Roman" w:eastAsia="Times New Roman" w:hAnsi="Times New Roman"/>
          <w:sz w:val="18"/>
          <w:szCs w:val="18"/>
          <w:u w:val="single" w:color="auto"/>
          <w:color w:val="auto"/>
        </w:rPr>
        <w:t>Article 20</w:t>
      </w:r>
      <w:r>
        <w:rPr>
          <w:rFonts w:ascii="Times New Roman" w:cs="Times New Roman" w:eastAsia="Times New Roman" w:hAnsi="Times New Roman"/>
          <w:sz w:val="18"/>
          <w:szCs w:val="18"/>
          <w:color w:val="auto"/>
        </w:rPr>
        <w:t>, where such failure shall continue for a period of five (5) days after written notice thereof from Landlord to Tenant;</w:t>
      </w:r>
    </w:p>
    <w:p>
      <w:pPr>
        <w:spacing w:after="0" w:line="161" w:lineRule="exact"/>
        <w:rPr>
          <w:rFonts w:ascii="Times New Roman" w:cs="Times New Roman" w:eastAsia="Times New Roman" w:hAnsi="Times New Roman"/>
          <w:sz w:val="18"/>
          <w:szCs w:val="18"/>
          <w:color w:val="auto"/>
        </w:rPr>
      </w:pPr>
    </w:p>
    <w:p>
      <w:pPr>
        <w:ind w:right="40" w:firstLine="921"/>
        <w:spacing w:after="0" w:line="255" w:lineRule="auto"/>
        <w:tabs>
          <w:tab w:leader="none" w:pos="1158"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by Tenant to observe or perform any obligation or covenant contained herein (other than described in </w:t>
      </w:r>
      <w:r>
        <w:rPr>
          <w:rFonts w:ascii="Times New Roman" w:cs="Times New Roman" w:eastAsia="Times New Roman" w:hAnsi="Times New Roman"/>
          <w:sz w:val="18"/>
          <w:szCs w:val="18"/>
          <w:u w:val="single" w:color="auto"/>
          <w:color w:val="auto"/>
        </w:rPr>
        <w:t>Subsections 32.4(a)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32.4(h)</w:t>
      </w:r>
      <w:r>
        <w:rPr>
          <w:rFonts w:ascii="Times New Roman" w:cs="Times New Roman" w:eastAsia="Times New Roman" w:hAnsi="Times New Roman"/>
          <w:sz w:val="18"/>
          <w:szCs w:val="18"/>
          <w:color w:val="auto"/>
        </w:rPr>
        <w:t xml:space="preserve">) to be performed by Tenant, where such failure shall continue for a period of ten (10) days after written notice thereof from Landlord to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nature of Tenant’s default is such that it reasonably requires more than ten (10) days to cure, Tenant shall not be deemed to be in Default if Tenant shall commence such cure (for the sake of clarity, Tenant (i) scheduling a qualified contractor or vendor to visit the Premises or (ii) requesting a proposal from a qualified contractor or vendor shall constitute commencement of a cure for purposes of this </w:t>
      </w:r>
      <w:r>
        <w:rPr>
          <w:rFonts w:ascii="Times New Roman" w:cs="Times New Roman" w:eastAsia="Times New Roman" w:hAnsi="Times New Roman"/>
          <w:sz w:val="18"/>
          <w:szCs w:val="18"/>
          <w:u w:val="single" w:color="auto"/>
          <w:color w:val="auto"/>
        </w:rPr>
        <w:t>Section 32.4(c)</w:t>
      </w:r>
      <w:r>
        <w:rPr>
          <w:rFonts w:ascii="Times New Roman" w:cs="Times New Roman" w:eastAsia="Times New Roman" w:hAnsi="Times New Roman"/>
          <w:sz w:val="18"/>
          <w:szCs w:val="18"/>
          <w:color w:val="auto"/>
        </w:rPr>
        <w:t xml:space="preserve">) within said ten (10) day period and thereafter diligently prosecute the same to completion;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such cure is completed no later than sixty (60) days from the date of Tenant’s receipt of written notice from Landlord;</w:t>
      </w:r>
    </w:p>
    <w:p>
      <w:pPr>
        <w:spacing w:after="0" w:line="18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makes an assignment for the benefit of creditors;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trustee or custodian is appointed to or does take title, possession or control of all or substantially all of Tenant’s assets;</w:t>
      </w:r>
    </w:p>
    <w:p>
      <w:pPr>
        <w:spacing w:after="0" w:line="225" w:lineRule="exact"/>
        <w:rPr>
          <w:rFonts w:ascii="Times New Roman" w:cs="Times New Roman" w:eastAsia="Times New Roman" w:hAnsi="Times New Roman"/>
          <w:sz w:val="18"/>
          <w:szCs w:val="18"/>
          <w:color w:val="auto"/>
        </w:rPr>
      </w:pPr>
    </w:p>
    <w:p>
      <w:pPr>
        <w:jc w:val="both"/>
        <w:ind w:right="20" w:firstLine="921"/>
        <w:spacing w:after="0" w:line="266" w:lineRule="auto"/>
        <w:tabs>
          <w:tab w:leader="none" w:pos="1138"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files a voluntary petition under the United States Bankruptcy Code or any successor statute (as the same may be amended from time to time,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 order for relief is entered against Tenant pursuant to a voluntary or involuntary proceeding commenced under any chapter of the Bankruptcy Code;</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petition if filed against Tenant under any chapter of the Bankruptcy Code and is not dismissed within one hundred twenty</w:t>
      </w:r>
    </w:p>
    <w:p>
      <w:pPr>
        <w:spacing w:after="0" w:line="2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w:t>
      </w:r>
    </w:p>
    <w:p>
      <w:pPr>
        <w:spacing w:after="0" w:line="20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Failure to deliver an estoppel certificate in accordance with </w:t>
      </w:r>
      <w:r>
        <w:rPr>
          <w:rFonts w:ascii="Times New Roman" w:cs="Times New Roman" w:eastAsia="Times New Roman" w:hAnsi="Times New Roman"/>
          <w:sz w:val="17"/>
          <w:szCs w:val="17"/>
          <w:u w:val="single" w:color="auto"/>
          <w:color w:val="auto"/>
        </w:rPr>
        <w:t>Article 21</w:t>
      </w:r>
      <w:r>
        <w:rPr>
          <w:rFonts w:ascii="Times New Roman" w:cs="Times New Roman" w:eastAsia="Times New Roman" w:hAnsi="Times New Roman"/>
          <w:sz w:val="17"/>
          <w:szCs w:val="17"/>
          <w:color w:val="auto"/>
        </w:rPr>
        <w:t xml:space="preserve"> within three (3) business days after Tenant’s receipt of written notice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failure; or</w:t>
      </w:r>
    </w:p>
    <w:p>
      <w:pPr>
        <w:spacing w:after="0" w:line="206" w:lineRule="exact"/>
        <w:rPr>
          <w:rFonts w:ascii="Times New Roman" w:cs="Times New Roman" w:eastAsia="Times New Roman" w:hAnsi="Times New Roman"/>
          <w:sz w:val="17"/>
          <w:szCs w:val="17"/>
          <w:color w:val="auto"/>
        </w:rPr>
      </w:pPr>
    </w:p>
    <w:p>
      <w:pPr>
        <w:ind w:right="340" w:firstLine="921"/>
        <w:spacing w:after="0" w:line="282" w:lineRule="auto"/>
        <w:tabs>
          <w:tab w:leader="none" w:pos="1128"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interest in this Lease is attached, executed upon or otherwise judicially seized and such action is not released within one hundred twenty (120) days of the action.</w:t>
      </w:r>
    </w:p>
    <w:p>
      <w:pPr>
        <w:spacing w:after="0" w:line="162"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Notices given under this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32.5. In the event of a Default by Tenant, and at any time thereafter, with or without notice or demand and without limiting Landlord in the exercise of any right or remedy that Landlord may have, Landlord shall be entitled to terminate Tenant’s right to possession of the Premises by any lawful means, in which case this Lease shall terminate and Tenant shall immediately surrender possession of the Premises to Landlord. In such event, Landlord shall have the immediate right to re-enter and remove all persons and property, and such property may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270" w:right="259" w:bottom="1440" w:gutter="0" w:footer="0" w:header="0"/>
        </w:sectPr>
      </w:pPr>
    </w:p>
    <w:bookmarkStart w:id="489" w:name="page490"/>
    <w:bookmarkEnd w:id="48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without limitation:</w:t>
      </w:r>
    </w:p>
    <w:p>
      <w:pPr>
        <w:spacing w:after="0" w:line="180" w:lineRule="exact"/>
        <w:rPr>
          <w:sz w:val="20"/>
          <w:szCs w:val="20"/>
          <w:color w:val="auto"/>
        </w:rPr>
      </w:pPr>
    </w:p>
    <w:p>
      <w:pPr>
        <w:ind w:left="1160" w:hanging="239"/>
        <w:spacing w:after="0"/>
        <w:tabs>
          <w:tab w:leader="none" w:pos="116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any unpaid Rent that had accrued at the time of such termination; plus</w:t>
      </w:r>
    </w:p>
    <w:p>
      <w:pPr>
        <w:spacing w:after="0" w:line="225" w:lineRule="exact"/>
        <w:rPr>
          <w:rFonts w:ascii="Times New Roman" w:cs="Times New Roman" w:eastAsia="Times New Roman" w:hAnsi="Times New Roman"/>
          <w:sz w:val="18"/>
          <w:szCs w:val="18"/>
          <w:color w:val="auto"/>
        </w:rPr>
      </w:pPr>
    </w:p>
    <w:p>
      <w:pPr>
        <w:ind w:right="280" w:firstLine="921"/>
        <w:spacing w:after="0" w:line="266" w:lineRule="auto"/>
        <w:tabs>
          <w:tab w:leader="none" w:pos="1168"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could have been reasonably avoided; plus</w:t>
      </w:r>
    </w:p>
    <w:p>
      <w:pPr>
        <w:spacing w:after="0" w:line="176" w:lineRule="exact"/>
        <w:rPr>
          <w:rFonts w:ascii="Times New Roman" w:cs="Times New Roman" w:eastAsia="Times New Roman" w:hAnsi="Times New Roman"/>
          <w:sz w:val="18"/>
          <w:szCs w:val="18"/>
          <w:color w:val="auto"/>
        </w:rPr>
      </w:pPr>
    </w:p>
    <w:p>
      <w:pPr>
        <w:ind w:right="480" w:firstLine="921"/>
        <w:spacing w:after="0" w:line="282" w:lineRule="auto"/>
        <w:tabs>
          <w:tab w:leader="none" w:pos="1158"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Term after the time of award exceeds that portion of the loss of Landlord’s rental income from the Premises that Tenant proves could have been reasonably avoided; plus</w:t>
      </w:r>
    </w:p>
    <w:p>
      <w:pPr>
        <w:spacing w:after="0" w:line="161" w:lineRule="exact"/>
        <w:rPr>
          <w:rFonts w:ascii="Times New Roman" w:cs="Times New Roman" w:eastAsia="Times New Roman" w:hAnsi="Times New Roman"/>
          <w:sz w:val="18"/>
          <w:szCs w:val="18"/>
          <w:color w:val="auto"/>
        </w:rPr>
      </w:pPr>
    </w:p>
    <w:p>
      <w:pPr>
        <w:ind w:right="380" w:firstLine="921"/>
        <w:spacing w:after="0" w:line="266" w:lineRule="auto"/>
        <w:tabs>
          <w:tab w:leader="none" w:pos="1158"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caused by Tenant’s failure to perform its obligations under this Lease or that in the ordinary course of things would be likely to result therefrom, including, without limitation, the cost of restoring the Premises to the condition required under the terms of this Lease; plus</w:t>
      </w:r>
    </w:p>
    <w:p>
      <w:pPr>
        <w:spacing w:after="0" w:line="17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As used in </w:t>
      </w:r>
      <w:r>
        <w:rPr>
          <w:rFonts w:ascii="Times New Roman" w:cs="Times New Roman" w:eastAsia="Times New Roman" w:hAnsi="Times New Roman"/>
          <w:sz w:val="18"/>
          <w:szCs w:val="18"/>
          <w:u w:val="single" w:color="auto"/>
          <w:color w:val="auto"/>
        </w:rPr>
        <w:t>Subsections 32.5(a)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32.5(b)</w:t>
      </w:r>
      <w:r>
        <w:rPr>
          <w:rFonts w:ascii="Times New Roman" w:cs="Times New Roman" w:eastAsia="Times New Roman" w:hAnsi="Times New Roman"/>
          <w:sz w:val="18"/>
          <w:szCs w:val="18"/>
          <w:color w:val="auto"/>
        </w:rPr>
        <w:t xml:space="preserve">, “worth at the time of award” shall be computed by allowing interest at the rate specified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As used in </w:t>
      </w:r>
      <w:r>
        <w:rPr>
          <w:rFonts w:ascii="Times New Roman" w:cs="Times New Roman" w:eastAsia="Times New Roman" w:hAnsi="Times New Roman"/>
          <w:sz w:val="18"/>
          <w:szCs w:val="18"/>
          <w:u w:val="single" w:color="auto"/>
          <w:color w:val="auto"/>
        </w:rPr>
        <w:t>Subsection 32.5(c)</w:t>
      </w:r>
      <w:r>
        <w:rPr>
          <w:rFonts w:ascii="Times New Roman" w:cs="Times New Roman" w:eastAsia="Times New Roman" w:hAnsi="Times New Roman"/>
          <w:sz w:val="18"/>
          <w:szCs w:val="18"/>
          <w:color w:val="auto"/>
        </w:rPr>
        <w:t>, the “worth at the time of the award” shall be computed by taking the present value of such amount, using the discount rate of the Federal Reserve Bank of San Francisco at the time of the award plus one (1) percentage point.</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32.6. In addition to any other remedies available to Landlord at law or in equity and under this Lease, Landlord shall have the remedy described in California Civil Code Section 1951.4 and may continue this Lease in effect after Tenant’s Default and abandonment and recover Rent as it becomes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Tenant has the right to sublet or assign, subject only to reasonable limitations). In addition, Landlord shall not be liable in any way whatsoever for its failure or refusal to relet the Premises. For purposes of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the following acts by Landlord will not constitute the termination of Tenant’s right to possession of the Premises:</w:t>
      </w:r>
    </w:p>
    <w:p>
      <w:pPr>
        <w:spacing w:after="0" w:line="184" w:lineRule="exact"/>
        <w:rPr>
          <w:sz w:val="20"/>
          <w:szCs w:val="20"/>
          <w:color w:val="auto"/>
        </w:rPr>
      </w:pPr>
    </w:p>
    <w:p>
      <w:pPr>
        <w:ind w:right="540" w:firstLine="921"/>
        <w:spacing w:after="0" w:line="282" w:lineRule="auto"/>
        <w:tabs>
          <w:tab w:leader="none" w:pos="115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maintenance or preservation or efforts to relet the Premises, including, but not limited to, alterations, remodeling, redecorating, repairs, replacements or painting as Landlord shall consider advisable for the purpose of reletting the Premises or any part thereof;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0" w:right="239" w:bottom="1440" w:gutter="0" w:footer="0" w:header="0"/>
        </w:sectPr>
      </w:pPr>
    </w:p>
    <w:bookmarkStart w:id="490" w:name="page491"/>
    <w:bookmarkEnd w:id="490"/>
    <w:p>
      <w:pPr>
        <w:jc w:val="center"/>
        <w:ind w:righ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appointment of a receiver upon the initiative of Landlord to protect Landlord’s interest under this Lease or in the Premises.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of a Default by Tenant, Landlord may elect at any time to terminate this Lease and to recover damages to which Landlord is entitled.</w:t>
      </w:r>
    </w:p>
    <w:p>
      <w:pPr>
        <w:spacing w:after="0" w:line="162" w:lineRule="exact"/>
        <w:rPr>
          <w:sz w:val="20"/>
          <w:szCs w:val="20"/>
          <w:color w:val="auto"/>
        </w:rPr>
      </w:pPr>
    </w:p>
    <w:p>
      <w:pPr>
        <w:ind w:right="460" w:firstLine="456"/>
        <w:spacing w:after="0" w:line="313" w:lineRule="auto"/>
        <w:rPr>
          <w:sz w:val="20"/>
          <w:szCs w:val="20"/>
          <w:color w:val="auto"/>
        </w:rPr>
      </w:pPr>
      <w:r>
        <w:rPr>
          <w:rFonts w:ascii="Times New Roman" w:cs="Times New Roman" w:eastAsia="Times New Roman" w:hAnsi="Times New Roman"/>
          <w:sz w:val="17"/>
          <w:szCs w:val="17"/>
          <w:color w:val="auto"/>
        </w:rPr>
        <w:t xml:space="preserve">32.7. If Landlord does not elect to terminate this Lease as provided in </w:t>
      </w:r>
      <w:r>
        <w:rPr>
          <w:rFonts w:ascii="Times New Roman" w:cs="Times New Roman" w:eastAsia="Times New Roman" w:hAnsi="Times New Roman"/>
          <w:sz w:val="17"/>
          <w:szCs w:val="17"/>
          <w:u w:val="single" w:color="auto"/>
          <w:color w:val="auto"/>
        </w:rPr>
        <w:t>Section 32.5</w:t>
      </w:r>
      <w:r>
        <w:rPr>
          <w:rFonts w:ascii="Times New Roman" w:cs="Times New Roman" w:eastAsia="Times New Roman" w:hAnsi="Times New Roman"/>
          <w:sz w:val="17"/>
          <w:szCs w:val="17"/>
          <w:color w:val="auto"/>
        </w:rPr>
        <w:t>, then Landlord may, from time to time, recover all Rent as it becomes due under this Lease. At any time thereafter, Landlord may elect to terminate this Lease and to recover damages to which Landlord is entitled.</w:t>
      </w:r>
    </w:p>
    <w:p>
      <w:pPr>
        <w:spacing w:after="0" w:line="13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32.8.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62" w:lineRule="exact"/>
        <w:rPr>
          <w:sz w:val="20"/>
          <w:szCs w:val="20"/>
          <w:color w:val="auto"/>
        </w:rPr>
      </w:pPr>
    </w:p>
    <w:p>
      <w:pPr>
        <w:ind w:right="440" w:firstLine="921"/>
        <w:spacing w:after="0" w:line="282" w:lineRule="auto"/>
        <w:tabs>
          <w:tab w:leader="none" w:pos="1158"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any indebtedness other than Rent due hereunder from Tenant to Landlord, including, without limitation, storage charges or brokerage commissions owing from Tenant to Landlord as the result of such reletting;</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7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payment of Rent and other charges due and unpaid hereunder; and</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payment of future Rent and other damages payable by Tenant under this Lease.</w:t>
      </w:r>
    </w:p>
    <w:p>
      <w:pPr>
        <w:spacing w:after="0" w:line="225"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32.9.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said waiver.</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32.10. Landlord’s termination of (a) this Lease or (b) Tenant’s right to possession of the Premises shall not relieve Tenant of any liability to Landlord that has previously accrued or that shall arise based upon events that occurred prior to the later to occur of (i) the date of Lease termination or (ii) the date Tenant surrenders possession of the Premises.</w:t>
      </w:r>
    </w:p>
    <w:p>
      <w:pPr>
        <w:spacing w:after="0" w:line="176"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32.11.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269" w:right="279" w:bottom="1440" w:gutter="0" w:footer="0" w:header="0"/>
        </w:sectPr>
      </w:pPr>
    </w:p>
    <w:bookmarkStart w:id="491" w:name="page492"/>
    <w:bookmarkEnd w:id="491"/>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32.12. Landlord shall not be in default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32.13. In the event of any default by Landlord, Tenant shall give notice by registered or certified mail to any (a) beneficiary of a deed of trust or</w:t>
      </w:r>
    </w:p>
    <w:p>
      <w:pPr>
        <w:spacing w:after="0" w:line="27" w:lineRule="exact"/>
        <w:rPr>
          <w:sz w:val="20"/>
          <w:szCs w:val="20"/>
          <w:color w:val="auto"/>
        </w:rPr>
      </w:pPr>
    </w:p>
    <w:p>
      <w:pPr>
        <w:ind w:right="40" w:firstLine="8"/>
        <w:spacing w:after="0" w:line="254" w:lineRule="auto"/>
        <w:tabs>
          <w:tab w:leader="none" w:pos="25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by power of sale or a judicial action if such should prove necessary to effect a cure;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Landlord shall furnish to Tenant in writing, upon written request by Tenant, the names and addresses of all such persons who are to receive such notices.</w:t>
      </w:r>
    </w:p>
    <w:p>
      <w:pPr>
        <w:spacing w:after="0" w:line="186" w:lineRule="exact"/>
        <w:rPr>
          <w:sz w:val="20"/>
          <w:szCs w:val="20"/>
          <w:color w:val="auto"/>
        </w:rPr>
      </w:pPr>
    </w:p>
    <w:p>
      <w:pPr>
        <w:ind w:right="40" w:firstLine="8"/>
        <w:spacing w:after="0" w:line="258" w:lineRule="auto"/>
        <w:tabs>
          <w:tab w:leader="none" w:pos="27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reasonable discretion:</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33.1. Those acts specified in the Bankruptcy Code or other Applicable Laws as included within the meaning of “adequate assurance,” even if this Lease does not concern a shopping center or other facility described in such Applicable 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33.2. A prompt cash payment to compensate Landlord for any monetary defaults or actual damages arising directly from a breach of this Lease;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33.3. A cash deposit in an amount at least equal to the then-current amount of the Security Deposit; or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33.4. The assumption or assignment of all of Tenant’s interest and obligations under this Lease.</w:t>
      </w:r>
    </w:p>
    <w:p>
      <w:pPr>
        <w:spacing w:after="0" w:line="225" w:lineRule="exact"/>
        <w:rPr>
          <w:sz w:val="20"/>
          <w:szCs w:val="20"/>
          <w:color w:val="auto"/>
        </w:rPr>
      </w:pPr>
    </w:p>
    <w:p>
      <w:pPr>
        <w:ind w:left="280" w:hanging="272"/>
        <w:spacing w:after="0"/>
        <w:tabs>
          <w:tab w:leader="none" w:pos="28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34.1. Landlord and Tenant each represents and warrants to the other that it has had no dealings with any real estate broker or agent in connection with the negotiation of this Lease other than Cresa Partners and GVA Kidder Mathews (collectively,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0" w:right="259" w:bottom="1440" w:gutter="0" w:footer="0" w:header="0"/>
        </w:sectPr>
      </w:pPr>
    </w:p>
    <w:bookmarkStart w:id="492" w:name="page493"/>
    <w:bookmarkEnd w:id="492"/>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34.2. Tenant represents and warrants that no broker or agent has made any representation or warranty relied upon by Tenant in Tenant’s decision to enter into this Lease, other than as contained in this Lease.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34.3.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18"/>
          <w:szCs w:val="18"/>
          <w:u w:val="single" w:color="auto"/>
          <w:color w:val="auto"/>
        </w:rPr>
        <w:t>Sections 34.1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34.4. Tenant agrees to indemnify, save, defend and hold Landlord harmless from any and all cost or liability for compensation claimed by any other broker or agent, other than Broker, employed or engaged by it or claiming to have been employed or engaged by it.</w:t>
      </w:r>
    </w:p>
    <w:p>
      <w:pPr>
        <w:spacing w:after="0" w:line="162" w:lineRule="exact"/>
        <w:rPr>
          <w:sz w:val="20"/>
          <w:szCs w:val="20"/>
          <w:color w:val="auto"/>
        </w:rPr>
      </w:pPr>
    </w:p>
    <w:p>
      <w:pPr>
        <w:ind w:right="40" w:firstLine="8"/>
        <w:spacing w:after="0" w:line="255" w:lineRule="auto"/>
        <w:tabs>
          <w:tab w:leader="none" w:pos="27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Landlord</w:t>
      </w:r>
      <w:r>
        <w:rPr>
          <w:rFonts w:ascii="Times New Roman" w:cs="Times New Roman" w:eastAsia="Times New Roman" w:hAnsi="Times New Roman"/>
          <w:sz w:val="18"/>
          <w:szCs w:val="18"/>
          <w:color w:val="auto"/>
        </w:rPr>
        <w:t>. With regard to obligations imposed upon Landlord pursuant to this Lease, the term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8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Landlord’s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36.1.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of which the Premises are a part, (b) rent or other income from such real property receivable by Landlord, (c) the consideration received by Landlord from the sale, financing, refinancing or other disposition of all or any part of Landlord’s right, title or interest in the Building or the Project of which the Premises are a part or (d) any insurance or condemnation proceeds for the Property.</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36.2. Except as permitted by </w:t>
      </w:r>
      <w:r>
        <w:rPr>
          <w:rFonts w:ascii="Times New Roman" w:cs="Times New Roman" w:eastAsia="Times New Roman" w:hAnsi="Times New Roman"/>
          <w:sz w:val="18"/>
          <w:szCs w:val="18"/>
          <w:u w:val="single" w:color="auto"/>
          <w:color w:val="auto"/>
        </w:rPr>
        <w:t>Section 36.1</w:t>
      </w:r>
      <w:r>
        <w:rPr>
          <w:rFonts w:ascii="Times New Roman" w:cs="Times New Roman" w:eastAsia="Times New Roman" w:hAnsi="Times New Roman"/>
          <w:sz w:val="18"/>
          <w:szCs w:val="18"/>
          <w:color w:val="auto"/>
        </w:rPr>
        <w:t>, Landlord shall not be personally liable for any deficiency under this Lease. If Landlord is a partnership or joint venture, then the partners of such partnership shall not be personally liable for Landlord’s obligations under this Lease, and no partner of Landlord shall be sued or named as a party in any suit or action, and service of process shall not be made against any partner of Landlord except as may be necessary to secure jurisdiction of the partnership or joint venture. If Landlord is a corporation, then the shareholders, directors, officers, employees and agents of such corporation shall not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269" w:right="259" w:bottom="1440" w:gutter="0" w:footer="0" w:header="0"/>
        </w:sectPr>
      </w:pPr>
    </w:p>
    <w:bookmarkStart w:id="493" w:name="page494"/>
    <w:bookmarkEnd w:id="49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personally liable for Landlord’s obligations under this Lease, and no shareholder, director, officer, employee or agent of Landlord shall be sued or named as a party in any suit or action, and service of process shall not be made against any shareholder, director, officer, employee or agent of Landlord. If Landlord is a limited liability company, then the members of such limited liability company shall not be personally liable for Landlord’s obligations under this Lease, and no member of Landlord shall be sued or named as a party in any suit or action, and service of process shall not be made against any member of Landlord except as may be necessary to secure jurisdiction of the limited liability company. No partner, shareholder, director, employee, member or agent of Landlord shall be required to answer or otherwise plead to any service of process, and no judgment shall be taken or writ of execution levied against any partner, shareholder, director, employee or agent of Landlord.</w:t>
      </w:r>
    </w:p>
    <w:p>
      <w:pPr>
        <w:spacing w:after="0" w:line="18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36.3. Each of the covenants and agreements of this </w:t>
      </w:r>
      <w:r>
        <w:rPr>
          <w:rFonts w:ascii="Times New Roman" w:cs="Times New Roman" w:eastAsia="Times New Roman" w:hAnsi="Times New Roman"/>
          <w:sz w:val="18"/>
          <w:szCs w:val="18"/>
          <w:u w:val="single" w:color="auto"/>
          <w:color w:val="auto"/>
        </w:rPr>
        <w:t>Article 36</w:t>
      </w:r>
      <w:r>
        <w:rPr>
          <w:rFonts w:ascii="Times New Roman" w:cs="Times New Roman" w:eastAsia="Times New Roman" w:hAnsi="Times New Roman"/>
          <w:sz w:val="18"/>
          <w:szCs w:val="18"/>
          <w:color w:val="auto"/>
        </w:rPr>
        <w:t xml:space="preserve"> shall be applicable to any covenant or agreement either expressly contained in this Lease or imposed by Applicable Laws and shall survive the expiration or earlier termination of this 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Joint and Several Obligations</w:t>
      </w:r>
      <w:r>
        <w:rPr>
          <w:rFonts w:ascii="Times New Roman" w:cs="Times New Roman" w:eastAsia="Times New Roman" w:hAnsi="Times New Roman"/>
          <w:sz w:val="18"/>
          <w:szCs w:val="18"/>
          <w:color w:val="auto"/>
        </w:rPr>
        <w:t>. If more than one person or entity executes this Lease as Tenant, then:</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37.1. Each of them is jointly and severally liable for the keeping, observing and performing of all of the terms, covenants, conditions, provisions and agreements of this Lease to be kept, observed or performed by Tenant; and</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37.2. The term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as used in this Lease shall mean and include each of them, jointly and severally. The act of, notice from, notice to, refund to, or signature of any one or more of them with respect to the tenancy under this Lease, including, without limitation,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80" w:lineRule="exact"/>
        <w:rPr>
          <w:sz w:val="20"/>
          <w:szCs w:val="20"/>
          <w:color w:val="auto"/>
        </w:rPr>
      </w:pPr>
    </w:p>
    <w:p>
      <w:pPr>
        <w:ind w:right="200" w:firstLine="8"/>
        <w:spacing w:after="0" w:line="258" w:lineRule="auto"/>
        <w:tabs>
          <w:tab w:leader="none" w:pos="27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and (d) each person (and all of the persons if more than one signs) signing this Lease on behalf of Tenant is duly and validly authorized to do so.</w:t>
      </w:r>
    </w:p>
    <w:p>
      <w:pPr>
        <w:spacing w:after="0" w:line="183" w:lineRule="exact"/>
        <w:rPr>
          <w:rFonts w:ascii="Times New Roman" w:cs="Times New Roman" w:eastAsia="Times New Roman" w:hAnsi="Times New Roman"/>
          <w:sz w:val="18"/>
          <w:szCs w:val="18"/>
          <w:color w:val="auto"/>
        </w:rPr>
      </w:pPr>
    </w:p>
    <w:p>
      <w:pPr>
        <w:ind w:firstLine="8"/>
        <w:spacing w:after="0" w:line="256" w:lineRule="auto"/>
        <w:tabs>
          <w:tab w:leader="none" w:pos="27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Tenant shall not disclose any terms or conditions of this Lease (including Rent) or give a copy of this Lease to any third party, and Landlord shall not release to any third party any nonpublic financial information or nonpublic information about Tenant’s ownership structure that Tenant gives Landlord, except (a) if required by Applicable Laws or in any judicial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releasing party has given the other party reasonable notice of such requirement, if feasible, (b) to a party’s attorneys, accountants, brokers, prospective lenders, investors and business partners and other bona fide consultants or advisers or (c) to bona fide prospective assignees or subtenants of this Lease. A violation of this </w:t>
      </w:r>
      <w:r>
        <w:rPr>
          <w:rFonts w:ascii="Times New Roman" w:cs="Times New Roman" w:eastAsia="Times New Roman" w:hAnsi="Times New Roman"/>
          <w:sz w:val="18"/>
          <w:szCs w:val="18"/>
          <w:u w:val="single" w:color="auto"/>
          <w:color w:val="auto"/>
        </w:rPr>
        <w:t>Article 39</w:t>
      </w:r>
      <w:r>
        <w:rPr>
          <w:rFonts w:ascii="Times New Roman" w:cs="Times New Roman" w:eastAsia="Times New Roman" w:hAnsi="Times New Roman"/>
          <w:sz w:val="18"/>
          <w:szCs w:val="18"/>
          <w:color w:val="auto"/>
        </w:rPr>
        <w:t xml:space="preserve"> may result in a Default, but shall not entitle Landlord to terminate this Lease.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0" w:right="259" w:bottom="1440" w:gutter="0" w:footer="0" w:header="0"/>
        </w:sectPr>
      </w:pPr>
    </w:p>
    <w:bookmarkStart w:id="494" w:name="page495"/>
    <w:bookmarkEnd w:id="494"/>
    <w:p>
      <w:pPr>
        <w:ind w:firstLine="8"/>
        <w:spacing w:after="0" w:line="255" w:lineRule="auto"/>
        <w:tabs>
          <w:tab w:leader="none" w:pos="27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xml:space="preserve">. Any notice, consent, demand, bill, statement or other communication required or permitted to be given hereunder shall be in writing and shall be given by personal delivery, overnight delivery with a reputable nationwide overnight delivery service, or certified mail (return receipt requested), and if given by personal delivery, shall be deemed delivered upon receipt; if given by overnight delivery, shall be deemed delivered one (1) business day after deposit with a reputable nationwide overnight delivery service; and, if given by certified mail (return receipt requested), shall be deemed delivered three (3) business days after the time the notifying party deposits the notice with the United States Postal Service. Any notices given pursuant to this Lease shall be addressed to Landlord or Tenant at the addresses shown in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respectively. Either party may, by notice to the other given pursuant to this Section, specify additional or different addresses for notice purposes.</w:t>
      </w:r>
    </w:p>
    <w:p>
      <w:pPr>
        <w:spacing w:after="0" w:line="18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41.1. Landlord reserves the right to change the name of the Project or the Building in its sole discretion.</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41.2. To induce Landlord to enter into this Lease, Tenant agrees that it shall promptly furnish to Landlord, from time to time, upon Landlord’s written request, the most recent audited (if available) year-end financial statements reflecting Tenant’s current financial condition (as of the date of such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audited financials are not available, the financials submitted to Landlord shall be certified by the chief financial officer of Tenant as materially true, accurate and complete. Landlord shall hold such statements confidential, Tenant represents and warrants that all financial statements, records and information furnished by Tenant to Landlord in connection with this Lease are true, correct and complete in all respects.</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41.3. Where applicable in this Lease, the singular includes the plural and the masculine or neuter includes the masculine, feminine and neuter. The section headings of this Lease are not a part of this Lease and shall have no effect upon the construction or interpretation of any part hereof.</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41.4. If either party commences an action against the other party arising out of or in connection with this Lease, then the substantially prevailing party shall be entitled to have and recover from the other party reasonable attorneys’ fees, charges and disbursements and costs of suit.</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41.5. Submission of this instrument for examination or signature by Tenant does not constitute a reservation of or option for a lease, and shall not be effective as a lease or otherwise until execution by and delivery to both Landlord and Tenant.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41.6. Time is of the essence with respect to the performance of every provision of this Lease in which time of performance is a factor.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41.7. Each provision of this Lease performable by Tenant shall be deemed both a covenant and a condition.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70" w:right="259" w:bottom="1440" w:gutter="0" w:footer="0" w:header="0"/>
        </w:sectPr>
      </w:pPr>
    </w:p>
    <w:bookmarkStart w:id="495" w:name="page496"/>
    <w:bookmarkEnd w:id="495"/>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41.8. Whenever consent or approval of either party is required, that party shall not unreasonably withhold such consent or approval, except as may be expressly set forth to the contrary.</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41.9. The terms of this Lease are intended by the parties as a final expression of their agreement with respect to the terms as are included herein, and may not be contradicted by evidence of any prior or contemporaneous agreement.</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41.10.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41.11. Landlord may, but shall not be obligated to, record a short form or memorandum hereof without Tenant’s consent. Neither party shall record this Lease. Tenant shall be responsible for the cost of recording any short form or memorandum of this Lease by Tenant, including any transfer or other taxes incurred in connection with said recordation.</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41.12. The language in all parts of this Lease shall be in all cases construed as a whole according to its fair meaning and not strictly for or against either Landlord or Tenant.</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41.13.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w:t>
      </w:r>
      <w:r>
        <w:rPr>
          <w:rFonts w:ascii="Times New Roman" w:cs="Times New Roman" w:eastAsia="Times New Roman" w:hAnsi="Times New Roman"/>
          <w:sz w:val="18"/>
          <w:szCs w:val="18"/>
          <w:u w:val="single" w:color="auto"/>
          <w:color w:val="auto"/>
        </w:rPr>
        <w:t>Section 41.13</w:t>
      </w:r>
      <w:r>
        <w:rPr>
          <w:rFonts w:ascii="Times New Roman" w:cs="Times New Roman" w:eastAsia="Times New Roman" w:hAnsi="Times New Roman"/>
          <w:sz w:val="18"/>
          <w:szCs w:val="18"/>
          <w:color w:val="auto"/>
        </w:rPr>
        <w:t xml:space="preserve"> shall in any way alter the provisions of this Lease restricting assignment or subletting.</w:t>
      </w:r>
    </w:p>
    <w:p>
      <w:pPr>
        <w:spacing w:after="0" w:line="176"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41.14. This Lease shall be governed by, construed and enforced in accordance with the laws of the State in which the Premises are located, without regard to such State’s conflict of law principles.</w:t>
      </w:r>
    </w:p>
    <w:p>
      <w:pPr>
        <w:spacing w:after="0" w:line="162"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41.15. Landlord and Tenant each guarantees, warrants and represents that the individual or individuals signing this Lease on their behalf have the power, authority and legal capacity to sign this Lease on behalf of and to bind all entities, corporations, partnerships, limited liability companies, joint venturers or other organizations and entities on whose behalf said individual or individuals have signed.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41.16. This Lease may be executed in one or more counterparts, each of which, when taken together, shall constitute one and the same document.</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41.17. No provision of this Lease may be modified, amended or supplemented except by an agreement in writing signed by Landlord and Tenant. The waiver by Landlord of any breach by Tenant of any term, covenant or condition herein contained shall not be deemed to be a waiver of any subsequent breach of the same or any other term, covenant or condition herein contained.</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41.18. The parties waive trial by jury in any action, proceeding or counterclaim brought by the other party hereto related to matters arising out of or in any way connected with this Lease; the relationship between Landlord and Tenant; Tenant’s use or occupancy of the Premises; or any claim of injury or damage related to this Lease or the Premises.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0" w:right="239" w:bottom="1440" w:gutter="0" w:footer="0" w:header="0"/>
        </w:sectPr>
      </w:pPr>
    </w:p>
    <w:bookmarkStart w:id="496" w:name="page497"/>
    <w:bookmarkEnd w:id="496"/>
    <w:p>
      <w:pPr>
        <w:ind w:right="20" w:firstLine="8"/>
        <w:spacing w:after="0" w:line="266" w:lineRule="auto"/>
        <w:tabs>
          <w:tab w:leader="none" w:pos="27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 to Extend Term</w:t>
      </w:r>
      <w:r>
        <w:rPr>
          <w:rFonts w:ascii="Times New Roman" w:cs="Times New Roman" w:eastAsia="Times New Roman" w:hAnsi="Times New Roman"/>
          <w:sz w:val="18"/>
          <w:szCs w:val="18"/>
          <w:color w:val="auto"/>
        </w:rPr>
        <w:t>. Tenant shall have two (2) options (each,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extend the Term by three (3) years each as to the entire Premises (and no less than the entire Premises) upon the following terms and conditions. Any extension of the Term pursuant to an Option shall be on all the same terms and conditions as this Lease, except as follows:</w:t>
      </w:r>
    </w:p>
    <w:p>
      <w:pPr>
        <w:spacing w:after="0" w:line="176"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42.1. Base Rent during each Option period shall equal the greater of (a) ninety-five percent (95%) of the fair market value for comparable office/research and development/office space in the Fremont/Newark market, including escalations (“</w:t>
      </w:r>
      <w:r>
        <w:rPr>
          <w:rFonts w:ascii="Times New Roman" w:cs="Times New Roman" w:eastAsia="Times New Roman" w:hAnsi="Times New Roman"/>
          <w:sz w:val="18"/>
          <w:szCs w:val="18"/>
          <w:u w:val="single" w:color="auto"/>
          <w:color w:val="auto"/>
        </w:rPr>
        <w:t>FMV</w:t>
      </w:r>
      <w:r>
        <w:rPr>
          <w:rFonts w:ascii="Times New Roman" w:cs="Times New Roman" w:eastAsia="Times New Roman" w:hAnsi="Times New Roman"/>
          <w:sz w:val="18"/>
          <w:szCs w:val="18"/>
          <w:color w:val="auto"/>
        </w:rPr>
        <w:t xml:space="preserve">”) and (b) one hundred three percent (103%) of the Base Rent at the expiration of the then-current Term, increased by three percent (3%) on each annual anniversary of the commencement date of the respective Option period. FMV shall include, without limitation, consideration of rent adjustments, if any, excluding the value of any improvements made to the Premises at Tenant’s cost and expense (other than as part of a reimbursement by Tenant under this Lease (e.g., related to the TI Allowance)). If Landlord and Tenant cannot agree on the FMV within thirty (30) days after Landlord’s receipt of an Option Notice (as defined below), then the Fly shall be determined as follows: a real estate appraiser who is a member of the Appraisal Institute with local knowledge of Alameda County real estate and knowledge of the greater Bay Area laboratory/research and development leasing market (the “Baseball Arbitrator”) shall be selected and paid for jointly by Landlord and Tenant. If Landlord and Tenant are unable to agree upon the Baseball Arbitrator, then the same shall be designated by the chapter of the American Arbitration Association located in or nearest to Alameda County, or any successor organization thereto (the “AAA”). The Baseball Arbitrator selected by the parties or designated by the President of the AAA shall (a) have at least ten (10) years’ experience in the leasing of office and laboratory/research and development space in Alameda County and (b) not have been employed or retained by either Landlord or Tenant or any affiliate of either. Landlord and Tenant shall each submit to the Baseball Arbitrator and to the other its determination of the Fly, The Baseball Arbitrator shall afford to Landlord and Tenant a hearing and the right to submit evidence. The Baseball Arbitrator shall determine which of the two (2) FMV determinations more closely represents the FMV of the Premises. The Baseball Arbitrator may not select any other FMV for the Premises other than ones submitted by Landlord and Tenant. The determination of the FMV so selected shall be binding upon Landlord and Tenant and shall serve as the FMV for the applicable Option term. If, as of the commencement date of the applicable Option term, the amount of the Base Rent payable during the applicable Option term in accordance with this </w:t>
      </w:r>
      <w:r>
        <w:rPr>
          <w:rFonts w:ascii="Times New Roman" w:cs="Times New Roman" w:eastAsia="Times New Roman" w:hAnsi="Times New Roman"/>
          <w:sz w:val="18"/>
          <w:szCs w:val="18"/>
          <w:u w:val="single" w:color="auto"/>
          <w:color w:val="auto"/>
        </w:rPr>
        <w:t>Article 42</w:t>
      </w:r>
      <w:r>
        <w:rPr>
          <w:rFonts w:ascii="Times New Roman" w:cs="Times New Roman" w:eastAsia="Times New Roman" w:hAnsi="Times New Roman"/>
          <w:sz w:val="18"/>
          <w:szCs w:val="18"/>
          <w:color w:val="auto"/>
        </w:rPr>
        <w:t xml:space="preserve"> shall not have been determined, then, pending such determination, Tenant shall pay Base Rent equal to the Base Rent payable in respect of the last year of the then-current Term. After the final determination of the Base Rent payable for such Option term, the parties promptly and appropriately shall adjust rental payments theretofore made during the applicable Option term and shall execute a written agreement specifying the amount of the Base Rent as so determined. Any failure of the parties to execute such written agreement shall not affect the validity of the Base Rent as so determined. Notwithstanding anything to the contrary contained in this Section, if the Base Rent during any Option term is determined by appraisal and if Tenant does not, in its sole discretion, approve the rental amount established by such appraisal, Tenant may rescind its exercise of the Option by giving Landlord written notice of such election to rescind within ten (10) days after receipt of all appraisals. If Tenant rescinds its exercise of the Option, then (y)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69" w:right="239" w:bottom="1440" w:gutter="0" w:footer="0" w:header="0"/>
        </w:sectPr>
      </w:pPr>
    </w:p>
    <w:bookmarkStart w:id="497" w:name="page498"/>
    <w:bookmarkEnd w:id="49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shall terminate on the thirtieth (30th) day after Tenant’s notice of rescission or on the date the Lease would have otherwise terminated absent Tenant’s exercise of the Option, whichever date is later, and (z) Tenant shall pay all costs and expenses of the appraisal.</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42.2. No Option is assignable separate and apart from this Lease.</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42.3. An Option is conditional upon Tenant giving Landlord written notice of its election to exercise such Option at least twelve (12) but not more than eighteen (18) months prior to the end of the expiration of the then-current Term. Time shall be of the essence as to Tenant’s exercise of an Option. Tenant assumes full responsibility for maintaining a record of the deadlines to exercise an Option. Tenant acknowledges that it would be inequitable to require Landlord to accept any exercise of an Option after the date provided for in this paragraph.</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42.4. Notwithstanding anything contained in this </w:t>
      </w:r>
      <w:r>
        <w:rPr>
          <w:rFonts w:ascii="Times New Roman" w:cs="Times New Roman" w:eastAsia="Times New Roman" w:hAnsi="Times New Roman"/>
          <w:sz w:val="18"/>
          <w:szCs w:val="18"/>
          <w:u w:val="single" w:color="auto"/>
          <w:color w:val="auto"/>
        </w:rPr>
        <w:t>Article 42</w:t>
      </w:r>
      <w:r>
        <w:rPr>
          <w:rFonts w:ascii="Times New Roman" w:cs="Times New Roman" w:eastAsia="Times New Roman" w:hAnsi="Times New Roman"/>
          <w:sz w:val="18"/>
          <w:szCs w:val="18"/>
          <w:color w:val="auto"/>
        </w:rPr>
        <w:t>, Tenant shall not have the right to exercise an Option:</w:t>
      </w:r>
    </w:p>
    <w:p>
      <w:pPr>
        <w:spacing w:after="0" w:line="225" w:lineRule="exact"/>
        <w:rPr>
          <w:sz w:val="20"/>
          <w:szCs w:val="20"/>
          <w:color w:val="auto"/>
        </w:rPr>
      </w:pPr>
    </w:p>
    <w:p>
      <w:pPr>
        <w:ind w:right="60" w:firstLine="921"/>
        <w:spacing w:after="0" w:line="282" w:lineRule="auto"/>
        <w:tabs>
          <w:tab w:leader="none" w:pos="115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any Default as described in </w:t>
      </w:r>
      <w:r>
        <w:rPr>
          <w:rFonts w:ascii="Times New Roman" w:cs="Times New Roman" w:eastAsia="Times New Roman" w:hAnsi="Times New Roman"/>
          <w:sz w:val="18"/>
          <w:szCs w:val="18"/>
          <w:u w:val="single" w:color="auto"/>
          <w:color w:val="auto"/>
        </w:rPr>
        <w:t>Article 32</w:t>
      </w:r>
      <w:r>
        <w:rPr>
          <w:rFonts w:ascii="Times New Roman" w:cs="Times New Roman" w:eastAsia="Times New Roman" w:hAnsi="Times New Roman"/>
          <w:sz w:val="18"/>
          <w:szCs w:val="18"/>
          <w:color w:val="auto"/>
        </w:rPr>
        <w:t xml:space="preserve"> of the Lease and continuing until Tenant cures any such Default, if such Default is susceptible to being cured; or</w:t>
      </w:r>
    </w:p>
    <w:p>
      <w:pPr>
        <w:spacing w:after="0" w:line="161" w:lineRule="exact"/>
        <w:rPr>
          <w:rFonts w:ascii="Times New Roman" w:cs="Times New Roman" w:eastAsia="Times New Roman" w:hAnsi="Times New Roman"/>
          <w:sz w:val="18"/>
          <w:szCs w:val="18"/>
          <w:color w:val="auto"/>
        </w:rPr>
      </w:pPr>
    </w:p>
    <w:p>
      <w:pPr>
        <w:ind w:right="40" w:firstLine="921"/>
        <w:spacing w:after="0" w:line="266" w:lineRule="auto"/>
        <w:tabs>
          <w:tab w:leader="none" w:pos="115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Tenant has Defaulted in the performance of its obligations under this Lease two (2) or more times or a service or late charge has become payable under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for two (2) such Defaults during the twelve (12)-month period immediately prior to the date that Tenant intends to exercise an Option, whether or not Tenant has cured such Defaults.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 xml:space="preserve">42.5. The period of time within which Tenant may exercise an Option shall not be extended or enlarged by reason of Tenant’s inability to exercise such Option because of the provisions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42.6. All of Tenant’s rights under the provisions of an Option shall terminate and be of no further force or effect even after Tenant’s due and timely exercise of such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this Lease two (2) or more times and a service or late charge under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has become payable for any such default, whether or not Tenant has cured such defaults.</w:t>
      </w:r>
    </w:p>
    <w:p>
      <w:pPr>
        <w:spacing w:after="0" w:line="184" w:lineRule="exact"/>
        <w:rPr>
          <w:sz w:val="20"/>
          <w:szCs w:val="20"/>
          <w:color w:val="auto"/>
        </w:rPr>
      </w:pPr>
    </w:p>
    <w:p>
      <w:pPr>
        <w:jc w:val="both"/>
        <w:ind w:right="300" w:firstLine="8"/>
        <w:spacing w:after="0" w:line="261" w:lineRule="auto"/>
        <w:tabs>
          <w:tab w:leader="none" w:pos="27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Tenant shall have a one-time right of first refusal (“</w:t>
      </w:r>
      <w:r>
        <w:rPr>
          <w:rFonts w:ascii="Times New Roman" w:cs="Times New Roman" w:eastAsia="Times New Roman" w:hAnsi="Times New Roman"/>
          <w:sz w:val="18"/>
          <w:szCs w:val="18"/>
          <w:u w:val="single" w:color="auto"/>
          <w:color w:val="auto"/>
        </w:rPr>
        <w:t>ROFR</w:t>
      </w:r>
      <w:r>
        <w:rPr>
          <w:rFonts w:ascii="Times New Roman" w:cs="Times New Roman" w:eastAsia="Times New Roman" w:hAnsi="Times New Roman"/>
          <w:sz w:val="18"/>
          <w:szCs w:val="18"/>
          <w:color w:val="auto"/>
        </w:rPr>
        <w:t>”) as to each rentable premises in the Building for which Landlord is seeking a tenant (“</w:t>
      </w:r>
      <w:r>
        <w:rPr>
          <w:rFonts w:ascii="Times New Roman" w:cs="Times New Roman" w:eastAsia="Times New Roman" w:hAnsi="Times New Roman"/>
          <w:sz w:val="18"/>
          <w:szCs w:val="18"/>
          <w:u w:val="single" w:color="auto"/>
          <w:color w:val="auto"/>
        </w:rPr>
        <w:t>Available ROFR Premises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event shall Landlord be required to lease any Available ROFR Premises to Tenant for any period past the date on which this Lease expires or is terminated pursuant to its terms unless Tenant simultaneously extends the Term with respect to</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240" w:top="269" w:right="319" w:bottom="1440" w:gutter="0" w:footer="0" w:header="0"/>
        </w:sectPr>
      </w:pPr>
    </w:p>
    <w:bookmarkStart w:id="498" w:name="page499"/>
    <w:bookmarkEnd w:id="49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entire Premises. To the extent that Landlord renews or extends a then-existing lease with any then-existing tenant of any space, or enters into a new lease with such then-existing tenant, the affected space shall not be deemed to be Available ROFR Premises. In the event Landlord intends to lease Available ROFR Premises, Landlord shall provide written notice thereof to Tenant (the “</w:t>
      </w:r>
      <w:r>
        <w:rPr>
          <w:rFonts w:ascii="Times New Roman" w:cs="Times New Roman" w:eastAsia="Times New Roman" w:hAnsi="Times New Roman"/>
          <w:sz w:val="18"/>
          <w:szCs w:val="18"/>
          <w:u w:val="single" w:color="auto"/>
          <w:color w:val="auto"/>
        </w:rPr>
        <w:t>Notice of Offer</w:t>
      </w:r>
      <w:r>
        <w:rPr>
          <w:rFonts w:ascii="Times New Roman" w:cs="Times New Roman" w:eastAsia="Times New Roman" w:hAnsi="Times New Roman"/>
          <w:sz w:val="18"/>
          <w:szCs w:val="18"/>
          <w:color w:val="auto"/>
        </w:rPr>
        <w:t>”), specifying the terms and conditions of a proposed lease to Tenant of the Available ROFR Premises.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43.1. Within ten (10) days following its receipt of a Notice of Offer, Tenant shall advise Landlord in writing whether Tenant elects to lease all (not just a portion) of the Available ROFR Premises on the terms and conditions set forth in the Notice of Offer. If Tenant fails to notify Landlord of Tenant’s election within said ten (10) day period, then Tenant shall be deemed to have elected not to lease the Available ROFR Premises pursuant to such Notice of Offer.</w:t>
      </w:r>
    </w:p>
    <w:p>
      <w:pPr>
        <w:spacing w:after="0" w:line="17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43.2. If Tenant timely notifies Landlord that Tenant elects to lease the Available ROFR Premises on the terms and conditions set forth in the Notice of Offer, then Landlord shall lease the Available ROFR Premises to Tenant upon the terms and conditions set forth in the Notice of Offer.</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43.3. If Tenant notifies Landlord that Tenant elects not to lease the Available ROFR Premises on the terms and conditions set forth in the Notice of Offer, or if Tenant fails to notify Landlord of Tenant’s election within the ten (10)-day period described above, then Landlord shall have the right to consummate the lease of the Available ROFR Premises on the same terms as set forth in the Notice of Offer following Tenant’s election (or deemed election) not to lease the Available ROFR Premises.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43.4. Notwithstanding anything in this </w:t>
      </w:r>
      <w:r>
        <w:rPr>
          <w:rFonts w:ascii="Times New Roman" w:cs="Times New Roman" w:eastAsia="Times New Roman" w:hAnsi="Times New Roman"/>
          <w:sz w:val="18"/>
          <w:szCs w:val="18"/>
          <w:u w:val="single" w:color="auto"/>
          <w:color w:val="auto"/>
        </w:rPr>
        <w:t>Article 43</w:t>
      </w:r>
      <w:r>
        <w:rPr>
          <w:rFonts w:ascii="Times New Roman" w:cs="Times New Roman" w:eastAsia="Times New Roman" w:hAnsi="Times New Roman"/>
          <w:sz w:val="18"/>
          <w:szCs w:val="18"/>
          <w:color w:val="auto"/>
        </w:rPr>
        <w:t xml:space="preserve"> to the contrary, Tenant shall not exercise the ROFR during such period of time that Tenant is in default under any provision of this Lease. Any attempted exercise of the ROFR during a period of time in which Tenant is so in default shall be void and of no effect. In addition, Tenant shall not be entitled to exercise the ROFR if Landlord has given Tenant two (2) or more notices of default under this Lease, if the defaults were not cured within applicable notice and cure periods, during the twelve (12) month period prior to the date on which Tenant seeks to exercise the ROFR.</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43.5. Notwithstanding anything in this Lease to the contrary, except for Exempt Transfers or other Transfers to a Tenant Affiliate to which Landlord consents in writing, Tenant shall not assign or transfer the ROFR, either separately or in conjunction with an assignment or transfer of Tenant’s interest in the Lease, without Landlord’s prior written consent, which consent Landlord may withhold in its sole and absolute discretion.</w:t>
      </w:r>
    </w:p>
    <w:p>
      <w:pPr>
        <w:spacing w:after="0" w:line="176" w:lineRule="exact"/>
        <w:rPr>
          <w:sz w:val="20"/>
          <w:szCs w:val="20"/>
          <w:color w:val="auto"/>
        </w:rPr>
      </w:pPr>
    </w:p>
    <w:p>
      <w:pPr>
        <w:ind w:right="560" w:firstLine="8"/>
        <w:spacing w:after="0" w:line="282" w:lineRule="auto"/>
        <w:tabs>
          <w:tab w:leader="none" w:pos="27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Personal Property</w:t>
      </w:r>
      <w:r>
        <w:rPr>
          <w:rFonts w:ascii="Times New Roman" w:cs="Times New Roman" w:eastAsia="Times New Roman" w:hAnsi="Times New Roman"/>
          <w:sz w:val="18"/>
          <w:szCs w:val="18"/>
          <w:color w:val="auto"/>
        </w:rPr>
        <w:t xml:space="preserve">. Tenant shall have the right to use throughout the Term, at no additional cost, the furniture and cubicles located in the Premises as more particularly described in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0" w:right="239" w:bottom="1440" w:gutter="0" w:footer="0" w:header="0"/>
        </w:sectPr>
      </w:pPr>
    </w:p>
    <w:bookmarkStart w:id="499" w:name="page500"/>
    <w:bookmarkEnd w:id="499"/>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Lease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BMR-34175 ARDENWOOD BOULEVARD LLC, its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Bonanno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John Bonanno</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Jean Frechet</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CEO NTERYX</w:t>
      </w:r>
    </w:p>
    <w:p>
      <w:pPr>
        <w:sectPr>
          <w:pgSz w:w="11900" w:h="16838" w:orient="portrait"/>
          <w:cols w:equalWidth="0" w:num="1">
            <w:col w:w="10219"/>
          </w:cols>
          <w:pgMar w:left="240" w:top="270" w:right="1440" w:bottom="1440" w:gutter="0" w:footer="0" w:header="0"/>
        </w:sectPr>
      </w:pPr>
    </w:p>
    <w:bookmarkStart w:id="500" w:name="page501"/>
    <w:bookmarkEnd w:id="5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PHASE 1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181610</wp:posOffset>
            </wp:positionV>
            <wp:extent cx="4271010" cy="5608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271010" cy="560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9019"/>
          </w:cols>
          <w:pgMar w:left="1440" w:top="265" w:right="1440" w:bottom="1440" w:gutter="0" w:footer="0" w:header="0"/>
        </w:sectPr>
      </w:pPr>
    </w:p>
    <w:bookmarkStart w:id="501" w:name="page502"/>
    <w:bookmarkEnd w:id="5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PHASE 2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181610</wp:posOffset>
            </wp:positionV>
            <wp:extent cx="4442460" cy="57543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442460"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9019"/>
          </w:cols>
          <w:pgMar w:left="1440" w:top="265" w:right="1440" w:bottom="1440" w:gutter="0" w:footer="0" w:header="0"/>
        </w:sectPr>
      </w:pPr>
    </w:p>
    <w:bookmarkStart w:id="502" w:name="page503"/>
    <w:bookmarkEnd w:id="5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This Work Letter (the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is made and entered into as of the 8th day of August, 2008, by and between 34175 ARDENWOOD VENTURE,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NTERYX,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and is attached to and made a part of that certain Lease dated as of August 8, 2008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by and between Landlord and Tenant for the Premises located at 34175 Ardenwood Boulevard in Fremont, California. All capitalized terms used but not otherwise defined herein shall have the meanings given them in the Lease.</w:t>
      </w:r>
    </w:p>
    <w:p>
      <w:pPr>
        <w:spacing w:after="0" w:line="180" w:lineRule="exact"/>
        <w:rPr>
          <w:sz w:val="20"/>
          <w:szCs w:val="20"/>
          <w:color w:val="auto"/>
        </w:rPr>
      </w:pPr>
    </w:p>
    <w:p>
      <w:pPr>
        <w:ind w:left="180" w:hanging="172"/>
        <w:spacing w:after="0"/>
        <w:tabs>
          <w:tab w:leader="none" w:pos="18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Tenant’s Authorized Representative</w:t>
      </w:r>
      <w:r>
        <w:rPr>
          <w:rFonts w:ascii="Times New Roman" w:cs="Times New Roman" w:eastAsia="Times New Roman" w:hAnsi="Times New Roman"/>
          <w:sz w:val="18"/>
          <w:szCs w:val="18"/>
          <w:color w:val="auto"/>
        </w:rPr>
        <w:t>. Tenant designates George Jue (“</w:t>
      </w:r>
      <w:r>
        <w:rPr>
          <w:rFonts w:ascii="Times New Roman" w:cs="Times New Roman" w:eastAsia="Times New Roman" w:hAnsi="Times New Roman"/>
          <w:sz w:val="18"/>
          <w:szCs w:val="18"/>
          <w:u w:val="single" w:color="auto"/>
          <w:color w:val="auto"/>
        </w:rPr>
        <w:t>Tenant’s Authorized Representative</w:t>
      </w:r>
      <w:r>
        <w:rPr>
          <w:rFonts w:ascii="Times New Roman" w:cs="Times New Roman" w:eastAsia="Times New Roman" w:hAnsi="Times New Roman"/>
          <w:sz w:val="18"/>
          <w:szCs w:val="18"/>
          <w:color w:val="auto"/>
        </w:rPr>
        <w:t>”) as the person authorized to initial all plans, drawings, changes orders and approvals pursuant to this Work Letter. Landlord shall not be obligated to respond to or act upon any such item until such item has been initialed by Tenant’s Authorized Representative.</w:t>
      </w:r>
    </w:p>
    <w:p>
      <w:pPr>
        <w:spacing w:after="0" w:line="176"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Tenant Improvements Schedule</w:t>
      </w:r>
      <w:r>
        <w:rPr>
          <w:rFonts w:ascii="Times New Roman" w:cs="Times New Roman" w:eastAsia="Times New Roman" w:hAnsi="Times New Roman"/>
          <w:sz w:val="18"/>
          <w:szCs w:val="18"/>
          <w:color w:val="auto"/>
        </w:rPr>
        <w:t xml:space="preserve">. The schedule for the design and development of Tenant Improvements, including, without limitation, the time periods for preparation and review of construction documents, approvals and performance, shall be in accordance with that certain schedule prepared by Landlord and Tenant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Work Letter (the “</w:t>
      </w:r>
      <w:r>
        <w:rPr>
          <w:rFonts w:ascii="Times New Roman" w:cs="Times New Roman" w:eastAsia="Times New Roman" w:hAnsi="Times New Roman"/>
          <w:sz w:val="18"/>
          <w:szCs w:val="18"/>
          <w:u w:val="single" w:color="auto"/>
          <w:color w:val="auto"/>
        </w:rPr>
        <w:t>Tenant Improvements Schedule</w:t>
      </w:r>
      <w:r>
        <w:rPr>
          <w:rFonts w:ascii="Times New Roman" w:cs="Times New Roman" w:eastAsia="Times New Roman" w:hAnsi="Times New Roman"/>
          <w:sz w:val="18"/>
          <w:szCs w:val="18"/>
          <w:color w:val="auto"/>
        </w:rPr>
        <w:t>”). The Tenant Improvements Schedule shall be subject to adjustment as mutually agreed upon in writing by the parties, or as provided in this Work Letter.</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xml:space="preserve">. The budget for completing the Tenant Improvements is attached as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to this Work Letter (the “</w:t>
      </w:r>
      <w:r>
        <w:rPr>
          <w:rFonts w:ascii="Times New Roman" w:cs="Times New Roman" w:eastAsia="Times New Roman" w:hAnsi="Times New Roman"/>
          <w:sz w:val="18"/>
          <w:szCs w:val="18"/>
          <w:u w:val="single" w:color="auto"/>
          <w:color w:val="auto"/>
        </w:rPr>
        <w:t>Initial Budget</w:t>
      </w:r>
      <w:r>
        <w:rPr>
          <w:rFonts w:ascii="Times New Roman" w:cs="Times New Roman" w:eastAsia="Times New Roman" w:hAnsi="Times New Roman"/>
          <w:sz w:val="18"/>
          <w:szCs w:val="18"/>
          <w:color w:val="auto"/>
        </w:rPr>
        <w:t>”). The Initial Budget shall be subject to adjustment as mutually agreed upon in writing by the parties, or as provided in this Work Letter. The Initial Budget and any revised budgets are referred to herein as a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Architects and Consultants</w:t>
      </w:r>
      <w:r>
        <w:rPr>
          <w:rFonts w:ascii="Times New Roman" w:cs="Times New Roman" w:eastAsia="Times New Roman" w:hAnsi="Times New Roman"/>
          <w:sz w:val="18"/>
          <w:szCs w:val="18"/>
          <w:color w:val="auto"/>
        </w:rPr>
        <w:t>. The architect, engineering consultants, design team, general contractor and subcontractors responsible for the construction of the Tenant Improvements shall be selected by Landlord and approved by Tenant, which approval Tenant shall not unreasonably withhold, condition or delay. Landlord and Tenant hereby approve of Cody Brock as the general contractor and DIA Architects as the architect.</w:t>
      </w:r>
    </w:p>
    <w:p>
      <w:pPr>
        <w:spacing w:after="0" w:line="176" w:lineRule="exact"/>
        <w:rPr>
          <w:sz w:val="20"/>
          <w:szCs w:val="20"/>
          <w:color w:val="auto"/>
        </w:rPr>
      </w:pPr>
    </w:p>
    <w:p>
      <w:pPr>
        <w:ind w:left="180" w:hanging="172"/>
        <w:spacing w:after="0"/>
        <w:tabs>
          <w:tab w:leader="none" w:pos="18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Work Plans</w:t>
      </w:r>
      <w:r>
        <w:rPr>
          <w:rFonts w:ascii="Times New Roman" w:cs="Times New Roman" w:eastAsia="Times New Roman" w:hAnsi="Times New Roman"/>
          <w:sz w:val="18"/>
          <w:szCs w:val="18"/>
          <w:color w:val="auto"/>
        </w:rPr>
        <w:t xml:space="preserve">. The Tenant Improvements shall be performed by Landlord at Tenant’s sole cost and expense and without cost to Landlord (except for the Base TI Allowance and, if properly requested by Tenant, the Additional TI Allowance) and in accordance with the Approved TI Plans (as defined below). The design drawings, plans and specifications listed on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to this Work Letter (the “</w:t>
      </w:r>
      <w:r>
        <w:rPr>
          <w:rFonts w:ascii="Times New Roman" w:cs="Times New Roman" w:eastAsia="Times New Roman" w:hAnsi="Times New Roman"/>
          <w:sz w:val="18"/>
          <w:szCs w:val="18"/>
          <w:u w:val="single" w:color="auto"/>
          <w:color w:val="auto"/>
        </w:rPr>
        <w:t>Tenant Work Plans</w:t>
      </w:r>
      <w:r>
        <w:rPr>
          <w:rFonts w:ascii="Times New Roman" w:cs="Times New Roman" w:eastAsia="Times New Roman" w:hAnsi="Times New Roman"/>
          <w:sz w:val="18"/>
          <w:szCs w:val="18"/>
          <w:color w:val="auto"/>
        </w:rPr>
        <w:t>”) are the initial list of plans that Landlord shall develop and submit to Tenant for approval. Landlord shall prepare and submit to Tenant for approval schematics covering the Tenant Improvements prepared in conformity with the applicable provisions of this Work Letter (the “</w:t>
      </w:r>
      <w:r>
        <w:rPr>
          <w:rFonts w:ascii="Times New Roman" w:cs="Times New Roman" w:eastAsia="Times New Roman" w:hAnsi="Times New Roman"/>
          <w:sz w:val="18"/>
          <w:szCs w:val="18"/>
          <w:u w:val="single" w:color="auto"/>
          <w:color w:val="auto"/>
        </w:rPr>
        <w:t>Draft Plans</w:t>
      </w:r>
      <w:r>
        <w:rPr>
          <w:rFonts w:ascii="Times New Roman" w:cs="Times New Roman" w:eastAsia="Times New Roman" w:hAnsi="Times New Roman"/>
          <w:sz w:val="18"/>
          <w:szCs w:val="18"/>
          <w:color w:val="auto"/>
        </w:rPr>
        <w:t>”). The Draft Plans shall contain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380"/>
          </w:cols>
          <w:pgMar w:left="240" w:top="266" w:right="279" w:bottom="1440" w:gutter="0" w:footer="0" w:header="0"/>
        </w:sectPr>
      </w:pPr>
    </w:p>
    <w:bookmarkStart w:id="503" w:name="page504"/>
    <w:bookmarkEnd w:id="50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sufficient information and detail to accurately describe the proposed design to Tenant and such other information as Tenant may reasonably request. Tenant shall be solely responsible for ensuring that the Tenant Work Plans and the Draft Plans satisfy Tenant’s requirements for the Tenant Improvements. Notwithstanding anything to the contrary in this Lease or the Work Letter, except for Changes requested by Tenant (that shall be performed for an amount not to exceed the “not to exceed” price provided by Landlord to Tenant at the time Landlord approves such Change) and costs due to Tenant Delays, Landlord shall be solely responsible, and Tenant shall not be responsible, for any costs to construct the Tenant Improvements (to the extent specifically described in </w:t>
      </w:r>
      <w:r>
        <w:rPr>
          <w:rFonts w:ascii="Times New Roman" w:cs="Times New Roman" w:eastAsia="Times New Roman" w:hAnsi="Times New Roman"/>
          <w:sz w:val="18"/>
          <w:szCs w:val="18"/>
          <w:u w:val="single" w:color="auto"/>
          <w:color w:val="auto"/>
        </w:rPr>
        <w:t>Exhibits 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G-2</w:t>
      </w:r>
      <w:r>
        <w:rPr>
          <w:rFonts w:ascii="Times New Roman" w:cs="Times New Roman" w:eastAsia="Times New Roman" w:hAnsi="Times New Roman"/>
          <w:sz w:val="18"/>
          <w:szCs w:val="18"/>
          <w:color w:val="auto"/>
        </w:rPr>
        <w:t>) in excess of the Base TI Allowance.</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Landlord Approval of Plans</w:t>
      </w:r>
      <w:r>
        <w:rPr>
          <w:rFonts w:ascii="Times New Roman" w:cs="Times New Roman" w:eastAsia="Times New Roman" w:hAnsi="Times New Roman"/>
          <w:sz w:val="18"/>
          <w:szCs w:val="18"/>
          <w:color w:val="auto"/>
        </w:rPr>
        <w:t xml:space="preserve">. Tenant shall notify Landlord in writing within five (5) days after receipt of the Draft Plans whether Tenant approves or objects to the Draft Plans and of the manner, if any, in which the Draft Plans are unacceptable. If Tenant objects to the Draft Plans, then Landlord shall revise the Draft Plans and cause Tenant’s objections to be remedied in the revised Draft Plans. Landlord shall then resubmit the revised Draft Plans to Tenant for approval. Tenant’s approval of or objection to revised Draft Plans and Landlord’s correction of the same shall be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until Tenant has approved the Draft Plans in writing. The iteration of the Draft Plans that is approved by Tenant without objection shall be referred to herein as the “</w:t>
      </w:r>
      <w:r>
        <w:rPr>
          <w:rFonts w:ascii="Times New Roman" w:cs="Times New Roman" w:eastAsia="Times New Roman" w:hAnsi="Times New Roman"/>
          <w:sz w:val="18"/>
          <w:szCs w:val="18"/>
          <w:u w:val="single" w:color="auto"/>
          <w:color w:val="auto"/>
        </w:rPr>
        <w:t>Approved Draft Plans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Design Development Plans.</w:t>
      </w:r>
      <w:r>
        <w:rPr>
          <w:rFonts w:ascii="Times New Roman" w:cs="Times New Roman" w:eastAsia="Times New Roman" w:hAnsi="Times New Roman"/>
          <w:sz w:val="18"/>
          <w:szCs w:val="18"/>
          <w:color w:val="auto"/>
        </w:rPr>
        <w:t xml:space="preserve"> Landlord shall prepare design development plans for the Tenant Improvements that (a) are consistent with and are logical evolutions of the Approved Draft Plans, (b) incorporate Permitted Changes and (c) incorporate any other Landlord-requested Changes. As soon as such design development plans (the “</w:t>
      </w:r>
      <w:r>
        <w:rPr>
          <w:rFonts w:ascii="Times New Roman" w:cs="Times New Roman" w:eastAsia="Times New Roman" w:hAnsi="Times New Roman"/>
          <w:sz w:val="18"/>
          <w:szCs w:val="18"/>
          <w:u w:val="single" w:color="auto"/>
          <w:color w:val="auto"/>
        </w:rPr>
        <w:t>Design Development Plans</w:t>
      </w:r>
      <w:r>
        <w:rPr>
          <w:rFonts w:ascii="Times New Roman" w:cs="Times New Roman" w:eastAsia="Times New Roman" w:hAnsi="Times New Roman"/>
          <w:sz w:val="18"/>
          <w:szCs w:val="18"/>
          <w:color w:val="auto"/>
        </w:rPr>
        <w:t>”) are completed, Landlord shall deliver the same to Tenant for Tenant’s approval, which approval may not be unreasonably withheld and may be withheld only if the Design Development Plans are not consistent with or logical evolutions of the Approved Draft Plans. Such Design Development Plans shall be approved or disapproved by Tenant within five (5) days after delivery to Tenant. If Tenant fails to notify Landlord of disapproval within such five (5) day period, the Design Development Plans shall be deemed approved. If the Design Development Plans are disapproved by Tenant, then Tenant shall notify Landlord in writing of its objections to such Design Development Plans and the parties shall confer and negotiate in good faith to reach agreement on the Design Development Plans.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Approved Plans</w:t>
      </w:r>
      <w:r>
        <w:rPr>
          <w:rFonts w:ascii="Times New Roman" w:cs="Times New Roman" w:eastAsia="Times New Roman" w:hAnsi="Times New Roman"/>
          <w:sz w:val="18"/>
          <w:szCs w:val="18"/>
          <w:color w:val="auto"/>
        </w:rPr>
        <w:t>. Landlord shall prepare final plans and specifications for the Tenant Improvements that (a) are consistent with and are logical evolutions of the Design Development Plans, (b) incorporate Permitted Changes (as defined below) and (c) incorporate any other Landlord-requested Changes. As soon as such final plans and specifications (“</w:t>
      </w:r>
      <w:r>
        <w:rPr>
          <w:rFonts w:ascii="Times New Roman" w:cs="Times New Roman" w:eastAsia="Times New Roman" w:hAnsi="Times New Roman"/>
          <w:sz w:val="18"/>
          <w:szCs w:val="18"/>
          <w:u w:val="single" w:color="auto"/>
          <w:color w:val="auto"/>
        </w:rPr>
        <w:t>Final Plans</w:t>
      </w:r>
      <w:r>
        <w:rPr>
          <w:rFonts w:ascii="Times New Roman" w:cs="Times New Roman" w:eastAsia="Times New Roman" w:hAnsi="Times New Roman"/>
          <w:sz w:val="18"/>
          <w:szCs w:val="18"/>
          <w:color w:val="auto"/>
        </w:rPr>
        <w:t>”) are completed, Landlord shall deliver the same to Tenant for Tenant’s approval, which approval may not be unreasonably withheld and may be withheld only if (y) the Final Plans are not consistent with or logical evolutions of the Design Development Plans or (z) Tenant objects to any Landlord-requested Change (other than Permitted Changes). Such Final Plans shall be approved or disapproved by Tenant within five (5) days after delivery to Tenant. If Tenant fails to notify Landlord of disapproval within such five (5) day period, the Final Plans shall be deemed approved. If the Final Plans are disapproved by Tenant, then Tenant shall notify Landlord in writing of its objections to such Final Plans and shall submit any requested Changes through a Tenant Change Order Request (as defined below), and the parties shall confer and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380"/>
          </w:cols>
          <w:pgMar w:left="240" w:top="270" w:right="279" w:bottom="1440" w:gutter="0" w:footer="0" w:header="0"/>
        </w:sectPr>
      </w:pPr>
    </w:p>
    <w:bookmarkStart w:id="504" w:name="page505"/>
    <w:bookmarkEnd w:id="50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negotiate in good faith to reach agreement on the Final Plans. Promptly after the Final Plans are approved by Landlord and Tenant, two (2) copies of such Final Plans shall be initialed and dated by Landlord and Tenant as soon as approved by Landlord and Tenant, Landlord shall promptly submit such Final Plans to all appropriate governmental agencies for approval. The Final Plans so approved, and all change orders specifically permitted by this Agreement, are referred to herein as the “</w:t>
      </w:r>
      <w:r>
        <w:rPr>
          <w:rFonts w:ascii="Times New Roman" w:cs="Times New Roman" w:eastAsia="Times New Roman" w:hAnsi="Times New Roman"/>
          <w:sz w:val="18"/>
          <w:szCs w:val="18"/>
          <w:u w:val="single" w:color="auto"/>
          <w:color w:val="auto"/>
        </w:rPr>
        <w:t>Approved Plans</w:t>
      </w:r>
      <w:r>
        <w:rPr>
          <w:rFonts w:ascii="Times New Roman" w:cs="Times New Roman" w:eastAsia="Times New Roman" w:hAnsi="Times New Roman"/>
          <w:sz w:val="18"/>
          <w:szCs w:val="18"/>
          <w:color w:val="auto"/>
        </w:rPr>
        <w:t>” and shall become part of this Lease as though set forth in full.</w:t>
      </w:r>
    </w:p>
    <w:p>
      <w:pPr>
        <w:spacing w:after="0" w:line="18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Changes to Tenant Improvements</w:t>
      </w:r>
      <w:r>
        <w:rPr>
          <w:rFonts w:ascii="Times New Roman" w:cs="Times New Roman" w:eastAsia="Times New Roman" w:hAnsi="Times New Roman"/>
          <w:sz w:val="18"/>
          <w:szCs w:val="18"/>
          <w:color w:val="auto"/>
        </w:rPr>
        <w:t>. Any changes to the Final Plans or the Approved Plans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requested by Landlord or Tenant (other than Permitted Changes (as defined below) made by Landlord) shall be requested and instituted in accordance with the provisions of this Article 2 and shall be subject to the written approval of the other party in accordance with this Work Letter.</w:t>
      </w:r>
    </w:p>
    <w:p>
      <w:pPr>
        <w:spacing w:after="0" w:line="176" w:lineRule="exact"/>
        <w:rPr>
          <w:sz w:val="20"/>
          <w:szCs w:val="20"/>
          <w:color w:val="auto"/>
        </w:rPr>
      </w:pPr>
    </w:p>
    <w:p>
      <w:pPr>
        <w:ind w:left="1160" w:hanging="239"/>
        <w:spacing w:after="0"/>
        <w:tabs>
          <w:tab w:leader="none" w:pos="11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Requested by Tenant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60" w:firstLine="1492"/>
        <w:spacing w:after="0" w:line="257" w:lineRule="auto"/>
        <w:tabs>
          <w:tab w:leader="none" w:pos="1698"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Change Order Request</w:t>
      </w:r>
      <w:r>
        <w:rPr>
          <w:rFonts w:ascii="Times New Roman" w:cs="Times New Roman" w:eastAsia="Times New Roman" w:hAnsi="Times New Roman"/>
          <w:sz w:val="18"/>
          <w:szCs w:val="18"/>
          <w:color w:val="auto"/>
        </w:rPr>
        <w:t>. Tenant may request Changes after Tenant approves the Final Plans or the Approved Plans, as applicable, by notifying Landlord thereof in writing in substantially the same form as the AIA standard change order form (a “</w:t>
      </w:r>
      <w:r>
        <w:rPr>
          <w:rFonts w:ascii="Times New Roman" w:cs="Times New Roman" w:eastAsia="Times New Roman" w:hAnsi="Times New Roman"/>
          <w:sz w:val="18"/>
          <w:szCs w:val="18"/>
          <w:u w:val="single" w:color="auto"/>
          <w:color w:val="auto"/>
        </w:rPr>
        <w:t>Tenant Change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w:t>
      </w:r>
      <w:r>
        <w:rPr>
          <w:rFonts w:ascii="Times New Roman" w:cs="Times New Roman" w:eastAsia="Times New Roman" w:hAnsi="Times New Roman"/>
          <w:sz w:val="18"/>
          <w:szCs w:val="18"/>
          <w:color w:val="auto"/>
        </w:rPr>
        <w:t>”), which Tenant Change Order Request shall detail the nature and extent of any requested Changes, including, without limitation, (A) the Change,</w:t>
      </w:r>
    </w:p>
    <w:p>
      <w:pPr>
        <w:spacing w:after="0" w:line="1" w:lineRule="exact"/>
        <w:rPr>
          <w:rFonts w:ascii="Times New Roman" w:cs="Times New Roman" w:eastAsia="Times New Roman" w:hAnsi="Times New Roman"/>
          <w:sz w:val="18"/>
          <w:szCs w:val="18"/>
          <w:color w:val="auto"/>
        </w:rPr>
      </w:pPr>
    </w:p>
    <w:p>
      <w:pPr>
        <w:ind w:right="40" w:firstLine="8"/>
        <w:spacing w:after="0" w:line="255" w:lineRule="auto"/>
        <w:tabs>
          <w:tab w:leader="none" w:pos="285"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required to perform the Change and (C) any modification of the Final Plans or the Approved Plans, as applicable, or the respective Schedule and Budget necessitated by the Change. If the nature of a Change requires revisions to the Final Plans or the Approved Plans, as applicable, then Tenant shall be solely responsible for the cost and expense of such revisions. Tenant Change Order Requests shall be signed by Tenant’s Authorized Representative.</w:t>
      </w:r>
    </w:p>
    <w:p>
      <w:pPr>
        <w:spacing w:after="0" w:line="186" w:lineRule="exact"/>
        <w:rPr>
          <w:rFonts w:ascii="Times New Roman" w:cs="Times New Roman" w:eastAsia="Times New Roman" w:hAnsi="Times New Roman"/>
          <w:sz w:val="18"/>
          <w:szCs w:val="18"/>
          <w:color w:val="auto"/>
        </w:rPr>
      </w:pPr>
    </w:p>
    <w:p>
      <w:pPr>
        <w:jc w:val="both"/>
        <w:ind w:firstLine="1492"/>
        <w:spacing w:after="0" w:line="281" w:lineRule="auto"/>
        <w:tabs>
          <w:tab w:leader="none" w:pos="1748" w:val="left"/>
        </w:tabs>
        <w:numPr>
          <w:ilvl w:val="2"/>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Landlord’s Approval of Changes</w:t>
      </w:r>
      <w:r>
        <w:rPr>
          <w:rFonts w:ascii="Times New Roman" w:cs="Times New Roman" w:eastAsia="Times New Roman" w:hAnsi="Times New Roman"/>
          <w:sz w:val="17"/>
          <w:szCs w:val="17"/>
          <w:color w:val="auto"/>
        </w:rPr>
        <w:t>. All Tenant-requested Changes shall be subject to Landlord’s prior written approval, which shall not be unreasonably withheld. Landlord shall have five (5) days after receipt of a Tenant Change Order Request to notify Tenant in writing of Landlord’s approval or disapproval of any such Tenant-requested Change. Landlord shall also promptly notify Tenant of changes to the Budget and the Schedule necessitated by the Change. If Landlord does not approve in writing a Tenant Change Order Request, then such Tenant Change Order Request shall be deemed approved.</w:t>
      </w:r>
    </w:p>
    <w:p>
      <w:pPr>
        <w:spacing w:after="0" w:line="164" w:lineRule="exact"/>
        <w:rPr>
          <w:rFonts w:ascii="Times New Roman" w:cs="Times New Roman" w:eastAsia="Times New Roman" w:hAnsi="Times New Roman"/>
          <w:sz w:val="17"/>
          <w:szCs w:val="17"/>
          <w:color w:val="auto"/>
        </w:rPr>
      </w:pPr>
    </w:p>
    <w:p>
      <w:pPr>
        <w:ind w:left="1180" w:hanging="259"/>
        <w:spacing w:after="0"/>
        <w:tabs>
          <w:tab w:leader="none" w:pos="118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Requested by Landlord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492"/>
        <w:spacing w:after="0" w:line="255" w:lineRule="auto"/>
        <w:tabs>
          <w:tab w:leader="none" w:pos="1698"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Change Order Request. Tenant’s consent shall not be required in connection with Landlord-requested Permitted Changes to the Tenant Improvements;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as to Permitted Changes described in </w:t>
      </w:r>
      <w:r>
        <w:rPr>
          <w:rFonts w:ascii="Times New Roman" w:cs="Times New Roman" w:eastAsia="Times New Roman" w:hAnsi="Times New Roman"/>
          <w:sz w:val="18"/>
          <w:szCs w:val="18"/>
          <w:u w:val="single" w:color="auto"/>
          <w:color w:val="auto"/>
        </w:rPr>
        <w:t>Subsection 2.5(c)(ii)</w:t>
      </w:r>
      <w:r>
        <w:rPr>
          <w:rFonts w:ascii="Times New Roman" w:cs="Times New Roman" w:eastAsia="Times New Roman" w:hAnsi="Times New Roman"/>
          <w:sz w:val="18"/>
          <w:szCs w:val="18"/>
          <w:color w:val="auto"/>
        </w:rPr>
        <w:t xml:space="preserve"> below that do not otherwise qualify as Permitted Changes under </w:t>
      </w:r>
      <w:r>
        <w:rPr>
          <w:rFonts w:ascii="Times New Roman" w:cs="Times New Roman" w:eastAsia="Times New Roman" w:hAnsi="Times New Roman"/>
          <w:sz w:val="18"/>
          <w:szCs w:val="18"/>
          <w:u w:val="single" w:color="auto"/>
          <w:color w:val="auto"/>
        </w:rPr>
        <w:t>Subsection 2.5(c)(iii)</w:t>
      </w:r>
      <w:r>
        <w:rPr>
          <w:rFonts w:ascii="Times New Roman" w:cs="Times New Roman" w:eastAsia="Times New Roman" w:hAnsi="Times New Roman"/>
          <w:sz w:val="18"/>
          <w:szCs w:val="18"/>
          <w:color w:val="auto"/>
        </w:rPr>
        <w:t xml:space="preserve"> below, Landlord must identify such change to Tenant and use reasonable efforts to address any of Tenant’s reasonable concerns with respect to such change;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Tenant communicates such reasonable concerns to Landlord within two (2) business days after notification of the Permitted Change. Other than Permitted Changes, Landlord may request Changes after Tenant approves the Approved Plans by notifying Tenant thereof in writing in substantially the same form as the AIA standard change order form (a “</w:t>
      </w:r>
      <w:r>
        <w:rPr>
          <w:rFonts w:ascii="Times New Roman" w:cs="Times New Roman" w:eastAsia="Times New Roman" w:hAnsi="Times New Roman"/>
          <w:sz w:val="18"/>
          <w:szCs w:val="18"/>
          <w:u w:val="single" w:color="auto"/>
          <w:color w:val="auto"/>
        </w:rPr>
        <w:t>Landlord Change Order Request</w:t>
      </w:r>
      <w:r>
        <w:rPr>
          <w:rFonts w:ascii="Times New Roman" w:cs="Times New Roman" w:eastAsia="Times New Roman" w:hAnsi="Times New Roman"/>
          <w:sz w:val="18"/>
          <w:szCs w:val="18"/>
          <w:color w:val="auto"/>
        </w:rPr>
        <w:t>”), which Landlord Change Order Request shall detail the nature and extent of any requested Changes, including, without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420"/>
          </w:cols>
          <w:pgMar w:left="240" w:top="270" w:right="239" w:bottom="1440" w:gutter="0" w:footer="0" w:header="0"/>
        </w:sectPr>
      </w:pPr>
    </w:p>
    <w:bookmarkStart w:id="505" w:name="page506"/>
    <w:bookmarkEnd w:id="505"/>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(A) the Change, (B) the party required to perform the Change and (C) any modification or the Approved Plans or she respective Schedule and Budget necessitated by the Change. If the nature of a Change requires revisions to the Approved Plans, then Landlord shall be solely responsible for the cost and expense of such revisions.</w:t>
      </w:r>
    </w:p>
    <w:p>
      <w:pPr>
        <w:spacing w:after="0" w:line="176" w:lineRule="exact"/>
        <w:rPr>
          <w:sz w:val="20"/>
          <w:szCs w:val="20"/>
          <w:color w:val="auto"/>
        </w:rPr>
      </w:pPr>
    </w:p>
    <w:p>
      <w:pPr>
        <w:ind w:right="40" w:firstLine="1492"/>
        <w:spacing w:after="0" w:line="266" w:lineRule="auto"/>
        <w:tabs>
          <w:tab w:leader="none" w:pos="1748" w:val="left"/>
        </w:tabs>
        <w:numPr>
          <w:ilvl w:val="2"/>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Approval of Change</w:t>
      </w:r>
      <w:r>
        <w:rPr>
          <w:rFonts w:ascii="Times New Roman" w:cs="Times New Roman" w:eastAsia="Times New Roman" w:hAnsi="Times New Roman"/>
          <w:sz w:val="18"/>
          <w:szCs w:val="18"/>
          <w:color w:val="auto"/>
        </w:rPr>
        <w:t>. Tenant shall have five (5) days after receipt of a Landlord Change Order Request to notify Landlord in writing of Tenant’s approval or rejection of the Landlord-requested Change, which approval shall not be unreasonably withheld. Tenant’s failure to respond within such five (5) day period shall be deemed approval by Tenant.</w:t>
      </w:r>
    </w:p>
    <w:p>
      <w:pPr>
        <w:spacing w:after="0" w:line="176" w:lineRule="exact"/>
        <w:rPr>
          <w:rFonts w:ascii="Times New Roman" w:cs="Times New Roman" w:eastAsia="Times New Roman" w:hAnsi="Times New Roman"/>
          <w:sz w:val="18"/>
          <w:szCs w:val="18"/>
          <w:color w:val="auto"/>
        </w:rPr>
      </w:pPr>
    </w:p>
    <w:p>
      <w:pPr>
        <w:ind w:firstLine="921"/>
        <w:spacing w:after="0" w:line="256" w:lineRule="auto"/>
        <w:tabs>
          <w:tab w:leader="none" w:pos="1157"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Changes</w:t>
      </w:r>
      <w:r>
        <w:rPr>
          <w:rFonts w:ascii="Times New Roman" w:cs="Times New Roman" w:eastAsia="Times New Roman" w:hAnsi="Times New Roman"/>
          <w:sz w:val="18"/>
          <w:szCs w:val="18"/>
          <w:color w:val="auto"/>
        </w:rPr>
        <w:t>. For purposes of this Work Letter, a “</w:t>
      </w:r>
      <w:r>
        <w:rPr>
          <w:rFonts w:ascii="Times New Roman" w:cs="Times New Roman" w:eastAsia="Times New Roman" w:hAnsi="Times New Roman"/>
          <w:sz w:val="18"/>
          <w:szCs w:val="18"/>
          <w:u w:val="single" w:color="auto"/>
          <w:color w:val="auto"/>
        </w:rPr>
        <w:t>Permitted Change</w:t>
      </w:r>
      <w:r>
        <w:rPr>
          <w:rFonts w:ascii="Times New Roman" w:cs="Times New Roman" w:eastAsia="Times New Roman" w:hAnsi="Times New Roman"/>
          <w:sz w:val="18"/>
          <w:szCs w:val="18"/>
          <w:color w:val="auto"/>
        </w:rPr>
        <w:t>” shall mean (i) minor field changes, (ii) changes required by Governmental Authority, (iii) any other changes that (A) do not materially and adversely affect the building structure, roof, or building service equipment to be constructed as part of the Tenant Improvements, (B) do not materially change the size, cost, configuration, or overall appearance of the Tenant Improvements or Tenant’s ability to operate its business in the Building and (C) will not extend the Scheduled Completion Date of the Tenant Improvements (as set forth in the Tenant Improvement Schedule) beyond the Estimated Term Commencement Date, and (iv) ordinary development of the Approved Plans in a manner not inconsistent with the Approved Plans.</w:t>
      </w:r>
    </w:p>
    <w:p>
      <w:pPr>
        <w:spacing w:after="0" w:line="187" w:lineRule="exact"/>
        <w:rPr>
          <w:rFonts w:ascii="Times New Roman" w:cs="Times New Roman" w:eastAsia="Times New Roman" w:hAnsi="Times New Roman"/>
          <w:sz w:val="18"/>
          <w:szCs w:val="18"/>
          <w:color w:val="auto"/>
        </w:rPr>
      </w:pPr>
    </w:p>
    <w:p>
      <w:pPr>
        <w:ind w:right="20" w:firstLine="8"/>
        <w:spacing w:after="0" w:line="261" w:lineRule="auto"/>
        <w:tabs>
          <w:tab w:leader="none" w:pos="18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Consent</w:t>
      </w:r>
      <w:r>
        <w:rPr>
          <w:rFonts w:ascii="Times New Roman" w:cs="Times New Roman" w:eastAsia="Times New Roman" w:hAnsi="Times New Roman"/>
          <w:sz w:val="18"/>
          <w:szCs w:val="18"/>
          <w:color w:val="auto"/>
        </w:rPr>
        <w:t>. Except as otherwise provided in this Work Letter, Tenant shall respond to all requests for consents, approvals or directions made by Landlord pursuant to this Work Letter within five (5) days following Tenant’s receipt of such request. Tenant’s failure to respond within such five (5) day period shall be deemed approval by Tenant. Whenever consent or approval of either party is required, that party shall not unreasonably withhold such consent or approval, except as may he expressly set forth to the contrary;</w:t>
      </w:r>
    </w:p>
    <w:p>
      <w:pPr>
        <w:spacing w:after="0" w:line="18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Headings, Etc</w:t>
      </w:r>
      <w:r>
        <w:rPr>
          <w:rFonts w:ascii="Times New Roman" w:cs="Times New Roman" w:eastAsia="Times New Roman" w:hAnsi="Times New Roman"/>
          <w:sz w:val="18"/>
          <w:szCs w:val="18"/>
          <w:color w:val="auto"/>
        </w:rPr>
        <w:t>. Where applicable in this Work Letter, the singular includes the plural and the masculine or neuter includes the masculine, feminine and neuter. The section headings of this Work Letter are not a part of this Work Letter and shall have no effect upon the construction or interpretation of any part hereof.</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with respect to the performance of every provision of this Work Letter in which time of performance is a factor.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provision of this Work Letter performable by Landlord or Tenant shall be deemed both a covenant and a condition.</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Work Letter are intended by the parties as a final expression of their agreement with respect to the terms as are included herein, and may not be contradicted by evidence of any prior or contemporaneous agreement, other than the Lease.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Invalid Provisions</w:t>
      </w:r>
      <w:r>
        <w:rPr>
          <w:rFonts w:ascii="Times New Roman" w:cs="Times New Roman" w:eastAsia="Times New Roman" w:hAnsi="Times New Roman"/>
          <w:sz w:val="18"/>
          <w:szCs w:val="18"/>
          <w:color w:val="auto"/>
        </w:rPr>
        <w:t>. Any provision of this Work Letter that shall prove to be invalid, void or illegal shall in no way affect, impair or invalidate any other provision hereof, and all other provisions of this Work Letter shall remain in full force and effect and shall be interpreted as if the invalid, void or illegal provision did not exist.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380"/>
          </w:cols>
          <w:pgMar w:left="240" w:top="269" w:right="279" w:bottom="1440" w:gutter="0" w:footer="0" w:header="0"/>
        </w:sectPr>
      </w:pPr>
    </w:p>
    <w:bookmarkStart w:id="506" w:name="page507"/>
    <w:bookmarkEnd w:id="506"/>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in all parts of this Work Letter shall be in all cases construed as a whole according to its fair meaning and not strictly for or against either Landlord or Tenant.</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Assigns</w:t>
      </w:r>
      <w:r>
        <w:rPr>
          <w:rFonts w:ascii="Times New Roman" w:cs="Times New Roman" w:eastAsia="Times New Roman" w:hAnsi="Times New Roman"/>
          <w:sz w:val="18"/>
          <w:szCs w:val="18"/>
          <w:color w:val="auto"/>
        </w:rPr>
        <w:t xml:space="preserve">.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in any way alter the provisions of the Lease restricting assignment or subletting.</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guarantees, warrants and represents that the individual or individuals signing this Work Letter have the power, authority and legal capacity to sign this Work Letter on behalf of and to bind all entities, corporations, partnerships, limited liability companies, joint venturers or other organizations and entities on whose behalf said individual or individuals have signed.</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Work Letter may be executed in one or more counterparts, each of which, when taken together, shall constitute one and the same document.</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Tenant Improvements shall be constructed in accordance with the Approved Plans and all Applicable Laws, in a good and workmanlike manner, free of defects and using new materials and equipment of good quality. Tenant shall have the right to submit a written punchlist to Landlord for each of the Phase 1 Tenant Improvements and Phase 2 Tenant Improvements, setting forth any defective item of construction, and Landlord shall promptly cause any such defective items to be corrected. When permitted by the terms of the applicable contract, Landlord shall partially assign to Tenant any warranties with respect to the foregoing following completion of the Tenant Improvements to the extent maintenance of the same is Tenant’s responsibility under the Lease.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400"/>
          </w:cols>
          <w:pgMar w:left="240" w:top="270" w:right="259" w:bottom="1440" w:gutter="0" w:footer="0" w:header="0"/>
        </w:sectPr>
      </w:pPr>
    </w:p>
    <w:bookmarkStart w:id="507" w:name="page508"/>
    <w:bookmarkEnd w:id="507"/>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executed this Work Letter to be effective on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BMR-34175 ARDENWOOD BOULEVARD LLC, its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Bonanno</w:t>
            </w: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Bonanno</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Jean Frechet</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CEO</w:t>
      </w:r>
    </w:p>
    <w:p>
      <w:pPr>
        <w:sectPr>
          <w:pgSz w:w="11900" w:h="16838" w:orient="portrait"/>
          <w:cols w:equalWidth="0" w:num="1">
            <w:col w:w="10219"/>
          </w:cols>
          <w:pgMar w:left="240" w:top="269" w:right="1440" w:bottom="1440" w:gutter="0" w:footer="0" w:header="0"/>
        </w:sectPr>
      </w:pPr>
    </w:p>
    <w:bookmarkStart w:id="508" w:name="page509"/>
    <w:bookmarkEnd w:id="5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 TO 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TENANT IMPROVEMENTS SCHEDULE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9019"/>
          </w:cols>
          <w:pgMar w:left="1440" w:top="266" w:right="1440" w:bottom="1440" w:gutter="0" w:footer="0" w:header="0"/>
        </w:sectPr>
      </w:pPr>
    </w:p>
    <w:bookmarkStart w:id="509" w:name="page510"/>
    <w:bookmarkEnd w:id="5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621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9019"/>
          </w:cols>
          <w:pgMar w:left="1440" w:top="1440" w:right="1440" w:bottom="1440" w:gutter="0" w:footer="0" w:header="0"/>
        </w:sectPr>
      </w:pPr>
    </w:p>
    <w:bookmarkStart w:id="510" w:name="page511"/>
    <w:bookmarkEnd w:id="5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04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490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B-1-3</w:t>
      </w:r>
    </w:p>
    <w:p>
      <w:pPr>
        <w:sectPr>
          <w:pgSz w:w="11900" w:h="16838" w:orient="portrait"/>
          <w:cols w:equalWidth="0" w:num="1">
            <w:col w:w="9019"/>
          </w:cols>
          <w:pgMar w:left="1440" w:top="1440" w:right="1440" w:bottom="1440" w:gutter="0" w:footer="0" w:header="0"/>
        </w:sectPr>
      </w:pPr>
    </w:p>
    <w:bookmarkStart w:id="511" w:name="page512"/>
    <w:bookmarkEnd w:id="5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53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B-1-4</w:t>
      </w:r>
    </w:p>
    <w:p>
      <w:pPr>
        <w:sectPr>
          <w:pgSz w:w="11900" w:h="16838" w:orient="portrait"/>
          <w:cols w:equalWidth="0" w:num="1">
            <w:col w:w="9019"/>
          </w:cols>
          <w:pgMar w:left="1440" w:top="1440" w:right="1440" w:bottom="1440" w:gutter="0" w:footer="0" w:header="0"/>
        </w:sectPr>
      </w:pPr>
    </w:p>
    <w:bookmarkStart w:id="512" w:name="page513"/>
    <w:bookmarkEnd w:id="51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 TO EXHIBIT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 WORK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174625</wp:posOffset>
            </wp:positionV>
            <wp:extent cx="4467860" cy="57461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467860" cy="574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9019"/>
          </w:cols>
          <w:pgMar w:left="1440" w:top="265" w:right="1440" w:bottom="1440" w:gutter="0" w:footer="0" w:header="0"/>
        </w:sectPr>
      </w:pPr>
    </w:p>
    <w:bookmarkStart w:id="513" w:name="page514"/>
    <w:bookmarkEnd w:id="5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3 TO 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BUDGET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Tarlton Properties, Inc. Summary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C:\Documents and Settings\jjohnson\Local Settings\Temporary Internet Files\OLK7B\Nteryx Budget Analysis 6Aug08 (2).xls Sheet 1</w:t>
      </w:r>
    </w:p>
    <w:p>
      <w:pPr>
        <w:sectPr>
          <w:pgSz w:w="11900" w:h="16838" w:orient="portrait"/>
          <w:cols w:equalWidth="0" w:num="1">
            <w:col w:w="11420"/>
          </w:cols>
          <w:pgMar w:left="240" w:top="266" w:right="2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w:t>
            </w: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Nteryx Tenant Improvement</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Address:</w:t>
            </w: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34175 Ardenwood Blvd.,</w:t>
            </w:r>
          </w:p>
        </w:tc>
      </w:tr>
      <w:tr>
        <w:trPr>
          <w:trHeight w:val="230"/>
        </w:trPr>
        <w:tc>
          <w:tcPr>
            <w:tcW w:w="5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Fremont, CA</w:t>
            </w: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w:t>
            </w: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Cody Brock</w:t>
            </w:r>
          </w:p>
        </w:tc>
      </w:tr>
      <w:tr>
        <w:trPr>
          <w:trHeight w:val="30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Budget Basis:</w:t>
            </w: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DGA Drawings &amp; Subsequent</w:t>
            </w:r>
          </w:p>
        </w:tc>
      </w:tr>
      <w:tr>
        <w:trPr>
          <w:trHeight w:val="216"/>
        </w:trPr>
        <w:tc>
          <w:tcPr>
            <w:tcW w:w="5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Meetings/Phone</w:t>
            </w:r>
          </w:p>
        </w:tc>
      </w:tr>
      <w:tr>
        <w:trPr>
          <w:trHeight w:val="230"/>
        </w:trPr>
        <w:tc>
          <w:tcPr>
            <w:tcW w:w="5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Conversations</w:t>
            </w: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Area:</w:t>
            </w: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27,620 SF</w:t>
            </w:r>
          </w:p>
        </w:tc>
      </w:tr>
      <w:tr>
        <w:trPr>
          <w:trHeight w:val="412"/>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Sub-Total</w:t>
            </w:r>
          </w:p>
        </w:tc>
      </w:tr>
      <w:tr>
        <w:trPr>
          <w:trHeight w:val="185"/>
        </w:trPr>
        <w:tc>
          <w:tcPr>
            <w:tcW w:w="57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Cody Brock Budget DTD 6/25/08</w:t>
            </w:r>
          </w:p>
        </w:tc>
        <w:tc>
          <w:tcPr>
            <w:tcW w:w="3960" w:type="dxa"/>
            <w:vAlign w:val="bottom"/>
          </w:tcPr>
          <w:p>
            <w:pPr>
              <w:spacing w:after="0"/>
              <w:rPr>
                <w:sz w:val="16"/>
                <w:szCs w:val="16"/>
                <w:color w:val="auto"/>
              </w:rPr>
            </w:pPr>
          </w:p>
        </w:tc>
        <w:tc>
          <w:tcPr>
            <w:tcW w:w="8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1,179,185</w:t>
            </w:r>
          </w:p>
        </w:tc>
        <w:tc>
          <w:tcPr>
            <w:tcW w:w="20" w:type="dxa"/>
            <w:vAlign w:val="bottom"/>
          </w:tcPr>
          <w:p>
            <w:pPr>
              <w:spacing w:after="0"/>
              <w:rPr>
                <w:sz w:val="16"/>
                <w:szCs w:val="16"/>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 Hard Costs &amp; Projected GMP</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1,179,185</w:t>
            </w:r>
          </w:p>
        </w:tc>
      </w:tr>
      <w:tr>
        <w:trPr>
          <w:trHeight w:val="205"/>
        </w:trPr>
        <w:tc>
          <w:tcPr>
            <w:tcW w:w="57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Contingency for Project Generated CO’s (DD to CD; CD to CO @ 5%)</w:t>
            </w:r>
          </w:p>
        </w:tc>
        <w:tc>
          <w:tcPr>
            <w:tcW w:w="3960" w:type="dxa"/>
            <w:vAlign w:val="bottom"/>
          </w:tcPr>
          <w:p>
            <w:pPr>
              <w:spacing w:after="0"/>
              <w:rPr>
                <w:sz w:val="17"/>
                <w:szCs w:val="17"/>
                <w:color w:val="auto"/>
              </w:rPr>
            </w:pPr>
          </w:p>
        </w:tc>
        <w:tc>
          <w:tcPr>
            <w:tcW w:w="82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58,959</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Purchase &amp; Installation of Cage Wash (refurb. unit with warr.)</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Permits/Fees (Allowance) **</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17,688</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Architectural &amp; Engineering ***</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106,127</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Management ****</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61,907</w:t>
            </w: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1,483,866</w:t>
            </w:r>
          </w:p>
        </w:tc>
      </w:tr>
      <w:tr>
        <w:trPr>
          <w:trHeight w:val="20"/>
        </w:trPr>
        <w:tc>
          <w:tcPr>
            <w:tcW w:w="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-1148715</wp:posOffset>
            </wp:positionV>
            <wp:extent cx="7246620" cy="146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371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1371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1371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(pending requirement/cost of outside plan check)</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 any add for increased scope (DGA not available for confirmation at time of publication)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at 5% of hard costs, per LOL This fee is for the coordination and oversight of the entire process, including entitlements, etc.</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Cost Per SF</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42.69</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42.69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13335</wp:posOffset>
            </wp:positionV>
            <wp:extent cx="50609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0.64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5715</wp:posOffset>
            </wp:positionV>
            <wp:extent cx="5060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22860</wp:posOffset>
            </wp:positionV>
            <wp:extent cx="50609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520" w:space="140"/>
            <w:col w:w="760"/>
          </w:cols>
          <w:pgMar w:left="240" w:top="266" w:right="239" w:bottom="1440" w:gutter="0" w:footer="0" w:header="0"/>
          <w:type w:val="continuous"/>
        </w:sectPr>
      </w:pPr>
    </w:p>
    <w:bookmarkStart w:id="514" w:name="page515"/>
    <w:bookmarkEnd w:id="5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ACKNOWLEDGEMENT OF PHASE 1 TERM COMMENCEMENT DATE</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AND TERM EXPIRATION DATE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ACKNOWLEDGEMENT OF PHASE 1 TERM COMMENCEMENT DATE AND TERM EXPIRATION DATE is entered into as of</w:t>
      </w:r>
    </w:p>
    <w:p>
      <w:pPr>
        <w:spacing w:after="0" w:line="27" w:lineRule="exact"/>
        <w:rPr>
          <w:sz w:val="20"/>
          <w:szCs w:val="20"/>
          <w:color w:val="auto"/>
        </w:rPr>
      </w:pPr>
    </w:p>
    <w:p>
      <w:pPr>
        <w:jc w:val="both"/>
        <w:ind w:firstLine="8"/>
        <w:spacing w:after="0" w:line="255" w:lineRule="auto"/>
        <w:tabs>
          <w:tab w:leader="none" w:pos="9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 with reference to that certain Lease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dated as of August 8, 2008, by NTERYX,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in favor of 34175 ARDENWOOD VENTURE,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-306705</wp:posOffset>
            </wp:positionV>
            <wp:extent cx="571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-306705</wp:posOffset>
            </wp:positionV>
            <wp:extent cx="1143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Tenant hereby confirms the following:</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w w:val="99"/>
              </w:rPr>
              <w:t>1. Tenant accepted possession of the Phase 1 Premises on [</w:t>
            </w:r>
          </w:p>
        </w:tc>
        <w:tc>
          <w:tcPr>
            <w:tcW w:w="90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  ].</w:t>
            </w:r>
          </w:p>
        </w:tc>
      </w:tr>
      <w:tr>
        <w:trPr>
          <w:trHeight w:val="20"/>
        </w:trPr>
        <w:tc>
          <w:tcPr>
            <w:tcW w:w="4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hanging="176"/>
        <w:spacing w:after="0"/>
        <w:tabs>
          <w:tab w:leader="none" w:pos="6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actual knowledge, the Phase 1 Premises are in good order, condition and repair.</w:t>
      </w:r>
    </w:p>
    <w:p>
      <w:pPr>
        <w:spacing w:after="0" w:line="22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 Tenant Improvements required to be constructed by Landlord under the Lease have been substantially completed.</w:t>
      </w:r>
    </w:p>
    <w:p>
      <w:pPr>
        <w:spacing w:after="0" w:line="225" w:lineRule="exact"/>
        <w:rPr>
          <w:rFonts w:ascii="Times New Roman" w:cs="Times New Roman" w:eastAsia="Times New Roman" w:hAnsi="Times New Roman"/>
          <w:sz w:val="18"/>
          <w:szCs w:val="18"/>
          <w:color w:val="auto"/>
        </w:rPr>
      </w:pPr>
    </w:p>
    <w:p>
      <w:pPr>
        <w:ind w:right="280" w:firstLine="464"/>
        <w:spacing w:after="0" w:line="282" w:lineRule="auto"/>
        <w:tabs>
          <w:tab w:leader="none" w:pos="636"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of the Lease to be performed by Landlord as a condition to the full effectiveness of the Lease with respect to the Phase 1 Premises have been satisfied, and Landlord has fulfilled all of its duties in the nature of inducements offered to Tenant to lease the Phase 1 Premises.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In accordance with the provisions of Section 4.2 of the Lease, the Phase 1 Term Commencement Date is [</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20[  ], and, unless the Lease is</w:t>
            </w:r>
          </w:p>
        </w:tc>
      </w:tr>
      <w:tr>
        <w:trPr>
          <w:trHeight w:val="20"/>
        </w:trPr>
        <w:tc>
          <w:tcPr>
            <w:tcW w:w="332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74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terminated prior to the Term Expiration Date pursuant to its terms, the Term Expiration Date shall be [</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4"/>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 20[  ].</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12"/>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Tenant commenced occupancy of the Phase 1 Premises for the Permitted Use on [</w:t>
            </w:r>
          </w:p>
        </w:tc>
        <w:tc>
          <w:tcPr>
            <w:tcW w:w="900" w:type="dxa"/>
            <w:vAlign w:val="bottom"/>
          </w:tcPr>
          <w:p>
            <w:pPr>
              <w:spacing w:after="0"/>
              <w:rPr>
                <w:sz w:val="24"/>
                <w:szCs w:val="24"/>
                <w:color w:val="auto"/>
              </w:rPr>
            </w:pPr>
          </w:p>
        </w:tc>
        <w:tc>
          <w:tcPr>
            <w:tcW w:w="8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20[  ].</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The Lease is in full force and effect, and the same represents the entire agreement between Landlord and Tenant concerning the Premises [, except</w:t>
      </w:r>
    </w:p>
    <w:p>
      <w:pPr>
        <w:spacing w:after="0" w:line="27" w:lineRule="exact"/>
        <w:rPr>
          <w:sz w:val="20"/>
          <w:szCs w:val="20"/>
          <w:color w:val="auto"/>
        </w:rPr>
      </w:pPr>
    </w:p>
    <w:p>
      <w:pPr>
        <w:ind w:left="600" w:hanging="592"/>
        <w:spacing w:after="0"/>
        <w:tabs>
          <w:tab w:leader="none" w:pos="60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40" w:firstLine="464"/>
        <w:spacing w:after="0" w:line="282" w:lineRule="auto"/>
        <w:tabs>
          <w:tab w:leader="none" w:pos="636"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 existing defenses against the enforcement of the Lease by Landlord, and there exist no offsets or credits against Rent owed or to be owed by Tenant.</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Rent is presently in effect with respect to the Phase 1 Premises and all Rent obligations on the part of Tenant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-693420</wp:posOffset>
            </wp:positionV>
            <wp:extent cx="3429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9"/>
              </w:rPr>
              <w:t>with respect to the Phase 1 Premises commenced to accrue on [</w:t>
            </w:r>
          </w:p>
        </w:tc>
        <w:tc>
          <w:tcPr>
            <w:tcW w:w="156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 20[  ].</w:t>
            </w:r>
          </w:p>
        </w:tc>
      </w:tr>
      <w:tr>
        <w:trPr>
          <w:trHeight w:val="20"/>
        </w:trPr>
        <w:tc>
          <w:tcPr>
            <w:tcW w:w="4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464"/>
        <w:spacing w:after="0" w:line="282" w:lineRule="auto"/>
        <w:tabs>
          <w:tab w:leader="none" w:pos="72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Tenant has not made any prior assignment, transfer, hypothecation or pledge of the Lease or of the rents thereunder or sublease of the Premises or any portion thereof.</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360"/>
          </w:cols>
          <w:pgMar w:left="240" w:top="266" w:right="299" w:bottom="1440" w:gutter="0" w:footer="0" w:header="0"/>
        </w:sectPr>
      </w:pPr>
    </w:p>
    <w:bookmarkStart w:id="515" w:name="page516"/>
    <w:bookmarkEnd w:id="515"/>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69"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C-1-2</w:t>
      </w:r>
    </w:p>
    <w:p>
      <w:pPr>
        <w:sectPr>
          <w:pgSz w:w="11900" w:h="16838" w:orient="portrait"/>
          <w:cols w:equalWidth="0" w:num="1">
            <w:col w:w="9019"/>
          </w:cols>
          <w:pgMar w:left="1440" w:top="269" w:right="1440" w:bottom="1440" w:gutter="0" w:footer="0" w:header="0"/>
          <w:type w:val="continuous"/>
        </w:sectPr>
      </w:pPr>
    </w:p>
    <w:bookmarkStart w:id="516" w:name="page517"/>
    <w:bookmarkEnd w:id="516"/>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Tenant has executed this Acknowledgment of Phase 1 Term Commencement Date and Term Expiration Date as of the date first written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300"/>
          </w:cols>
          <w:pgMar w:left="240" w:top="270" w:right="359" w:bottom="1440" w:gutter="0" w:footer="0" w:header="0"/>
        </w:sectPr>
      </w:pPr>
    </w:p>
    <w:bookmarkStart w:id="517" w:name="page518"/>
    <w:bookmarkEnd w:id="5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ACKNOWLEDGEMENT OF PHASE 2 TERM COMMENCEMENT DATE</w:t>
      </w:r>
    </w:p>
    <w:p>
      <w:pPr>
        <w:spacing w:after="0" w:line="229" w:lineRule="exact"/>
        <w:rPr>
          <w:sz w:val="20"/>
          <w:szCs w:val="20"/>
          <w:color w:val="auto"/>
        </w:rPr>
      </w:pPr>
    </w:p>
    <w:p>
      <w:pPr>
        <w:ind w:left="460"/>
        <w:spacing w:after="0"/>
        <w:tabs>
          <w:tab w:leader="none" w:pos="8920" w:val="left"/>
          <w:tab w:leader="none" w:pos="9500" w:val="left"/>
        </w:tabs>
        <w:rPr>
          <w:sz w:val="20"/>
          <w:szCs w:val="20"/>
          <w:color w:val="auto"/>
        </w:rPr>
      </w:pPr>
      <w:r>
        <w:rPr>
          <w:rFonts w:ascii="Times New Roman" w:cs="Times New Roman" w:eastAsia="Times New Roman" w:hAnsi="Times New Roman"/>
          <w:sz w:val="18"/>
          <w:szCs w:val="18"/>
          <w:color w:val="auto"/>
        </w:rPr>
        <w:t>THIS ACKNOWLEDGEMENT OF PHASE 2 TERM COMMENCEMENT DATE is entered into as of [</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with reference to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-7620</wp:posOffset>
            </wp:positionV>
            <wp:extent cx="5715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-7620</wp:posOffset>
            </wp:positionV>
            <wp:extent cx="1143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Lease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dated as of August 8, 2008, by NTERYX, INC., a Delaware 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in favor of 34175 ARDENWOOD VENTURE,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All capitalized terms used herein without definition shall have the meanings ascribed to them in the Lease.</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Tenant hereby confirms the following:</w:t>
            </w:r>
          </w:p>
        </w:tc>
        <w:tc>
          <w:tcPr>
            <w:tcW w:w="112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1. Tenant accepted possession of the Phase 2 Premises on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-24765</wp:posOffset>
            </wp:positionV>
            <wp:extent cx="571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-24765</wp:posOffset>
            </wp:positionV>
            <wp:extent cx="1143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8" w:lineRule="exact"/>
        <w:rPr>
          <w:sz w:val="20"/>
          <w:szCs w:val="20"/>
          <w:color w:val="auto"/>
        </w:rPr>
      </w:pPr>
    </w:p>
    <w:p>
      <w:pPr>
        <w:ind w:left="640" w:hanging="176"/>
        <w:spacing w:after="0"/>
        <w:tabs>
          <w:tab w:leader="none" w:pos="6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actual knowledge, the Premises are in good order, condition and repair.</w:t>
      </w:r>
    </w:p>
    <w:p>
      <w:pPr>
        <w:spacing w:after="0" w:line="22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Improvements required to be constructed by Landlord under the Lease have been substantially completed.</w:t>
      </w:r>
    </w:p>
    <w:p>
      <w:pPr>
        <w:spacing w:after="0" w:line="225" w:lineRule="exact"/>
        <w:rPr>
          <w:rFonts w:ascii="Times New Roman" w:cs="Times New Roman" w:eastAsia="Times New Roman" w:hAnsi="Times New Roman"/>
          <w:sz w:val="18"/>
          <w:szCs w:val="18"/>
          <w:color w:val="auto"/>
        </w:rPr>
      </w:pPr>
    </w:p>
    <w:p>
      <w:pPr>
        <w:ind w:right="80" w:firstLine="464"/>
        <w:spacing w:after="0" w:line="282" w:lineRule="auto"/>
        <w:tabs>
          <w:tab w:leader="none" w:pos="63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of the Lease to be performed by Landlord as a conditions to the full effectiveness of the Lease have been satisfied, and Landlord has fulfilled all of its duties in the nature of inducements offered to Tenant to lease the Premises.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5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 accordance with the provisions of Section 4.2 of the Lease, the Phase 2 Term Commencement Date is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  ].</w:t>
            </w:r>
          </w:p>
        </w:tc>
      </w:tr>
      <w:tr>
        <w:trPr>
          <w:trHeight w:val="20"/>
        </w:trPr>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5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Tenant commenced occupancy of the Phase 2 Premises for the Permitted Use on [</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20[  ].</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The Lease is in full force and effect, and the same represents the entire agreement between Landlord and Tenant concerning the Premises [, except</w:t>
      </w:r>
    </w:p>
    <w:p>
      <w:pPr>
        <w:spacing w:after="0" w:line="27" w:lineRule="exact"/>
        <w:rPr>
          <w:sz w:val="20"/>
          <w:szCs w:val="20"/>
          <w:color w:val="auto"/>
        </w:rPr>
      </w:pPr>
    </w:p>
    <w:p>
      <w:pPr>
        <w:ind w:left="600" w:hanging="592"/>
        <w:spacing w:after="0"/>
        <w:tabs>
          <w:tab w:leader="none" w:pos="60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00" w:firstLine="464"/>
        <w:spacing w:after="0" w:line="282" w:lineRule="auto"/>
        <w:tabs>
          <w:tab w:leader="none" w:pos="63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no existing defenses against the enforcement of the Lease by Landlord, and there exist no offsets or credits against Rent owed or to be owed by Tenant.</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pay Rent is presently in effect with respect to the Premises and all Rent obligations on the part of Tenant under the Lease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-693420</wp:posOffset>
            </wp:positionV>
            <wp:extent cx="3429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9"/>
              </w:rPr>
              <w:t>respect to the Phase 2 Premises commenced to accrue on [</w:t>
            </w:r>
          </w:p>
        </w:tc>
        <w:tc>
          <w:tcPr>
            <w:tcW w:w="900" w:type="dxa"/>
            <w:vAlign w:val="bottom"/>
          </w:tcPr>
          <w:p>
            <w:pPr>
              <w:spacing w:after="0"/>
              <w:rPr>
                <w:sz w:val="17"/>
                <w:szCs w:val="17"/>
                <w:color w:val="auto"/>
              </w:rPr>
            </w:pPr>
          </w:p>
        </w:tc>
        <w:tc>
          <w:tcPr>
            <w:tcW w:w="6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 20[  ].</w:t>
            </w:r>
          </w:p>
        </w:tc>
      </w:tr>
      <w:tr>
        <w:trPr>
          <w:trHeight w:val="20"/>
        </w:trPr>
        <w:tc>
          <w:tcPr>
            <w:tcW w:w="4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64"/>
        <w:spacing w:after="0" w:line="282" w:lineRule="auto"/>
        <w:tabs>
          <w:tab w:leader="none" w:pos="72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Tenant has not made any prior assignment, transfer, hypothecation or pledge of the Lease or of the rents thereunder or sublease of the Premises or any portion thereof.</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320"/>
          </w:cols>
          <w:pgMar w:left="240" w:top="266" w:right="339" w:bottom="1440" w:gutter="0" w:footer="0" w:header="0"/>
        </w:sectPr>
      </w:pPr>
    </w:p>
    <w:bookmarkStart w:id="518" w:name="page519"/>
    <w:bookmarkEnd w:id="518"/>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Tenant has executed this Acknowledgment of Phase 2 Term Commencement Date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0800"/>
          </w:cols>
          <w:pgMar w:left="240" w:top="270" w:right="859" w:bottom="1440" w:gutter="0" w:footer="0" w:header="0"/>
        </w:sectPr>
      </w:pPr>
    </w:p>
    <w:bookmarkStart w:id="519" w:name="page520"/>
    <w:bookmarkEnd w:id="5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ADDITIONAL TI ALLOWANCE ACCEPTANCE LETTER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[TENANT LETTERHEAD]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Counsel/Real Estate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Additional TI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This letter concerns that certain Lease dated as of August 8, 2008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between 34175 Ardenwood Venture, LLC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Nteryx, Inc.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Capitalized terms not otherwise defined herein shall have the meanings given them in the 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gridSpan w:val="13"/>
          </w:tcPr>
          <w:p>
            <w:pPr>
              <w:ind w:left="460"/>
              <w:spacing w:after="0"/>
              <w:rPr>
                <w:sz w:val="20"/>
                <w:szCs w:val="20"/>
                <w:color w:val="auto"/>
              </w:rPr>
            </w:pPr>
            <w:r>
              <w:rPr>
                <w:rFonts w:ascii="Times New Roman" w:cs="Times New Roman" w:eastAsia="Times New Roman" w:hAnsi="Times New Roman"/>
                <w:sz w:val="18"/>
                <w:szCs w:val="18"/>
                <w:color w:val="auto"/>
              </w:rPr>
              <w:t>Tenant hereby notifies Landlord that it wishes to exercise its right to utilize the Additional TI Allowance in the amount of [</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Dollars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2"/>
              </w:rPr>
              <w:t>])</w:t>
            </w:r>
          </w:p>
        </w:tc>
      </w:tr>
      <w:tr>
        <w:trPr>
          <w:trHeight w:val="196"/>
        </w:trPr>
        <w:tc>
          <w:tcPr>
            <w:tcW w:w="4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pursuant to Section 4.6 of the Lease.</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45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If you have any questions, please do not hesitate to call [</w:t>
            </w:r>
          </w:p>
        </w:tc>
        <w:tc>
          <w:tcPr>
            <w:tcW w:w="54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at ([</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34" w:lineRule="exact"/>
        <w:rPr>
          <w:sz w:val="20"/>
          <w:szCs w:val="20"/>
          <w:color w:val="auto"/>
        </w:rPr>
      </w:pPr>
    </w:p>
    <w:p>
      <w:pPr>
        <w:ind w:left="920" w:right="9300" w:hanging="466"/>
        <w:spacing w:after="0" w:line="289" w:lineRule="auto"/>
        <w:tabs>
          <w:tab w:leader="none" w:pos="898"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Greg Lubushkin John Bonanno Kevin Simonson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420"/>
          </w:cols>
          <w:pgMar w:left="240" w:top="266" w:right="239" w:bottom="1440" w:gutter="0" w:footer="0" w:header="0"/>
        </w:sectPr>
      </w:pPr>
    </w:p>
    <w:bookmarkStart w:id="520" w:name="page521"/>
    <w:bookmarkEnd w:id="52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EXHIBIT E</w:t>
            </w:r>
          </w:p>
        </w:tc>
      </w:tr>
      <w:tr>
        <w:trPr>
          <w:trHeight w:val="39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 OF LETTER OF CREDIT</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[On letterhead or LIC letterhead of Issuer.]</w:t>
            </w: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LETTER OF CREDIT</w:t>
            </w:r>
          </w:p>
        </w:tc>
      </w:tr>
      <w:tr>
        <w:trPr>
          <w:trHeight w:val="392"/>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200</w:t>
            </w: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“Beneficiary”)</w:t>
            </w:r>
          </w:p>
        </w:tc>
      </w:tr>
      <w:tr>
        <w:trPr>
          <w:trHeight w:val="21"/>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3"/>
        </w:trPr>
        <w:tc>
          <w:tcPr>
            <w:tcW w:w="44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L/C. No.:</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No.:</w:t>
            </w: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establish in favor of Beneficiary our irrevocable and unconditional Letter of Credit numbered as identified above (the “L/C”) for an aggregate</w:t>
      </w:r>
    </w:p>
    <w:tbl>
      <w:tblPr>
        <w:tblLayout w:type="fixed"/>
        <w:tblInd w:w="0" w:type="dxa"/>
        <w:tblCellMar>
          <w:top w:w="0" w:type="dxa"/>
          <w:left w:w="0" w:type="dxa"/>
          <w:bottom w:w="0" w:type="dxa"/>
          <w:right w:w="0" w:type="dxa"/>
        </w:tblCellMar>
      </w:tblPr>
      <w:tr>
        <w:trPr>
          <w:trHeight w:val="203"/>
        </w:trPr>
        <w:tc>
          <w:tcPr>
            <w:tcW w:w="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98"/>
              </w:rPr>
              <w:t>amount of $</w:t>
            </w:r>
          </w:p>
        </w:tc>
        <w:tc>
          <w:tcPr>
            <w:tcW w:w="2500" w:type="dxa"/>
            <w:vAlign w:val="bottom"/>
            <w:gridSpan w:val="6"/>
          </w:tcPr>
          <w:p>
            <w:pPr>
              <w:ind w:left="540"/>
              <w:spacing w:after="0" w:line="203" w:lineRule="exact"/>
              <w:rPr>
                <w:sz w:val="20"/>
                <w:szCs w:val="20"/>
                <w:color w:val="auto"/>
              </w:rPr>
            </w:pPr>
            <w:r>
              <w:rPr>
                <w:rFonts w:ascii="Times New Roman" w:cs="Times New Roman" w:eastAsia="Times New Roman" w:hAnsi="Times New Roman"/>
                <w:sz w:val="18"/>
                <w:szCs w:val="18"/>
                <w:color w:val="auto"/>
              </w:rPr>
              <w:t>, expiring at   :00 p.m. on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gridSpan w:val="8"/>
          </w:tcPr>
          <w:p>
            <w:pPr>
              <w:ind w:left="40"/>
              <w:spacing w:after="0" w:line="203" w:lineRule="exact"/>
              <w:rPr>
                <w:sz w:val="20"/>
                <w:szCs w:val="20"/>
                <w:color w:val="auto"/>
              </w:rPr>
            </w:pPr>
            <w:r>
              <w:rPr>
                <w:rFonts w:ascii="Times New Roman" w:cs="Times New Roman" w:eastAsia="Times New Roman" w:hAnsi="Times New Roman"/>
                <w:sz w:val="18"/>
                <w:szCs w:val="18"/>
                <w:color w:val="auto"/>
              </w:rPr>
              <w:t>or, if such day is not a Banking Day, then the next succeeding Banking Day (such date, as</w:t>
            </w: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extended from time to time, the “Expiry Date”). “Banking Day” means a weekday except a weekday when commercial banks in</w:t>
            </w:r>
          </w:p>
        </w:tc>
        <w:tc>
          <w:tcPr>
            <w:tcW w:w="900" w:type="dxa"/>
            <w:vAlign w:val="bottom"/>
          </w:tcPr>
          <w:p>
            <w:pPr>
              <w:spacing w:after="0"/>
              <w:rPr>
                <w:sz w:val="17"/>
                <w:szCs w:val="17"/>
                <w:color w:val="auto"/>
              </w:rPr>
            </w:pPr>
          </w:p>
        </w:tc>
        <w:tc>
          <w:tcPr>
            <w:tcW w:w="12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are authorized</w:t>
            </w:r>
          </w:p>
        </w:tc>
      </w:tr>
      <w:tr>
        <w:trPr>
          <w:trHeight w:val="237"/>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required to close.</w:t>
            </w:r>
          </w:p>
        </w:tc>
        <w:tc>
          <w:tcPr>
            <w:tcW w:w="88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5700" w:type="dxa"/>
            <w:vAlign w:val="bottom"/>
            <w:gridSpan w:val="13"/>
          </w:tcPr>
          <w:p>
            <w:pPr>
              <w:ind w:left="460"/>
              <w:spacing w:after="0"/>
              <w:rPr>
                <w:sz w:val="20"/>
                <w:szCs w:val="20"/>
                <w:color w:val="auto"/>
              </w:rPr>
            </w:pPr>
            <w:r>
              <w:rPr>
                <w:rFonts w:ascii="Times New Roman" w:cs="Times New Roman" w:eastAsia="Times New Roman" w:hAnsi="Times New Roman"/>
                <w:sz w:val="18"/>
                <w:szCs w:val="18"/>
                <w:color w:val="auto"/>
              </w:rPr>
              <w:t>We authorize Beneficiary to draw on us (the “Issuer”) for the account of</w:t>
            </w:r>
          </w:p>
        </w:tc>
        <w:tc>
          <w:tcPr>
            <w:tcW w:w="900" w:type="dxa"/>
            <w:vAlign w:val="bottom"/>
          </w:tcPr>
          <w:p>
            <w:pPr>
              <w:spacing w:after="0"/>
              <w:rPr>
                <w:sz w:val="24"/>
                <w:szCs w:val="24"/>
                <w:color w:val="auto"/>
              </w:rPr>
            </w:pPr>
          </w:p>
        </w:tc>
        <w:tc>
          <w:tcPr>
            <w:tcW w:w="4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(the “Account Party”), under the terms and conditions of this L/C.</w:t>
            </w:r>
          </w:p>
        </w:tc>
      </w:tr>
      <w:tr>
        <w:trPr>
          <w:trHeight w:val="20"/>
        </w:trPr>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Funds under this L/C are available by presenting the following documentation (the “</w:t>
      </w:r>
      <w:r>
        <w:rPr>
          <w:rFonts w:ascii="Times New Roman" w:cs="Times New Roman" w:eastAsia="Times New Roman" w:hAnsi="Times New Roman"/>
          <w:sz w:val="18"/>
          <w:szCs w:val="18"/>
          <w:u w:val="single" w:color="auto"/>
          <w:color w:val="auto"/>
        </w:rPr>
        <w:t>Drawing Documentation</w:t>
      </w:r>
      <w:r>
        <w:rPr>
          <w:rFonts w:ascii="Times New Roman" w:cs="Times New Roman" w:eastAsia="Times New Roman" w:hAnsi="Times New Roman"/>
          <w:sz w:val="18"/>
          <w:szCs w:val="18"/>
          <w:color w:val="auto"/>
        </w:rPr>
        <w:t xml:space="preserve">”): (a) the original LIC and (b) a sight draft substantially in the form of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with blanks filled in and bracketed items provided as appropriate. No other evidence of authority, certificate, or documentation is required.</w:t>
      </w:r>
    </w:p>
    <w:p>
      <w:pPr>
        <w:spacing w:after="0" w:line="176" w:lineRule="exact"/>
        <w:rPr>
          <w:sz w:val="20"/>
          <w:szCs w:val="20"/>
          <w:color w:val="auto"/>
        </w:rPr>
      </w:pPr>
    </w:p>
    <w:p>
      <w:pPr>
        <w:ind w:left="460"/>
        <w:spacing w:after="0"/>
        <w:tabs>
          <w:tab w:leader="none" w:pos="5980" w:val="left"/>
        </w:tabs>
        <w:rPr>
          <w:sz w:val="20"/>
          <w:szCs w:val="20"/>
          <w:color w:val="auto"/>
        </w:rPr>
      </w:pPr>
      <w:r>
        <w:rPr>
          <w:rFonts w:ascii="Times New Roman" w:cs="Times New Roman" w:eastAsia="Times New Roman" w:hAnsi="Times New Roman"/>
          <w:sz w:val="18"/>
          <w:szCs w:val="18"/>
          <w:color w:val="auto"/>
        </w:rPr>
        <w:t>Drawing Documentation must be presented at Issuer’s office at</w:t>
      </w:r>
      <w:r>
        <w:rPr>
          <w:sz w:val="20"/>
          <w:szCs w:val="20"/>
          <w:color w:val="auto"/>
        </w:rPr>
        <w:tab/>
      </w:r>
      <w:r>
        <w:rPr>
          <w:rFonts w:ascii="Times New Roman" w:cs="Times New Roman" w:eastAsia="Times New Roman" w:hAnsi="Times New Roman"/>
          <w:sz w:val="17"/>
          <w:szCs w:val="17"/>
          <w:color w:val="auto"/>
        </w:rPr>
        <w:t>on or before the Expiry Date by personal presentation, courier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-7620</wp:posOffset>
            </wp:positionV>
            <wp:extent cx="571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messenger service, or fax. Presentation by 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186"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We agree, irrevocably, and irrespective of any claim by any other person, to honor drafts drawn under and in conformity with this L/C, within the maximum amount of this L/C, presented to us on or before the Expiry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we also receive (on or before the Expiry Date) any other Drawing Documentation this L/C requires.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400"/>
          </w:cols>
          <w:pgMar w:left="240" w:top="265" w:right="259" w:bottom="1440" w:gutter="0" w:footer="0" w:header="0"/>
        </w:sectPr>
      </w:pPr>
    </w:p>
    <w:bookmarkStart w:id="521" w:name="page522"/>
    <w:bookmarkEnd w:id="52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shall pay this L/C only from our own funds by check or wire transfer, in compliance with the Drawing Documentation.</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If Beneficiary presents proper Drawing Documentation to us on or before the Expiry Date, then we shall pay under this L/C at or before the following time (the “</w:t>
      </w:r>
      <w:r>
        <w:rPr>
          <w:rFonts w:ascii="Times New Roman" w:cs="Times New Roman" w:eastAsia="Times New Roman" w:hAnsi="Times New Roman"/>
          <w:sz w:val="18"/>
          <w:szCs w:val="18"/>
          <w:u w:val="single" w:color="auto"/>
          <w:color w:val="auto"/>
        </w:rPr>
        <w:t>Payment Deadline</w:t>
      </w:r>
      <w:r>
        <w:rPr>
          <w:rFonts w:ascii="Times New Roman" w:cs="Times New Roman" w:eastAsia="Times New Roman" w:hAnsi="Times New Roman"/>
          <w:sz w:val="18"/>
          <w:szCs w:val="18"/>
          <w:color w:val="auto"/>
        </w:rPr>
        <w:t>”): (a) if presentment is made at or before noon of any Banking Day, then the close of such Banking Day; and (b) otherwise, the close of the next Banking Day. We waive any right to delay payment beyond the Payment Deadline. If we determine that Drawing Documentation is not proper, then we shall so advise Beneficiary in writing, specifying all grounds for our determination, within one Banking Day after the Payment Deadline.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Partial drawings are permitted. This L/C shall, except to the extent reduced thereby, survive any partial drawings.</w:t>
      </w:r>
    </w:p>
    <w:p>
      <w:pPr>
        <w:spacing w:after="0" w:line="225"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shall have no duty or right to inquire into the validity of or basis for any draw under this L/C or any Drawing Documentation. We waive any defense based on fraud or any claim of fraud.</w:t>
      </w:r>
    </w:p>
    <w:p>
      <w:pPr>
        <w:spacing w:after="0" w:line="162" w:lineRule="exact"/>
        <w:rPr>
          <w:sz w:val="20"/>
          <w:szCs w:val="20"/>
          <w:color w:val="auto"/>
        </w:rPr>
      </w:pPr>
    </w:p>
    <w:p>
      <w:pPr>
        <w:ind w:left="460"/>
        <w:spacing w:after="0"/>
        <w:tabs>
          <w:tab w:leader="none" w:pos="6840" w:val="left"/>
        </w:tabs>
        <w:rPr>
          <w:sz w:val="20"/>
          <w:szCs w:val="20"/>
          <w:color w:val="auto"/>
        </w:rPr>
      </w:pPr>
      <w:r>
        <w:rPr>
          <w:rFonts w:ascii="Times New Roman" w:cs="Times New Roman" w:eastAsia="Times New Roman" w:hAnsi="Times New Roman"/>
          <w:sz w:val="18"/>
          <w:szCs w:val="18"/>
          <w:color w:val="auto"/>
        </w:rPr>
        <w:t>The Expiry Date shall automatically be extended by one year (but never beyond</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unless, on or before the date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-7620</wp:posOffset>
            </wp:positionV>
            <wp:extent cx="3429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before any Expiry Date, we have given Beneficiary notice that the Expiry Date shall not be so extended (a “</w:t>
      </w:r>
      <w:r>
        <w:rPr>
          <w:rFonts w:ascii="Times New Roman" w:cs="Times New Roman" w:eastAsia="Times New Roman" w:hAnsi="Times New Roman"/>
          <w:sz w:val="18"/>
          <w:szCs w:val="18"/>
          <w:u w:val="single" w:color="auto"/>
          <w:color w:val="auto"/>
        </w:rPr>
        <w:t>Nonrenewal Notice</w:t>
      </w:r>
      <w:r>
        <w:rPr>
          <w:rFonts w:ascii="Times New Roman" w:cs="Times New Roman" w:eastAsia="Times New Roman" w:hAnsi="Times New Roman"/>
          <w:sz w:val="18"/>
          <w:szCs w:val="18"/>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Beneficiary may from time to time without charge transfer this L/C, in whole but not in part, to any transferee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88" w:lineRule="exact"/>
        <w:rPr>
          <w:sz w:val="20"/>
          <w:szCs w:val="20"/>
          <w:color w:val="auto"/>
        </w:rPr>
      </w:pPr>
    </w:p>
    <w:p>
      <w:pPr>
        <w:ind w:right="160" w:firstLine="456"/>
        <w:spacing w:after="0" w:line="276" w:lineRule="auto"/>
        <w:rPr>
          <w:sz w:val="20"/>
          <w:szCs w:val="20"/>
          <w:color w:val="auto"/>
        </w:rPr>
      </w:pPr>
      <w:r>
        <w:rPr>
          <w:rFonts w:ascii="Times New Roman" w:cs="Times New Roman" w:eastAsia="Times New Roman" w:hAnsi="Times New Roman"/>
          <w:sz w:val="17"/>
          <w:szCs w:val="17"/>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 shall also be</w:t>
      </w:r>
    </w:p>
    <w:p>
      <w:pPr>
        <w:spacing w:after="0" w:line="1"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delivered, as a condition to the effectiveness of such notice, to: (or such replacement as Beneficiary designates from time to time by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-24765</wp:posOffset>
            </wp:positionV>
            <wp:extent cx="5715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amendment that adversely affects Beneficiary shall be effective without Beneficiary’s written consent.</w:t>
      </w:r>
    </w:p>
    <w:p>
      <w:pPr>
        <w:spacing w:after="0" w:line="22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This L/C is subject to and incorporates by reference: (a) the Uniform Customs and Practice for Documentary Credits, International Chamber of Commerce Publication No. 500 (the “</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and (b) to the extent not inconsistent with the UCP, Article 5 of the Uniform Commercial Code of the State of New York.</w:t>
      </w:r>
    </w:p>
    <w:p>
      <w:pPr>
        <w:spacing w:after="0" w:line="17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[Issuer Signature]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380"/>
          </w:cols>
          <w:pgMar w:left="240" w:top="270" w:right="279" w:bottom="1440" w:gutter="0" w:footer="0" w:header="0"/>
        </w:sectPr>
      </w:pPr>
    </w:p>
    <w:bookmarkStart w:id="522" w:name="page523"/>
    <w:bookmarkEnd w:id="5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 TO 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SIGHT DRAFT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[B</w:t>
            </w:r>
            <w:r>
              <w:rPr>
                <w:rFonts w:ascii="Times New Roman" w:cs="Times New Roman" w:eastAsia="Times New Roman" w:hAnsi="Times New Roman"/>
                <w:sz w:val="15"/>
                <w:szCs w:val="15"/>
                <w:color w:val="auto"/>
                <w:w w:val="99"/>
              </w:rPr>
              <w:t>ENEFICIARY</w:t>
            </w:r>
            <w:r>
              <w:rPr>
                <w:rFonts w:ascii="Times New Roman" w:cs="Times New Roman" w:eastAsia="Times New Roman" w:hAnsi="Times New Roman"/>
                <w:sz w:val="18"/>
                <w:szCs w:val="18"/>
                <w:color w:val="auto"/>
                <w:w w:val="99"/>
              </w:rPr>
              <w:t xml:space="preserve"> L</w:t>
            </w:r>
            <w:r>
              <w:rPr>
                <w:rFonts w:ascii="Times New Roman" w:cs="Times New Roman" w:eastAsia="Times New Roman" w:hAnsi="Times New Roman"/>
                <w:sz w:val="15"/>
                <w:szCs w:val="15"/>
                <w:color w:val="auto"/>
                <w:w w:val="99"/>
              </w:rPr>
              <w:t>ETTERHEAD</w:t>
            </w:r>
            <w:r>
              <w:rPr>
                <w:rFonts w:ascii="Times New Roman" w:cs="Times New Roman" w:eastAsia="Times New Roman" w:hAnsi="Times New Roman"/>
                <w:sz w:val="18"/>
                <w:szCs w:val="18"/>
                <w:color w:val="auto"/>
                <w:w w:val="99"/>
              </w:rPr>
              <w:t>]</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and Address of Issuer]</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0"/>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SIGHT DRAFT</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SIGHT, pay to the Order of</w:t>
            </w:r>
          </w:p>
        </w:tc>
        <w:tc>
          <w:tcPr>
            <w:tcW w:w="17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the sum of</w:t>
            </w:r>
          </w:p>
        </w:tc>
        <w:tc>
          <w:tcPr>
            <w:tcW w:w="90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 States Dollars ($</w:t>
            </w:r>
          </w:p>
        </w:tc>
        <w:tc>
          <w:tcPr>
            <w:tcW w:w="44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Drawn under [Issuer] Letter of Credit No.</w:t>
            </w: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dated</w:t>
            </w:r>
          </w:p>
        </w:tc>
        <w:tc>
          <w:tcPr>
            <w:tcW w:w="900" w:type="dxa"/>
            <w:vAlign w:val="bottom"/>
            <w:tcBorders>
              <w:bottom w:val="single" w:sz="8" w:color="auto"/>
            </w:tcBorders>
          </w:tcPr>
          <w:p>
            <w:pPr>
              <w:spacing w:after="0"/>
              <w:rPr>
                <w:sz w:val="17"/>
                <w:szCs w:val="17"/>
                <w:color w:val="auto"/>
              </w:rPr>
            </w:pPr>
          </w:p>
        </w:tc>
        <w:tc>
          <w:tcPr>
            <w:tcW w:w="96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0"/>
              </w:rPr>
              <w:t>.</w:t>
            </w:r>
          </w:p>
        </w:tc>
        <w:tc>
          <w:tcPr>
            <w:tcW w:w="90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12"/>
        </w:trPr>
        <w:tc>
          <w:tcPr>
            <w:tcW w:w="6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[Issuer is hereby directed to pay the proceeds of this Sight Draft solely to the following account:</w:t>
            </w:r>
          </w:p>
        </w:tc>
        <w:tc>
          <w:tcPr>
            <w:tcW w:w="3500" w:type="dxa"/>
            <w:vAlign w:val="bottom"/>
            <w:gridSpan w:val="3"/>
          </w:tcPr>
          <w:p>
            <w:pPr>
              <w:jc w:val="right"/>
              <w:ind w:right="2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r>
      <w:tr>
        <w:trPr>
          <w:trHeight w:val="453"/>
        </w:trPr>
        <w:tc>
          <w:tcPr>
            <w:tcW w:w="6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and signature block, with signature or purported signature of Beneficiary]</w:t>
            </w: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5715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420"/>
          </w:cols>
          <w:pgMar w:left="240" w:top="265" w:right="239" w:bottom="1440" w:gutter="0" w:footer="0" w:header="0"/>
        </w:sectPr>
      </w:pPr>
    </w:p>
    <w:bookmarkStart w:id="523" w:name="page524"/>
    <w:bookmarkEnd w:id="5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 TO 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TRANSFER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5"/>
          <w:szCs w:val="15"/>
          <w:color w:val="auto"/>
        </w:rPr>
        <w:t>ENEFICIARY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5"/>
          <w:szCs w:val="15"/>
          <w:color w:val="auto"/>
        </w:rPr>
        <w:t>ETTERHEAD</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and Address of Issuer] (the “Issuer”)</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1"/>
        </w:trPr>
        <w:tc>
          <w:tcPr>
            <w:tcW w:w="2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 NOTICE</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signing below, the undersigned, Beneficiary (the “Beneficiary”) under Issuer’s Letter of Credit No.</w:t>
            </w:r>
          </w:p>
        </w:tc>
        <w:tc>
          <w:tcPr>
            <w:tcW w:w="90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w:t>
            </w:r>
          </w:p>
        </w:tc>
        <w:tc>
          <w:tcPr>
            <w:tcW w:w="9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“L/C”), transfers</w:t>
            </w:r>
          </w:p>
        </w:tc>
      </w:tr>
      <w:tr>
        <w:trPr>
          <w:trHeight w:val="20"/>
        </w:trPr>
        <w:tc>
          <w:tcPr>
            <w:tcW w:w="29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7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the L/C to the following transferee (the “Transferee”):</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5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[Transferee Name and Address]</w:t>
            </w:r>
          </w:p>
        </w:tc>
        <w:tc>
          <w:tcPr>
            <w:tcW w:w="760" w:type="dxa"/>
            <w:vAlign w:val="bottom"/>
            <w:tcBorders>
              <w:top w:val="single" w:sz="8" w:color="auto"/>
            </w:tcBorders>
            <w:gridSpan w:val="2"/>
          </w:tcPr>
          <w:p>
            <w:pPr>
              <w:spacing w:after="0"/>
              <w:rPr>
                <w:sz w:val="24"/>
                <w:szCs w:val="24"/>
                <w:color w:val="auto"/>
              </w:rPr>
            </w:pPr>
          </w:p>
        </w:tc>
        <w:tc>
          <w:tcPr>
            <w:tcW w:w="372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signature block, with signature or purported signature of Beneficiary]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571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E-2-1</w:t>
      </w:r>
    </w:p>
    <w:p>
      <w:pPr>
        <w:sectPr>
          <w:pgSz w:w="11900" w:h="16838" w:orient="portrait"/>
          <w:cols w:equalWidth="0" w:num="1">
            <w:col w:w="11420"/>
          </w:cols>
          <w:pgMar w:left="240" w:top="265" w:right="239" w:bottom="1440" w:gutter="0" w:footer="0" w:header="0"/>
        </w:sectPr>
      </w:pPr>
    </w:p>
    <w:bookmarkStart w:id="524" w:name="page525"/>
    <w:bookmarkEnd w:id="5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NOTHING IN THESE RULES AND REGULATIONS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SHALL SUPPLANT ANY PROVISION OF THE LEASE. IN THE EVENT OF A CONFLICT OR INCONSISTENCY BETWEEN THESE RULES AND REGULATIONS AND THE LEASE, TIE LEASE SHALL PREVAIL.</w:t>
      </w:r>
    </w:p>
    <w:p>
      <w:pPr>
        <w:spacing w:after="0" w:line="176" w:lineRule="exact"/>
        <w:rPr>
          <w:sz w:val="20"/>
          <w:szCs w:val="20"/>
          <w:color w:val="auto"/>
        </w:rPr>
      </w:pPr>
    </w:p>
    <w:p>
      <w:pPr>
        <w:ind w:right="100" w:firstLine="464"/>
        <w:spacing w:after="0" w:line="266" w:lineRule="auto"/>
        <w:tabs>
          <w:tab w:leader="none" w:pos="636"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in the Lease to which these Rules and Regulations are attached, no sign, placard, picture, advertisement, name or notice shall be installed or displayed on any part of the outside of the Premises or the Building without Landlord’s prior written consent. Landlord shall have the right to remove, at Tenant’s sole cost and expense and without notice, any sign installed or displayed in violation of this rule.</w:t>
      </w:r>
    </w:p>
    <w:p>
      <w:pPr>
        <w:spacing w:after="0" w:line="176" w:lineRule="exact"/>
        <w:rPr>
          <w:rFonts w:ascii="Times New Roman" w:cs="Times New Roman" w:eastAsia="Times New Roman" w:hAnsi="Times New Roman"/>
          <w:sz w:val="18"/>
          <w:szCs w:val="18"/>
          <w:color w:val="auto"/>
        </w:rPr>
      </w:pPr>
    </w:p>
    <w:p>
      <w:pPr>
        <w:ind w:firstLine="464"/>
        <w:spacing w:after="0" w:line="261" w:lineRule="auto"/>
        <w:tabs>
          <w:tab w:leader="none" w:pos="636"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objects in writing to any curtains, blinds, shades, screens or hanging plants or other similar objects attached to or used in connection with any window or door of the Premises or placed on any windowsill, which window, door or windowsill is (a) visible from the exterior of the Premises and</w:t>
      </w:r>
    </w:p>
    <w:p>
      <w:pPr>
        <w:ind w:right="240" w:firstLine="8"/>
        <w:spacing w:after="0" w:line="261" w:lineRule="auto"/>
        <w:tabs>
          <w:tab w:leader="none" w:pos="25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included in plans approved by Landlord, then Tenant shall promptly remove said curtains, blinds, shades, screens or hanging plants or other similar objects at its sole cost and expense.</w:t>
      </w:r>
    </w:p>
    <w:p>
      <w:pPr>
        <w:spacing w:after="0" w:line="179" w:lineRule="exact"/>
        <w:rPr>
          <w:rFonts w:ascii="Times New Roman" w:cs="Times New Roman" w:eastAsia="Times New Roman" w:hAnsi="Times New Roman"/>
          <w:sz w:val="18"/>
          <w:szCs w:val="18"/>
          <w:color w:val="auto"/>
        </w:rPr>
      </w:pPr>
    </w:p>
    <w:p>
      <w:pPr>
        <w:ind w:right="100" w:firstLine="464"/>
        <w:spacing w:after="0" w:line="282" w:lineRule="auto"/>
        <w:tabs>
          <w:tab w:leader="none" w:pos="636"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obstruct any sidewalks or entrances to the Building, or any halls, passages, exits, entrances or stairways within the Premises, in any case that are required to be kept clear for health and safety reasons.</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deliveries shall be made that impede or interfere with other tenants in or the operation of the Project.</w:t>
      </w:r>
    </w:p>
    <w:p>
      <w:pPr>
        <w:spacing w:after="0" w:line="225"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place a load upon any floor of the Premises that exceeds the load per square foot that (a) such floor was designed to carry or (b) that is allowed by Applicable Laws. Fixtures and equipment that cause noises or vibrations that may be transmitted to the structure of the Building to such a degree as to be objectionable to other tenants shall be placed and maintained by Tenant, at Tenant’s sole cost and expense, on vibration eliminators or other devices sufficient to eliminate such noises and vibrations to levels reasonably acceptable to Landlord and other tenants of the Building.</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any method of heating or air conditioning other than that shown in the Tenant Improvement plans.</w:t>
      </w:r>
    </w:p>
    <w:p>
      <w:pPr>
        <w:spacing w:after="0" w:line="225" w:lineRule="exact"/>
        <w:rPr>
          <w:rFonts w:ascii="Times New Roman" w:cs="Times New Roman" w:eastAsia="Times New Roman" w:hAnsi="Times New Roman"/>
          <w:sz w:val="18"/>
          <w:szCs w:val="18"/>
          <w:color w:val="auto"/>
        </w:rPr>
      </w:pPr>
    </w:p>
    <w:p>
      <w:pPr>
        <w:ind w:right="200" w:firstLine="464"/>
        <w:spacing w:after="0" w:line="266" w:lineRule="auto"/>
        <w:tabs>
          <w:tab w:leader="none" w:pos="636"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any radio, television or other antenna, cell or other communications equipment, or any other devices on the roof or exterior walls of the Premises except to the extent shown on approved Tenant Improvements plans. Tenant shall not interfere with radio, television or other communications from or in the Premises or elsewhere.</w:t>
      </w:r>
    </w:p>
    <w:p>
      <w:pPr>
        <w:spacing w:after="0" w:line="176" w:lineRule="exact"/>
        <w:rPr>
          <w:rFonts w:ascii="Times New Roman" w:cs="Times New Roman" w:eastAsia="Times New Roman" w:hAnsi="Times New Roman"/>
          <w:sz w:val="18"/>
          <w:szCs w:val="18"/>
          <w:color w:val="auto"/>
        </w:rPr>
      </w:pPr>
    </w:p>
    <w:p>
      <w:pPr>
        <w:ind w:right="500" w:firstLine="464"/>
        <w:spacing w:after="0" w:line="282" w:lineRule="auto"/>
        <w:tabs>
          <w:tab w:leader="none" w:pos="636"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peddling, soliciting and distributing handbills or any other written material within, on or around the Project (other than within the Premises) are prohibited, and Tenant shall cooperate to prevent such activities.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80"/>
          </w:cols>
          <w:pgMar w:left="240" w:top="266" w:right="279" w:bottom="1440" w:gutter="0" w:footer="0" w:header="0"/>
        </w:sectPr>
      </w:pPr>
    </w:p>
    <w:bookmarkStart w:id="525" w:name="page526"/>
    <w:bookmarkEnd w:id="525"/>
    <w:p>
      <w:pPr>
        <w:ind w:right="200" w:firstLine="464"/>
        <w:spacing w:after="0" w:line="266" w:lineRule="auto"/>
        <w:tabs>
          <w:tab w:leader="none" w:pos="636"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store all of its trash, garbage and Hazardous Materials within its Premises or in designated receptacles outside of the Premises. Tenant shall not place in any such receptacle any material that cannot be disposed of in the ordinary and customary manner of trash, garbage and Hazardous Materials disposal.</w:t>
      </w:r>
    </w:p>
    <w:p>
      <w:pPr>
        <w:spacing w:after="0" w:line="176" w:lineRule="exact"/>
        <w:rPr>
          <w:rFonts w:ascii="Times New Roman" w:cs="Times New Roman" w:eastAsia="Times New Roman" w:hAnsi="Times New Roman"/>
          <w:sz w:val="18"/>
          <w:szCs w:val="18"/>
          <w:color w:val="auto"/>
        </w:rPr>
      </w:pPr>
    </w:p>
    <w:p>
      <w:pPr>
        <w:ind w:firstLine="464"/>
        <w:spacing w:after="0" w:line="272" w:lineRule="auto"/>
        <w:tabs>
          <w:tab w:leader="none" w:pos="726" w:val="left"/>
        </w:tabs>
        <w:numPr>
          <w:ilvl w:val="1"/>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Premises shall not be used for any improper, immoral or objectionable purpose. No cooking shall be done or permitted on the Premises;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w:t>
      </w:r>
    </w:p>
    <w:p>
      <w:pPr>
        <w:spacing w:after="0" w:line="1" w:lineRule="exact"/>
        <w:rPr>
          <w:rFonts w:ascii="Times New Roman" w:cs="Times New Roman" w:eastAsia="Times New Roman" w:hAnsi="Times New Roman"/>
          <w:sz w:val="17"/>
          <w:szCs w:val="17"/>
          <w:color w:val="auto"/>
        </w:rPr>
      </w:pPr>
    </w:p>
    <w:p>
      <w:pPr>
        <w:ind w:right="440" w:firstLine="8"/>
        <w:spacing w:after="0" w:line="261" w:lineRule="auto"/>
        <w:tabs>
          <w:tab w:leader="none" w:pos="24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equipment shown on Tenant Improvement plans approved by Landlord;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any such equipment and microwave ovens are used in accordance with Applicable Laws.</w:t>
      </w:r>
    </w:p>
    <w:p>
      <w:pPr>
        <w:spacing w:after="0" w:line="179" w:lineRule="exact"/>
        <w:rPr>
          <w:rFonts w:ascii="Times New Roman" w:cs="Times New Roman" w:eastAsia="Times New Roman" w:hAnsi="Times New Roman"/>
          <w:sz w:val="18"/>
          <w:szCs w:val="18"/>
          <w:color w:val="auto"/>
        </w:rPr>
      </w:pPr>
    </w:p>
    <w:p>
      <w:pPr>
        <w:ind w:right="340" w:firstLine="464"/>
        <w:spacing w:after="0" w:line="282" w:lineRule="auto"/>
        <w:tabs>
          <w:tab w:leader="none" w:pos="72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without Landlord’s prior written consent, use the name of the Project, if any, in connection with or in promoting or advertising Tenant’s business except as Tenant’s address.</w:t>
      </w:r>
    </w:p>
    <w:p>
      <w:pPr>
        <w:spacing w:after="0" w:line="161" w:lineRule="exact"/>
        <w:rPr>
          <w:rFonts w:ascii="Times New Roman" w:cs="Times New Roman" w:eastAsia="Times New Roman" w:hAnsi="Times New Roman"/>
          <w:sz w:val="18"/>
          <w:szCs w:val="18"/>
          <w:color w:val="auto"/>
        </w:rPr>
      </w:pPr>
    </w:p>
    <w:p>
      <w:pPr>
        <w:ind w:right="580" w:firstLine="464"/>
        <w:spacing w:after="0" w:line="282" w:lineRule="auto"/>
        <w:tabs>
          <w:tab w:leader="none" w:pos="726"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safety, fire protection and evacuation procedures and regulations established by Landlord or any Governmental Authority.</w:t>
      </w:r>
    </w:p>
    <w:p>
      <w:pPr>
        <w:spacing w:after="0" w:line="161" w:lineRule="exact"/>
        <w:rPr>
          <w:rFonts w:ascii="Times New Roman" w:cs="Times New Roman" w:eastAsia="Times New Roman" w:hAnsi="Times New Roman"/>
          <w:sz w:val="18"/>
          <w:szCs w:val="18"/>
          <w:color w:val="auto"/>
        </w:rPr>
      </w:pPr>
    </w:p>
    <w:p>
      <w:pPr>
        <w:ind w:right="20" w:firstLine="464"/>
        <w:spacing w:after="0" w:line="282" w:lineRule="auto"/>
        <w:tabs>
          <w:tab w:leader="none" w:pos="723"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assumes any and all responsibility for protecting the Premises from theft, robbery and pilferage, which responsibility includes keeping doors locked and other means of entry to the Premises closed.</w:t>
      </w:r>
    </w:p>
    <w:p>
      <w:pPr>
        <w:spacing w:after="0" w:line="161" w:lineRule="exact"/>
        <w:rPr>
          <w:rFonts w:ascii="Times New Roman" w:cs="Times New Roman" w:eastAsia="Times New Roman" w:hAnsi="Times New Roman"/>
          <w:sz w:val="18"/>
          <w:szCs w:val="18"/>
          <w:color w:val="auto"/>
        </w:rPr>
      </w:pPr>
    </w:p>
    <w:p>
      <w:pPr>
        <w:jc w:val="both"/>
        <w:ind w:right="100" w:firstLine="464"/>
        <w:spacing w:after="0" w:line="266" w:lineRule="auto"/>
        <w:tabs>
          <w:tab w:leader="none" w:pos="726"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w:t>
      </w:r>
    </w:p>
    <w:p>
      <w:pPr>
        <w:spacing w:after="0" w:line="176" w:lineRule="exact"/>
        <w:rPr>
          <w:rFonts w:ascii="Times New Roman" w:cs="Times New Roman" w:eastAsia="Times New Roman" w:hAnsi="Times New Roman"/>
          <w:sz w:val="18"/>
          <w:szCs w:val="18"/>
          <w:color w:val="auto"/>
        </w:rPr>
      </w:pPr>
    </w:p>
    <w:p>
      <w:pPr>
        <w:ind w:right="40" w:firstLine="464"/>
        <w:spacing w:after="0" w:line="282" w:lineRule="auto"/>
        <w:tabs>
          <w:tab w:leader="none" w:pos="726"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and Regulations are in addition to, and shall not be construed to in any way modify or amend, in whole or in part, the terms covenants, agreements and conditions of the Lease.</w:t>
      </w:r>
    </w:p>
    <w:p>
      <w:pPr>
        <w:spacing w:after="0" w:line="161" w:lineRule="exact"/>
        <w:rPr>
          <w:rFonts w:ascii="Times New Roman" w:cs="Times New Roman" w:eastAsia="Times New Roman" w:hAnsi="Times New Roman"/>
          <w:sz w:val="18"/>
          <w:szCs w:val="18"/>
          <w:color w:val="auto"/>
        </w:rPr>
      </w:pPr>
    </w:p>
    <w:p>
      <w:pPr>
        <w:ind w:firstLine="464"/>
        <w:spacing w:after="0" w:line="261" w:lineRule="auto"/>
        <w:tabs>
          <w:tab w:leader="none" w:pos="726"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reserves the right to make such other and reasonable rules and regulations as, in its judgment, may from time to time be needed for safety and security, the care and cleanliness of the Project, or the preservation of good order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Landlord shall provide written notice to Tenant of such rules and regulations prior to them taking effect. Tenant agrees to abide by these Rules and Regulations and any additional rules and regulations issued or adopted by Landlord.</w:t>
      </w:r>
    </w:p>
    <w:p>
      <w:pPr>
        <w:spacing w:after="0" w:line="180"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the observance of these Rules and Regulations by Tenant’s employees, agents, clients, customers, invitees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00"/>
          </w:cols>
          <w:pgMar w:left="240" w:top="269" w:right="259" w:bottom="1440" w:gutter="0" w:footer="0" w:header="0"/>
        </w:sectPr>
      </w:pPr>
    </w:p>
    <w:bookmarkStart w:id="526" w:name="page527"/>
    <w:bookmarkEnd w:id="52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G-1</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PHASE 1 TENANT IMPROVEMENTS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Tarlton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Tarlton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955 Alma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NTERYX</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Fremont, 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PHASE #1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 OFFICE AREA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w:t>
      </w:r>
    </w:p>
    <w:p>
      <w:pPr>
        <w:spacing w:after="0" w:line="131" w:lineRule="exact"/>
        <w:rPr>
          <w:sz w:val="20"/>
          <w:szCs w:val="20"/>
          <w:color w:val="auto"/>
        </w:rPr>
      </w:pPr>
    </w:p>
    <w:p>
      <w:pPr>
        <w:ind w:left="900" w:hanging="446"/>
        <w:spacing w:after="0"/>
        <w:tabs>
          <w:tab w:leader="none" w:pos="900"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and replace misc. acoustical ceiling tiles to accommodate installation of new HVAC and electrical.</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be done until phase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dual duct VAV zone for corner office.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(3) new supply registers.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(3) new return air registers.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ducting to accommodate new private offices.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to new VAV box for (3) future private offices.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AREA #3 BIOLOGY LAB/IMAGING/TISSUE CULTURE: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DEMOLITION:</w:t>
      </w:r>
    </w:p>
    <w:p>
      <w:pPr>
        <w:spacing w:after="0" w:line="131" w:lineRule="exact"/>
        <w:rPr>
          <w:sz w:val="20"/>
          <w:szCs w:val="20"/>
          <w:color w:val="auto"/>
        </w:rPr>
      </w:pPr>
    </w:p>
    <w:p>
      <w:pPr>
        <w:ind w:left="900" w:hanging="446"/>
        <w:spacing w:after="0"/>
        <w:tabs>
          <w:tab w:leader="none" w:pos="90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salvage existing hoods for relocation.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 CASEWORK:</w:t>
      </w:r>
    </w:p>
    <w:p>
      <w:pPr>
        <w:spacing w:after="0" w:line="131" w:lineRule="exact"/>
        <w:rPr>
          <w:sz w:val="20"/>
          <w:szCs w:val="20"/>
          <w:color w:val="auto"/>
        </w:rPr>
      </w:pPr>
    </w:p>
    <w:p>
      <w:pPr>
        <w:ind w:left="900" w:hanging="446"/>
        <w:spacing w:after="0"/>
        <w:tabs>
          <w:tab w:leader="none" w:pos="90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end panel at existing lab millwork.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 WARE:</w:t>
      </w:r>
    </w:p>
    <w:p>
      <w:pPr>
        <w:spacing w:after="0" w:line="131" w:lineRule="exact"/>
        <w:rPr>
          <w:sz w:val="20"/>
          <w:szCs w:val="20"/>
          <w:color w:val="auto"/>
        </w:rPr>
      </w:pPr>
    </w:p>
    <w:p>
      <w:pPr>
        <w:ind w:left="900" w:hanging="446"/>
        <w:spacing w:after="0"/>
        <w:tabs>
          <w:tab w:leader="none" w:pos="90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black out film at existing imaging room door window.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CEILINGS:</w:t>
      </w:r>
    </w:p>
    <w:p>
      <w:pPr>
        <w:spacing w:after="0" w:line="131" w:lineRule="exact"/>
        <w:rPr>
          <w:sz w:val="20"/>
          <w:szCs w:val="20"/>
          <w:color w:val="auto"/>
        </w:rPr>
      </w:pPr>
    </w:p>
    <w:p>
      <w:pPr>
        <w:ind w:left="900" w:hanging="446"/>
        <w:spacing w:after="0"/>
        <w:tabs>
          <w:tab w:leader="none" w:pos="90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vinyl rock ceiling tiles to be set in existing ceiling grid at tissue culture.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Remove and replace misc. ceiling tile to accommodate plumbing, HVAC &amp; electrical.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w:t>
      </w:r>
    </w:p>
    <w:p>
      <w:pPr>
        <w:spacing w:after="0" w:line="131" w:lineRule="exact"/>
        <w:rPr>
          <w:sz w:val="20"/>
          <w:szCs w:val="20"/>
          <w:color w:val="auto"/>
        </w:rPr>
      </w:pPr>
    </w:p>
    <w:p>
      <w:pPr>
        <w:ind w:left="900" w:hanging="446"/>
        <w:spacing w:after="0"/>
        <w:tabs>
          <w:tab w:leader="none" w:pos="90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existing walls (1) coat to match existing.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HOODS:</w:t>
      </w:r>
    </w:p>
    <w:p>
      <w:pPr>
        <w:spacing w:after="0" w:line="131" w:lineRule="exact"/>
        <w:rPr>
          <w:sz w:val="20"/>
          <w:szCs w:val="20"/>
          <w:color w:val="auto"/>
        </w:rPr>
      </w:pPr>
    </w:p>
    <w:p>
      <w:pPr>
        <w:ind w:left="900" w:hanging="446"/>
        <w:spacing w:after="0"/>
        <w:tabs>
          <w:tab w:leader="none" w:pos="90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(1) existing 5’fume hood from Bioanalytical Lab 139.</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0219"/>
          </w:cols>
          <w:pgMar w:left="240" w:top="266" w:right="1440" w:bottom="725"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PLUMBING:</w:t>
      </w:r>
    </w:p>
    <w:p>
      <w:pPr>
        <w:spacing w:after="0" w:line="131" w:lineRule="exact"/>
        <w:rPr>
          <w:sz w:val="20"/>
          <w:szCs w:val="20"/>
          <w:color w:val="auto"/>
        </w:rPr>
      </w:pPr>
    </w:p>
    <w:p>
      <w:pPr>
        <w:ind w:left="900" w:hanging="446"/>
        <w:spacing w:after="0"/>
        <w:tabs>
          <w:tab w:leader="none" w:pos="90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CDA only at relocated 5’fume hood.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once through exhaust in tissue culture.</w:t>
      </w:r>
    </w:p>
    <w:p>
      <w:pPr>
        <w:spacing w:after="0" w:line="131" w:lineRule="exact"/>
        <w:rPr>
          <w:sz w:val="20"/>
          <w:szCs w:val="20"/>
          <w:color w:val="auto"/>
        </w:rPr>
      </w:pPr>
    </w:p>
    <w:p>
      <w:pPr>
        <w:ind w:left="900" w:hanging="446"/>
        <w:spacing w:after="0"/>
        <w:tabs>
          <w:tab w:leader="none" w:pos="90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cooling only VAV box above Equip/Storage 123.</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new ducting as necessary for new VAV boxes.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misc. ducting as necessary to accommodate new fume hood.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 head at relocated fume hood.</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missing trim at existing fire sprinkler heads.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for (1) relocated fume hood.</w:t>
      </w:r>
    </w:p>
    <w:p>
      <w:pPr>
        <w:spacing w:after="0" w:line="131" w:lineRule="exact"/>
        <w:rPr>
          <w:sz w:val="20"/>
          <w:szCs w:val="20"/>
          <w:color w:val="auto"/>
        </w:rPr>
      </w:pPr>
    </w:p>
    <w:p>
      <w:pPr>
        <w:ind w:left="900" w:hanging="446"/>
        <w:spacing w:after="0"/>
        <w:tabs>
          <w:tab w:leader="none" w:pos="90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to (2) new incubator in tissue culture.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power to (2) -20 freezers in biology lab.</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power to (1) new 4° refrigerator in biology lab.</w:t>
      </w:r>
    </w:p>
    <w:p>
      <w:pPr>
        <w:spacing w:after="0" w:line="130" w:lineRule="exact"/>
        <w:rPr>
          <w:rFonts w:ascii="Times New Roman" w:cs="Times New Roman" w:eastAsia="Times New Roman" w:hAnsi="Times New Roman"/>
          <w:sz w:val="18"/>
          <w:szCs w:val="18"/>
          <w:color w:val="auto"/>
        </w:rPr>
      </w:pPr>
    </w:p>
    <w:p>
      <w:pPr>
        <w:ind w:left="460" w:right="100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Provide emergency power as necessary for (2) -20 freezers, (1) 4 refrigerator and (2) incubator located in tissue culture room. 6 Furnish and install power to (2) -80 freezers in equip./storage room.</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Provide emergency power as necessary for (2) -80 freezers in equip./storage.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AREA #4 CHEMISTRY LAB/SOLVENTS: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 wall penetrations to allow installation of new plumbing, HVAC and electrical.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 Omit: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w:t>
      </w:r>
    </w:p>
    <w:p>
      <w:pPr>
        <w:spacing w:after="0" w:line="131" w:lineRule="exact"/>
        <w:rPr>
          <w:sz w:val="20"/>
          <w:szCs w:val="20"/>
          <w:color w:val="auto"/>
        </w:rPr>
      </w:pPr>
    </w:p>
    <w:p>
      <w:pPr>
        <w:ind w:left="900" w:hanging="446"/>
        <w:spacing w:after="0"/>
        <w:tabs>
          <w:tab w:leader="none" w:pos="90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Remove and replace misc. acoustical ceiling tiles as necessary to accommodate installation of plumbing, HVAC and electrical as necessary.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existing walls affected by construction (1) coat to nearest break point.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HOODS:</w:t>
      </w:r>
    </w:p>
    <w:p>
      <w:pPr>
        <w:spacing w:after="0" w:line="131" w:lineRule="exact"/>
        <w:rPr>
          <w:sz w:val="20"/>
          <w:szCs w:val="20"/>
          <w:color w:val="auto"/>
        </w:rPr>
      </w:pPr>
    </w:p>
    <w:p>
      <w:pPr>
        <w:ind w:left="900" w:hanging="446"/>
        <w:spacing w:after="0"/>
        <w:tabs>
          <w:tab w:leader="none" w:pos="90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relocated (2) relocated hoods from Biology Lab.</w:t>
      </w:r>
    </w:p>
    <w:p>
      <w:pPr>
        <w:spacing w:after="0" w:line="131" w:lineRule="exact"/>
        <w:rPr>
          <w:sz w:val="20"/>
          <w:szCs w:val="20"/>
          <w:color w:val="auto"/>
        </w:rPr>
      </w:pPr>
    </w:p>
    <w:p>
      <w:pPr>
        <w:ind w:left="900" w:hanging="446"/>
        <w:spacing w:after="0"/>
        <w:tabs>
          <w:tab w:leader="none" w:pos="90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 new 8’ hoods 3600 cfm (supply/exhaust volume based on 18” sash height).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(2) 6’ hoods 2250 cfm.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PLUMBING:</w:t>
      </w:r>
    </w:p>
    <w:p>
      <w:pPr>
        <w:spacing w:after="0" w:line="131" w:lineRule="exact"/>
        <w:rPr>
          <w:sz w:val="20"/>
          <w:szCs w:val="20"/>
          <w:color w:val="auto"/>
        </w:rPr>
      </w:pPr>
    </w:p>
    <w:p>
      <w:pPr>
        <w:ind w:left="900" w:hanging="446"/>
        <w:spacing w:after="0"/>
        <w:tabs>
          <w:tab w:leader="none" w:pos="90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CDA, N2 and Vacuum to all hoods as indicated on plans.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Provide automatic change over panel and manifold for N2 dewers.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CDA, N2 and VAC at (1) location along perimeter wall at line 7J.</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ducting as necessary to (2) relocated hoods.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2Furnish and install new ducting as necessary to (4) new hoods.</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0940"/>
          </w:cols>
          <w:pgMar w:left="240" w:top="269" w:right="719" w:bottom="0" w:gutter="0" w:footer="0" w:header="0"/>
        </w:sectPr>
      </w:pPr>
    </w:p>
    <w:bookmarkStart w:id="528" w:name="page529"/>
    <w:bookmarkEnd w:id="528"/>
    <w:p>
      <w:pPr>
        <w:ind w:left="900" w:hanging="446"/>
        <w:spacing w:after="0"/>
        <w:tabs>
          <w:tab w:leader="none" w:pos="9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and install 4” snorkel/50 cfm with blast gate at ceiling at grid line 7J.</w:t>
      </w:r>
    </w:p>
    <w:p>
      <w:pPr>
        <w:spacing w:after="0" w:line="131" w:lineRule="exact"/>
        <w:rPr>
          <w:sz w:val="20"/>
          <w:szCs w:val="20"/>
          <w:color w:val="auto"/>
        </w:rPr>
      </w:pPr>
    </w:p>
    <w:p>
      <w:pPr>
        <w:ind w:left="900" w:hanging="446"/>
        <w:spacing w:after="0"/>
        <w:tabs>
          <w:tab w:leader="none" w:pos="90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450 cfm supply air and 500 exhaust. Provide new supply air and exhaust as required for new loads.</w:t>
      </w:r>
    </w:p>
    <w:p>
      <w:pPr>
        <w:spacing w:after="0" w:line="131" w:lineRule="exact"/>
        <w:rPr>
          <w:sz w:val="20"/>
          <w:szCs w:val="20"/>
          <w:color w:val="auto"/>
        </w:rPr>
      </w:pPr>
    </w:p>
    <w:p>
      <w:pPr>
        <w:ind w:left="900" w:hanging="446"/>
        <w:spacing w:after="0" w:line="282" w:lineRule="auto"/>
        <w:tabs>
          <w:tab w:leader="none" w:pos="90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4” 25 cfm blast gate at ceiling for non-combustible vent (connection to chemical cabinets by tenant) between grid lines G&amp;F line 8 there will be (4) individual dampers and aluma flex drops, from the ceiling (1) for each solvent cabinet.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sprinklers in fume hoods.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off and remove existing wire mold as necessary.</w:t>
      </w:r>
    </w:p>
    <w:p>
      <w:pPr>
        <w:spacing w:after="0" w:line="131" w:lineRule="exact"/>
        <w:rPr>
          <w:sz w:val="20"/>
          <w:szCs w:val="20"/>
          <w:color w:val="auto"/>
        </w:rPr>
      </w:pPr>
    </w:p>
    <w:p>
      <w:pPr>
        <w:ind w:left="900" w:hanging="446"/>
        <w:spacing w:after="0"/>
        <w:tabs>
          <w:tab w:leader="none" w:pos="90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to (2) relocate hoods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power to (4) new hoods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power to (1) new 4° refrigerator and (1) -20 freezer.</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emergency power for (1) 4° refrigerator and (1) -20 freezer.</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Furnish and install misc. power as needed for HVAC.</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7Furnish and install (1) 220v 15-amp single phase dedicated receptacle at line 7J.</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NMR ROOM: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for Varian 400 MHz in NMR room.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SERVER ROOM 102: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3/X9’ solid core wood door to be set in aluminum frame with “L” series locking hardware at server room 102.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server room walls using 3-5/8” metal studs.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5/8” type X sheetrock one side only.</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Finish on newly installed sheetrock to match existing building texture.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right="620" w:hanging="446"/>
        <w:spacing w:after="0" w:line="282" w:lineRule="auto"/>
        <w:tabs>
          <w:tab w:leader="none" w:pos="90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(1) 1.5-ton move and cool portable unit for rent. We will need to provide a condensate drain or the tenant will have to empty the condensate tank on daily basis.</w:t>
      </w:r>
    </w:p>
    <w:p>
      <w:pPr>
        <w:spacing w:after="0" w:line="67" w:lineRule="exact"/>
        <w:rPr>
          <w:sz w:val="20"/>
          <w:szCs w:val="20"/>
          <w:color w:val="auto"/>
        </w:rPr>
      </w:pPr>
    </w:p>
    <w:p>
      <w:pPr>
        <w:ind w:left="900" w:hanging="446"/>
        <w:spacing w:after="0"/>
        <w:tabs>
          <w:tab w:leader="none" w:pos="90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ventilation to remove condensing heat into open office area.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power as necessary for server room. Currently we have included (10) dedicated 120v circuits.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Provide power for portable 1.5-ton move and cool HVAC unit at server room.</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340"/>
          </w:cols>
          <w:pgMar w:left="240" w:top="270" w:right="319" w:bottom="1440" w:gutter="0" w:footer="0" w:header="0"/>
        </w:sectPr>
      </w:pPr>
    </w:p>
    <w:bookmarkStart w:id="529" w:name="page530"/>
    <w:bookmarkEnd w:id="5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PHASE 2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174625</wp:posOffset>
            </wp:positionV>
            <wp:extent cx="1792605" cy="8318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79260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30,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Tarlton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Tarlton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955 Alma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NTERYX</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Fremont, 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PHASE #2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AREA #1 OPEN OFFICE A 135: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 in (1) new double door opening in existing wall between open office 135 &amp; open office 143</w:t>
      </w:r>
    </w:p>
    <w:p>
      <w:pPr>
        <w:spacing w:after="0" w:line="131" w:lineRule="exact"/>
        <w:rPr>
          <w:sz w:val="20"/>
          <w:szCs w:val="20"/>
          <w:color w:val="auto"/>
        </w:rPr>
      </w:pPr>
    </w:p>
    <w:p>
      <w:pPr>
        <w:ind w:left="900" w:hanging="446"/>
        <w:spacing w:after="0"/>
        <w:tabs>
          <w:tab w:leader="none" w:pos="90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misc. acoustical ceiling tiles as necessary to accommodate new penetrating walls at (2) new private offices #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R-13 unfaced batt insulation at new offices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right="340" w:hanging="446"/>
        <w:spacing w:after="0" w:line="282" w:lineRule="auto"/>
        <w:tabs>
          <w:tab w:leader="none" w:pos="90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pair of 6’x9’ solid core non rated wood doors to be set in new aluminum frame with “L” series hardware to match existing.</w:t>
      </w:r>
    </w:p>
    <w:p>
      <w:pPr>
        <w:spacing w:after="0" w:line="67" w:lineRule="exact"/>
        <w:rPr>
          <w:sz w:val="20"/>
          <w:szCs w:val="20"/>
          <w:color w:val="auto"/>
        </w:rPr>
      </w:pPr>
    </w:p>
    <w:p>
      <w:pPr>
        <w:ind w:left="900" w:hanging="446"/>
        <w:spacing w:after="0" w:line="282" w:lineRule="auto"/>
        <w:tabs>
          <w:tab w:leader="none" w:pos="90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 new 3’x9’ solid core non rated wood doors to be set in new aluminum frame with 7’x9’ side lights and “L” series hardware at private offices #137 &amp; 138 to match existing.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GLASS &amp; GLAZING:</w:t>
      </w:r>
    </w:p>
    <w:p>
      <w:pPr>
        <w:spacing w:after="0" w:line="131" w:lineRule="exact"/>
        <w:rPr>
          <w:sz w:val="20"/>
          <w:szCs w:val="20"/>
          <w:color w:val="auto"/>
        </w:rPr>
      </w:pPr>
    </w:p>
    <w:p>
      <w:pPr>
        <w:ind w:left="900" w:hanging="446"/>
        <w:spacing w:after="0"/>
        <w:tabs>
          <w:tab w:leader="none" w:pos="90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 new 7’x9’x1/4” clear tempered glazing to be set in newly installed aluminum frames at offices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approx. 45lf of new private office through grid walls using 3-5/8” metal studs.</w:t>
      </w:r>
    </w:p>
    <w:p>
      <w:pPr>
        <w:spacing w:after="0" w:line="130" w:lineRule="exact"/>
        <w:rPr>
          <w:rFonts w:ascii="Times New Roman" w:cs="Times New Roman" w:eastAsia="Times New Roman" w:hAnsi="Times New Roman"/>
          <w:sz w:val="18"/>
          <w:szCs w:val="18"/>
          <w:color w:val="auto"/>
        </w:rPr>
      </w:pPr>
    </w:p>
    <w:p>
      <w:pPr>
        <w:ind w:left="460" w:right="434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Frame (1) new double door opening in existing wall between open offices 143 &amp; 135. 3 Install new 5/8’ Type X sheetrock on newly framed walls.</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Finish wall to match existing building standard texture.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G-2-1</w:t>
      </w:r>
    </w:p>
    <w:p>
      <w:pPr>
        <w:sectPr>
          <w:pgSz w:w="11900" w:h="16838" w:orient="portrait"/>
          <w:cols w:equalWidth="0" w:num="1">
            <w:col w:w="11420"/>
          </w:cols>
          <w:pgMar w:left="240" w:top="266" w:right="2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ACOUSTICAL CEILING:</w:t>
      </w:r>
    </w:p>
    <w:p>
      <w:pPr>
        <w:spacing w:after="0" w:line="131" w:lineRule="exact"/>
        <w:rPr>
          <w:sz w:val="20"/>
          <w:szCs w:val="20"/>
          <w:color w:val="auto"/>
        </w:rPr>
      </w:pPr>
    </w:p>
    <w:p>
      <w:pPr>
        <w:ind w:left="900" w:hanging="446"/>
        <w:spacing w:after="0"/>
        <w:tabs>
          <w:tab w:leader="none" w:pos="90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existing grid as necessary at new penetrating office walls at offices 137 &amp; 138.</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Replace ceiling tiles as necessary at newly patched ceiling grid at offices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4” rubber wall base at newly constructed private offices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Office walls (2) coats.</w:t>
      </w:r>
    </w:p>
    <w:p>
      <w:pPr>
        <w:spacing w:after="0" w:line="131" w:lineRule="exact"/>
        <w:rPr>
          <w:sz w:val="20"/>
          <w:szCs w:val="20"/>
          <w:color w:val="auto"/>
        </w:rPr>
      </w:pPr>
    </w:p>
    <w:p>
      <w:pPr>
        <w:ind w:left="900" w:hanging="446"/>
        <w:spacing w:after="0"/>
        <w:tabs>
          <w:tab w:leader="none" w:pos="90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existing walls affected by construction to nearest break point (1) coat.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Misc. paint touch up.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PLUMBING:</w:t>
      </w:r>
    </w:p>
    <w:p>
      <w:pPr>
        <w:spacing w:after="0" w:line="131" w:lineRule="exact"/>
        <w:rPr>
          <w:sz w:val="20"/>
          <w:szCs w:val="20"/>
          <w:color w:val="auto"/>
        </w:rPr>
      </w:pPr>
    </w:p>
    <w:p>
      <w:pPr>
        <w:ind w:left="900" w:hanging="446"/>
        <w:spacing w:after="0"/>
        <w:tabs>
          <w:tab w:leader="none" w:pos="90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into existing system and install supply and return ducting as necessary</w:t>
      </w:r>
    </w:p>
    <w:p>
      <w:pPr>
        <w:spacing w:after="0" w:line="131" w:lineRule="exact"/>
        <w:rPr>
          <w:sz w:val="20"/>
          <w:szCs w:val="20"/>
          <w:color w:val="auto"/>
        </w:rPr>
      </w:pPr>
    </w:p>
    <w:p>
      <w:pPr>
        <w:ind w:left="900" w:hanging="446"/>
        <w:spacing w:after="0"/>
        <w:tabs>
          <w:tab w:leader="none" w:pos="90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supply and return air registers as needed in Private Offices.</w:t>
      </w:r>
    </w:p>
    <w:p>
      <w:pPr>
        <w:spacing w:after="0" w:line="130" w:lineRule="exact"/>
        <w:rPr>
          <w:rFonts w:ascii="Times New Roman" w:cs="Times New Roman" w:eastAsia="Times New Roman" w:hAnsi="Times New Roman"/>
          <w:sz w:val="18"/>
          <w:szCs w:val="18"/>
          <w:color w:val="auto"/>
        </w:rPr>
      </w:pPr>
    </w:p>
    <w:p>
      <w:pPr>
        <w:ind w:left="460" w:right="5240"/>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Relocate existing duct work to accommodate new office layout. 4 Relocate existing supply and return air registers as necessary.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fire sprinkler heads as necessary.</w:t>
      </w:r>
    </w:p>
    <w:p>
      <w:pPr>
        <w:spacing w:after="0" w:line="131" w:lineRule="exact"/>
        <w:rPr>
          <w:sz w:val="20"/>
          <w:szCs w:val="20"/>
          <w:color w:val="auto"/>
        </w:rPr>
      </w:pPr>
    </w:p>
    <w:p>
      <w:pPr>
        <w:ind w:left="900" w:hanging="446"/>
        <w:spacing w:after="0"/>
        <w:tabs>
          <w:tab w:leader="none" w:pos="90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 heads to accommodate new office layout.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lighting as necessary.</w:t>
      </w:r>
    </w:p>
    <w:p>
      <w:pPr>
        <w:spacing w:after="0" w:line="131" w:lineRule="exact"/>
        <w:rPr>
          <w:sz w:val="20"/>
          <w:szCs w:val="20"/>
          <w:color w:val="auto"/>
        </w:rPr>
      </w:pPr>
    </w:p>
    <w:p>
      <w:pPr>
        <w:ind w:left="900" w:hanging="446"/>
        <w:spacing w:after="0"/>
        <w:tabs>
          <w:tab w:leader="none" w:pos="9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2x4 lighting fixtures to match existing as closely as possible in Private Offices.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new switching as necessary for new Private Offices.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Re-work switching as necessary to accommodate new office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duplex receptacles and data ring and string outlets at private offices 137 &amp; 138.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 OFFICE AREA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existing glass and associated frame to allow construction of new private offices.</w:t>
      </w:r>
    </w:p>
    <w:p>
      <w:pPr>
        <w:spacing w:after="0" w:line="131" w:lineRule="exact"/>
        <w:rPr>
          <w:sz w:val="20"/>
          <w:szCs w:val="20"/>
          <w:color w:val="auto"/>
        </w:rPr>
      </w:pPr>
    </w:p>
    <w:p>
      <w:pPr>
        <w:ind w:left="900" w:hanging="446"/>
        <w:spacing w:after="0"/>
        <w:tabs>
          <w:tab w:leader="none" w:pos="9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misc. acoustical ceiling tiles and grid to accommodate construction of (3) new offices with penetrating walls.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R-13 unfaced batts insulation at newly constructed private office wall.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3’x9’ aluminum frame with 2’x9’ sidelight at existing private office 129.</w:t>
      </w:r>
    </w:p>
    <w:p>
      <w:pPr>
        <w:spacing w:after="0" w:line="131" w:lineRule="exact"/>
        <w:rPr>
          <w:sz w:val="20"/>
          <w:szCs w:val="20"/>
          <w:color w:val="auto"/>
        </w:rPr>
      </w:pPr>
    </w:p>
    <w:p>
      <w:pPr>
        <w:ind w:left="900" w:hanging="446"/>
        <w:spacing w:after="0" w:line="282" w:lineRule="auto"/>
        <w:tabs>
          <w:tab w:leader="none" w:pos="90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 new 3’x9’ solid core non rated wood doors to be set in new aluminum frames with 5’x9’ sidelights and “L” series hardware at private offices 130 &amp; 131.</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G-2-2</w:t>
      </w:r>
    </w:p>
    <w:p>
      <w:pPr>
        <w:sectPr>
          <w:pgSz w:w="11900" w:h="16838" w:orient="portrait"/>
          <w:cols w:equalWidth="0" w:num="1">
            <w:col w:w="10720"/>
          </w:cols>
          <w:pgMar w:left="240" w:top="270" w:right="939" w:bottom="1440" w:gutter="0" w:footer="0" w:header="0"/>
        </w:sectPr>
      </w:pPr>
    </w:p>
    <w:bookmarkStart w:id="531" w:name="page532"/>
    <w:bookmarkEnd w:id="531"/>
    <w:p>
      <w:pPr>
        <w:ind w:left="900" w:hanging="446"/>
        <w:spacing w:after="0" w:line="282" w:lineRule="auto"/>
        <w:tabs>
          <w:tab w:leader="none" w:pos="90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and install (1) new 3’x9’ solid core non rated wood door to be set in new aluminum frame with 4’x9’ sidelight and “L” series hardware at conference room 3 room #132.</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GLASS &amp; GLAZING:</w:t>
      </w:r>
    </w:p>
    <w:p>
      <w:pPr>
        <w:spacing w:after="0" w:line="131" w:lineRule="exact"/>
        <w:rPr>
          <w:sz w:val="20"/>
          <w:szCs w:val="20"/>
          <w:color w:val="auto"/>
        </w:rPr>
      </w:pPr>
    </w:p>
    <w:p>
      <w:pPr>
        <w:ind w:left="900" w:hanging="446"/>
        <w:spacing w:after="0"/>
        <w:tabs>
          <w:tab w:leader="none" w:pos="90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 5’x9’x1/4” clear tempered glass to be set in aluminum frames at offices 130 &amp; 131.</w:t>
      </w:r>
    </w:p>
    <w:p>
      <w:pPr>
        <w:spacing w:after="0" w:line="131" w:lineRule="exact"/>
        <w:rPr>
          <w:sz w:val="20"/>
          <w:szCs w:val="20"/>
          <w:color w:val="auto"/>
        </w:rPr>
      </w:pPr>
    </w:p>
    <w:p>
      <w:pPr>
        <w:ind w:left="900" w:hanging="446"/>
        <w:spacing w:after="0"/>
        <w:tabs>
          <w:tab w:leader="none" w:pos="90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4’x9’x1/4” clear tempered glass to be set in aluminum frames at conference room 3 #132.</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3Furnish and install (1) 2’x9’x1/4” clear tempered glass to be set in aluminum frame at existing office #129.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approx. 65lf of new through grid walls to create (3) new private offices using 3-5/8” metal studs.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Install new 5/8” type X sheetrock on newly framed walls.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Patch misc. demolition scars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4Finish on new sheetrock and scars to match existing texture as closely as possible.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w:t>
      </w:r>
    </w:p>
    <w:p>
      <w:pPr>
        <w:spacing w:after="0" w:line="131" w:lineRule="exact"/>
        <w:rPr>
          <w:sz w:val="20"/>
          <w:szCs w:val="20"/>
          <w:color w:val="auto"/>
        </w:rPr>
      </w:pPr>
    </w:p>
    <w:p>
      <w:pPr>
        <w:ind w:left="900" w:hanging="446"/>
        <w:spacing w:after="0"/>
        <w:tabs>
          <w:tab w:leader="none" w:pos="90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misc. grid system where new wall penetrate at offices 130, 131 &amp; 132.</w:t>
      </w:r>
    </w:p>
    <w:p>
      <w:pPr>
        <w:spacing w:after="0" w:line="131" w:lineRule="exact"/>
        <w:rPr>
          <w:sz w:val="20"/>
          <w:szCs w:val="20"/>
          <w:color w:val="auto"/>
        </w:rPr>
      </w:pPr>
    </w:p>
    <w:p>
      <w:pPr>
        <w:ind w:left="900" w:hanging="446"/>
        <w:spacing w:after="0"/>
        <w:tabs>
          <w:tab w:leader="none" w:pos="9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replace misc. acoustical ceiling tiles as necessary to accommodate walls, HVAC, fire sprinklers and electrical.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approx. 130lf of new 4” rubber wall base at newly created private offices.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office walls (2) coats.</w:t>
      </w:r>
    </w:p>
    <w:p>
      <w:pPr>
        <w:spacing w:after="0" w:line="131" w:lineRule="exact"/>
        <w:rPr>
          <w:sz w:val="20"/>
          <w:szCs w:val="20"/>
          <w:color w:val="auto"/>
        </w:rPr>
      </w:pPr>
    </w:p>
    <w:p>
      <w:pPr>
        <w:ind w:left="900" w:hanging="446"/>
        <w:spacing w:after="0"/>
        <w:tabs>
          <w:tab w:leader="none" w:pos="90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existing office walls (1) coat.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VAV box to be installed during Phase #1.</w:t>
      </w:r>
    </w:p>
    <w:p>
      <w:pPr>
        <w:spacing w:after="0" w:line="131" w:lineRule="exact"/>
        <w:rPr>
          <w:sz w:val="20"/>
          <w:szCs w:val="20"/>
          <w:color w:val="auto"/>
        </w:rPr>
      </w:pPr>
    </w:p>
    <w:p>
      <w:pPr>
        <w:ind w:left="900" w:hanging="446"/>
        <w:spacing w:after="0"/>
        <w:tabs>
          <w:tab w:leader="none" w:pos="90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dual duct VAV zone for corner office.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(3) new supply registers.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(3) new return air registers.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ducting to accommodate new private offices.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fire sprinkler heads to accommodate new office layout.</w:t>
      </w:r>
    </w:p>
    <w:p>
      <w:pPr>
        <w:spacing w:after="0" w:line="131" w:lineRule="exact"/>
        <w:rPr>
          <w:sz w:val="20"/>
          <w:szCs w:val="20"/>
          <w:color w:val="auto"/>
        </w:rPr>
      </w:pPr>
    </w:p>
    <w:p>
      <w:pPr>
        <w:ind w:left="900" w:hanging="446"/>
        <w:spacing w:after="0"/>
        <w:tabs>
          <w:tab w:leader="none" w:pos="90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 heads as necessary to accommodate new office layout.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2x4 parabolic light fixtures to match existing as closely as possible in new private offices.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Relocate existing lighting fixtures to accommodate new office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(7) new duplex receptacles.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(6) new ring and string outlets.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Re-work switching as necessary to accommodate new office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Furnish and install new switching as necessary for new Private Offices.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G-2-3</w:t>
      </w:r>
    </w:p>
    <w:p>
      <w:pPr>
        <w:sectPr>
          <w:pgSz w:w="11900" w:h="16838" w:orient="portrait"/>
          <w:cols w:equalWidth="0" w:num="1">
            <w:col w:w="11400"/>
          </w:cols>
          <w:pgMar w:left="240" w:top="270" w:right="2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AREA #5 BIOANALYTICAL/RAD: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approx. 30lf of existing angled wall between new RAD lab and open office 105.</w:t>
      </w:r>
    </w:p>
    <w:p>
      <w:pPr>
        <w:spacing w:after="0" w:line="131" w:lineRule="exact"/>
        <w:rPr>
          <w:sz w:val="20"/>
          <w:szCs w:val="20"/>
          <w:color w:val="auto"/>
        </w:rPr>
      </w:pPr>
    </w:p>
    <w:p>
      <w:pPr>
        <w:ind w:left="900" w:hanging="446"/>
        <w:spacing w:after="0"/>
        <w:tabs>
          <w:tab w:leader="none" w:pos="90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misc. acoustical ceiling grid as necessary to allow construction of through grid wall between RAD lab and open office 105.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CASEWORK:</w:t>
      </w:r>
    </w:p>
    <w:p>
      <w:pPr>
        <w:spacing w:after="0" w:line="131" w:lineRule="exact"/>
        <w:rPr>
          <w:sz w:val="20"/>
          <w:szCs w:val="20"/>
          <w:color w:val="auto"/>
        </w:rPr>
      </w:pPr>
    </w:p>
    <w:p>
      <w:pPr>
        <w:ind w:left="900" w:hanging="446"/>
        <w:spacing w:after="0"/>
        <w:tabs>
          <w:tab w:leader="none" w:pos="900"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approx. 166sf of new lower cabinets with countertops at RAD Lab.</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2Modify existing cabinets as necessary where hoods are to be removed.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R-13 unfaced batts insulation at newly constructed RAD lab wall.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electrified hardware at RAD Lab.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approx. 29lf of new through grid wall between RAD lab and open office 105.</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Install new 5/8” type X sheetrock on newly framed walls.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Patch misc. demolition scars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4Finish on new sheetrock and scars to match existing texture as closely as possible.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w:t>
      </w:r>
    </w:p>
    <w:p>
      <w:pPr>
        <w:spacing w:after="0" w:line="131" w:lineRule="exact"/>
        <w:rPr>
          <w:sz w:val="20"/>
          <w:szCs w:val="20"/>
          <w:color w:val="auto"/>
        </w:rPr>
      </w:pPr>
    </w:p>
    <w:p>
      <w:pPr>
        <w:ind w:left="900" w:hanging="446"/>
        <w:spacing w:after="0"/>
        <w:tabs>
          <w:tab w:leader="none" w:pos="900"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existing grid as necessary at new penetrating wall between RAD lab and open office 105.</w:t>
      </w:r>
    </w:p>
    <w:p>
      <w:pPr>
        <w:spacing w:after="0" w:line="131" w:lineRule="exact"/>
        <w:rPr>
          <w:sz w:val="20"/>
          <w:szCs w:val="20"/>
          <w:color w:val="auto"/>
        </w:rPr>
      </w:pPr>
    </w:p>
    <w:p>
      <w:pPr>
        <w:ind w:left="900" w:hanging="446"/>
        <w:spacing w:after="0"/>
        <w:tabs>
          <w:tab w:leader="none" w:pos="900"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replace misc. acoustical ceiling tiles as necessary to accommodate walls and plumbing.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approx. 60lf of new 4” rubber wall base at newly constructed wall at RAD lab.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walls (2) coats throughout.</w:t>
      </w:r>
    </w:p>
    <w:p>
      <w:pPr>
        <w:spacing w:after="0" w:line="131" w:lineRule="exact"/>
        <w:rPr>
          <w:sz w:val="20"/>
          <w:szCs w:val="20"/>
          <w:color w:val="auto"/>
        </w:rPr>
      </w:pPr>
    </w:p>
    <w:p>
      <w:pPr>
        <w:ind w:left="900" w:hanging="446"/>
        <w:spacing w:after="0"/>
        <w:tabs>
          <w:tab w:leader="none" w:pos="90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existing walls (1) coat throughout.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Minor paint touch up.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PLUMBING:</w:t>
      </w:r>
    </w:p>
    <w:p>
      <w:pPr>
        <w:spacing w:after="0" w:line="131" w:lineRule="exact"/>
        <w:rPr>
          <w:sz w:val="20"/>
          <w:szCs w:val="20"/>
          <w:color w:val="auto"/>
        </w:rPr>
      </w:pPr>
    </w:p>
    <w:p>
      <w:pPr>
        <w:ind w:left="900" w:hanging="446"/>
        <w:spacing w:after="0"/>
        <w:tabs>
          <w:tab w:leader="none" w:pos="90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sink in RAD Lab including water and waste lines, waste to drain into existing floor sink.</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new CDA and VAC lines in (2) locations in RAD lab.</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3Furnish and install new N2 piping to (2) existing benches in Bioanalytical room.</w:t>
      </w:r>
    </w:p>
    <w:p>
      <w:pPr>
        <w:spacing w:after="0" w:line="130" w:lineRule="exact"/>
        <w:rPr>
          <w:rFonts w:ascii="Times New Roman" w:cs="Times New Roman" w:eastAsia="Times New Roman" w:hAnsi="Times New Roman"/>
          <w:sz w:val="18"/>
          <w:szCs w:val="18"/>
          <w:color w:val="auto"/>
        </w:rPr>
      </w:pPr>
    </w:p>
    <w:p>
      <w:pPr>
        <w:ind w:left="460" w:right="2620"/>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Bench dewers to be located inside equipment/storage at existing N2 pipe manifold in room 123. 5 Furnish and install CDA and VAC lines to existing fume hood in bioanalytical room.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4” at 50 cfm to (3) snorkel exhaust. HPLC vent header (closed system) by tenant,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2Convert freezer room to 2-8°c room 141.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sprinklers to existing fume hoods.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G-2-4</w:t>
      </w:r>
    </w:p>
    <w:p>
      <w:pPr>
        <w:sectPr>
          <w:pgSz w:w="11900" w:h="16838" w:orient="portrait"/>
          <w:cols w:equalWidth="0" w:num="1">
            <w:col w:w="10420"/>
          </w:cols>
          <w:pgMar w:left="240" w:top="265" w:right="123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ELECTRICAL:</w:t>
      </w:r>
    </w:p>
    <w:p>
      <w:pPr>
        <w:spacing w:after="0" w:line="131" w:lineRule="exact"/>
        <w:rPr>
          <w:sz w:val="20"/>
          <w:szCs w:val="20"/>
          <w:color w:val="auto"/>
        </w:rPr>
      </w:pPr>
    </w:p>
    <w:p>
      <w:pPr>
        <w:ind w:left="900" w:hanging="446"/>
        <w:spacing w:after="0"/>
        <w:tabs>
          <w:tab w:leader="none" w:pos="90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power for card reader in RAD Lab.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AREA #6 VIVARIUM 156-165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DEMOLITION:</w:t>
      </w:r>
    </w:p>
    <w:p>
      <w:pPr>
        <w:spacing w:after="0" w:line="131" w:lineRule="exact"/>
        <w:rPr>
          <w:sz w:val="20"/>
          <w:szCs w:val="20"/>
          <w:color w:val="auto"/>
        </w:rPr>
      </w:pPr>
    </w:p>
    <w:p>
      <w:pPr>
        <w:ind w:left="900" w:hanging="446"/>
        <w:spacing w:after="0"/>
        <w:tabs>
          <w:tab w:leader="none" w:pos="900"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Saw cut break and remove concrete as necessary for plumbing.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existing walls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Remove existing flooring throughout.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3Remove existing rubber wall base.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Remove existing ceiling throughout.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Remove and salvage existing doors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Misc. demolition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7Bead blast to remove existing epoxy flooring.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CONCRETE:</w:t>
      </w:r>
    </w:p>
    <w:p>
      <w:pPr>
        <w:spacing w:after="0" w:line="131" w:lineRule="exact"/>
        <w:rPr>
          <w:sz w:val="20"/>
          <w:szCs w:val="20"/>
          <w:color w:val="auto"/>
        </w:rPr>
      </w:pPr>
    </w:p>
    <w:p>
      <w:pPr>
        <w:ind w:left="900" w:hanging="446"/>
        <w:spacing w:after="0"/>
        <w:tabs>
          <w:tab w:leader="none" w:pos="90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misc. plumbing trenches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insulation in new walls.</w:t>
      </w:r>
    </w:p>
    <w:p>
      <w:pPr>
        <w:spacing w:after="0" w:line="131" w:lineRule="exact"/>
        <w:rPr>
          <w:sz w:val="20"/>
          <w:szCs w:val="20"/>
          <w:color w:val="auto"/>
        </w:rPr>
      </w:pPr>
    </w:p>
    <w:p>
      <w:pPr>
        <w:ind w:left="900" w:hanging="446"/>
        <w:spacing w:after="0"/>
        <w:tabs>
          <w:tab w:leader="none" w:pos="90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insulation to existing walls at quar/isolation, all holding rooms and procedure rooms if not already existing.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ROOFING: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(1) new pair 6’x9’ solid core door set in hollow metal frames.</w:t>
      </w:r>
    </w:p>
    <w:p>
      <w:pPr>
        <w:spacing w:after="0" w:line="131" w:lineRule="exact"/>
        <w:rPr>
          <w:sz w:val="20"/>
          <w:szCs w:val="20"/>
          <w:color w:val="auto"/>
        </w:rPr>
      </w:pPr>
    </w:p>
    <w:p>
      <w:pPr>
        <w:ind w:left="900" w:hanging="446"/>
        <w:spacing w:after="0"/>
        <w:tabs>
          <w:tab w:leader="none" w:pos="90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(2) existing 3’x7’ metal doors set in hollow metal frames in Gowning.</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Re-use existing hardware as necessary.</w:t>
      </w:r>
    </w:p>
    <w:p>
      <w:pPr>
        <w:spacing w:after="0" w:line="131" w:lineRule="exact"/>
        <w:rPr>
          <w:sz w:val="20"/>
          <w:szCs w:val="20"/>
          <w:color w:val="auto"/>
        </w:rPr>
      </w:pPr>
    </w:p>
    <w:p>
      <w:pPr>
        <w:ind w:left="900" w:hanging="446"/>
        <w:spacing w:after="0" w:line="282" w:lineRule="auto"/>
        <w:tabs>
          <w:tab w:leader="none" w:pos="90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perimeter seal and surface mounted stainless steel auto door bottom for light control at all holding, quar/isolation and procedure rooms.</w:t>
      </w:r>
    </w:p>
    <w:p>
      <w:pPr>
        <w:spacing w:after="0" w:line="67" w:lineRule="exact"/>
        <w:rPr>
          <w:sz w:val="20"/>
          <w:szCs w:val="20"/>
          <w:color w:val="auto"/>
        </w:rPr>
      </w:pPr>
    </w:p>
    <w:p>
      <w:pPr>
        <w:ind w:left="900" w:hanging="446"/>
        <w:spacing w:after="0"/>
        <w:tabs>
          <w:tab w:leader="none" w:pos="90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black out film on all door visionlites at holding, quar/isolation and procedure rooms.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walls as necessary using 3-5/8” metal studs.</w:t>
      </w:r>
    </w:p>
    <w:p>
      <w:pPr>
        <w:spacing w:after="0" w:line="131" w:lineRule="exact"/>
        <w:rPr>
          <w:sz w:val="20"/>
          <w:szCs w:val="20"/>
          <w:color w:val="auto"/>
        </w:rPr>
      </w:pPr>
    </w:p>
    <w:p>
      <w:pPr>
        <w:ind w:left="900" w:hanging="446"/>
        <w:spacing w:after="0"/>
        <w:tabs>
          <w:tab w:leader="none" w:pos="900"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door openings as necessary using 3-5/8” metal studs.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Frame new ceilings using 6” metal stud joists.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4Install new 5/8” type X sheetrock on newly framed walls and ceilings.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Patch misc. demolition scars. Finish on newly installed walls and ceilings to match existing building texture.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moisture barrier in rooms where epoxy paint is bubbling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self coving sheet vinyl with heat welded seams throughout.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and existing walls and ceilings throughout with level 4 semi-gloss acrylic epoxy paint.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Misc. minor paint touch up.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PLUMBING:</w:t>
      </w:r>
    </w:p>
    <w:p>
      <w:pPr>
        <w:spacing w:after="0" w:line="131" w:lineRule="exact"/>
        <w:rPr>
          <w:sz w:val="20"/>
          <w:szCs w:val="20"/>
          <w:color w:val="auto"/>
        </w:rPr>
      </w:pPr>
    </w:p>
    <w:p>
      <w:pPr>
        <w:jc w:val="center"/>
        <w:ind w:left="5500" w:right="540" w:hanging="5046"/>
        <w:spacing w:after="0" w:line="454" w:lineRule="auto"/>
        <w:tabs>
          <w:tab w:leader="none" w:pos="90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rough plumbing as necessary including waste, hot and cold water, DI water and vent piping as necessary. G-2-5</w:t>
      </w:r>
    </w:p>
    <w:p>
      <w:pPr>
        <w:sectPr>
          <w:pgSz w:w="11900" w:h="16838" w:orient="portrait"/>
          <w:cols w:equalWidth="0" w:num="1">
            <w:col w:w="10720"/>
          </w:cols>
          <w:pgMar w:left="240" w:top="270" w:right="939" w:bottom="379" w:gutter="0" w:footer="0" w:header="0"/>
        </w:sectPr>
      </w:pPr>
    </w:p>
    <w:bookmarkStart w:id="534" w:name="page535"/>
    <w:bookmarkEnd w:id="534"/>
    <w:p>
      <w:pPr>
        <w:ind w:left="900" w:hanging="446"/>
        <w:spacing w:after="0"/>
        <w:tabs>
          <w:tab w:leader="none" w:pos="90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Remove, cap and relocate existing piping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necessary valves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new floor drains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floor sinks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Hook-up autoclave and glasswash only.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Relocate existing scullery to staging/cage wash room 165.</w:t>
      </w:r>
    </w:p>
    <w:p>
      <w:pPr>
        <w:spacing w:after="0" w:line="130" w:lineRule="exact"/>
        <w:rPr>
          <w:rFonts w:ascii="Times New Roman" w:cs="Times New Roman" w:eastAsia="Times New Roman" w:hAnsi="Times New Roman"/>
          <w:sz w:val="18"/>
          <w:szCs w:val="18"/>
          <w:color w:val="auto"/>
        </w:rPr>
      </w:pPr>
    </w:p>
    <w:p>
      <w:pPr>
        <w:ind w:left="460" w:right="522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Furnish and install water and drain lines to ice maker in glass wash 158. 9 Hook-up owner provided washer and dryer in glass wash 158.</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Furnish and install pluming as necessary for cage washer.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low exhaust with filter on exhaust grilles.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(10) exhaust intakes size 15 changes per hour.</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associated galvanized steel ducts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1500CFM exhaust for cage wash.</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5Furnish and install (2) low exhaust, filter grilles, 600CFM and galvanized steel exhaust ducts in Procedure Room.</w:t>
      </w:r>
    </w:p>
    <w:p>
      <w:pPr>
        <w:spacing w:after="0" w:line="131" w:lineRule="exact"/>
        <w:rPr>
          <w:sz w:val="20"/>
          <w:szCs w:val="20"/>
          <w:color w:val="auto"/>
        </w:rPr>
      </w:pPr>
    </w:p>
    <w:p>
      <w:pPr>
        <w:jc w:val="both"/>
        <w:ind w:left="900" w:hanging="446"/>
        <w:spacing w:after="0" w:line="266" w:lineRule="auto"/>
        <w:tabs>
          <w:tab w:leader="none" w:pos="90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humidity control to the existing AH-8 area handling system will require control changes to cool the supply air to dehumidify the air stream and a 60KW – 200lbs per your modulating steam humidifier. Review existing air handler installation to verify the concept and design 30 to 70% RH and room temperature 64 to 79 degrees.</w:t>
      </w:r>
    </w:p>
    <w:p>
      <w:pPr>
        <w:spacing w:after="0" w:line="82" w:lineRule="exact"/>
        <w:rPr>
          <w:sz w:val="20"/>
          <w:szCs w:val="20"/>
          <w:color w:val="auto"/>
        </w:rPr>
      </w:pPr>
    </w:p>
    <w:p>
      <w:pPr>
        <w:ind w:left="900" w:right="340" w:hanging="446"/>
        <w:spacing w:after="0" w:line="282" w:lineRule="auto"/>
        <w:tabs>
          <w:tab w:leader="none" w:pos="90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Makeup air for animal rooms, procedure, cage wash, etc- Reduct AH-8, add (6) HW reheat zones, rebalance AH-8 and cap main ducts from adjacent future tenant, increase outside air from 3800CFM to 600CFM.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fire sprinkler heads as necessary.</w:t>
      </w:r>
    </w:p>
    <w:p>
      <w:pPr>
        <w:spacing w:after="0" w:line="131" w:lineRule="exact"/>
        <w:rPr>
          <w:sz w:val="20"/>
          <w:szCs w:val="20"/>
          <w:color w:val="auto"/>
        </w:rPr>
      </w:pPr>
    </w:p>
    <w:p>
      <w:pPr>
        <w:ind w:left="900" w:hanging="446"/>
        <w:spacing w:after="0"/>
        <w:tabs>
          <w:tab w:leader="none" w:pos="9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 heads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Remove misc. fire sprinkler heads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4Adjust existing fire sprinkler heads as necessary to accommodate new sheetrock ceiling.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off for demolition as necessary.</w:t>
      </w:r>
    </w:p>
    <w:p>
      <w:pPr>
        <w:spacing w:after="0" w:line="131" w:lineRule="exact"/>
        <w:rPr>
          <w:sz w:val="20"/>
          <w:szCs w:val="20"/>
          <w:color w:val="auto"/>
        </w:rPr>
      </w:pPr>
    </w:p>
    <w:p>
      <w:pPr>
        <w:ind w:left="900" w:hanging="446"/>
        <w:spacing w:after="0"/>
        <w:tabs>
          <w:tab w:leader="none" w:pos="90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lighting fixtures as necessary to accommodate sheetrock ceiling.</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Rework existing switching to accommodate new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4Furnish and install new switching as necessary to accommodate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receptacles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6Install power to glass wash and autoclave.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Install power to exhaust fans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8Furnish and install power to (1) under counter -20 freezer in staging/cage wash.</w:t>
      </w:r>
    </w:p>
    <w:p>
      <w:pPr>
        <w:spacing w:after="0" w:line="130" w:lineRule="exact"/>
        <w:rPr>
          <w:rFonts w:ascii="Times New Roman" w:cs="Times New Roman" w:eastAsia="Times New Roman" w:hAnsi="Times New Roman"/>
          <w:sz w:val="18"/>
          <w:szCs w:val="18"/>
          <w:color w:val="auto"/>
        </w:rPr>
      </w:pPr>
    </w:p>
    <w:p>
      <w:pPr>
        <w:jc w:val="both"/>
        <w:ind w:left="460" w:right="384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Furnish and install emergency power to (1) under counter -20 freezer in staging/cage wash. 10 Furnish and install (1) duplex receptacle at mice/rat changing station in staging/cage wash.</w:t>
      </w:r>
    </w:p>
    <w:p>
      <w:pPr>
        <w:jc w:val="center"/>
        <w:ind w:right="-139"/>
        <w:spacing w:after="0"/>
        <w:rPr>
          <w:sz w:val="20"/>
          <w:szCs w:val="20"/>
          <w:color w:val="auto"/>
        </w:rPr>
      </w:pPr>
      <w:r>
        <w:rPr>
          <w:rFonts w:ascii="Times New Roman" w:cs="Times New Roman" w:eastAsia="Times New Roman" w:hAnsi="Times New Roman"/>
          <w:sz w:val="18"/>
          <w:szCs w:val="18"/>
          <w:color w:val="auto"/>
        </w:rPr>
        <w:t>G-2-6</w:t>
      </w:r>
    </w:p>
    <w:p>
      <w:pPr>
        <w:sectPr>
          <w:pgSz w:w="11900" w:h="16838" w:orient="portrait"/>
          <w:cols w:equalWidth="0" w:num="1">
            <w:col w:w="11300"/>
          </w:cols>
          <w:pgMar w:left="240" w:top="269" w:right="359" w:bottom="1440" w:gutter="0" w:footer="0" w:header="0"/>
        </w:sectPr>
      </w:pPr>
    </w:p>
    <w:bookmarkStart w:id="535" w:name="page536"/>
    <w:bookmarkEnd w:id="535"/>
    <w:p>
      <w:pPr>
        <w:ind w:left="900" w:hanging="446"/>
        <w:spacing w:after="0" w:line="282" w:lineRule="auto"/>
        <w:tabs>
          <w:tab w:leader="none" w:pos="90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and install automatic individual local time clock lighting controller for each quar/isolation, and all holding and procedure rooms (no emergency lighting in these areas).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AREA #7 OPEN OFFICE/CONFERENCE ROOM 105-109 &amp; 115 (SERVER ROOM 102 to be phase 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DEMOLITION:</w:t>
      </w:r>
    </w:p>
    <w:p>
      <w:pPr>
        <w:spacing w:after="0" w:line="131" w:lineRule="exact"/>
        <w:rPr>
          <w:sz w:val="20"/>
          <w:szCs w:val="20"/>
          <w:color w:val="auto"/>
        </w:rPr>
      </w:pPr>
    </w:p>
    <w:p>
      <w:pPr>
        <w:ind w:left="900" w:hanging="446"/>
        <w:spacing w:after="0"/>
        <w:tabs>
          <w:tab w:leader="none" w:pos="90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Saw cut as necessary to relocate existing janitors sink.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DEMOLITION:</w:t>
      </w:r>
    </w:p>
    <w:p>
      <w:pPr>
        <w:spacing w:after="0" w:line="131" w:lineRule="exact"/>
        <w:rPr>
          <w:sz w:val="20"/>
          <w:szCs w:val="20"/>
          <w:color w:val="auto"/>
        </w:rPr>
      </w:pPr>
    </w:p>
    <w:p>
      <w:pPr>
        <w:ind w:left="900" w:hanging="446"/>
        <w:spacing w:after="0"/>
        <w:tabs>
          <w:tab w:leader="none" w:pos="90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walls as necessary to create open office.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2Remove and salvage doors for re-use.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Remove existing wall base.</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Remove misc. sheetrock soffits.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5Remove existing walls at octagon conference room.</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Misc. selective demolition.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CONCRETE:</w:t>
      </w:r>
    </w:p>
    <w:p>
      <w:pPr>
        <w:spacing w:after="0" w:line="131" w:lineRule="exact"/>
        <w:rPr>
          <w:sz w:val="20"/>
          <w:szCs w:val="20"/>
          <w:color w:val="auto"/>
        </w:rPr>
      </w:pPr>
    </w:p>
    <w:p>
      <w:pPr>
        <w:ind w:left="900" w:hanging="446"/>
        <w:spacing w:after="0"/>
        <w:tabs>
          <w:tab w:leader="none" w:pos="90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Patch misc. plumbing trenches.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ROUGH CARPENTRY:</w:t>
      </w:r>
    </w:p>
    <w:p>
      <w:pPr>
        <w:spacing w:after="0" w:line="131" w:lineRule="exact"/>
        <w:rPr>
          <w:sz w:val="20"/>
          <w:szCs w:val="20"/>
          <w:color w:val="auto"/>
        </w:rPr>
      </w:pPr>
    </w:p>
    <w:p>
      <w:pPr>
        <w:ind w:left="900" w:hanging="446"/>
        <w:spacing w:after="0"/>
        <w:tabs>
          <w:tab w:leader="none" w:pos="90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in existing opening between 1st and 2nd floors.</w:t>
      </w:r>
    </w:p>
    <w:p>
      <w:pPr>
        <w:spacing w:after="0" w:line="131" w:lineRule="exact"/>
        <w:rPr>
          <w:sz w:val="20"/>
          <w:szCs w:val="20"/>
          <w:color w:val="auto"/>
        </w:rPr>
      </w:pPr>
    </w:p>
    <w:p>
      <w:pPr>
        <w:ind w:left="900" w:hanging="446"/>
        <w:spacing w:after="0"/>
        <w:tabs>
          <w:tab w:leader="none" w:pos="90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supports for server room condensing unit.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ROOFING:</w:t>
      </w:r>
    </w:p>
    <w:p>
      <w:pPr>
        <w:spacing w:after="0" w:line="131" w:lineRule="exact"/>
        <w:rPr>
          <w:sz w:val="20"/>
          <w:szCs w:val="20"/>
          <w:color w:val="auto"/>
        </w:rPr>
      </w:pPr>
    </w:p>
    <w:p>
      <w:pPr>
        <w:ind w:left="900" w:hanging="446"/>
        <w:spacing w:after="0"/>
        <w:tabs>
          <w:tab w:leader="none" w:pos="90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Roof in new roof top condensing unit on roof.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insulation in all new walls.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pair 6’x9’ solid core doors set in new hollow metal frame at lounge 106.</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new “L” series door hardware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GLASS &amp; GLAZING:</w:t>
      </w:r>
    </w:p>
    <w:p>
      <w:pPr>
        <w:spacing w:after="0" w:line="131" w:lineRule="exact"/>
        <w:rPr>
          <w:sz w:val="20"/>
          <w:szCs w:val="20"/>
          <w:color w:val="auto"/>
        </w:rPr>
      </w:pPr>
    </w:p>
    <w:p>
      <w:pPr>
        <w:ind w:left="900" w:hanging="446"/>
        <w:spacing w:after="0"/>
        <w:tabs>
          <w:tab w:leader="none" w:pos="90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relocate existing octagon glass conference room to new conference room location.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server room walls as necessary using 3-5/8” metal studs.</w:t>
      </w:r>
    </w:p>
    <w:p>
      <w:pPr>
        <w:spacing w:after="0" w:line="131" w:lineRule="exact"/>
        <w:rPr>
          <w:sz w:val="20"/>
          <w:szCs w:val="20"/>
          <w:color w:val="auto"/>
        </w:rPr>
      </w:pPr>
    </w:p>
    <w:p>
      <w:pPr>
        <w:ind w:left="900" w:hanging="446"/>
        <w:spacing w:after="0"/>
        <w:tabs>
          <w:tab w:leader="none" w:pos="90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approx. 12lf new all to continue a straight line between vivarium and open office area using 3-5/8” metal studs.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Frame approx. 11lf of new wall between print/copy station and lounge 106 using 3-5/8” metal studs.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Frame approx. 17lf of new wall between break room 107 and lounge 106 using 3-5/8” metal studs.</w:t>
      </w:r>
    </w:p>
    <w:p>
      <w:pPr>
        <w:spacing w:after="0" w:line="130" w:lineRule="exact"/>
        <w:rPr>
          <w:rFonts w:ascii="Times New Roman" w:cs="Times New Roman" w:eastAsia="Times New Roman" w:hAnsi="Times New Roman"/>
          <w:sz w:val="18"/>
          <w:szCs w:val="18"/>
          <w:color w:val="auto"/>
        </w:rPr>
      </w:pPr>
    </w:p>
    <w:p>
      <w:pPr>
        <w:ind w:left="460" w:right="150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Frame approx. 27lf of new full height wall between lounge 106, seating area 108 and hall 113 using 3-5/8” metal studs. 6 Frame approx. 25lf of new wall at janitors room 109.</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Install new 5/8” type X sheetrock on newly framed walls.</w:t>
      </w:r>
    </w:p>
    <w:p>
      <w:pPr>
        <w:spacing w:after="0" w:line="130" w:lineRule="exact"/>
        <w:rPr>
          <w:rFonts w:ascii="Times New Roman" w:cs="Times New Roman" w:eastAsia="Times New Roman" w:hAnsi="Times New Roman"/>
          <w:sz w:val="18"/>
          <w:szCs w:val="18"/>
          <w:color w:val="auto"/>
        </w:rPr>
      </w:pPr>
    </w:p>
    <w:p>
      <w:pPr>
        <w:ind w:left="460" w:right="338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Install new 5/8” type X sheetrock on infilled opening between 1st and 2nd floor as necessary. 9 Patch misc. demolition scars.</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Finish on all new and existing walls to match existing texture.</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G-2-7</w:t>
      </w:r>
    </w:p>
    <w:p>
      <w:pPr>
        <w:sectPr>
          <w:pgSz w:w="11900" w:h="16838" w:orient="portrait"/>
          <w:cols w:equalWidth="0" w:num="1">
            <w:col w:w="11000"/>
          </w:cols>
          <w:pgMar w:left="240" w:top="270" w:right="65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ACOUSTICAL CEILING:</w:t>
      </w:r>
    </w:p>
    <w:p>
      <w:pPr>
        <w:spacing w:after="0" w:line="131" w:lineRule="exact"/>
        <w:rPr>
          <w:sz w:val="20"/>
          <w:szCs w:val="20"/>
          <w:color w:val="auto"/>
        </w:rPr>
      </w:pPr>
    </w:p>
    <w:p>
      <w:pPr>
        <w:ind w:left="900" w:hanging="446"/>
        <w:spacing w:after="0"/>
        <w:tabs>
          <w:tab w:leader="none" w:pos="90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acoustical ceiling grid as necessary in open area between 1st and 2nd floor at board room 115.</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new acoustical ceiling tiles to match existing in newly installed grid.</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3Misc. acoustical ceiling patch as necessary where walls are to be removed.</w:t>
      </w:r>
    </w:p>
    <w:p>
      <w:pPr>
        <w:spacing w:after="0" w:line="130" w:lineRule="exact"/>
        <w:rPr>
          <w:rFonts w:ascii="Times New Roman" w:cs="Times New Roman" w:eastAsia="Times New Roman" w:hAnsi="Times New Roman"/>
          <w:sz w:val="18"/>
          <w:szCs w:val="18"/>
          <w:color w:val="auto"/>
        </w:rPr>
      </w:pPr>
    </w:p>
    <w:p>
      <w:pPr>
        <w:ind w:left="460"/>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Replace misc. acoustical ceiling tiles as necessary to accommodate HVAC and electrical in open office 105, lounge 106 setting area 108. 5 Furnish and install seismic posts and wires as necessary at newly installed grid.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FLOORING:</w:t>
      </w:r>
    </w:p>
    <w:p>
      <w:pPr>
        <w:spacing w:after="0" w:line="131" w:lineRule="exact"/>
        <w:rPr>
          <w:sz w:val="20"/>
          <w:szCs w:val="20"/>
          <w:color w:val="auto"/>
        </w:rPr>
      </w:pPr>
    </w:p>
    <w:p>
      <w:pPr>
        <w:ind w:left="900" w:hanging="446"/>
        <w:spacing w:after="0"/>
        <w:tabs>
          <w:tab w:leader="none" w:pos="90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carpet tiles over existing flooring throughout.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2Furnish and install new 4” rubber wall base throughout.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walls (2) coats throughout.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2Paint existing walls (1) coat.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Minor touch up and patching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PLUMBING:</w:t>
      </w:r>
    </w:p>
    <w:p>
      <w:pPr>
        <w:spacing w:after="0" w:line="131" w:lineRule="exact"/>
        <w:rPr>
          <w:sz w:val="20"/>
          <w:szCs w:val="20"/>
          <w:color w:val="auto"/>
        </w:rPr>
      </w:pPr>
    </w:p>
    <w:p>
      <w:pPr>
        <w:ind w:left="900" w:hanging="446"/>
        <w:spacing w:after="0"/>
        <w:tabs>
          <w:tab w:leader="none" w:pos="90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janitors sinks as necessary.</w:t>
      </w:r>
    </w:p>
    <w:p>
      <w:pPr>
        <w:spacing w:after="0" w:line="131" w:lineRule="exact"/>
        <w:rPr>
          <w:sz w:val="20"/>
          <w:szCs w:val="20"/>
          <w:color w:val="auto"/>
        </w:rPr>
      </w:pPr>
    </w:p>
    <w:p>
      <w:pPr>
        <w:ind w:left="900" w:hanging="446"/>
        <w:spacing w:after="0"/>
        <w:tabs>
          <w:tab w:leader="none" w:pos="90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condensation lines for server room HVAC equipment as necessary.</w:t>
      </w:r>
    </w:p>
    <w:p>
      <w:pPr>
        <w:spacing w:after="0" w:line="130" w:lineRule="exact"/>
        <w:rPr>
          <w:rFonts w:ascii="Times New Roman" w:cs="Times New Roman" w:eastAsia="Times New Roman" w:hAnsi="Times New Roman"/>
          <w:sz w:val="18"/>
          <w:szCs w:val="18"/>
          <w:color w:val="auto"/>
        </w:rPr>
      </w:pPr>
    </w:p>
    <w:p>
      <w:pPr>
        <w:ind w:left="460" w:right="4440"/>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Furnish and install new cold water lines in break room 107 at (3) locations. 4 Furnish and install (1) new dishwasher in break room 107.</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HVAC:</w:t>
      </w:r>
    </w:p>
    <w:p>
      <w:pPr>
        <w:spacing w:after="0" w:line="131" w:lineRule="exact"/>
        <w:rPr>
          <w:sz w:val="20"/>
          <w:szCs w:val="20"/>
          <w:color w:val="auto"/>
        </w:rPr>
      </w:pPr>
    </w:p>
    <w:p>
      <w:pPr>
        <w:ind w:left="900" w:hanging="446"/>
        <w:spacing w:after="0"/>
        <w:tabs>
          <w:tab w:leader="none" w:pos="90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and cap existing ductwork as necessary to separate tenants.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(4) new HW reheat VAV zones.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Reduct existing zones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4Furnish and install (15) supply grilles and (7) return air grilles.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Furnish and install new roof top condensing unit.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Relocate thermostats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Furnish and install pneumatic controls.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8Furnish and install (1) new 1.5 or 1-ton split system to serve server room only per BTU loads provided by tenant.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existing fire sprinklers as necessary to accommodate new office layout.</w:t>
      </w:r>
    </w:p>
    <w:p>
      <w:pPr>
        <w:spacing w:after="0" w:line="131" w:lineRule="exact"/>
        <w:rPr>
          <w:sz w:val="20"/>
          <w:szCs w:val="20"/>
          <w:color w:val="auto"/>
        </w:rPr>
      </w:pPr>
    </w:p>
    <w:p>
      <w:pPr>
        <w:ind w:left="900" w:hanging="446"/>
        <w:spacing w:after="0"/>
        <w:tabs>
          <w:tab w:leader="none" w:pos="90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sprinklers as necessary to accommodate new office layout.</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3Relocate existing fire sprinkler heads as necessary to accommodate new office layout.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off for demolition as necessary.</w:t>
      </w:r>
    </w:p>
    <w:p>
      <w:pPr>
        <w:spacing w:after="0" w:line="131" w:lineRule="exact"/>
        <w:rPr>
          <w:sz w:val="20"/>
          <w:szCs w:val="20"/>
          <w:color w:val="auto"/>
        </w:rPr>
      </w:pPr>
    </w:p>
    <w:p>
      <w:pPr>
        <w:ind w:left="900" w:hanging="446"/>
        <w:spacing w:after="0"/>
        <w:tabs>
          <w:tab w:leader="none" w:pos="90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switching as necessary.</w:t>
      </w:r>
    </w:p>
    <w:p>
      <w:pPr>
        <w:spacing w:after="0" w:line="131" w:lineRule="exact"/>
        <w:rPr>
          <w:sz w:val="20"/>
          <w:szCs w:val="20"/>
          <w:color w:val="auto"/>
        </w:rPr>
      </w:pPr>
    </w:p>
    <w:p>
      <w:pPr>
        <w:ind w:left="900" w:hanging="446"/>
        <w:spacing w:after="0"/>
        <w:tabs>
          <w:tab w:leader="none" w:pos="90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switching in conference room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Furnish and install new lighting in conference room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5Furnish and install (10) dedicated 120v circuits in server room.</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6Furnish and install power to new server room split system including condensing unit.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G-2-8</w:t>
      </w:r>
    </w:p>
    <w:p>
      <w:pPr>
        <w:sectPr>
          <w:pgSz w:w="11900" w:h="16838" w:orient="portrait"/>
          <w:cols w:equalWidth="0" w:num="1">
            <w:col w:w="10740"/>
          </w:cols>
          <w:pgMar w:left="240" w:top="270" w:right="919" w:bottom="1440" w:gutter="0" w:footer="0" w:header="0"/>
        </w:sectPr>
      </w:pPr>
    </w:p>
    <w:bookmarkStart w:id="537" w:name="page538"/>
    <w:bookmarkEnd w:id="537"/>
    <w:p>
      <w:pPr>
        <w:ind w:left="900" w:hanging="446"/>
        <w:spacing w:after="0"/>
        <w:tabs>
          <w:tab w:leader="none" w:pos="90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and install new lighting as necessary.</w:t>
      </w:r>
    </w:p>
    <w:p>
      <w:pPr>
        <w:spacing w:after="0" w:line="131" w:lineRule="exact"/>
        <w:rPr>
          <w:sz w:val="20"/>
          <w:szCs w:val="20"/>
          <w:color w:val="auto"/>
        </w:rPr>
      </w:pPr>
    </w:p>
    <w:p>
      <w:pPr>
        <w:ind w:left="900" w:hanging="446"/>
        <w:spacing w:after="0"/>
        <w:tabs>
          <w:tab w:leader="none" w:pos="90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lighting fixtures and display lighting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LIFE SAFETY:</w:t>
      </w:r>
    </w:p>
    <w:p>
      <w:pPr>
        <w:spacing w:after="0" w:line="131" w:lineRule="exact"/>
        <w:rPr>
          <w:sz w:val="20"/>
          <w:szCs w:val="20"/>
          <w:color w:val="auto"/>
        </w:rPr>
      </w:pPr>
    </w:p>
    <w:p>
      <w:pPr>
        <w:ind w:left="900" w:hanging="446"/>
        <w:spacing w:after="0"/>
        <w:tabs>
          <w:tab w:leader="none" w:pos="90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Re-work and relocate existing fire life safety devises and wiring as necessary throughout.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ALTERNATIVES: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IN-FILL 1ST FLOOR LOUNGE AREA:</w:t>
      </w:r>
    </w:p>
    <w:p>
      <w:pPr>
        <w:spacing w:after="0" w:line="131" w:lineRule="exact"/>
        <w:rPr>
          <w:sz w:val="20"/>
          <w:szCs w:val="20"/>
          <w:color w:val="auto"/>
        </w:rPr>
      </w:pPr>
    </w:p>
    <w:p>
      <w:pPr>
        <w:ind w:left="900" w:hanging="446"/>
        <w:spacing w:after="0"/>
        <w:tabs>
          <w:tab w:leader="none" w:pos="90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in existing opening between 1st &amp; 2nd floors.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CUT IN WINDOW OPENINGS AT EXISTING CONCRETE WALL:</w:t>
      </w:r>
    </w:p>
    <w:p>
      <w:pPr>
        <w:spacing w:after="0" w:line="131" w:lineRule="exact"/>
        <w:rPr>
          <w:sz w:val="20"/>
          <w:szCs w:val="20"/>
          <w:color w:val="auto"/>
        </w:rPr>
      </w:pPr>
    </w:p>
    <w:p>
      <w:pPr>
        <w:ind w:left="900" w:hanging="446"/>
        <w:spacing w:after="0"/>
        <w:tabs>
          <w:tab w:leader="none" w:pos="90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Saw-cut openings in existing concrete tilt up wall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2Furnish and install misc. structural steel.</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new aluminum window system to match existing as closely as possible.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LOBBY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DOORS/FRAMES/HARDWARE:</w:t>
      </w:r>
    </w:p>
    <w:p>
      <w:pPr>
        <w:spacing w:after="0" w:line="131" w:lineRule="exact"/>
        <w:rPr>
          <w:sz w:val="20"/>
          <w:szCs w:val="20"/>
          <w:color w:val="auto"/>
        </w:rPr>
      </w:pPr>
    </w:p>
    <w:p>
      <w:pPr>
        <w:ind w:left="900" w:hanging="446"/>
        <w:spacing w:after="0"/>
        <w:tabs>
          <w:tab w:leader="none" w:pos="90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salvaged pair double doors, frame and hardware.</w:t>
      </w:r>
    </w:p>
    <w:p>
      <w:pPr>
        <w:spacing w:after="0" w:line="131" w:lineRule="exact"/>
        <w:rPr>
          <w:sz w:val="20"/>
          <w:szCs w:val="20"/>
          <w:color w:val="auto"/>
        </w:rPr>
      </w:pPr>
    </w:p>
    <w:p>
      <w:pPr>
        <w:ind w:left="900" w:hanging="446"/>
        <w:spacing w:after="0"/>
        <w:tabs>
          <w:tab w:leader="none" w:pos="90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(1) new 3’x9’ solid core door set in frame to match existing lobby double doors.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new hardware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lobby walls using 3-5/8” metal studs.</w:t>
      </w:r>
    </w:p>
    <w:p>
      <w:pPr>
        <w:spacing w:after="0" w:line="131" w:lineRule="exact"/>
        <w:rPr>
          <w:sz w:val="20"/>
          <w:szCs w:val="20"/>
          <w:color w:val="auto"/>
        </w:rPr>
      </w:pPr>
    </w:p>
    <w:p>
      <w:pPr>
        <w:ind w:left="900" w:hanging="446"/>
        <w:spacing w:after="0"/>
        <w:tabs>
          <w:tab w:leader="none" w:pos="90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new 5/8” type X sheetrock on newly framed walls.</w:t>
      </w:r>
    </w:p>
    <w:p>
      <w:pPr>
        <w:spacing w:after="0" w:line="131" w:lineRule="exact"/>
        <w:rPr>
          <w:sz w:val="20"/>
          <w:szCs w:val="20"/>
          <w:color w:val="auto"/>
        </w:rPr>
      </w:pPr>
    </w:p>
    <w:p>
      <w:pPr>
        <w:ind w:left="900" w:hanging="446"/>
        <w:spacing w:after="0"/>
        <w:tabs>
          <w:tab w:leader="none" w:pos="90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 on new walls and demo scars to match existing building finish.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PAINTING:</w:t>
      </w:r>
    </w:p>
    <w:p>
      <w:pPr>
        <w:spacing w:after="0" w:line="131" w:lineRule="exact"/>
        <w:rPr>
          <w:sz w:val="20"/>
          <w:szCs w:val="20"/>
          <w:color w:val="auto"/>
        </w:rPr>
      </w:pPr>
    </w:p>
    <w:p>
      <w:pPr>
        <w:ind w:left="900" w:hanging="446"/>
        <w:spacing w:after="0"/>
        <w:tabs>
          <w:tab w:leader="none" w:pos="90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new and existing walls (2) coats.</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Misc. minor touch up painting.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fire sprinklers as necessary to accommodate new office layout.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switching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Relocate lighting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3Provide power for relocated card reader at lobby 100.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DEMISING CORRIDOR: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 DEMOLITING:</w:t>
      </w:r>
    </w:p>
    <w:p>
      <w:pPr>
        <w:spacing w:after="0" w:line="131" w:lineRule="exact"/>
        <w:rPr>
          <w:sz w:val="20"/>
          <w:szCs w:val="20"/>
          <w:color w:val="auto"/>
        </w:rPr>
      </w:pPr>
    </w:p>
    <w:p>
      <w:pPr>
        <w:ind w:left="900" w:hanging="446"/>
        <w:spacing w:after="0"/>
        <w:tabs>
          <w:tab w:leader="none" w:pos="90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walls and doors as necessary to create new demising corridor.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INSULATION:</w:t>
      </w:r>
    </w:p>
    <w:p>
      <w:pPr>
        <w:spacing w:after="0" w:line="131" w:lineRule="exact"/>
        <w:rPr>
          <w:sz w:val="20"/>
          <w:szCs w:val="20"/>
          <w:color w:val="auto"/>
        </w:rPr>
      </w:pPr>
    </w:p>
    <w:p>
      <w:pPr>
        <w:ind w:left="900" w:hanging="446"/>
        <w:spacing w:after="0"/>
        <w:tabs>
          <w:tab w:leader="none" w:pos="90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wall insulation at demising corridor.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METAL STUD FRAMING/SHEETROCK:</w:t>
      </w:r>
    </w:p>
    <w:p>
      <w:pPr>
        <w:spacing w:after="0" w:line="131" w:lineRule="exact"/>
        <w:rPr>
          <w:sz w:val="20"/>
          <w:szCs w:val="20"/>
          <w:color w:val="auto"/>
        </w:rPr>
      </w:pPr>
    </w:p>
    <w:p>
      <w:pPr>
        <w:ind w:left="900" w:hanging="446"/>
        <w:spacing w:after="0"/>
        <w:tabs>
          <w:tab w:leader="none" w:pos="90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 new demising corridor using 6” 18ga. Metal studs full height 28’.</w:t>
      </w:r>
    </w:p>
    <w:p>
      <w:pPr>
        <w:spacing w:after="0" w:line="130" w:lineRule="exact"/>
        <w:rPr>
          <w:rFonts w:ascii="Times New Roman" w:cs="Times New Roman" w:eastAsia="Times New Roman" w:hAnsi="Times New Roman"/>
          <w:sz w:val="18"/>
          <w:szCs w:val="18"/>
          <w:color w:val="auto"/>
        </w:rPr>
      </w:pPr>
    </w:p>
    <w:p>
      <w:pPr>
        <w:ind w:left="460" w:right="4279"/>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Install new 5/8” type X sheetrock on newly framed demising corridor. 3 Finish on new sheetrock to match existing building texture.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ACOUSTICAL CEILING:</w:t>
      </w:r>
    </w:p>
    <w:p>
      <w:pPr>
        <w:spacing w:after="0" w:line="131" w:lineRule="exact"/>
        <w:rPr>
          <w:sz w:val="20"/>
          <w:szCs w:val="20"/>
          <w:color w:val="auto"/>
        </w:rPr>
      </w:pPr>
    </w:p>
    <w:p>
      <w:pPr>
        <w:ind w:left="900" w:hanging="446"/>
        <w:spacing w:after="0"/>
        <w:tabs>
          <w:tab w:leader="none" w:pos="90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into existing acoustical ceiling system and match as closely as possible.</w:t>
      </w:r>
    </w:p>
    <w:p>
      <w:pPr>
        <w:spacing w:after="0" w:line="3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PAINTING:</w:t>
      </w:r>
    </w:p>
    <w:p>
      <w:pPr>
        <w:sectPr>
          <w:pgSz w:w="11900" w:h="16838" w:orient="portrait"/>
          <w:cols w:equalWidth="0" w:num="1">
            <w:col w:w="10219"/>
          </w:cols>
          <w:pgMar w:left="240" w:top="269" w:right="1440" w:bottom="0" w:gutter="0" w:footer="0" w:header="0"/>
        </w:sectPr>
      </w:pPr>
    </w:p>
    <w:bookmarkStart w:id="538" w:name="page539"/>
    <w:bookmarkEnd w:id="538"/>
    <w:p>
      <w:pPr>
        <w:ind w:left="446" w:hanging="446"/>
        <w:spacing w:after="0"/>
        <w:tabs>
          <w:tab w:leader="none" w:pos="446"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occupied side of demising corridor (2) coats.</w:t>
      </w:r>
    </w:p>
    <w:p>
      <w:pPr>
        <w:spacing w:after="0" w:line="158"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8"/>
          <w:szCs w:val="18"/>
          <w:color w:val="auto"/>
        </w:rPr>
        <w:t>G-2-9</w:t>
      </w:r>
    </w:p>
    <w:p>
      <w:pPr>
        <w:sectPr>
          <w:pgSz w:w="11900" w:h="16838" w:orient="portrait"/>
          <w:cols w:equalWidth="0" w:num="1">
            <w:col w:w="9765"/>
          </w:cols>
          <w:pgMar w:left="694" w:top="242" w:right="1440"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HVAC:</w:t>
      </w:r>
    </w:p>
    <w:p>
      <w:pPr>
        <w:spacing w:after="0" w:line="131" w:lineRule="exact"/>
        <w:rPr>
          <w:sz w:val="20"/>
          <w:szCs w:val="20"/>
          <w:color w:val="auto"/>
        </w:rPr>
      </w:pPr>
    </w:p>
    <w:p>
      <w:pPr>
        <w:ind w:left="900" w:hanging="446"/>
        <w:spacing w:after="0"/>
        <w:tabs>
          <w:tab w:leader="none" w:pos="90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ducting as necessary to accommodate new corridor.</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new supply and return air registers as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FIRE SPRINKLERS:</w:t>
      </w:r>
    </w:p>
    <w:p>
      <w:pPr>
        <w:spacing w:after="0" w:line="131" w:lineRule="exact"/>
        <w:rPr>
          <w:sz w:val="20"/>
          <w:szCs w:val="20"/>
          <w:color w:val="auto"/>
        </w:rPr>
      </w:pPr>
    </w:p>
    <w:p>
      <w:pPr>
        <w:ind w:left="900" w:hanging="446"/>
        <w:spacing w:after="0"/>
        <w:tabs>
          <w:tab w:leader="none" w:pos="90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existing fire sprinkler heads as necessary to accommodate new office layout.</w:t>
      </w:r>
    </w:p>
    <w:p>
      <w:pPr>
        <w:spacing w:after="0" w:line="130" w:lineRule="exact"/>
        <w:rPr>
          <w:rFonts w:ascii="Times New Roman" w:cs="Times New Roman" w:eastAsia="Times New Roman" w:hAnsi="Times New Roman"/>
          <w:sz w:val="18"/>
          <w:szCs w:val="18"/>
          <w:color w:val="auto"/>
        </w:rPr>
      </w:pPr>
    </w:p>
    <w:p>
      <w:pPr>
        <w:ind w:left="460" w:right="3079"/>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Furnish and install new fire sprinklers as necessary to accommodate new office layout. 3 Remove existing fire sprinklers as necessary to accommodate new office layout.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ELECTRICAL:</w:t>
      </w:r>
    </w:p>
    <w:p>
      <w:pPr>
        <w:spacing w:after="0" w:line="131" w:lineRule="exact"/>
        <w:rPr>
          <w:sz w:val="20"/>
          <w:szCs w:val="20"/>
          <w:color w:val="auto"/>
        </w:rPr>
      </w:pPr>
    </w:p>
    <w:p>
      <w:pPr>
        <w:ind w:left="900" w:hanging="446"/>
        <w:spacing w:after="0"/>
        <w:tabs>
          <w:tab w:leader="none" w:pos="90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and install new lighting in corridor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Furnish and install new switching as necessary.</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Furnish and install new exit signs as necessary.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G-2-10</w:t>
      </w:r>
    </w:p>
    <w:p>
      <w:pPr>
        <w:sectPr>
          <w:pgSz w:w="11900" w:h="16838" w:orient="portrait"/>
          <w:cols w:equalWidth="0" w:num="1">
            <w:col w:w="10219"/>
          </w:cols>
          <w:pgMar w:left="240" w:top="270" w:right="1440" w:bottom="1440" w:gutter="0" w:footer="0" w:header="0"/>
        </w:sectPr>
      </w:pPr>
    </w:p>
    <w:bookmarkStart w:id="540" w:name="page541"/>
    <w:bookmarkEnd w:id="540"/>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G-3</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u w:val="single" w:color="auto"/>
          <w:color w:val="auto"/>
        </w:rPr>
        <w:t>LANDLORD WORK</w:t>
      </w:r>
    </w:p>
    <w:p>
      <w:pPr>
        <w:spacing w:after="0" w:line="256" w:lineRule="exact"/>
        <w:rPr>
          <w:sz w:val="20"/>
          <w:szCs w:val="20"/>
          <w:color w:val="auto"/>
        </w:rPr>
      </w:pPr>
    </w:p>
    <w:p>
      <w:pPr>
        <w:ind w:left="460" w:hanging="452"/>
        <w:spacing w:after="0"/>
        <w:tabs>
          <w:tab w:leader="none" w:pos="46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In-fill 1st floor lounge area (allowance)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 window openings in existing concrete wall (allowance per opening)</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Entry Lobby (allowance) including the following: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Millwork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Doors/Frames/Hardware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 Stud Framing/Sheetrock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HVAC</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Demising Corridor</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G-3-1</w:t>
      </w:r>
    </w:p>
    <w:p>
      <w:pPr>
        <w:sectPr>
          <w:pgSz w:w="11900" w:h="16838" w:orient="portrait"/>
          <w:cols w:equalWidth="0" w:num="1">
            <w:col w:w="10219"/>
          </w:cols>
          <w:pgMar w:left="240" w:top="266" w:right="1440" w:bottom="1440" w:gutter="0" w:footer="0" w:header="0"/>
        </w:sectPr>
      </w:pPr>
    </w:p>
    <w:bookmarkStart w:id="541" w:name="page542"/>
    <w:bookmarkEnd w:id="541"/>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SIGNAGE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Landlord’s approval of the details thereof and compliance with Applicable Laws, Tenant shall be entitled to install its name and logo, at its sole cost, on its pro-rata share of the monument sign for the Building, on the front entry door to the Premises and on the glass door entry to the Premises.</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00"/>
          </w:cols>
          <w:pgMar w:left="240" w:top="266" w:right="559" w:bottom="1440" w:gutter="0" w:footer="0" w:header="0"/>
        </w:sectPr>
      </w:pPr>
    </w:p>
    <w:bookmarkStart w:id="542" w:name="page543"/>
    <w:bookmarkEnd w:id="542"/>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2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EXHIBIT I</w:t>
            </w:r>
          </w:p>
        </w:tc>
      </w:tr>
      <w:tr>
        <w:trPr>
          <w:trHeight w:val="392"/>
        </w:trPr>
        <w:tc>
          <w:tcPr>
            <w:tcW w:w="3580" w:type="dxa"/>
            <w:vAlign w:val="bottom"/>
          </w:tcPr>
          <w:p>
            <w:pPr>
              <w:spacing w:after="0"/>
              <w:rPr>
                <w:sz w:val="24"/>
                <w:szCs w:val="24"/>
                <w:color w:val="auto"/>
              </w:rPr>
            </w:pPr>
          </w:p>
        </w:tc>
        <w:tc>
          <w:tcPr>
            <w:tcW w:w="4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TENANT’S PERSONAL PROPERTY</w:t>
            </w:r>
          </w:p>
        </w:tc>
      </w:tr>
      <w:tr>
        <w:trPr>
          <w:trHeight w:val="45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Portable lab benches</w:t>
            </w:r>
          </w:p>
        </w:tc>
        <w:tc>
          <w:tcPr>
            <w:tcW w:w="66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Washes</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Incubators</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Vivarium equipment</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NMR</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Biology:</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Fluorescent Microscope w/ CCD camera</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steneomaster zoom microscope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inverted microscope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incubator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bench top centrifuge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HD Super Worktables</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Biosafety Hood</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hot plate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Shaking incubator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bench top centrifuge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ice maker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desicators</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vortex mixer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Plate Reader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pipettors</w:t>
            </w:r>
          </w:p>
        </w:tc>
        <w:tc>
          <w:tcPr>
            <w:tcW w:w="6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many</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upright freezer (-80°C)</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upright freezer (-20°C)</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Countertop freezer (-20°C)</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storage cabinet</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refrigerator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rotating shecker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micro centrifuge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Centrifuge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Cell Harvester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Top Count</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ACE Alera Clinical Chemistry System</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pH meter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scale and balance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analytical balance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Glass washer</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Autoclave</w:t>
            </w:r>
          </w:p>
        </w:tc>
        <w:tc>
          <w:tcPr>
            <w:tcW w:w="4180" w:type="dxa"/>
            <w:vAlign w:val="bottom"/>
            <w:gridSpan w:val="3"/>
          </w:tcPr>
          <w:p>
            <w:pPr>
              <w:jc w:val="center"/>
              <w:ind w:left="369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cage washer</w:t>
            </w:r>
          </w:p>
        </w:tc>
        <w:tc>
          <w:tcPr>
            <w:tcW w:w="6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5"/>
        </w:trPr>
        <w:tc>
          <w:tcPr>
            <w:tcW w:w="3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I-1</w:t>
            </w:r>
          </w:p>
        </w:tc>
      </w:tr>
    </w:tbl>
    <w:p>
      <w:pPr>
        <w:jc w:val="center"/>
        <w:ind w:right="490"/>
        <w:spacing w:after="0"/>
        <w:rPr>
          <w:sz w:val="20"/>
          <w:szCs w:val="20"/>
          <w:color w:val="auto"/>
        </w:rPr>
        <w:sectPr>
          <w:pgSz w:w="11900" w:h="16838" w:orient="portrait"/>
          <w:cols w:equalWidth="0" w:num="1">
            <w:col w:w="10219"/>
          </w:cols>
          <w:pgMar w:left="2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3" w:name="page544"/>
    <w:bookmarkEnd w:id="543"/>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cages</w:t>
            </w:r>
          </w:p>
        </w:tc>
        <w:tc>
          <w:tcPr>
            <w:tcW w:w="30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4"/>
              </w:rPr>
              <w:t>many</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Cage racks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under counter freezer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Pr>
          <w:p>
            <w:pPr>
              <w:spacing w:after="0"/>
              <w:rPr>
                <w:sz w:val="20"/>
                <w:szCs w:val="20"/>
                <w:color w:val="auto"/>
              </w:rPr>
            </w:pP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Chemistry</w:t>
            </w:r>
          </w:p>
        </w:tc>
        <w:tc>
          <w:tcPr>
            <w:tcW w:w="3020" w:type="dxa"/>
            <w:vAlign w:val="bottom"/>
          </w:tcPr>
          <w:p>
            <w:pPr>
              <w:spacing w:after="0"/>
              <w:rPr>
                <w:sz w:val="24"/>
                <w:szCs w:val="24"/>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combi-reactors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scale-up reactors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freeze dryer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NMR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IR</w:t>
            </w:r>
          </w:p>
        </w:tc>
        <w:tc>
          <w:tcPr>
            <w:tcW w:w="30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DSC</w:t>
            </w:r>
          </w:p>
        </w:tc>
        <w:tc>
          <w:tcPr>
            <w:tcW w:w="302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rotavapor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glassware (5000 per chemist)</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hot plate</w:t>
            </w:r>
          </w:p>
        </w:tc>
        <w:tc>
          <w:tcPr>
            <w:tcW w:w="302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high vacuum</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manifold</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particle sizer</w:t>
            </w:r>
          </w:p>
        </w:tc>
        <w:tc>
          <w:tcPr>
            <w:tcW w:w="30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refrigerator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solvent cabinet</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3</w:t>
            </w: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Analytical Chemistry</w:t>
            </w:r>
          </w:p>
        </w:tc>
        <w:tc>
          <w:tcPr>
            <w:tcW w:w="3020" w:type="dxa"/>
            <w:vAlign w:val="bottom"/>
          </w:tcPr>
          <w:p>
            <w:pPr>
              <w:spacing w:after="0"/>
              <w:rPr>
                <w:sz w:val="24"/>
                <w:szCs w:val="24"/>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LC/MS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MS/MS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IC</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Prep LC</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41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3020" w:type="dxa"/>
            <w:vAlign w:val="bottom"/>
          </w:tcPr>
          <w:p>
            <w:pPr>
              <w:spacing w:after="0"/>
              <w:rPr>
                <w:sz w:val="24"/>
                <w:szCs w:val="24"/>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Refrigerator</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Copiers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Servers</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Telephone equipment</w:t>
            </w:r>
          </w:p>
        </w:tc>
        <w:tc>
          <w:tcPr>
            <w:tcW w:w="3020" w:type="dxa"/>
            <w:vAlign w:val="bottom"/>
          </w:tcPr>
          <w:p>
            <w:pPr>
              <w:jc w:val="center"/>
              <w:ind w:left="2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Various IT equipment</w:t>
            </w:r>
          </w:p>
        </w:tc>
        <w:tc>
          <w:tcPr>
            <w:tcW w:w="302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Olympus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Binder, C150-UL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Allegra X-15R or X-22 or X-22R, Beckman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700 series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Allegra X-15R or X-22 or X-22R, Beckman</w:t>
      </w:r>
    </w:p>
    <w:p>
      <w:pPr>
        <w:spacing w:after="0" w:line="1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219"/>
          </w:cols>
          <w:pgMar w:left="240" w:top="269" w:right="1440"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Coulter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Biomedical freezer, Sanyo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Fisher Isotemp Refrigerator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Roto-Shake Genie 6-in-1 Multi-Purpose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Rotator/Rocker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Biofuge Fresco Centrifuges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 Beckman Coulter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PerkinElmer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PerkinElmer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Modern Lab Svc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VWR</w:t>
      </w:r>
    </w:p>
    <w:p>
      <w:pPr>
        <w:spacing w:after="0" w:line="13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219"/>
          </w:cols>
          <w:pgMar w:left="240" w:top="270" w:right="1440" w:bottom="1440" w:gutter="0" w:footer="0" w:header="0"/>
        </w:sectPr>
      </w:pPr>
    </w:p>
    <w:bookmarkStart w:id="545" w:name="page546"/>
    <w:bookmarkEnd w:id="5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ESTOPPEL CERTIFICATE</w:t>
      </w: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tab/>
        <w:t>34175 Ardenwood Venture,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Diego, California 92128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General Counsel/Real Estate</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BioMed Realty, L.P.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17190 Bernardo Center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Diego, California 92128</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[PREMISES ADDRESS]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at 34175 Ardenwood Boulevard, Fremont, California (the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tenant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hereby certifies to you as follows:</w:t>
      </w:r>
    </w:p>
    <w:p>
      <w:pPr>
        <w:spacing w:after="0" w:line="225" w:lineRule="exact"/>
        <w:rPr>
          <w:sz w:val="20"/>
          <w:szCs w:val="20"/>
          <w:color w:val="auto"/>
        </w:rPr>
      </w:pPr>
    </w:p>
    <w:p>
      <w:pPr>
        <w:ind w:left="640" w:hanging="176"/>
        <w:spacing w:after="0"/>
        <w:tabs>
          <w:tab w:leader="none" w:pos="6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a tenant at the Property under a lease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for the Premises dated as of August 8, 2008. The Lease has not been cancelled,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assigned, extended or amended [except as follows: [</w:t>
      </w:r>
      <w:r>
        <w:rPr>
          <w:rFonts w:ascii="Times New Roman" w:cs="Times New Roman" w:eastAsia="Times New Roman" w:hAnsi="Times New Roman"/>
          <w:sz w:val="17"/>
          <w:szCs w:val="17"/>
          <w:color w:val="auto"/>
        </w:rPr>
        <w:t>]], and there are no other agreements, written or oral, affecting or relating to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-19050</wp:posOffset>
            </wp:positionV>
            <wp:extent cx="3429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0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w w:val="99"/>
              </w:rPr>
              <w:t>lease of the Premises or any other space at the Property. The lease term expires on [</w:t>
            </w:r>
          </w:p>
        </w:tc>
        <w:tc>
          <w:tcPr>
            <w:tcW w:w="160" w:type="dxa"/>
            <w:vAlign w:val="bottom"/>
          </w:tcPr>
          <w:p>
            <w:pPr>
              <w:spacing w:after="0"/>
              <w:rPr>
                <w:sz w:val="16"/>
                <w:szCs w:val="16"/>
                <w:color w:val="auto"/>
              </w:rPr>
            </w:pPr>
          </w:p>
        </w:tc>
        <w:tc>
          <w:tcPr>
            <w:tcW w:w="1300" w:type="dxa"/>
            <w:vAlign w:val="bottom"/>
            <w:gridSpan w:val="3"/>
          </w:tcPr>
          <w:p>
            <w:pPr>
              <w:jc w:val="right"/>
              <w:ind w:right="180"/>
              <w:spacing w:after="0" w:line="185" w:lineRule="exact"/>
              <w:rPr>
                <w:sz w:val="20"/>
                <w:szCs w:val="20"/>
                <w:color w:val="auto"/>
              </w:rPr>
            </w:pPr>
            <w:r>
              <w:rPr>
                <w:rFonts w:ascii="Times New Roman" w:cs="Times New Roman" w:eastAsia="Times New Roman" w:hAnsi="Times New Roman"/>
                <w:sz w:val="18"/>
                <w:szCs w:val="18"/>
                <w:color w:val="auto"/>
              </w:rPr>
              <w:t>], 20[</w:t>
            </w:r>
          </w:p>
        </w:tc>
        <w:tc>
          <w:tcPr>
            <w:tcW w:w="860" w:type="dxa"/>
            <w:vAlign w:val="bottom"/>
          </w:tcPr>
          <w:p>
            <w:pPr>
              <w:jc w:val="right"/>
              <w:ind w:right="650"/>
              <w:spacing w:after="0" w:line="185" w:lineRule="exact"/>
              <w:rPr>
                <w:sz w:val="20"/>
                <w:szCs w:val="20"/>
                <w:color w:val="auto"/>
              </w:rPr>
            </w:pPr>
            <w:r>
              <w:rPr>
                <w:rFonts w:ascii="Times New Roman" w:cs="Times New Roman" w:eastAsia="Times New Roman" w:hAnsi="Times New Roman"/>
                <w:sz w:val="18"/>
                <w:szCs w:val="18"/>
                <w:color w:val="auto"/>
                <w:w w:val="94"/>
              </w:rPr>
              <w:t>].</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12"/>
        </w:trPr>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 Tenant took possession of the Premises, currently consisting of [</w:t>
            </w:r>
          </w:p>
        </w:tc>
        <w:tc>
          <w:tcPr>
            <w:tcW w:w="160" w:type="dxa"/>
            <w:vAlign w:val="bottom"/>
          </w:tcPr>
          <w:p>
            <w:pPr>
              <w:spacing w:after="0"/>
              <w:rPr>
                <w:sz w:val="24"/>
                <w:szCs w:val="24"/>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 square feet, on [</w:t>
            </w:r>
          </w:p>
        </w:tc>
        <w:tc>
          <w:tcPr>
            <w:tcW w:w="860" w:type="dxa"/>
            <w:vAlign w:val="bottom"/>
          </w:tcPr>
          <w:p>
            <w:pPr>
              <w:spacing w:after="0"/>
              <w:rPr>
                <w:sz w:val="24"/>
                <w:szCs w:val="24"/>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  ], and commenced to pay rent on</w:t>
            </w:r>
          </w:p>
        </w:tc>
      </w:tr>
      <w:tr>
        <w:trPr>
          <w:trHeight w:val="20"/>
        </w:trPr>
        <w:tc>
          <w:tcPr>
            <w:tcW w:w="5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9" w:lineRule="exact"/>
        <w:rPr>
          <w:sz w:val="20"/>
          <w:szCs w:val="20"/>
          <w:color w:val="auto"/>
        </w:rPr>
      </w:pPr>
    </w:p>
    <w:p>
      <w:pPr>
        <w:ind w:left="960" w:hanging="952"/>
        <w:spacing w:after="0"/>
        <w:tabs>
          <w:tab w:leader="none" w:pos="96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  ]. Tenant has full possession of the Premises, has not assigned the Lease or sublet any part of the Premises, and does not hold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-7620</wp:posOffset>
            </wp:positionV>
            <wp:extent cx="5715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-7620</wp:posOffset>
            </wp:positionV>
            <wp:extent cx="1143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640" w:type="dxa"/>
            <w:vAlign w:val="bottom"/>
            <w:gridSpan w:val="8"/>
          </w:tcPr>
          <w:p>
            <w:pPr>
              <w:spacing w:after="0" w:line="203" w:lineRule="exact"/>
              <w:rPr>
                <w:sz w:val="20"/>
                <w:szCs w:val="20"/>
                <w:color w:val="auto"/>
              </w:rPr>
            </w:pPr>
            <w:r>
              <w:rPr>
                <w:rFonts w:ascii="Times New Roman" w:cs="Times New Roman" w:eastAsia="Times New Roman" w:hAnsi="Times New Roman"/>
                <w:sz w:val="18"/>
                <w:szCs w:val="18"/>
                <w:color w:val="auto"/>
                <w:w w:val="99"/>
              </w:rPr>
              <w:t>Premises under an assignment or sublease [, except as follows: [</w:t>
            </w:r>
          </w:p>
        </w:tc>
        <w:tc>
          <w:tcPr>
            <w:tcW w:w="100" w:type="dxa"/>
            <w:vAlign w:val="bottom"/>
          </w:tcPr>
          <w:p>
            <w:pPr>
              <w:spacing w:after="0"/>
              <w:rPr>
                <w:sz w:val="17"/>
                <w:szCs w:val="17"/>
                <w:color w:val="auto"/>
              </w:rPr>
            </w:pPr>
          </w:p>
        </w:tc>
        <w:tc>
          <w:tcPr>
            <w:tcW w:w="1460" w:type="dxa"/>
            <w:vAlign w:val="bottom"/>
            <w:gridSpan w:val="3"/>
          </w:tcPr>
          <w:p>
            <w:pPr>
              <w:jc w:val="right"/>
              <w:ind w:righ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65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w w:val="99"/>
              </w:rPr>
              <w:t>All base rent, rent escalations and additional rent under the Lease have been paid through [</w:t>
            </w:r>
          </w:p>
        </w:tc>
        <w:tc>
          <w:tcPr>
            <w:tcW w:w="9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  ]. There is no prepaid rent[, except</w:t>
            </w: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 and the amount of security deposit is $[</w:t>
            </w:r>
          </w:p>
        </w:tc>
        <w:tc>
          <w:tcPr>
            <w:tcW w:w="460" w:type="dxa"/>
            <w:vAlign w:val="bottom"/>
            <w:gridSpan w:val="2"/>
          </w:tcPr>
          <w:p>
            <w:pPr>
              <w:spacing w:after="0"/>
              <w:rPr>
                <w:sz w:val="17"/>
                <w:szCs w:val="17"/>
                <w:color w:val="auto"/>
              </w:rPr>
            </w:pPr>
          </w:p>
        </w:tc>
        <w:tc>
          <w:tcPr>
            <w:tcW w:w="7100" w:type="dxa"/>
            <w:vAlign w:val="bottom"/>
            <w:gridSpan w:val="11"/>
          </w:tcPr>
          <w:p>
            <w:pPr>
              <w:ind w:left="80"/>
              <w:spacing w:after="0" w:line="196" w:lineRule="exact"/>
              <w:rPr>
                <w:sz w:val="20"/>
                <w:szCs w:val="20"/>
                <w:color w:val="auto"/>
              </w:rPr>
            </w:pPr>
            <w:r>
              <w:rPr>
                <w:rFonts w:ascii="Times New Roman" w:cs="Times New Roman" w:eastAsia="Times New Roman" w:hAnsi="Times New Roman"/>
                <w:sz w:val="18"/>
                <w:szCs w:val="18"/>
                <w:color w:val="auto"/>
              </w:rPr>
              <w:t>] [in cash][in the form of a letter of credit]]. Tenant currently has no right to any future rent</w:t>
            </w:r>
          </w:p>
        </w:tc>
      </w:tr>
      <w:tr>
        <w:trPr>
          <w:trHeight w:val="20"/>
        </w:trPr>
        <w:tc>
          <w:tcPr>
            <w:tcW w:w="1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7"/>
        </w:trPr>
        <w:tc>
          <w:tcPr>
            <w:tcW w:w="4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abatement under the Lease, except as expressly provided therein.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2"/>
        </w:trPr>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3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Base rent is currently payable in the amount of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9"/>
              </w:rPr>
              <w:t>] per month.</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6040" w:type="dxa"/>
            <w:vAlign w:val="bottom"/>
            <w:gridSpan w:val="11"/>
          </w:tcPr>
          <w:p>
            <w:pPr>
              <w:ind w:left="300"/>
              <w:spacing w:after="0"/>
              <w:rPr>
                <w:sz w:val="20"/>
                <w:szCs w:val="20"/>
                <w:color w:val="auto"/>
              </w:rPr>
            </w:pPr>
            <w:r>
              <w:rPr>
                <w:rFonts w:ascii="Times New Roman" w:cs="Times New Roman" w:eastAsia="Times New Roman" w:hAnsi="Times New Roman"/>
                <w:sz w:val="18"/>
                <w:szCs w:val="18"/>
                <w:color w:val="auto"/>
              </w:rPr>
              <w:t>5. Tenant is currently paying estimated payments of additional rent of $[</w:t>
            </w:r>
          </w:p>
        </w:tc>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 per month on account of real estate taxes, insurance, management fees</w:t>
            </w:r>
          </w:p>
        </w:tc>
      </w:tr>
      <w:tr>
        <w:trPr>
          <w:trHeight w:val="237"/>
        </w:trPr>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common area maintenance expenses.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 All work to be performed for Tenant under the Lease has been performed as required under the Lease and has been accepted by Tenant[, except</w:t>
      </w:r>
    </w:p>
    <w:p>
      <w:pPr>
        <w:spacing w:after="0" w:line="27" w:lineRule="exact"/>
        <w:rPr>
          <w:sz w:val="20"/>
          <w:szCs w:val="20"/>
          <w:color w:val="auto"/>
        </w:rPr>
      </w:pPr>
    </w:p>
    <w:p>
      <w:pPr>
        <w:ind w:left="960" w:hanging="952"/>
        <w:spacing w:after="0"/>
        <w:tabs>
          <w:tab w:leader="none" w:pos="96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all allowances to be paid to Tenant, including allowances for tenant improvements, moving expenses or other items, have been paid.</w:t>
      </w:r>
    </w:p>
    <w:p>
      <w:pPr>
        <w:spacing w:after="0" w:line="206" w:lineRule="exact"/>
        <w:rPr>
          <w:rFonts w:ascii="Times New Roman" w:cs="Times New Roman" w:eastAsia="Times New Roman" w:hAnsi="Times New Roman"/>
          <w:sz w:val="18"/>
          <w:szCs w:val="18"/>
          <w:color w:val="auto"/>
        </w:rPr>
      </w:pPr>
    </w:p>
    <w:p>
      <w:pPr>
        <w:ind w:firstLine="464"/>
        <w:spacing w:after="0" w:line="261" w:lineRule="auto"/>
        <w:tabs>
          <w:tab w:leader="none" w:pos="63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 of prior sale,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-436245</wp:posOffset>
            </wp:positionV>
            <wp:extent cx="5715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tabs>
          <w:tab w:leader="none" w:pos="7640" w:val="left"/>
        </w:tabs>
        <w:rPr>
          <w:sz w:val="20"/>
          <w:szCs w:val="20"/>
          <w:color w:val="auto"/>
        </w:rPr>
      </w:pPr>
      <w:r>
        <w:rPr>
          <w:rFonts w:ascii="Times New Roman" w:cs="Times New Roman" w:eastAsia="Times New Roman" w:hAnsi="Times New Roman"/>
          <w:sz w:val="18"/>
          <w:szCs w:val="18"/>
          <w:color w:val="auto"/>
        </w:rPr>
        <w:t>assignment, hypothecation or pledge of the Lease or of the rents payable thereunder[, except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-19050</wp:posOffset>
            </wp:positionV>
            <wp:extent cx="5715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J-1</w:t>
      </w:r>
    </w:p>
    <w:p>
      <w:pPr>
        <w:sectPr>
          <w:pgSz w:w="11900" w:h="16838" w:orient="portrait"/>
          <w:cols w:equalWidth="0" w:num="1">
            <w:col w:w="11400"/>
          </w:cols>
          <w:pgMar w:left="240" w:top="265" w:right="259" w:bottom="1440" w:gutter="0" w:footer="0" w:header="0"/>
        </w:sectPr>
      </w:pPr>
    </w:p>
    <w:bookmarkStart w:id="546" w:name="page547"/>
    <w:bookmarkEnd w:id="546"/>
    <w:p>
      <w:pPr>
        <w:ind w:left="460"/>
        <w:spacing w:after="0"/>
        <w:tabs>
          <w:tab w:leader="none" w:pos="6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[Tenant has the following expansion lights or options for the Property: [</w:t>
      </w:r>
      <w:r>
        <w:rPr>
          <w:sz w:val="20"/>
          <w:szCs w:val="20"/>
          <w:color w:val="auto"/>
        </w:rPr>
        <w:tab/>
      </w:r>
      <w:r>
        <w:rPr>
          <w:rFonts w:ascii="Times New Roman" w:cs="Times New Roman" w:eastAsia="Times New Roman" w:hAnsi="Times New Roman"/>
          <w:sz w:val="17"/>
          <w:szCs w:val="17"/>
          <w:color w:val="auto"/>
        </w:rPr>
        <w:t>].][Tenant has no rights or options to purchase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-7620</wp:posOffset>
            </wp:positionV>
            <wp:extent cx="5715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320" w:firstLine="464"/>
        <w:spacing w:after="0" w:line="282" w:lineRule="auto"/>
        <w:tabs>
          <w:tab w:leader="none" w:pos="636"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Tenant’s knowledge, no hazardous wastes have been generated, treated, stored or disposed of by or on behalf of Tenant in, on or around the Premises or the Project in violation of any environmental laws.</w:t>
      </w:r>
    </w:p>
    <w:p>
      <w:pPr>
        <w:spacing w:after="0" w:line="161" w:lineRule="exact"/>
        <w:rPr>
          <w:rFonts w:ascii="Times New Roman" w:cs="Times New Roman" w:eastAsia="Times New Roman" w:hAnsi="Times New Roman"/>
          <w:sz w:val="18"/>
          <w:szCs w:val="18"/>
          <w:color w:val="auto"/>
        </w:rPr>
      </w:pPr>
    </w:p>
    <w:p>
      <w:pPr>
        <w:ind w:firstLine="464"/>
        <w:spacing w:after="0" w:line="258" w:lineRule="auto"/>
        <w:tabs>
          <w:tab w:leader="none" w:pos="726"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executed this Estoppel Certificate with the knowledge and understanding that [INSERT NAME OF LANDLORD, PURCHASER OR LENDER, AS APPROPRIATE] or its assignee is acquiring the Property in reliance on this certificate and that the undersigned shall be bound by this certificate. The statements contained herein may be relied upon by [INSERT NAME OF PURCHASER OR LENDER, AS APPROPRIATE], 34175 Ardenwood Venture, LLC, BMR-34175 Ardenwood Boulevard LLC, BioMed Realty, L.P., BioMed Realty Trust, Inc., and any [other] mortgagee of the Property and their respective successors and assigns.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capitalized terms not defined herein shall have the respective meanings given in the Lease.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Dated this [  ] day of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  ].</w:t>
            </w:r>
          </w:p>
        </w:tc>
      </w:tr>
      <w:tr>
        <w:trPr>
          <w:trHeight w:val="20"/>
        </w:trPr>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hanging="592"/>
        <w:spacing w:after="0"/>
        <w:tabs>
          <w:tab w:leader="none" w:pos="60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-7620</wp:posOffset>
            </wp:positionV>
            <wp:extent cx="3429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-19050</wp:posOffset>
            </wp:positionV>
            <wp:extent cx="3429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220"/>
          </w:cols>
          <w:pgMar w:left="240" w:top="270" w:right="439" w:bottom="1440" w:gutter="0" w:footer="0" w:header="0"/>
        </w:sectPr>
      </w:pPr>
    </w:p>
    <w:bookmarkStart w:id="547" w:name="page548"/>
    <w:bookmarkEnd w:id="54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LANDLORD’S PERSONAL PROPERTY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600" w:type="dxa"/>
            <w:vAlign w:val="bottom"/>
            <w:gridSpan w:val="5"/>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220" w:type="dxa"/>
            <w:vAlign w:val="bottom"/>
          </w:tcPr>
          <w:p>
            <w:pPr>
              <w:spacing w:after="0"/>
              <w:rPr>
                <w:sz w:val="13"/>
                <w:szCs w:val="13"/>
                <w:color w:val="auto"/>
              </w:rPr>
            </w:pPr>
          </w:p>
        </w:tc>
        <w:tc>
          <w:tcPr>
            <w:tcW w:w="8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Cubicle</w:t>
            </w: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Leather</w:t>
            </w:r>
          </w:p>
        </w:tc>
        <w:tc>
          <w:tcPr>
            <w:tcW w:w="7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Side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4"/>
              </w:rPr>
              <w:t>Wood</w:t>
            </w: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small</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conference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wood file</w:t>
            </w:r>
          </w:p>
        </w:tc>
        <w:tc>
          <w:tcPr>
            <w:tcW w:w="11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room/round</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Open Office B</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Desk</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Cubicle</w:t>
            </w: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chairs</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Chairs</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Chair</w:t>
            </w: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shelf</w:t>
            </w: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cabinets</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table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6"/>
                <w:szCs w:val="16"/>
                <w:color w:val="auto"/>
              </w:rPr>
            </w:pPr>
          </w:p>
        </w:tc>
        <w:tc>
          <w:tcPr>
            <w:tcW w:w="560" w:type="dxa"/>
            <w:vAlign w:val="bottom"/>
            <w:tcBorders>
              <w:top w:val="single" w:sz="8" w:color="auto"/>
            </w:tcBorders>
          </w:tcPr>
          <w:p>
            <w:pPr>
              <w:ind w:left="480"/>
              <w:spacing w:after="0" w:line="191" w:lineRule="exact"/>
              <w:rPr>
                <w:sz w:val="20"/>
                <w:szCs w:val="20"/>
                <w:color w:val="auto"/>
              </w:rPr>
            </w:pPr>
            <w:r>
              <w:rPr>
                <w:rFonts w:ascii="Times New Roman" w:cs="Times New Roman" w:eastAsia="Times New Roman" w:hAnsi="Times New Roman"/>
                <w:sz w:val="17"/>
                <w:szCs w:val="17"/>
                <w:color w:val="auto"/>
                <w:w w:val="70"/>
              </w:rPr>
              <w:t>1</w:t>
            </w:r>
          </w:p>
        </w:tc>
        <w:tc>
          <w:tcPr>
            <w:tcW w:w="40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146</w:t>
            </w:r>
          </w:p>
        </w:tc>
        <w:tc>
          <w:tcPr>
            <w:tcW w:w="48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145</w:t>
            </w:r>
          </w:p>
        </w:tc>
        <w:tc>
          <w:tcPr>
            <w:tcW w:w="48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Open Office A</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gridSpan w:val="2"/>
            <w:vMerge w:val="continue"/>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BoD Room</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Lounge area</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5" w:right="339" w:bottom="1440" w:gutter="0" w:footer="0" w:header="0"/>
        </w:sectPr>
      </w:pPr>
    </w:p>
    <w:bookmarkStart w:id="548" w:name="page549"/>
    <w:bookmarkEnd w:id="548"/>
    <w:p>
      <w:pPr>
        <w:jc w:val="right"/>
        <w:spacing w:after="0"/>
        <w:rPr>
          <w:sz w:val="20"/>
          <w:szCs w:val="20"/>
          <w:color w:val="auto"/>
        </w:rPr>
      </w:pPr>
      <w:r>
        <w:rPr>
          <w:rFonts w:ascii="Times New Roman" w:cs="Times New Roman" w:eastAsia="Times New Roman" w:hAnsi="Times New Roman"/>
          <w:sz w:val="18"/>
          <w:szCs w:val="18"/>
          <w:b w:val="1"/>
          <w:bCs w:val="1"/>
          <w:color w:val="auto"/>
        </w:rPr>
        <w:t>Exhibit 10.6B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LEASE</w:t>
      </w:r>
    </w:p>
    <w:p>
      <w:pPr>
        <w:spacing w:after="0" w:line="22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THIS FIRST AMENDMENT TO LEASE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this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December, 2012, by and between 34175 ARDENWOOD VENTURE, LLC, a Delaware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ARDELYX, INC., a Delaware corporation formerly known as Nteryx, Inc.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 WHEREAS, Landlord and Tenant entered into that certain Lease dated as of August 8, 2008 (as the same may have been amended, supplemented or modified from time to time,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whereby Tenant leases certain premises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from Landlord at 34175 Ardenwood Boulevard in Fremont, California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WHEREAS, Landlord and Tenant desire to extend the Term of the Lease; and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WHEREAS, Landlord and Tenant desire to modify and amend the Lease only in the respects and on the conditions hereinafter stated.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62" w:lineRule="exact"/>
        <w:rPr>
          <w:sz w:val="20"/>
          <w:szCs w:val="20"/>
          <w:color w:val="auto"/>
        </w:rPr>
      </w:pPr>
    </w:p>
    <w:p>
      <w:pPr>
        <w:ind w:right="440" w:firstLine="464"/>
        <w:spacing w:after="0" w:line="282" w:lineRule="auto"/>
        <w:tabs>
          <w:tab w:leader="none" w:pos="636"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Amendment, capitalized terms shall have the meanings ascribed to them in the Lease unless otherwise defined herein. The Lease, as amended by this Amendment, is referred to herein as the “</w:t>
      </w:r>
      <w:r>
        <w:rPr>
          <w:rFonts w:ascii="Times New Roman" w:cs="Times New Roman" w:eastAsia="Times New Roman" w:hAnsi="Times New Roman"/>
          <w:sz w:val="18"/>
          <w:szCs w:val="18"/>
          <w:u w:val="single" w:color="auto"/>
          <w:color w:val="auto"/>
        </w:rPr>
        <w:t>Amended Lease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464"/>
        <w:spacing w:after="0" w:line="266" w:lineRule="auto"/>
        <w:tabs>
          <w:tab w:leader="none" w:pos="636"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The Term of the Lease is hereby extended for thirty-six (36) months and, therefore, the Term Expiration Date is hereby amended to mean September 10, 2016. The period commencing on September 11, 2013 and ending on the Term Expiration Date shall be referred to herein as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Base Rent during the Extension Term shall equal:</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Base Rent per Square</w:t>
            </w:r>
          </w:p>
        </w:tc>
        <w:tc>
          <w:tcPr>
            <w:tcW w:w="420" w:type="dxa"/>
            <w:vAlign w:val="bottom"/>
          </w:tcPr>
          <w:p>
            <w:pPr>
              <w:spacing w:after="0"/>
              <w:rPr>
                <w:sz w:val="13"/>
                <w:szCs w:val="13"/>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1300" w:type="dxa"/>
            <w:vAlign w:val="bottom"/>
            <w:gridSpan w:val="3"/>
            <w:vMerge w:val="restart"/>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34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of Rentable</w:t>
            </w:r>
          </w:p>
        </w:tc>
        <w:tc>
          <w:tcPr>
            <w:tcW w:w="16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Area</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Foot of Rentable Area</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Base Rent</w:t>
            </w:r>
          </w:p>
        </w:tc>
        <w:tc>
          <w:tcPr>
            <w:tcW w:w="3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Rent</w:t>
            </w:r>
          </w:p>
        </w:tc>
        <w:tc>
          <w:tcPr>
            <w:tcW w:w="0" w:type="dxa"/>
            <w:vAlign w:val="bottom"/>
          </w:tcPr>
          <w:p>
            <w:pPr>
              <w:spacing w:after="0"/>
              <w:rPr>
                <w:sz w:val="1"/>
                <w:szCs w:val="1"/>
                <w:color w:val="auto"/>
              </w:rPr>
            </w:pPr>
          </w:p>
        </w:tc>
      </w:tr>
      <w:tr>
        <w:trPr>
          <w:trHeight w:val="102"/>
        </w:trPr>
        <w:tc>
          <w:tcPr>
            <w:tcW w:w="340" w:type="dxa"/>
            <w:vAlign w:val="bottom"/>
            <w:tcBorders>
              <w:top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9/11/13 - 9/10/14</w:t>
            </w: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27,620</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1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$46,954.00</w:t>
            </w:r>
          </w:p>
        </w:tc>
        <w:tc>
          <w:tcPr>
            <w:tcW w:w="1300" w:type="dxa"/>
            <w:vAlign w:val="bottom"/>
            <w:gridSpan w:val="3"/>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$563,448.00</w:t>
            </w:r>
          </w:p>
        </w:tc>
        <w:tc>
          <w:tcPr>
            <w:tcW w:w="0" w:type="dxa"/>
            <w:vAlign w:val="bottom"/>
          </w:tcPr>
          <w:p>
            <w:pPr>
              <w:spacing w:after="0"/>
              <w:rPr>
                <w:sz w:val="1"/>
                <w:szCs w:val="1"/>
                <w:color w:val="auto"/>
              </w:rPr>
            </w:pPr>
          </w:p>
        </w:tc>
      </w:tr>
      <w:tr>
        <w:trPr>
          <w:trHeight w:val="32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9/11/14 - 9/10/15</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27,620</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$48,335.00</w:t>
            </w:r>
          </w:p>
        </w:tc>
        <w:tc>
          <w:tcPr>
            <w:tcW w:w="1300" w:type="dxa"/>
            <w:vAlign w:val="bottom"/>
            <w:gridSpan w:val="3"/>
          </w:tcPr>
          <w:p>
            <w:pPr>
              <w:jc w:val="center"/>
              <w:ind w:left="114"/>
              <w:spacing w:after="0"/>
              <w:rPr>
                <w:sz w:val="20"/>
                <w:szCs w:val="20"/>
                <w:color w:val="auto"/>
              </w:rPr>
            </w:pPr>
            <w:r>
              <w:rPr>
                <w:rFonts w:ascii="Times New Roman" w:cs="Times New Roman" w:eastAsia="Times New Roman" w:hAnsi="Times New Roman"/>
                <w:sz w:val="18"/>
                <w:szCs w:val="18"/>
                <w:color w:val="auto"/>
                <w:w w:val="99"/>
              </w:rPr>
              <w:t>$580,020.00</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9/11/15 - 9/10/16</w:t>
            </w: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27,620</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$49,716.00</w:t>
            </w:r>
          </w:p>
        </w:tc>
        <w:tc>
          <w:tcPr>
            <w:tcW w:w="1300" w:type="dxa"/>
            <w:vAlign w:val="bottom"/>
            <w:gridSpan w:val="3"/>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$596,592.00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49" w:name="page550"/>
    <w:bookmarkEnd w:id="549"/>
    <w:p>
      <w:pPr>
        <w:ind w:right="140" w:firstLine="464"/>
        <w:spacing w:after="0" w:line="266" w:lineRule="auto"/>
        <w:tabs>
          <w:tab w:leader="none" w:pos="636" w:val="left"/>
        </w:tabs>
        <w:numPr>
          <w:ilvl w:val="1"/>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Rent</w:t>
      </w:r>
      <w:r>
        <w:rPr>
          <w:rFonts w:ascii="Times New Roman" w:cs="Times New Roman" w:eastAsia="Times New Roman" w:hAnsi="Times New Roman"/>
          <w:sz w:val="18"/>
          <w:szCs w:val="18"/>
          <w:color w:val="auto"/>
        </w:rPr>
        <w:t>. Tenant shall, at all times during the Extension Term, continue to pay (a) Tenant’s Op Ex Share of Operating Expenses, (b) the Property Management Fee and (c) any other amounts set forth in the Lease. During the Extension Term, Tenant’s Op Ex Share shall equal Tenant’s Pro Rata Share of the Building.</w:t>
      </w:r>
    </w:p>
    <w:p>
      <w:pPr>
        <w:spacing w:after="0" w:line="176" w:lineRule="exact"/>
        <w:rPr>
          <w:rFonts w:ascii="Times New Roman" w:cs="Times New Roman" w:eastAsia="Times New Roman" w:hAnsi="Times New Roman"/>
          <w:sz w:val="18"/>
          <w:szCs w:val="18"/>
          <w:color w:val="auto"/>
        </w:rPr>
      </w:pPr>
    </w:p>
    <w:p>
      <w:pPr>
        <w:ind w:right="120" w:firstLine="464"/>
        <w:spacing w:after="0" w:line="276" w:lineRule="auto"/>
        <w:tabs>
          <w:tab w:leader="none" w:pos="636" w:val="left"/>
        </w:tabs>
        <w:numPr>
          <w:ilvl w:val="1"/>
          <w:numId w:val="6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 of Premises</w:t>
      </w:r>
      <w:r>
        <w:rPr>
          <w:rFonts w:ascii="Times New Roman" w:cs="Times New Roman" w:eastAsia="Times New Roman" w:hAnsi="Times New Roman"/>
          <w:sz w:val="17"/>
          <w:szCs w:val="17"/>
          <w:color w:val="auto"/>
        </w:rPr>
        <w:t>. Tenant acknowledges that (a) it is in possession of and is fully familiar with the condition of the Premises and, notwithstanding anything contained in the Lease to the contrary, agrees to take the same in its condition “as is” as of the first day of the Extension Term, and</w:t>
      </w:r>
    </w:p>
    <w:p>
      <w:pPr>
        <w:ind w:right="40" w:firstLine="8"/>
        <w:spacing w:after="0" w:line="261" w:lineRule="auto"/>
        <w:tabs>
          <w:tab w:leader="none" w:pos="255"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no obligation to alter, repair or otherwise prepare the Premises for Tenant’s continued occupancy for the Extension Term or to pay for any improvements to the Premises, except as may be expressly provided in the Lease.</w:t>
      </w:r>
    </w:p>
    <w:p>
      <w:pPr>
        <w:spacing w:after="0" w:line="179" w:lineRule="exact"/>
        <w:rPr>
          <w:rFonts w:ascii="Times New Roman" w:cs="Times New Roman" w:eastAsia="Times New Roman" w:hAnsi="Times New Roman"/>
          <w:sz w:val="18"/>
          <w:szCs w:val="18"/>
          <w:color w:val="auto"/>
        </w:rPr>
      </w:pPr>
    </w:p>
    <w:p>
      <w:pPr>
        <w:jc w:val="both"/>
        <w:ind w:right="160" w:firstLine="464"/>
        <w:spacing w:after="0" w:line="276" w:lineRule="auto"/>
        <w:tabs>
          <w:tab w:leader="none" w:pos="636" w:val="left"/>
        </w:tabs>
        <w:numPr>
          <w:ilvl w:val="1"/>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Deletion of Extension Option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42</w:t>
      </w:r>
      <w:r>
        <w:rPr>
          <w:rFonts w:ascii="Times New Roman" w:cs="Times New Roman" w:eastAsia="Times New Roman" w:hAnsi="Times New Roman"/>
          <w:sz w:val="17"/>
          <w:szCs w:val="17"/>
          <w:color w:val="auto"/>
        </w:rPr>
        <w:t xml:space="preserve"> of the Lease is hereby amended such that Tenant shall only have one (1) Option (and not two (2) Options) to extend the Term by three (3) years as to the entire Premises (and no less than the entire Premises) upon all of the terms and conditions set forth in </w:t>
      </w:r>
      <w:r>
        <w:rPr>
          <w:rFonts w:ascii="Times New Roman" w:cs="Times New Roman" w:eastAsia="Times New Roman" w:hAnsi="Times New Roman"/>
          <w:sz w:val="17"/>
          <w:szCs w:val="17"/>
          <w:u w:val="single" w:color="auto"/>
          <w:color w:val="auto"/>
        </w:rPr>
        <w:t>Article</w:t>
      </w:r>
    </w:p>
    <w:p>
      <w:pPr>
        <w:ind w:right="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of the Lease. The parties agree that the Extension Term did not result from the exercise of the Option, and therefore, the one (1) Option to extend the Term shall be available for exercise by the Tenant at the end of the Extension Term in accordance with the provisions of </w:t>
      </w:r>
      <w:r>
        <w:rPr>
          <w:rFonts w:ascii="Times New Roman" w:cs="Times New Roman" w:eastAsia="Times New Roman" w:hAnsi="Times New Roman"/>
          <w:sz w:val="18"/>
          <w:szCs w:val="18"/>
          <w:u w:val="single" w:color="auto"/>
          <w:color w:val="auto"/>
        </w:rPr>
        <w:t>Article 42</w:t>
      </w:r>
      <w:r>
        <w:rPr>
          <w:rFonts w:ascii="Times New Roman" w:cs="Times New Roman" w:eastAsia="Times New Roman" w:hAnsi="Times New Roman"/>
          <w:sz w:val="18"/>
          <w:szCs w:val="18"/>
          <w:color w:val="auto"/>
        </w:rPr>
        <w:t xml:space="preserve"> of the Lease.</w:t>
      </w:r>
    </w:p>
    <w:p>
      <w:pPr>
        <w:spacing w:after="0" w:line="179" w:lineRule="exact"/>
        <w:rPr>
          <w:rFonts w:ascii="Times New Roman" w:cs="Times New Roman" w:eastAsia="Times New Roman" w:hAnsi="Times New Roman"/>
          <w:sz w:val="17"/>
          <w:szCs w:val="17"/>
          <w:color w:val="auto"/>
        </w:rPr>
      </w:pPr>
    </w:p>
    <w:p>
      <w:pPr>
        <w:ind w:right="60" w:firstLine="464"/>
        <w:spacing w:after="0" w:line="266" w:lineRule="auto"/>
        <w:tabs>
          <w:tab w:leader="none" w:pos="636"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represents and warrants that it has not dealt with any broker or agent in the negotiation for or the obtaining of this Amendment and agrees to indemnify, defend and hold Landlord harmless from any and all cost or liability for compensation claimed by any such broker or agent employed or engaged by it or claiming to have been employed or engaged by it.</w:t>
      </w:r>
    </w:p>
    <w:p>
      <w:pPr>
        <w:spacing w:after="0" w:line="176" w:lineRule="exact"/>
        <w:rPr>
          <w:rFonts w:ascii="Times New Roman" w:cs="Times New Roman" w:eastAsia="Times New Roman" w:hAnsi="Times New Roman"/>
          <w:sz w:val="18"/>
          <w:szCs w:val="18"/>
          <w:color w:val="auto"/>
        </w:rPr>
      </w:pPr>
    </w:p>
    <w:p>
      <w:pPr>
        <w:ind w:firstLine="464"/>
        <w:spacing w:after="0" w:line="266" w:lineRule="auto"/>
        <w:tabs>
          <w:tab w:leader="none" w:pos="636"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Tenant and Landlord each represent, warrant and covenant that, to the best of its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176" w:lineRule="exact"/>
        <w:rPr>
          <w:rFonts w:ascii="Times New Roman" w:cs="Times New Roman" w:eastAsia="Times New Roman" w:hAnsi="Times New Roman"/>
          <w:sz w:val="18"/>
          <w:szCs w:val="18"/>
          <w:color w:val="auto"/>
        </w:rPr>
      </w:pPr>
    </w:p>
    <w:p>
      <w:pPr>
        <w:ind w:right="360" w:firstLine="464"/>
        <w:spacing w:after="0" w:line="282" w:lineRule="auto"/>
        <w:tabs>
          <w:tab w:leader="none" w:pos="636"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Tenant confirms that, notwithstanding anything in the Lease to the contrary, notices delivered to Tenant pursuant to the Amended Lease should be sent to:</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Fremont, California 94555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Attn: Vice President, Finance</w:t>
      </w:r>
    </w:p>
    <w:p>
      <w:pPr>
        <w:spacing w:after="0" w:line="207" w:lineRule="exact"/>
        <w:rPr>
          <w:sz w:val="20"/>
          <w:szCs w:val="20"/>
          <w:color w:val="auto"/>
        </w:rPr>
      </w:pPr>
    </w:p>
    <w:p>
      <w:pPr>
        <w:ind w:firstLine="464"/>
        <w:spacing w:after="0" w:line="256" w:lineRule="auto"/>
        <w:tabs>
          <w:tab w:leader="none" w:pos="72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Except as modified by this Amendment, the Lease and all the covenants, agreements, terms, provisions and conditions thereof shall remain in full force and effect and are hereby ratified and affirmed. The covenants, agreements, terms, provisions and conditions contained in this Amendment shall bind and inure to the benefit of the parties hereto and their respective successors and, except as otherwise provided in the Lease, their respective assigns. In the event of any conflict between the terms contained in this Amendment and the Lease, the terms herein contained shall supersede and control the obligations and liabilities of the parties. From and after the date hereof, the term “Lease” as used in the Lease shall mean the Lease, as modified by this Amendment.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550" w:name="page551"/>
    <w:bookmarkEnd w:id="550"/>
    <w:p>
      <w:pPr>
        <w:ind w:left="-20" w:right="320" w:firstLine="464"/>
        <w:spacing w:after="0" w:line="258" w:lineRule="auto"/>
        <w:tabs>
          <w:tab w:leader="none" w:pos="70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 This Amendment becomes effective only upon execution and delivery hereof by Landlord and Tenant. The captions of the paragraphs and subparagraphs in this Amendment are inserted and included solely for convenience and shall not be considered or given any effect in construing the provisions hereof. All exhibits hereto are incorporated herein by reference. Submission of this instrument for examination or signature by Tenant does not constitute a reservation of or option for a lease, and shall not be effective as a lease, lease amendment or otherwise until execution by and delivery to both Landlord and Tenant.</w:t>
      </w:r>
    </w:p>
    <w:p>
      <w:pPr>
        <w:spacing w:after="0" w:line="183" w:lineRule="exact"/>
        <w:rPr>
          <w:rFonts w:ascii="Times New Roman" w:cs="Times New Roman" w:eastAsia="Times New Roman" w:hAnsi="Times New Roman"/>
          <w:sz w:val="18"/>
          <w:szCs w:val="18"/>
          <w:color w:val="auto"/>
        </w:rPr>
      </w:pPr>
    </w:p>
    <w:p>
      <w:pPr>
        <w:ind w:left="-20" w:firstLine="464"/>
        <w:spacing w:after="0" w:line="282" w:lineRule="auto"/>
        <w:tabs>
          <w:tab w:leader="none" w:pos="706"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when taken together, shall constitute one and the same document.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60" w:top="270" w:right="259" w:bottom="1440" w:gutter="0" w:footer="0" w:header="0"/>
        </w:sectPr>
      </w:pPr>
    </w:p>
    <w:bookmarkStart w:id="551" w:name="page552"/>
    <w:bookmarkEnd w:id="551"/>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hereunto set their hands as of the date and year first above written, and acknowledge that they possess the requisite authority to enter into this transaction and to execute this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34175 ARDENWOOD 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BMR-34175 ARDENWOOD BOULEVARD LLC,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Janice Kameir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08407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Janice Kameir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0840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Title:</w:t>
        <w:tab/>
        <w:t>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17145</wp:posOffset>
            </wp:positionV>
            <wp:extent cx="208407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tab/>
        <w:t>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248729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ectPr>
          <w:pgSz w:w="11900" w:h="16838" w:orient="portrait"/>
          <w:cols w:equalWidth="0" w:num="1">
            <w:col w:w="11140"/>
          </w:cols>
          <w:pgMar w:left="240" w:top="270" w:right="519" w:bottom="1440" w:gutter="0" w:footer="0" w:header="0"/>
        </w:sectPr>
      </w:pPr>
    </w:p>
    <w:bookmarkStart w:id="552" w:name="page553"/>
    <w:bookmarkEnd w:id="552"/>
    <w:p>
      <w:pPr>
        <w:jc w:val="right"/>
        <w:spacing w:after="0"/>
        <w:rPr>
          <w:sz w:val="20"/>
          <w:szCs w:val="20"/>
          <w:color w:val="auto"/>
        </w:rPr>
      </w:pPr>
      <w:r>
        <w:rPr>
          <w:rFonts w:ascii="Times New Roman" w:cs="Times New Roman" w:eastAsia="Times New Roman" w:hAnsi="Times New Roman"/>
          <w:sz w:val="18"/>
          <w:szCs w:val="18"/>
          <w:b w:val="1"/>
          <w:bCs w:val="1"/>
          <w:color w:val="auto"/>
        </w:rPr>
        <w:t>Exhibit 10.7A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2008 STOCK INCENTIVE PLAN</w:t>
      </w:r>
    </w:p>
    <w:p>
      <w:pPr>
        <w:spacing w:after="0" w:line="229" w:lineRule="exact"/>
        <w:rPr>
          <w:sz w:val="20"/>
          <w:szCs w:val="20"/>
          <w:color w:val="auto"/>
        </w:rPr>
      </w:pPr>
    </w:p>
    <w:p>
      <w:pPr>
        <w:ind w:right="200" w:firstLine="464"/>
        <w:spacing w:after="0" w:line="282" w:lineRule="auto"/>
        <w:tabs>
          <w:tab w:leader="none" w:pos="63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1" w:lineRule="exact"/>
        <w:rPr>
          <w:rFonts w:ascii="Times New Roman" w:cs="Times New Roman" w:eastAsia="Times New Roman" w:hAnsi="Times New Roman"/>
          <w:sz w:val="18"/>
          <w:szCs w:val="18"/>
          <w:color w:val="auto"/>
        </w:rPr>
      </w:pPr>
    </w:p>
    <w:p>
      <w:pPr>
        <w:ind w:right="500" w:firstLine="464"/>
        <w:spacing w:after="0" w:line="266" w:lineRule="auto"/>
        <w:tabs>
          <w:tab w:leader="none" w:pos="63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7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12b-2 promulgated under the Exchange Act.</w:t>
      </w:r>
    </w:p>
    <w:p>
      <w:pPr>
        <w:spacing w:after="0" w:line="225" w:lineRule="exact"/>
        <w:rPr>
          <w:rFonts w:ascii="Times New Roman" w:cs="Times New Roman" w:eastAsia="Times New Roman" w:hAnsi="Times New Roman"/>
          <w:sz w:val="18"/>
          <w:szCs w:val="18"/>
          <w:color w:val="auto"/>
        </w:rPr>
      </w:pPr>
    </w:p>
    <w:p>
      <w:pPr>
        <w:ind w:right="320" w:firstLine="921"/>
        <w:spacing w:after="0" w:line="261" w:lineRule="auto"/>
        <w:tabs>
          <w:tab w:leader="none" w:pos="1158"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and state securities laws, the corporate laws of California and, to the extent other than California, the corporate law of the state of the Company’s incorporation, the Code, the rules of any applicable stock exchange or national market system, and the rules of any non-U.S. jurisdiction applicable to Awards granted to residents therein.</w:t>
      </w:r>
    </w:p>
    <w:p>
      <w:pPr>
        <w:spacing w:after="0" w:line="180" w:lineRule="exact"/>
        <w:rPr>
          <w:rFonts w:ascii="Times New Roman" w:cs="Times New Roman" w:eastAsia="Times New Roman" w:hAnsi="Times New Roman"/>
          <w:sz w:val="18"/>
          <w:szCs w:val="18"/>
          <w:color w:val="auto"/>
        </w:rPr>
      </w:pPr>
    </w:p>
    <w:p>
      <w:pPr>
        <w:ind w:right="140" w:firstLine="921"/>
        <w:spacing w:after="0" w:line="258" w:lineRule="auto"/>
        <w:tabs>
          <w:tab w:leader="none" w:pos="1168"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83"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or other right or benefit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38"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540" w:firstLine="921"/>
        <w:spacing w:after="0" w:line="261" w:lineRule="auto"/>
        <w:tabs>
          <w:tab w:leader="none" w:pos="1168"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6" w:right="239" w:bottom="1440" w:gutter="0" w:footer="0" w:header="0"/>
        </w:sectPr>
      </w:pPr>
    </w:p>
    <w:bookmarkStart w:id="553" w:name="page554"/>
    <w:bookmarkEnd w:id="55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or a Change in Control, such definition of “Cause” shall not apply until a Corporate Transaction or a Change in Control actually occurs.</w:t>
      </w:r>
    </w:p>
    <w:p>
      <w:pPr>
        <w:spacing w:after="0" w:line="184" w:lineRule="exact"/>
        <w:rPr>
          <w:sz w:val="20"/>
          <w:szCs w:val="20"/>
          <w:color w:val="auto"/>
        </w:rPr>
      </w:pPr>
    </w:p>
    <w:p>
      <w:pPr>
        <w:ind w:right="620" w:firstLine="921"/>
        <w:spacing w:after="0" w:line="282" w:lineRule="auto"/>
        <w:tabs>
          <w:tab w:leader="none" w:pos="1128"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after the Registration Date effected through either of the following transactions:</w:t>
      </w:r>
    </w:p>
    <w:p>
      <w:pPr>
        <w:spacing w:after="0" w:line="161" w:lineRule="exact"/>
        <w:rPr>
          <w:rFonts w:ascii="Times New Roman" w:cs="Times New Roman" w:eastAsia="Times New Roman" w:hAnsi="Times New Roman"/>
          <w:sz w:val="18"/>
          <w:szCs w:val="18"/>
          <w:color w:val="auto"/>
        </w:rPr>
      </w:pPr>
    </w:p>
    <w:p>
      <w:pPr>
        <w:ind w:firstLine="1492"/>
        <w:spacing w:after="0" w:line="258" w:lineRule="auto"/>
        <w:tabs>
          <w:tab w:leader="none" w:pos="1698"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spacing w:after="0" w:line="183" w:lineRule="exact"/>
        <w:rPr>
          <w:rFonts w:ascii="Times New Roman" w:cs="Times New Roman" w:eastAsia="Times New Roman" w:hAnsi="Times New Roman"/>
          <w:sz w:val="18"/>
          <w:szCs w:val="18"/>
          <w:color w:val="auto"/>
        </w:rPr>
      </w:pPr>
    </w:p>
    <w:p>
      <w:pPr>
        <w:ind w:right="180" w:firstLine="1492"/>
        <w:spacing w:after="0" w:line="266" w:lineRule="auto"/>
        <w:tabs>
          <w:tab w:leader="none" w:pos="1748" w:val="left"/>
        </w:tabs>
        <w:numPr>
          <w:ilvl w:val="1"/>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176" w:lineRule="exact"/>
        <w:rPr>
          <w:sz w:val="20"/>
          <w:szCs w:val="20"/>
          <w:color w:val="auto"/>
        </w:rPr>
      </w:pPr>
    </w:p>
    <w:p>
      <w:pPr>
        <w:ind w:left="1140" w:hanging="219"/>
        <w:spacing w:after="0"/>
        <w:tabs>
          <w:tab w:leader="none" w:pos="114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Ardelyx, Inc., a Delaware corporation, or any successor entity that adopts the Plan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firstLine="921"/>
        <w:spacing w:after="0" w:line="282" w:lineRule="auto"/>
        <w:tabs>
          <w:tab w:leader="none" w:pos="1168"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members of the Board who either (i) have been Board members continuously for a period of at least twelve</w:t>
      </w:r>
    </w:p>
    <w:p>
      <w:pPr>
        <w:spacing w:after="0" w:line="27" w:lineRule="exact"/>
        <w:rPr>
          <w:rFonts w:ascii="Times New Roman" w:cs="Times New Roman" w:eastAsia="Times New Roman" w:hAnsi="Times New Roman"/>
          <w:sz w:val="18"/>
          <w:szCs w:val="18"/>
          <w:color w:val="auto"/>
        </w:rPr>
      </w:pPr>
    </w:p>
    <w:p>
      <w:pPr>
        <w:ind w:right="300" w:firstLine="8"/>
        <w:spacing w:after="0" w:line="261" w:lineRule="auto"/>
        <w:tabs>
          <w:tab w:leader="none" w:pos="345"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9" w:right="279" w:bottom="1440" w:gutter="0" w:footer="0" w:header="0"/>
        </w:sectPr>
      </w:pPr>
    </w:p>
    <w:bookmarkStart w:id="554" w:name="page555"/>
    <w:bookmarkEnd w:id="554"/>
    <w:p>
      <w:pPr>
        <w:ind w:firstLine="921"/>
        <w:spacing w:after="0" w:line="269" w:lineRule="auto"/>
        <w:tabs>
          <w:tab w:leader="none" w:pos="1168" w:val="left"/>
        </w:tabs>
        <w:numPr>
          <w:ilvl w:val="1"/>
          <w:numId w:val="7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ind w:right="180" w:firstLine="8"/>
        <w:spacing w:after="0" w:line="265" w:lineRule="auto"/>
        <w:tabs>
          <w:tab w:leader="none" w:pos="265" w:val="left"/>
        </w:tabs>
        <w:numPr>
          <w:ilvl w:val="0"/>
          <w:numId w:val="7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day following the expiration of such three (3) month period.</w:t>
      </w:r>
    </w:p>
    <w:p>
      <w:pPr>
        <w:spacing w:after="0" w:line="206" w:lineRule="exact"/>
        <w:rPr>
          <w:rFonts w:ascii="Times New Roman" w:cs="Times New Roman" w:eastAsia="Times New Roman" w:hAnsi="Times New Roman"/>
          <w:sz w:val="17"/>
          <w:szCs w:val="17"/>
          <w:color w:val="auto"/>
        </w:rPr>
      </w:pPr>
    </w:p>
    <w:p>
      <w:pPr>
        <w:ind w:left="1180" w:hanging="259"/>
        <w:spacing w:after="0"/>
        <w:tabs>
          <w:tab w:leader="none" w:pos="1180" w:val="left"/>
        </w:tabs>
        <w:numPr>
          <w:ilvl w:val="1"/>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w:t>
      </w:r>
    </w:p>
    <w:p>
      <w:pPr>
        <w:spacing w:after="0" w:line="27" w:lineRule="exact"/>
        <w:rPr>
          <w:sz w:val="20"/>
          <w:szCs w:val="20"/>
          <w:color w:val="auto"/>
        </w:rPr>
      </w:pPr>
    </w:p>
    <w:p>
      <w:pPr>
        <w:ind w:left="320" w:hanging="312"/>
        <w:spacing w:after="0"/>
        <w:tabs>
          <w:tab w:leader="none" w:pos="320"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 whether multiple transactions are related, and its determination shall be final, binding and conclusive:</w:t>
      </w:r>
    </w:p>
    <w:p>
      <w:pPr>
        <w:spacing w:after="0" w:line="206" w:lineRule="exact"/>
        <w:rPr>
          <w:rFonts w:ascii="Times New Roman" w:cs="Times New Roman" w:eastAsia="Times New Roman" w:hAnsi="Times New Roman"/>
          <w:sz w:val="18"/>
          <w:szCs w:val="18"/>
          <w:color w:val="auto"/>
        </w:rPr>
      </w:pPr>
    </w:p>
    <w:p>
      <w:pPr>
        <w:ind w:right="120" w:firstLine="1492"/>
        <w:spacing w:after="0" w:line="282" w:lineRule="auto"/>
        <w:tabs>
          <w:tab w:leader="none" w:pos="1698"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161"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25" w:lineRule="exact"/>
        <w:rPr>
          <w:rFonts w:ascii="Times New Roman" w:cs="Times New Roman" w:eastAsia="Times New Roman" w:hAnsi="Times New Roman"/>
          <w:sz w:val="18"/>
          <w:szCs w:val="18"/>
          <w:color w:val="auto"/>
        </w:rPr>
      </w:pPr>
    </w:p>
    <w:p>
      <w:pPr>
        <w:ind w:right="60" w:firstLine="1492"/>
        <w:spacing w:after="0" w:line="256" w:lineRule="auto"/>
        <w:tabs>
          <w:tab w:leader="none" w:pos="1788"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187" w:lineRule="exact"/>
        <w:rPr>
          <w:rFonts w:ascii="Times New Roman" w:cs="Times New Roman" w:eastAsia="Times New Roman" w:hAnsi="Times New Roman"/>
          <w:sz w:val="18"/>
          <w:szCs w:val="18"/>
          <w:color w:val="auto"/>
        </w:rPr>
      </w:pPr>
    </w:p>
    <w:p>
      <w:pPr>
        <w:ind w:right="380" w:firstLine="1492"/>
        <w:spacing w:after="0" w:line="282" w:lineRule="auto"/>
        <w:tabs>
          <w:tab w:leader="none" w:pos="1738"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555" w:name="page556"/>
    <w:bookmarkEnd w:id="555"/>
    <w:p>
      <w:pPr>
        <w:ind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162" w:lineRule="exact"/>
        <w:rPr>
          <w:sz w:val="20"/>
          <w:szCs w:val="20"/>
          <w:color w:val="auto"/>
        </w:rPr>
      </w:pPr>
    </w:p>
    <w:p>
      <w:pPr>
        <w:ind w:left="1140" w:hanging="219"/>
        <w:spacing w:after="0"/>
        <w:tabs>
          <w:tab w:leader="none" w:pos="114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 “covered employee” under Section 162(m)(3) of the Code.</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5" w:lineRule="exact"/>
        <w:rPr>
          <w:rFonts w:ascii="Times New Roman" w:cs="Times New Roman" w:eastAsia="Times New Roman" w:hAnsi="Times New Roman"/>
          <w:sz w:val="18"/>
          <w:szCs w:val="18"/>
          <w:color w:val="auto"/>
        </w:rPr>
      </w:pPr>
    </w:p>
    <w:p>
      <w:pPr>
        <w:ind w:firstLine="921"/>
        <w:spacing w:after="0" w:line="258" w:lineRule="auto"/>
        <w:tabs>
          <w:tab w:leader="none" w:pos="1128"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 Common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color w:val="auto"/>
        </w:rPr>
      </w:pPr>
    </w:p>
    <w:p>
      <w:pPr>
        <w:ind w:right="40" w:firstLine="921"/>
        <w:spacing w:after="0" w:line="266" w:lineRule="auto"/>
        <w:tabs>
          <w:tab w:leader="none" w:pos="1168"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76"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firstLine="1492"/>
        <w:spacing w:after="0" w:line="256" w:lineRule="auto"/>
        <w:tabs>
          <w:tab w:leader="none" w:pos="1698"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87" w:lineRule="exact"/>
        <w:rPr>
          <w:rFonts w:ascii="Times New Roman" w:cs="Times New Roman" w:eastAsia="Times New Roman" w:hAnsi="Times New Roman"/>
          <w:sz w:val="18"/>
          <w:szCs w:val="18"/>
          <w:color w:val="auto"/>
        </w:rPr>
      </w:pPr>
    </w:p>
    <w:p>
      <w:pPr>
        <w:ind w:right="160" w:firstLine="1492"/>
        <w:spacing w:after="0" w:line="282" w:lineRule="auto"/>
        <w:tabs>
          <w:tab w:leader="none" w:pos="1748"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556" w:name="page557"/>
    <w:bookmarkEnd w:id="55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76" w:lineRule="exact"/>
        <w:rPr>
          <w:sz w:val="20"/>
          <w:szCs w:val="20"/>
          <w:color w:val="auto"/>
        </w:rPr>
      </w:pPr>
    </w:p>
    <w:p>
      <w:pPr>
        <w:ind w:right="380" w:firstLine="1492"/>
        <w:spacing w:after="0" w:line="282" w:lineRule="auto"/>
        <w:tabs>
          <w:tab w:leader="none" w:pos="1798" w:val="left"/>
        </w:tabs>
        <w:numPr>
          <w:ilvl w:val="1"/>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 and in a manner consistent with Applicable Laws.</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225" w:lineRule="exact"/>
        <w:rPr>
          <w:rFonts w:ascii="Times New Roman" w:cs="Times New Roman" w:eastAsia="Times New Roman" w:hAnsi="Times New Roman"/>
          <w:sz w:val="18"/>
          <w:szCs w:val="18"/>
          <w:color w:val="auto"/>
        </w:rPr>
      </w:pPr>
    </w:p>
    <w:p>
      <w:pPr>
        <w:ind w:right="120" w:firstLine="921"/>
        <w:spacing w:after="0" w:line="258" w:lineRule="auto"/>
        <w:tabs>
          <w:tab w:leader="none" w:pos="1158"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means any child, stepchild, grandchild, parent, stepparent, grandparent, spouse, former spouse, sibling, niece, nephew, mother-in-law, father-in- 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84" w:lineRule="exact"/>
        <w:rPr>
          <w:sz w:val="20"/>
          <w:szCs w:val="20"/>
          <w:color w:val="auto"/>
        </w:rPr>
      </w:pPr>
    </w:p>
    <w:p>
      <w:pPr>
        <w:ind w:left="1240" w:hanging="319"/>
        <w:spacing w:after="0"/>
        <w:tabs>
          <w:tab w:leader="none" w:pos="124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w:t>
      </w:r>
    </w:p>
    <w:p>
      <w:pPr>
        <w:spacing w:after="0" w:line="225"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225" w:lineRule="exact"/>
        <w:rPr>
          <w:rFonts w:ascii="Times New Roman" w:cs="Times New Roman" w:eastAsia="Times New Roman" w:hAnsi="Times New Roman"/>
          <w:sz w:val="18"/>
          <w:szCs w:val="18"/>
          <w:color w:val="auto"/>
        </w:rPr>
      </w:pPr>
    </w:p>
    <w:p>
      <w:pPr>
        <w:ind w:right="200" w:firstLine="921"/>
        <w:spacing w:after="0" w:line="282" w:lineRule="auto"/>
        <w:tabs>
          <w:tab w:leader="none" w:pos="1238"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225"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200" w:hanging="279"/>
        <w:spacing w:after="0"/>
        <w:tabs>
          <w:tab w:leader="none" w:pos="120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means compensation qualifying as “performance-based compensation” under Section 162(m)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6"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2008 Stock Incentive Plan.</w:t>
      </w:r>
    </w:p>
    <w:p>
      <w:pPr>
        <w:spacing w:after="0" w:line="225" w:lineRule="exact"/>
        <w:rPr>
          <w:rFonts w:ascii="Times New Roman" w:cs="Times New Roman" w:eastAsia="Times New Roman" w:hAnsi="Times New Roman"/>
          <w:sz w:val="18"/>
          <w:szCs w:val="18"/>
          <w:color w:val="auto"/>
        </w:rPr>
      </w:pPr>
    </w:p>
    <w:p>
      <w:pPr>
        <w:ind w:firstLine="921"/>
        <w:spacing w:after="0" w:line="266" w:lineRule="auto"/>
        <w:tabs>
          <w:tab w:leader="none" w:pos="1258"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Post-Termination Exercise Period</w:t>
      </w:r>
      <w:r>
        <w:rPr>
          <w:rFonts w:ascii="Times New Roman" w:cs="Times New Roman" w:eastAsia="Times New Roman" w:hAnsi="Times New Roman"/>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69" w:right="259" w:bottom="1440" w:gutter="0" w:footer="0" w:header="0"/>
        </w:sectPr>
      </w:pPr>
    </w:p>
    <w:bookmarkStart w:id="557" w:name="page558"/>
    <w:bookmarkEnd w:id="557"/>
    <w:p>
      <w:pPr>
        <w:ind w:left="-20" w:firstLine="921"/>
        <w:spacing w:after="0" w:line="255" w:lineRule="auto"/>
        <w:tabs>
          <w:tab w:leader="none" w:pos="1158"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first to occur of (i) the closing of the first sale to the general public pursuant to a registration statement filed with and declared effective by the Securities and Exchange Commission under the Securities Act of 1933, as amended, of (A) the Common Stock or (B) the same class of securities of a successor corporation (or its Parent) issued pursuant to a Corporate Transaction in exchange for or in substitution of the Common Stock; and (ii) in the event of a Corporate Transaction, the date of the consummation of the Corporate Transaction if the same class of securities of the successor corporation (or its Parent) issuable in such Corporate Transaction shall have been sold to the general public pursuant to a registration statement filed with and declared effective by the Securities and Exchange Commission under the Securities Act of 1933, as amended, on or prior to the date of consummation of such Corporate Transaction.</w:t>
      </w:r>
    </w:p>
    <w:p>
      <w:pPr>
        <w:spacing w:after="0" w:line="189"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w:t>
      </w:r>
    </w:p>
    <w:p>
      <w:pPr>
        <w:spacing w:after="0" w:line="225" w:lineRule="exact"/>
        <w:rPr>
          <w:rFonts w:ascii="Times New Roman" w:cs="Times New Roman" w:eastAsia="Times New Roman" w:hAnsi="Times New Roman"/>
          <w:sz w:val="18"/>
          <w:szCs w:val="18"/>
          <w:color w:val="auto"/>
        </w:rPr>
      </w:pPr>
    </w:p>
    <w:p>
      <w:pPr>
        <w:ind w:left="-20" w:right="80" w:firstLine="921"/>
        <w:spacing w:after="0" w:line="261" w:lineRule="auto"/>
        <w:tabs>
          <w:tab w:leader="none" w:pos="1238"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0" w:lineRule="exact"/>
        <w:rPr>
          <w:rFonts w:ascii="Times New Roman" w:cs="Times New Roman" w:eastAsia="Times New Roman" w:hAnsi="Times New Roman"/>
          <w:sz w:val="18"/>
          <w:szCs w:val="18"/>
          <w:color w:val="auto"/>
        </w:rPr>
      </w:pPr>
    </w:p>
    <w:p>
      <w:pPr>
        <w:ind w:left="-20" w:right="540" w:firstLine="921"/>
        <w:spacing w:after="0" w:line="282" w:lineRule="auto"/>
        <w:tabs>
          <w:tab w:leader="none" w:pos="1158"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61" w:lineRule="exact"/>
        <w:rPr>
          <w:rFonts w:ascii="Times New Roman" w:cs="Times New Roman" w:eastAsia="Times New Roman" w:hAnsi="Times New Roman"/>
          <w:sz w:val="18"/>
          <w:szCs w:val="18"/>
          <w:color w:val="auto"/>
        </w:rPr>
      </w:pPr>
    </w:p>
    <w:p>
      <w:pPr>
        <w:ind w:left="-20" w:right="160" w:firstLine="921"/>
        <w:spacing w:after="0" w:line="266" w:lineRule="auto"/>
        <w:tabs>
          <w:tab w:leader="none" w:pos="1338"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76" w:lineRule="exact"/>
        <w:rPr>
          <w:rFonts w:ascii="Times New Roman" w:cs="Times New Roman" w:eastAsia="Times New Roman" w:hAnsi="Times New Roman"/>
          <w:sz w:val="18"/>
          <w:szCs w:val="18"/>
          <w:color w:val="auto"/>
        </w:rPr>
      </w:pPr>
    </w:p>
    <w:p>
      <w:pPr>
        <w:ind w:left="1240" w:hanging="339"/>
        <w:spacing w:after="0"/>
        <w:tabs>
          <w:tab w:leader="none" w:pos="1240"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thereto.</w:t>
      </w:r>
    </w:p>
    <w:p>
      <w:pPr>
        <w:spacing w:after="0" w:line="225" w:lineRule="exact"/>
        <w:rPr>
          <w:rFonts w:ascii="Times New Roman" w:cs="Times New Roman" w:eastAsia="Times New Roman" w:hAnsi="Times New Roman"/>
          <w:sz w:val="18"/>
          <w:szCs w:val="18"/>
          <w:color w:val="auto"/>
        </w:rPr>
      </w:pPr>
    </w:p>
    <w:p>
      <w:pPr>
        <w:ind w:left="-20" w:right="40" w:firstLine="921"/>
        <w:spacing w:after="0" w:line="282" w:lineRule="auto"/>
        <w:tabs>
          <w:tab w:leader="none" w:pos="1238"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161" w:lineRule="exact"/>
        <w:rPr>
          <w:rFonts w:ascii="Times New Roman" w:cs="Times New Roman" w:eastAsia="Times New Roman" w:hAnsi="Times New Roman"/>
          <w:sz w:val="18"/>
          <w:szCs w:val="18"/>
          <w:color w:val="auto"/>
        </w:rPr>
      </w:pPr>
    </w:p>
    <w:p>
      <w:pPr>
        <w:ind w:left="1240" w:hanging="339"/>
        <w:spacing w:after="0"/>
        <w:tabs>
          <w:tab w:leader="none" w:pos="1240"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225" w:lineRule="exact"/>
        <w:rPr>
          <w:rFonts w:ascii="Times New Roman" w:cs="Times New Roman" w:eastAsia="Times New Roman" w:hAnsi="Times New Roman"/>
          <w:sz w:val="18"/>
          <w:szCs w:val="18"/>
          <w:color w:val="auto"/>
        </w:rPr>
      </w:pPr>
    </w:p>
    <w:p>
      <w:pPr>
        <w:ind w:left="1240" w:hanging="339"/>
        <w:spacing w:after="0"/>
        <w:tabs>
          <w:tab w:leader="none" w:pos="1240" w:val="left"/>
        </w:tabs>
        <w:numPr>
          <w:ilvl w:val="1"/>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600" w:firstLine="921"/>
        <w:spacing w:after="0" w:line="266" w:lineRule="auto"/>
        <w:tabs>
          <w:tab w:leader="none" w:pos="1138" w:val="left"/>
        </w:tabs>
        <w:numPr>
          <w:ilvl w:val="1"/>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 below, the maximum aggregate number of Shares which may be issued pursuant to all Awards (including Incentive Stock Options) is six hundred and seventy thousand (670,000) Shares. The Shares may be authorized, but unissued, or reacquired Common Stock.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269" w:right="239" w:bottom="1440" w:gutter="0" w:footer="0" w:header="0"/>
        </w:sectPr>
      </w:pPr>
    </w:p>
    <w:bookmarkStart w:id="558" w:name="page559"/>
    <w:bookmarkEnd w:id="558"/>
    <w:p>
      <w:pPr>
        <w:ind w:left="-40" w:right="80" w:firstLine="921"/>
        <w:spacing w:after="0" w:line="254" w:lineRule="auto"/>
        <w:tabs>
          <w:tab w:leader="none" w:pos="1128"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such Shares shall become available for future grant under the Plan. To the extent not prohibited by the listing requirements of The NASDAQ Stock Market LLC (or other established stock exchange or national market system on which the Common Stock is traded) and Applicable Law, any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Shares which may be issued pursuant to all Awards under the Plan, unless otherwise determined by the Administrator.</w:t>
      </w:r>
    </w:p>
    <w:p>
      <w:pPr>
        <w:spacing w:after="0" w:line="189"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20" w:firstLine="1492"/>
        <w:spacing w:after="0" w:line="255" w:lineRule="auto"/>
        <w:tabs>
          <w:tab w:leader="none" w:pos="1658" w:val="left"/>
        </w:tabs>
        <w:numPr>
          <w:ilvl w:val="2"/>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Prior to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On or after the Registration Date,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89" w:lineRule="exact"/>
        <w:rPr>
          <w:rFonts w:ascii="Times New Roman" w:cs="Times New Roman" w:eastAsia="Times New Roman" w:hAnsi="Times New Roman"/>
          <w:sz w:val="18"/>
          <w:szCs w:val="18"/>
          <w:color w:val="auto"/>
        </w:rPr>
      </w:pPr>
    </w:p>
    <w:p>
      <w:pPr>
        <w:ind w:left="-40" w:right="100" w:firstLine="1492"/>
        <w:spacing w:after="0" w:line="261" w:lineRule="auto"/>
        <w:tabs>
          <w:tab w:leader="none" w:pos="1708" w:val="left"/>
        </w:tabs>
        <w:numPr>
          <w:ilvl w:val="2"/>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spacing w:after="0" w:line="180" w:lineRule="exact"/>
        <w:rPr>
          <w:rFonts w:ascii="Times New Roman" w:cs="Times New Roman" w:eastAsia="Times New Roman" w:hAnsi="Times New Roman"/>
          <w:sz w:val="18"/>
          <w:szCs w:val="18"/>
          <w:color w:val="auto"/>
        </w:rPr>
      </w:pPr>
    </w:p>
    <w:p>
      <w:pPr>
        <w:ind w:left="-40" w:firstLine="1492"/>
        <w:spacing w:after="0" w:line="261" w:lineRule="auto"/>
        <w:tabs>
          <w:tab w:leader="none" w:pos="1758" w:val="left"/>
        </w:tabs>
        <w:numPr>
          <w:ilvl w:val="2"/>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Covered Employees</w:t>
      </w:r>
      <w:r>
        <w:rPr>
          <w:rFonts w:ascii="Times New Roman" w:cs="Times New Roman" w:eastAsia="Times New Roman" w:hAnsi="Times New Roman"/>
          <w:sz w:val="18"/>
          <w:szCs w:val="18"/>
          <w:color w:val="auto"/>
        </w:rPr>
        <w:t>. Notwithstanding the foregoing, as of and after the date that the exemption for the Plan under Section 162(m) of the Code expires, as set forth in Section 20 below,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80" w:top="270" w:right="259" w:bottom="1440" w:gutter="0" w:footer="0" w:header="0"/>
        </w:sectPr>
      </w:pPr>
    </w:p>
    <w:bookmarkStart w:id="559" w:name="page560"/>
    <w:bookmarkEnd w:id="559"/>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In the case of such Awards granted to Covered Employees, references to the “Administrator” or to a “Committee” shall be deemed to be references to such Committee or subcommittee.</w:t>
      </w:r>
    </w:p>
    <w:p>
      <w:pPr>
        <w:spacing w:after="0" w:line="162" w:lineRule="exact"/>
        <w:rPr>
          <w:sz w:val="20"/>
          <w:szCs w:val="20"/>
          <w:color w:val="auto"/>
        </w:rPr>
      </w:pPr>
    </w:p>
    <w:p>
      <w:pPr>
        <w:ind w:right="400" w:firstLine="921"/>
        <w:spacing w:after="0" w:line="282" w:lineRule="auto"/>
        <w:tabs>
          <w:tab w:leader="none" w:pos="1168"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The Plan may be administered by different bodies with respect to Directors, Officers, Consultants, and Employees who are neither Directors nor Officers.</w:t>
      </w:r>
    </w:p>
    <w:p>
      <w:pPr>
        <w:spacing w:after="0" w:line="161" w:lineRule="exact"/>
        <w:rPr>
          <w:rFonts w:ascii="Times New Roman" w:cs="Times New Roman" w:eastAsia="Times New Roman" w:hAnsi="Times New Roman"/>
          <w:sz w:val="18"/>
          <w:szCs w:val="18"/>
          <w:color w:val="auto"/>
        </w:rPr>
      </w:pPr>
    </w:p>
    <w:p>
      <w:pPr>
        <w:ind w:right="900" w:firstLine="921"/>
        <w:spacing w:after="0" w:line="282" w:lineRule="auto"/>
        <w:tabs>
          <w:tab w:leader="none" w:pos="1157"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61"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225"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225"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 hereunder;</w:t>
      </w:r>
    </w:p>
    <w:p>
      <w:pPr>
        <w:spacing w:after="0" w:line="225"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225" w:lineRule="exact"/>
        <w:rPr>
          <w:rFonts w:ascii="Times New Roman" w:cs="Times New Roman" w:eastAsia="Times New Roman" w:hAnsi="Times New Roman"/>
          <w:sz w:val="18"/>
          <w:szCs w:val="18"/>
          <w:color w:val="auto"/>
        </w:rPr>
      </w:pPr>
    </w:p>
    <w:p>
      <w:pPr>
        <w:ind w:right="140" w:firstLine="1492"/>
        <w:spacing w:after="0" w:line="266" w:lineRule="auto"/>
        <w:tabs>
          <w:tab w:leader="none" w:pos="1788"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176" w:lineRule="exact"/>
        <w:rPr>
          <w:rFonts w:ascii="Times New Roman" w:cs="Times New Roman" w:eastAsia="Times New Roman" w:hAnsi="Times New Roman"/>
          <w:sz w:val="18"/>
          <w:szCs w:val="18"/>
          <w:color w:val="auto"/>
        </w:rPr>
      </w:pPr>
    </w:p>
    <w:p>
      <w:pPr>
        <w:jc w:val="both"/>
        <w:ind w:firstLine="1492"/>
        <w:spacing w:after="0" w:line="289" w:lineRule="auto"/>
        <w:tabs>
          <w:tab w:leader="none" w:pos="1838" w:val="left"/>
        </w:tabs>
        <w:numPr>
          <w:ilvl w:val="1"/>
          <w:numId w:val="7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 Qualified Stock Option shall not be treated as adversely affecting the rights of the Grantee;</w:t>
      </w:r>
    </w:p>
    <w:p>
      <w:pPr>
        <w:spacing w:after="0" w:line="158" w:lineRule="exact"/>
        <w:rPr>
          <w:rFonts w:ascii="Times New Roman" w:cs="Times New Roman" w:eastAsia="Times New Roman" w:hAnsi="Times New Roman"/>
          <w:sz w:val="17"/>
          <w:szCs w:val="17"/>
          <w:color w:val="auto"/>
        </w:rPr>
      </w:pPr>
    </w:p>
    <w:p>
      <w:pPr>
        <w:ind w:right="40" w:firstLine="1492"/>
        <w:spacing w:after="0" w:line="282" w:lineRule="auto"/>
        <w:tabs>
          <w:tab w:leader="none" w:pos="1888"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 limitation, any notice of award or Award Agreement, granted pursuant to the Plan; and</w:t>
      </w:r>
    </w:p>
    <w:p>
      <w:pPr>
        <w:spacing w:after="0" w:line="161"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270" w:right="319" w:bottom="1440" w:gutter="0" w:footer="0" w:header="0"/>
        </w:sectPr>
      </w:pPr>
    </w:p>
    <w:bookmarkStart w:id="560" w:name="page561"/>
    <w:bookmarkEnd w:id="560"/>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62" w:lineRule="exact"/>
        <w:rPr>
          <w:sz w:val="20"/>
          <w:szCs w:val="20"/>
          <w:color w:val="auto"/>
        </w:rPr>
      </w:pPr>
    </w:p>
    <w:p>
      <w:pPr>
        <w:ind w:firstLine="921"/>
        <w:spacing w:after="0" w:line="254" w:lineRule="auto"/>
        <w:tabs>
          <w:tab w:leader="none" w:pos="1168" w:val="left"/>
        </w:tabs>
        <w:numPr>
          <w:ilvl w:val="1"/>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86" w:lineRule="exact"/>
        <w:rPr>
          <w:rFonts w:ascii="Times New Roman" w:cs="Times New Roman" w:eastAsia="Times New Roman" w:hAnsi="Times New Roman"/>
          <w:sz w:val="18"/>
          <w:szCs w:val="18"/>
          <w:color w:val="auto"/>
        </w:rPr>
      </w:pPr>
    </w:p>
    <w:p>
      <w:pPr>
        <w:ind w:firstLine="464"/>
        <w:spacing w:after="0" w:line="261" w:lineRule="auto"/>
        <w:tabs>
          <w:tab w:leader="none" w:pos="636"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21"/>
        <w:spacing w:after="0" w:line="256" w:lineRule="auto"/>
        <w:tabs>
          <w:tab w:leader="none" w:pos="1157" w:val="left"/>
        </w:tabs>
        <w:numPr>
          <w:ilvl w:val="1"/>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87" w:lineRule="exact"/>
        <w:rPr>
          <w:rFonts w:ascii="Times New Roman" w:cs="Times New Roman" w:eastAsia="Times New Roman" w:hAnsi="Times New Roman"/>
          <w:sz w:val="18"/>
          <w:szCs w:val="18"/>
          <w:color w:val="auto"/>
        </w:rPr>
      </w:pPr>
    </w:p>
    <w:p>
      <w:pPr>
        <w:jc w:val="both"/>
        <w:ind w:right="140" w:firstLine="921"/>
        <w:spacing w:after="0" w:line="289" w:lineRule="auto"/>
        <w:tabs>
          <w:tab w:leader="none" w:pos="1168" w:val="left"/>
        </w:tabs>
        <w:numPr>
          <w:ilvl w:val="1"/>
          <w:numId w:val="7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Award</w:t>
      </w:r>
      <w:r>
        <w:rPr>
          <w:rFonts w:ascii="Times New Roman" w:cs="Times New Roman" w:eastAsia="Times New Roman" w:hAnsi="Times New Roman"/>
          <w:sz w:val="17"/>
          <w:szCs w:val="17"/>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9" w:right="259" w:bottom="1440" w:gutter="0" w:footer="0" w:header="0"/>
        </w:sectPr>
      </w:pPr>
    </w:p>
    <w:bookmarkStart w:id="561" w:name="page562"/>
    <w:bookmarkEnd w:id="56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88" w:lineRule="exact"/>
        <w:rPr>
          <w:sz w:val="20"/>
          <w:szCs w:val="20"/>
          <w:color w:val="auto"/>
        </w:rPr>
      </w:pPr>
    </w:p>
    <w:p>
      <w:pPr>
        <w:ind w:firstLine="921"/>
        <w:spacing w:after="0" w:line="253" w:lineRule="auto"/>
        <w:tabs>
          <w:tab w:leader="none" w:pos="1157"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personal management objectives, or other measure of performance selected by the Administrator.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90" w:lineRule="exact"/>
        <w:rPr>
          <w:rFonts w:ascii="Times New Roman" w:cs="Times New Roman" w:eastAsia="Times New Roman" w:hAnsi="Times New Roman"/>
          <w:sz w:val="18"/>
          <w:szCs w:val="18"/>
          <w:color w:val="auto"/>
        </w:rPr>
      </w:pPr>
    </w:p>
    <w:p>
      <w:pPr>
        <w:ind w:right="200" w:firstLine="921"/>
        <w:spacing w:after="0" w:line="266" w:lineRule="auto"/>
        <w:tabs>
          <w:tab w:leader="none" w:pos="1168"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76" w:lineRule="exact"/>
        <w:rPr>
          <w:rFonts w:ascii="Times New Roman" w:cs="Times New Roman" w:eastAsia="Times New Roman" w:hAnsi="Times New Roman"/>
          <w:sz w:val="18"/>
          <w:szCs w:val="18"/>
          <w:color w:val="auto"/>
        </w:rPr>
      </w:pPr>
    </w:p>
    <w:p>
      <w:pPr>
        <w:ind w:firstLine="921"/>
        <w:spacing w:after="0" w:line="258" w:lineRule="auto"/>
        <w:tabs>
          <w:tab w:leader="none" w:pos="1157"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562" w:name="page563"/>
    <w:bookmarkEnd w:id="562"/>
    <w:p>
      <w:pPr>
        <w:ind w:firstLine="921"/>
        <w:spacing w:after="0" w:line="282" w:lineRule="auto"/>
        <w:tabs>
          <w:tab w:leader="none" w:pos="1138"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Separate Programs</w:t>
      </w:r>
      <w:r>
        <w:rPr>
          <w:rFonts w:ascii="Times New Roman" w:cs="Times New Roman" w:eastAsia="Times New Roman" w:hAnsi="Times New Roman"/>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Limitations 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492"/>
        <w:spacing w:after="0" w:line="254" w:lineRule="auto"/>
        <w:tabs>
          <w:tab w:leader="none" w:pos="1698"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Option and SAR Limit</w:t>
      </w:r>
      <w:r>
        <w:rPr>
          <w:rFonts w:ascii="Times New Roman" w:cs="Times New Roman" w:eastAsia="Times New Roman" w:hAnsi="Times New Roman"/>
          <w:sz w:val="18"/>
          <w:szCs w:val="18"/>
          <w:color w:val="auto"/>
        </w:rPr>
        <w:t>. Following the date that the exemption from application of Section 162(m) of the Code described in Section 20 (or any exemption having similar effect) ceases to apply to Awards, the maximum number of Shares with respect to which Options and SARs may be granted to any Grantee in any calendar year shall be three hundred fifty thousand (350,000) of the Shares. In connection with a Grantee’s commencement of Continuous Service, a Grantee may be granted Options and SARs for up to an additional one hundred thousand (100,000)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186"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Restricted Stock and Restricted Stock Units</w:t>
      </w:r>
      <w:r>
        <w:rPr>
          <w:rFonts w:ascii="Times New Roman" w:cs="Times New Roman" w:eastAsia="Times New Roman" w:hAnsi="Times New Roman"/>
          <w:sz w:val="18"/>
          <w:szCs w:val="18"/>
          <w:color w:val="auto"/>
        </w:rPr>
        <w:t>. Following the date that the exemption from application of</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162(m) of the Code described in Section 20 (or any exemption having similar effect) ceases to apply to Awards, for awards of Restricted Stock and Restricted Stock Units that are intended to be Performance-Based Compensation, the maximum number of Shares with respect to which such Awards may be granted to any Grantee in any calendar year shall be three hundred fifty thousand (350,000) Shares. The foregoing limitation shall be adjusted proportionately in connection with any change in the Company’s capitalization pursuant to Section 10, below.</w:t>
      </w:r>
    </w:p>
    <w:p>
      <w:pPr>
        <w:spacing w:after="0" w:line="186" w:lineRule="exact"/>
        <w:rPr>
          <w:sz w:val="20"/>
          <w:szCs w:val="20"/>
          <w:color w:val="auto"/>
        </w:rPr>
      </w:pPr>
    </w:p>
    <w:p>
      <w:pPr>
        <w:jc w:val="both"/>
        <w:ind w:right="20" w:firstLine="921"/>
        <w:spacing w:after="0" w:line="289" w:lineRule="auto"/>
        <w:tabs>
          <w:tab w:leader="none" w:pos="1168" w:val="left"/>
        </w:tabs>
        <w:numPr>
          <w:ilvl w:val="0"/>
          <w:numId w:val="7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Early Exercise</w:t>
      </w:r>
      <w:r>
        <w:rPr>
          <w:rFonts w:ascii="Times New Roman" w:cs="Times New Roman" w:eastAsia="Times New Roman" w:hAnsi="Times New Roman"/>
          <w:sz w:val="17"/>
          <w:szCs w:val="17"/>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58" w:lineRule="exact"/>
        <w:rPr>
          <w:rFonts w:ascii="Times New Roman" w:cs="Times New Roman" w:eastAsia="Times New Roman" w:hAnsi="Times New Roman"/>
          <w:sz w:val="17"/>
          <w:szCs w:val="17"/>
          <w:color w:val="auto"/>
        </w:rPr>
      </w:pPr>
    </w:p>
    <w:p>
      <w:pPr>
        <w:ind w:firstLine="921"/>
        <w:spacing w:after="0" w:line="256" w:lineRule="auto"/>
        <w:tabs>
          <w:tab w:leader="none" w:pos="1128"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69" w:right="259" w:bottom="1440" w:gutter="0" w:footer="0" w:header="0"/>
        </w:sectPr>
      </w:pPr>
    </w:p>
    <w:bookmarkStart w:id="563" w:name="page564"/>
    <w:bookmarkEnd w:id="563"/>
    <w:p>
      <w:pPr>
        <w:ind w:left="-140" w:firstLine="921"/>
        <w:spacing w:after="0" w:line="256" w:lineRule="auto"/>
        <w:tabs>
          <w:tab w:leader="none" w:pos="988"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Transferability of Awards</w:t>
      </w:r>
      <w:r>
        <w:rPr>
          <w:rFonts w:ascii="Times New Roman" w:cs="Times New Roman" w:eastAsia="Times New Roman" w:hAnsi="Times New Roman"/>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Administrator.</w:t>
      </w:r>
    </w:p>
    <w:p>
      <w:pPr>
        <w:spacing w:after="0" w:line="187" w:lineRule="exact"/>
        <w:rPr>
          <w:rFonts w:ascii="Times New Roman" w:cs="Times New Roman" w:eastAsia="Times New Roman" w:hAnsi="Times New Roman"/>
          <w:sz w:val="18"/>
          <w:szCs w:val="18"/>
          <w:color w:val="auto"/>
        </w:rPr>
      </w:pPr>
    </w:p>
    <w:p>
      <w:pPr>
        <w:ind w:left="-140" w:right="860" w:firstLine="921"/>
        <w:spacing w:after="0" w:line="282" w:lineRule="auto"/>
        <w:tabs>
          <w:tab w:leader="none" w:pos="1028"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161" w:lineRule="exact"/>
        <w:rPr>
          <w:rFonts w:ascii="Times New Roman" w:cs="Times New Roman" w:eastAsia="Times New Roman" w:hAnsi="Times New Roman"/>
          <w:sz w:val="18"/>
          <w:szCs w:val="18"/>
          <w:color w:val="auto"/>
        </w:rPr>
      </w:pPr>
    </w:p>
    <w:p>
      <w:pPr>
        <w:ind w:left="500" w:hanging="176"/>
        <w:spacing w:after="0"/>
        <w:tabs>
          <w:tab w:leader="none" w:pos="500"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20" w:hanging="239"/>
        <w:spacing w:after="0"/>
        <w:tabs>
          <w:tab w:leader="none" w:pos="1020" w:val="left"/>
        </w:tabs>
        <w:numPr>
          <w:ilvl w:val="1"/>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225" w:lineRule="exact"/>
        <w:rPr>
          <w:rFonts w:ascii="Times New Roman" w:cs="Times New Roman" w:eastAsia="Times New Roman" w:hAnsi="Times New Roman"/>
          <w:sz w:val="18"/>
          <w:szCs w:val="18"/>
          <w:color w:val="auto"/>
        </w:rPr>
      </w:pPr>
    </w:p>
    <w:p>
      <w:pPr>
        <w:ind w:left="1560" w:hanging="208"/>
        <w:spacing w:after="0"/>
        <w:tabs>
          <w:tab w:leader="none" w:pos="1560"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jc w:val="both"/>
        <w:ind w:left="-140" w:right="140" w:firstLine="1948"/>
        <w:spacing w:after="0" w:line="266" w:lineRule="auto"/>
        <w:tabs>
          <w:tab w:leader="none" w:pos="2095" w:val="left"/>
        </w:tabs>
        <w:numPr>
          <w:ilvl w:val="3"/>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76" w:lineRule="exact"/>
        <w:rPr>
          <w:rFonts w:ascii="Times New Roman" w:cs="Times New Roman" w:eastAsia="Times New Roman" w:hAnsi="Times New Roman"/>
          <w:sz w:val="18"/>
          <w:szCs w:val="18"/>
          <w:color w:val="auto"/>
        </w:rPr>
      </w:pPr>
    </w:p>
    <w:p>
      <w:pPr>
        <w:ind w:left="-140" w:right="120" w:firstLine="1948"/>
        <w:spacing w:after="0" w:line="282" w:lineRule="auto"/>
        <w:tabs>
          <w:tab w:leader="none" w:pos="2085" w:val="left"/>
        </w:tabs>
        <w:numPr>
          <w:ilvl w:val="3"/>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40" w:right="180" w:firstLine="1492"/>
        <w:spacing w:after="0" w:line="282" w:lineRule="auto"/>
        <w:tabs>
          <w:tab w:leader="none" w:pos="1608"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40" w:right="140" w:firstLine="1492"/>
        <w:spacing w:after="0" w:line="282" w:lineRule="auto"/>
        <w:tabs>
          <w:tab w:leader="none" w:pos="1658"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the base appreciation amount shall not be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40" w:right="160" w:firstLine="1492"/>
        <w:spacing w:after="0" w:line="282" w:lineRule="auto"/>
        <w:tabs>
          <w:tab w:leader="none" w:pos="1648"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600" w:hanging="248"/>
        <w:spacing w:after="0"/>
        <w:tabs>
          <w:tab w:leader="none" w:pos="1600" w:val="left"/>
        </w:tabs>
        <w:numPr>
          <w:ilvl w:val="2"/>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sale of Shares, the per Share purchase price, if any, shall be such price as is determined by the Administrator.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80" w:top="270" w:right="359" w:bottom="1440" w:gutter="0" w:footer="0" w:header="0"/>
        </w:sectPr>
      </w:pPr>
    </w:p>
    <w:bookmarkStart w:id="564" w:name="page565"/>
    <w:bookmarkEnd w:id="564"/>
    <w:p>
      <w:pPr>
        <w:ind w:left="1720" w:hanging="308"/>
        <w:spacing w:after="0"/>
        <w:tabs>
          <w:tab w:leader="none" w:pos="1720" w:val="left"/>
        </w:tabs>
        <w:numPr>
          <w:ilvl w:val="1"/>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other Awards, such price as is determined by the Administrator.</w:t>
      </w:r>
    </w:p>
    <w:p>
      <w:pPr>
        <w:spacing w:after="0" w:line="225" w:lineRule="exact"/>
        <w:rPr>
          <w:rFonts w:ascii="Times New Roman" w:cs="Times New Roman" w:eastAsia="Times New Roman" w:hAnsi="Times New Roman"/>
          <w:sz w:val="18"/>
          <w:szCs w:val="18"/>
          <w:color w:val="auto"/>
        </w:rPr>
      </w:pPr>
    </w:p>
    <w:p>
      <w:pPr>
        <w:ind w:left="-80" w:right="140" w:firstLine="1492"/>
        <w:spacing w:after="0" w:line="266" w:lineRule="auto"/>
        <w:tabs>
          <w:tab w:leader="none" w:pos="1758" w:val="left"/>
        </w:tabs>
        <w:numPr>
          <w:ilvl w:val="1"/>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76" w:lineRule="exact"/>
        <w:rPr>
          <w:rFonts w:ascii="Times New Roman" w:cs="Times New Roman" w:eastAsia="Times New Roman" w:hAnsi="Times New Roman"/>
          <w:sz w:val="18"/>
          <w:szCs w:val="18"/>
          <w:color w:val="auto"/>
        </w:rPr>
      </w:pPr>
    </w:p>
    <w:p>
      <w:pPr>
        <w:ind w:left="-80" w:right="20" w:firstLine="921"/>
        <w:spacing w:after="0" w:line="261" w:lineRule="auto"/>
        <w:tabs>
          <w:tab w:leader="none" w:pos="1088"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180" w:lineRule="exact"/>
        <w:rPr>
          <w:rFonts w:ascii="Times New Roman" w:cs="Times New Roman" w:eastAsia="Times New Roman" w:hAnsi="Times New Roman"/>
          <w:sz w:val="18"/>
          <w:szCs w:val="18"/>
          <w:color w:val="auto"/>
        </w:rPr>
      </w:pPr>
    </w:p>
    <w:p>
      <w:pPr>
        <w:ind w:left="1620" w:hanging="208"/>
        <w:spacing w:after="0"/>
        <w:tabs>
          <w:tab w:leader="none" w:pos="1620"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680" w:hanging="268"/>
        <w:spacing w:after="0"/>
        <w:tabs>
          <w:tab w:leader="none" w:pos="1680"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80" w:right="640" w:firstLine="1492"/>
        <w:spacing w:after="0" w:line="313" w:lineRule="auto"/>
        <w:tabs>
          <w:tab w:leader="none" w:pos="1718" w:val="left"/>
        </w:tabs>
        <w:numPr>
          <w:ilvl w:val="1"/>
          <w:numId w:val="7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Grantee’s promissory note with such recourse, interest, security, and redemption provisions as the Administrator determines as appropriate (but only to the extent that the acceptance or terms of the promissory note would not violate an Applicable Law);</w:t>
      </w:r>
    </w:p>
    <w:p>
      <w:pPr>
        <w:spacing w:after="0" w:line="138" w:lineRule="exact"/>
        <w:rPr>
          <w:rFonts w:ascii="Times New Roman" w:cs="Times New Roman" w:eastAsia="Times New Roman" w:hAnsi="Times New Roman"/>
          <w:sz w:val="17"/>
          <w:szCs w:val="17"/>
          <w:color w:val="auto"/>
        </w:rPr>
      </w:pPr>
    </w:p>
    <w:p>
      <w:pPr>
        <w:ind w:left="-80" w:right="160" w:firstLine="1492"/>
        <w:spacing w:after="0" w:line="266" w:lineRule="auto"/>
        <w:tabs>
          <w:tab w:leader="none" w:pos="1708"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76" w:lineRule="exact"/>
        <w:rPr>
          <w:rFonts w:ascii="Times New Roman" w:cs="Times New Roman" w:eastAsia="Times New Roman" w:hAnsi="Times New Roman"/>
          <w:sz w:val="18"/>
          <w:szCs w:val="18"/>
          <w:color w:val="auto"/>
        </w:rPr>
      </w:pPr>
    </w:p>
    <w:p>
      <w:pPr>
        <w:ind w:left="-80" w:right="40" w:firstLine="1492"/>
        <w:spacing w:after="0" w:line="258" w:lineRule="auto"/>
        <w:tabs>
          <w:tab w:leader="none" w:pos="1658"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on or after the Registration Date,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83" w:lineRule="exact"/>
        <w:rPr>
          <w:rFonts w:ascii="Times New Roman" w:cs="Times New Roman" w:eastAsia="Times New Roman" w:hAnsi="Times New Roman"/>
          <w:sz w:val="18"/>
          <w:szCs w:val="18"/>
          <w:color w:val="auto"/>
        </w:rPr>
      </w:pPr>
    </w:p>
    <w:p>
      <w:pPr>
        <w:ind w:left="-80" w:firstLine="1492"/>
        <w:spacing w:after="0" w:line="258" w:lineRule="auto"/>
        <w:tabs>
          <w:tab w:leader="none" w:pos="1708"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183" w:lineRule="exact"/>
        <w:rPr>
          <w:rFonts w:ascii="Times New Roman" w:cs="Times New Roman" w:eastAsia="Times New Roman" w:hAnsi="Times New Roman"/>
          <w:sz w:val="18"/>
          <w:szCs w:val="18"/>
          <w:color w:val="auto"/>
        </w:rPr>
      </w:pPr>
    </w:p>
    <w:p>
      <w:pPr>
        <w:ind w:left="1760" w:hanging="348"/>
        <w:spacing w:after="0"/>
        <w:tabs>
          <w:tab w:leader="none" w:pos="1760"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80"/>
          </w:cols>
          <w:pgMar w:left="320" w:top="270" w:right="299" w:bottom="1440" w:gutter="0" w:footer="0" w:header="0"/>
        </w:sectPr>
      </w:pPr>
    </w:p>
    <w:bookmarkStart w:id="565" w:name="page566"/>
    <w:bookmarkEnd w:id="565"/>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76" w:lineRule="exact"/>
        <w:rPr>
          <w:sz w:val="20"/>
          <w:szCs w:val="20"/>
          <w:color w:val="auto"/>
        </w:rPr>
      </w:pPr>
    </w:p>
    <w:p>
      <w:pPr>
        <w:ind w:right="20" w:firstLine="921"/>
        <w:spacing w:after="0" w:line="256" w:lineRule="auto"/>
        <w:tabs>
          <w:tab w:leader="none" w:pos="1157" w:val="left"/>
        </w:tabs>
        <w:numPr>
          <w:ilvl w:val="1"/>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8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492"/>
        <w:spacing w:after="0" w:line="282" w:lineRule="auto"/>
        <w:tabs>
          <w:tab w:leader="none" w:pos="1698" w:val="left"/>
        </w:tabs>
        <w:numPr>
          <w:ilvl w:val="2"/>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161" w:lineRule="exact"/>
        <w:rPr>
          <w:rFonts w:ascii="Times New Roman" w:cs="Times New Roman" w:eastAsia="Times New Roman" w:hAnsi="Times New Roman"/>
          <w:sz w:val="18"/>
          <w:szCs w:val="18"/>
          <w:color w:val="auto"/>
        </w:rPr>
      </w:pPr>
    </w:p>
    <w:p>
      <w:pPr>
        <w:ind w:right="200" w:firstLine="1492"/>
        <w:spacing w:after="0" w:line="289" w:lineRule="auto"/>
        <w:tabs>
          <w:tab w:leader="none" w:pos="1748" w:val="left"/>
        </w:tabs>
        <w:numPr>
          <w:ilvl w:val="2"/>
          <w:numId w:val="7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158" w:lineRule="exact"/>
        <w:rPr>
          <w:rFonts w:ascii="Times New Roman" w:cs="Times New Roman" w:eastAsia="Times New Roman" w:hAnsi="Times New Roman"/>
          <w:sz w:val="17"/>
          <w:szCs w:val="17"/>
          <w:color w:val="auto"/>
        </w:rPr>
      </w:pPr>
    </w:p>
    <w:p>
      <w:pPr>
        <w:ind w:firstLine="921"/>
        <w:spacing w:after="0" w:line="271" w:lineRule="auto"/>
        <w:tabs>
          <w:tab w:leader="none" w:pos="1168" w:val="left"/>
        </w:tabs>
        <w:numPr>
          <w:ilvl w:val="1"/>
          <w:numId w:val="7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Award Following Termination of Continuous Service</w:t>
      </w:r>
      <w:r>
        <w:rPr>
          <w:rFonts w:ascii="Times New Roman" w:cs="Times New Roman" w:eastAsia="Times New Roman" w:hAnsi="Times New Roman"/>
          <w:sz w:val="17"/>
          <w:szCs w:val="17"/>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9" w:right="239" w:bottom="1440" w:gutter="0" w:footer="0" w:header="0"/>
        </w:sectPr>
      </w:pPr>
    </w:p>
    <w:bookmarkStart w:id="566" w:name="page567"/>
    <w:bookmarkEnd w:id="566"/>
    <w:p>
      <w:pPr>
        <w:ind w:left="-20" w:right="80" w:firstLine="921"/>
        <w:spacing w:after="0" w:line="255" w:lineRule="auto"/>
        <w:tabs>
          <w:tab w:leader="none" w:pos="1137"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 of Grantee</w:t>
      </w:r>
      <w:r>
        <w:rPr>
          <w:rFonts w:ascii="Times New Roman" w:cs="Times New Roman" w:eastAsia="Times New Roman" w:hAnsi="Times New Roman"/>
          <w:sz w:val="18"/>
          <w:szCs w:val="18"/>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189" w:lineRule="exact"/>
        <w:rPr>
          <w:rFonts w:ascii="Times New Roman" w:cs="Times New Roman" w:eastAsia="Times New Roman" w:hAnsi="Times New Roman"/>
          <w:sz w:val="18"/>
          <w:szCs w:val="18"/>
          <w:color w:val="auto"/>
        </w:rPr>
      </w:pPr>
    </w:p>
    <w:p>
      <w:pPr>
        <w:ind w:left="-20" w:firstLine="921"/>
        <w:spacing w:after="0" w:line="255" w:lineRule="auto"/>
        <w:tabs>
          <w:tab w:leader="none" w:pos="1148"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89" w:lineRule="exact"/>
        <w:rPr>
          <w:rFonts w:ascii="Times New Roman" w:cs="Times New Roman" w:eastAsia="Times New Roman" w:hAnsi="Times New Roman"/>
          <w:sz w:val="18"/>
          <w:szCs w:val="18"/>
          <w:color w:val="auto"/>
        </w:rPr>
      </w:pPr>
    </w:p>
    <w:p>
      <w:pPr>
        <w:ind w:left="-20" w:right="180" w:firstLine="921"/>
        <w:spacing w:after="0" w:line="261" w:lineRule="auto"/>
        <w:tabs>
          <w:tab w:leader="none" w:pos="1137"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if Exercise Prevented by Law</w:t>
      </w:r>
      <w:r>
        <w:rPr>
          <w:rFonts w:ascii="Times New Roman" w:cs="Times New Roman" w:eastAsia="Times New Roman" w:hAnsi="Times New Roman"/>
          <w:sz w:val="18"/>
          <w:szCs w:val="18"/>
          <w:color w:val="auto"/>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180"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21"/>
        <w:spacing w:after="0" w:line="261" w:lineRule="auto"/>
        <w:tabs>
          <w:tab w:leader="none" w:pos="1138"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80" w:lineRule="exact"/>
        <w:rPr>
          <w:rFonts w:ascii="Times New Roman" w:cs="Times New Roman" w:eastAsia="Times New Roman" w:hAnsi="Times New Roman"/>
          <w:sz w:val="18"/>
          <w:szCs w:val="18"/>
          <w:color w:val="auto"/>
        </w:rPr>
      </w:pPr>
    </w:p>
    <w:p>
      <w:pPr>
        <w:ind w:left="-20" w:right="160" w:firstLine="921"/>
        <w:spacing w:after="0" w:line="266" w:lineRule="auto"/>
        <w:tabs>
          <w:tab w:leader="none" w:pos="1148"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60" w:top="270" w:right="239" w:bottom="1440" w:gutter="0" w:footer="0" w:header="0"/>
        </w:sectPr>
      </w:pPr>
    </w:p>
    <w:bookmarkStart w:id="567" w:name="page568"/>
    <w:bookmarkEnd w:id="567"/>
    <w:p>
      <w:pPr>
        <w:ind w:left="-20" w:firstLine="464"/>
        <w:spacing w:after="0" w:line="253" w:lineRule="auto"/>
        <w:tabs>
          <w:tab w:leader="none" w:pos="706"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w:t>
      </w:r>
      <w:r>
        <w:rPr>
          <w:rFonts w:ascii="Times New Roman" w:cs="Times New Roman" w:eastAsia="Times New Roman" w:hAnsi="Times New Roman"/>
          <w:sz w:val="18"/>
          <w:szCs w:val="18"/>
          <w:color w:val="auto"/>
        </w:rPr>
        <w:t>. Subject to any required action by the stockholders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188"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60" w:firstLine="921"/>
        <w:spacing w:after="0" w:line="266" w:lineRule="auto"/>
        <w:tabs>
          <w:tab w:leader="none" w:pos="1137"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In the event of a Corporate Transaction, outstanding Awards may be Assumed or Replaced, and to the extent that outstanding Awards under the Plan are not Assumed or Replaced, such Awards shall terminate effective upon the consummation of a Corporate Transaction.</w:t>
      </w:r>
    </w:p>
    <w:p>
      <w:pPr>
        <w:spacing w:after="0" w:line="176" w:lineRule="exact"/>
        <w:rPr>
          <w:sz w:val="20"/>
          <w:szCs w:val="20"/>
          <w:color w:val="auto"/>
        </w:rPr>
      </w:pPr>
    </w:p>
    <w:p>
      <w:pPr>
        <w:ind w:left="-20" w:right="160" w:firstLine="921"/>
        <w:spacing w:after="0" w:line="282" w:lineRule="auto"/>
        <w:tabs>
          <w:tab w:leader="none" w:pos="1137"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 Except as provided otherwise in an individual Award Agreement, in the event of any Corporate Transaction or Change in Control, there will not be any acceleration of vesting or exercisability of any Award.</w:t>
      </w:r>
    </w:p>
    <w:p>
      <w:pPr>
        <w:spacing w:after="0" w:line="161" w:lineRule="exact"/>
        <w:rPr>
          <w:rFonts w:ascii="Times New Roman" w:cs="Times New Roman" w:eastAsia="Times New Roman" w:hAnsi="Times New Roman"/>
          <w:sz w:val="18"/>
          <w:szCs w:val="18"/>
          <w:color w:val="auto"/>
        </w:rPr>
      </w:pPr>
    </w:p>
    <w:p>
      <w:pPr>
        <w:ind w:left="-20" w:right="20" w:firstLine="464"/>
        <w:spacing w:after="0" w:line="313" w:lineRule="auto"/>
        <w:tabs>
          <w:tab w:leader="none" w:pos="706" w:val="left"/>
        </w:tabs>
        <w:numPr>
          <w:ilvl w:val="0"/>
          <w:numId w:val="7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Repurchase Rights</w:t>
      </w:r>
      <w:r>
        <w:rPr>
          <w:rFonts w:ascii="Times New Roman" w:cs="Times New Roman" w:eastAsia="Times New Roman" w:hAnsi="Times New Roman"/>
          <w:sz w:val="17"/>
          <w:szCs w:val="17"/>
          <w:color w:val="auto"/>
        </w:rPr>
        <w:t>. If the provisions of an Award Agreement grant to the Company the right to repurchase Shares upon termination of the Grantee’s Continuous Service, the Award Agreement shall (or may, with respect to Awards granted or issued to Officers, Directors or Consultants) provide that:</w:t>
      </w:r>
    </w:p>
    <w:p>
      <w:pPr>
        <w:spacing w:after="0" w:line="138" w:lineRule="exact"/>
        <w:rPr>
          <w:rFonts w:ascii="Times New Roman" w:cs="Times New Roman" w:eastAsia="Times New Roman" w:hAnsi="Times New Roman"/>
          <w:sz w:val="17"/>
          <w:szCs w:val="17"/>
          <w:color w:val="auto"/>
        </w:rPr>
      </w:pPr>
    </w:p>
    <w:p>
      <w:pPr>
        <w:ind w:left="-20" w:right="20" w:firstLine="921"/>
        <w:spacing w:after="0" w:line="266" w:lineRule="auto"/>
        <w:tabs>
          <w:tab w:leader="none" w:pos="1138"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repurchase must be exercised, if at all, within six (6) months of the termination of the Grantee’s Continuous Service (or in the case of Shares issued upon exercise of Awards after the date of termination of the Grantee’s Continuous Service, within six (6) months after the date of the Award exercise);</w:t>
      </w:r>
    </w:p>
    <w:p>
      <w:pPr>
        <w:spacing w:after="0" w:line="176" w:lineRule="exact"/>
        <w:rPr>
          <w:rFonts w:ascii="Times New Roman" w:cs="Times New Roman" w:eastAsia="Times New Roman" w:hAnsi="Times New Roman"/>
          <w:sz w:val="18"/>
          <w:szCs w:val="18"/>
          <w:color w:val="auto"/>
        </w:rPr>
      </w:pPr>
    </w:p>
    <w:p>
      <w:pPr>
        <w:ind w:left="-20" w:right="200" w:firstLine="921"/>
        <w:spacing w:after="0" w:line="282" w:lineRule="auto"/>
        <w:tabs>
          <w:tab w:leader="none" w:pos="1148"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payable for the Shares upon exercise of such repurchase right shall be made in cash or by cancellation of purchase money indebtedness within the six (6) month periods specified in Section 12(a);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60" w:top="269" w:right="239" w:bottom="1440" w:gutter="0" w:footer="0" w:header="0"/>
        </w:sectPr>
      </w:pPr>
    </w:p>
    <w:bookmarkStart w:id="568" w:name="page569"/>
    <w:bookmarkEnd w:id="568"/>
    <w:p>
      <w:pPr>
        <w:ind w:left="-40" w:firstLine="921"/>
        <w:spacing w:after="0" w:line="282" w:lineRule="auto"/>
        <w:tabs>
          <w:tab w:leader="none" w:pos="1118" w:val="left"/>
        </w:tabs>
        <w:numPr>
          <w:ilvl w:val="1"/>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such consideration shall be equal to the original purchase price paid by Grantee for each such Share or the Fair Market Value of the Shares to be repurchased on the date of termination of Grantee’s Continuous Service; and</w:t>
      </w:r>
    </w:p>
    <w:p>
      <w:pPr>
        <w:spacing w:after="0" w:line="161" w:lineRule="exact"/>
        <w:rPr>
          <w:rFonts w:ascii="Times New Roman" w:cs="Times New Roman" w:eastAsia="Times New Roman" w:hAnsi="Times New Roman"/>
          <w:sz w:val="18"/>
          <w:szCs w:val="18"/>
          <w:color w:val="auto"/>
        </w:rPr>
      </w:pPr>
    </w:p>
    <w:p>
      <w:pPr>
        <w:ind w:left="-40" w:right="240" w:firstLine="921"/>
        <w:spacing w:after="0" w:line="282" w:lineRule="auto"/>
        <w:tabs>
          <w:tab w:leader="none" w:pos="1128" w:val="left"/>
        </w:tabs>
        <w:numPr>
          <w:ilvl w:val="1"/>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repurchase Shares, other than a right to repurchase under which Shares may be repurchased at the original purchase price, shall terminate on the Registration Date.</w:t>
      </w:r>
    </w:p>
    <w:p>
      <w:pPr>
        <w:spacing w:after="0" w:line="161" w:lineRule="exact"/>
        <w:rPr>
          <w:rFonts w:ascii="Times New Roman" w:cs="Times New Roman" w:eastAsia="Times New Roman" w:hAnsi="Times New Roman"/>
          <w:sz w:val="18"/>
          <w:szCs w:val="18"/>
          <w:color w:val="auto"/>
        </w:rPr>
      </w:pPr>
    </w:p>
    <w:p>
      <w:pPr>
        <w:ind w:left="-40" w:right="300" w:firstLine="464"/>
        <w:spacing w:after="0" w:line="266" w:lineRule="auto"/>
        <w:tabs>
          <w:tab w:leader="none" w:pos="686"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stockholders of the Company. It shall continue in effect for a term of ten (10) years unless sooner terminated. Subject to Section 18 below, and Applicable Laws, Awards may be granted under the Plan upon its becoming effective.</w:t>
      </w:r>
    </w:p>
    <w:p>
      <w:pPr>
        <w:spacing w:after="0" w:line="176"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00" w:firstLine="921"/>
        <w:spacing w:after="0" w:line="282" w:lineRule="auto"/>
        <w:tabs>
          <w:tab w:leader="none" w:pos="1118"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To the extent necessary to comply with Applicable Laws, the Company shall obtain stockholder approval of any Plan amendment in such a manner and to such a degree as required.</w:t>
      </w:r>
    </w:p>
    <w:p>
      <w:pPr>
        <w:spacing w:after="0" w:line="161"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225" w:lineRule="exact"/>
        <w:rPr>
          <w:rFonts w:ascii="Times New Roman" w:cs="Times New Roman" w:eastAsia="Times New Roman" w:hAnsi="Times New Roman"/>
          <w:sz w:val="18"/>
          <w:szCs w:val="18"/>
          <w:color w:val="auto"/>
        </w:rPr>
      </w:pPr>
    </w:p>
    <w:p>
      <w:pPr>
        <w:ind w:left="-40" w:right="160" w:firstLine="921"/>
        <w:spacing w:after="0" w:line="282" w:lineRule="auto"/>
        <w:tabs>
          <w:tab w:leader="none" w:pos="1118"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13, above) shall adversely affect any rights under Awards already granted to a Grantee.</w:t>
      </w:r>
    </w:p>
    <w:p>
      <w:pPr>
        <w:spacing w:after="0" w:line="161"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140" w:firstLine="921"/>
        <w:spacing w:after="0" w:line="282" w:lineRule="auto"/>
        <w:tabs>
          <w:tab w:leader="none" w:pos="1118"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61" w:lineRule="exact"/>
        <w:rPr>
          <w:rFonts w:ascii="Times New Roman" w:cs="Times New Roman" w:eastAsia="Times New Roman" w:hAnsi="Times New Roman"/>
          <w:sz w:val="18"/>
          <w:szCs w:val="18"/>
          <w:color w:val="auto"/>
        </w:rPr>
      </w:pPr>
    </w:p>
    <w:p>
      <w:pPr>
        <w:jc w:val="both"/>
        <w:ind w:left="-40" w:right="80" w:firstLine="921"/>
        <w:spacing w:after="0" w:line="266" w:lineRule="auto"/>
        <w:tabs>
          <w:tab w:leader="none" w:pos="1128"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rFonts w:ascii="Times New Roman" w:cs="Times New Roman" w:eastAsia="Times New Roman" w:hAnsi="Times New Roman"/>
          <w:sz w:val="18"/>
          <w:szCs w:val="18"/>
          <w:color w:val="auto"/>
        </w:rPr>
      </w:pPr>
    </w:p>
    <w:p>
      <w:pPr>
        <w:ind w:left="-40" w:right="240" w:firstLine="464"/>
        <w:spacing w:after="0" w:line="258" w:lineRule="auto"/>
        <w:tabs>
          <w:tab w:leader="none" w:pos="686"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80" w:top="270" w:right="259" w:bottom="1440" w:gutter="0" w:footer="0" w:header="0"/>
        </w:sectPr>
      </w:pPr>
    </w:p>
    <w:bookmarkStart w:id="569" w:name="page570"/>
    <w:bookmarkEnd w:id="569"/>
    <w:p>
      <w:pPr>
        <w:ind w:left="-8" w:right="20" w:firstLine="464"/>
        <w:spacing w:after="0" w:line="258" w:lineRule="auto"/>
        <w:tabs>
          <w:tab w:leader="none" w:pos="718"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183" w:lineRule="exact"/>
        <w:rPr>
          <w:rFonts w:ascii="Times New Roman" w:cs="Times New Roman" w:eastAsia="Times New Roman" w:hAnsi="Times New Roman"/>
          <w:sz w:val="18"/>
          <w:szCs w:val="18"/>
          <w:color w:val="auto"/>
        </w:rPr>
      </w:pPr>
    </w:p>
    <w:p>
      <w:pPr>
        <w:ind w:left="-8" w:right="100" w:firstLine="464"/>
        <w:spacing w:after="0" w:line="261" w:lineRule="auto"/>
        <w:tabs>
          <w:tab w:leader="none" w:pos="718"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Continuance of the Plan shall be subject to approval by the stockholders of the Company within twelve (12) months before or after the date the Plan is adopted. Such stockholder approval shall be obtained in the degree and manner required under Applicable Laws. Any Award exercised before stockholder approval is obtained shall be rescinded if stockholder approval is not obtained within the time prescribed, and Shares issued on the exercise of any such Award shall not be counted in determining whether stockholder approval is obtained.</w:t>
      </w:r>
    </w:p>
    <w:p>
      <w:pPr>
        <w:spacing w:after="0" w:line="180" w:lineRule="exact"/>
        <w:rPr>
          <w:rFonts w:ascii="Times New Roman" w:cs="Times New Roman" w:eastAsia="Times New Roman" w:hAnsi="Times New Roman"/>
          <w:sz w:val="18"/>
          <w:szCs w:val="18"/>
          <w:color w:val="auto"/>
        </w:rPr>
      </w:pPr>
    </w:p>
    <w:p>
      <w:pPr>
        <w:ind w:left="-8" w:right="20" w:firstLine="464"/>
        <w:spacing w:after="0" w:line="266" w:lineRule="auto"/>
        <w:tabs>
          <w:tab w:leader="none" w:pos="718"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Grantees</w:t>
      </w:r>
      <w:r>
        <w:rPr>
          <w:rFonts w:ascii="Times New Roman" w:cs="Times New Roman" w:eastAsia="Times New Roman" w:hAnsi="Times New Roman"/>
          <w:sz w:val="18"/>
          <w:szCs w:val="18"/>
          <w:color w:val="auto"/>
        </w:rPr>
        <w:t>. To the extent required by Applicable Law,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176" w:lineRule="exact"/>
        <w:rPr>
          <w:rFonts w:ascii="Times New Roman" w:cs="Times New Roman" w:eastAsia="Times New Roman" w:hAnsi="Times New Roman"/>
          <w:sz w:val="18"/>
          <w:szCs w:val="18"/>
          <w:color w:val="auto"/>
        </w:rPr>
      </w:pPr>
    </w:p>
    <w:p>
      <w:pPr>
        <w:ind w:left="-8" w:right="60" w:firstLine="464"/>
        <w:spacing w:after="0" w:line="253" w:lineRule="auto"/>
        <w:tabs>
          <w:tab w:leader="none" w:pos="718" w:val="left"/>
        </w:tabs>
        <w:numPr>
          <w:ilvl w:val="1"/>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Section 162(m) of the Code</w:t>
      </w:r>
      <w:r>
        <w:rPr>
          <w:rFonts w:ascii="Times New Roman" w:cs="Times New Roman" w:eastAsia="Times New Roman" w:hAnsi="Times New Roman"/>
          <w:sz w:val="18"/>
          <w:szCs w:val="18"/>
          <w:color w:val="auto"/>
        </w:rPr>
        <w:t>. Section 162(m) of the Code does not apply to the Plan prior to the Registration Date or such earlier time that the Company first becomes subject to the reporting obligations of Section 12 of the Exchange Act. Following the Registration Date or such earlier time that the Company first becomes subject to the reporting obligations of Section 12 of the Exchange Act,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$1 million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w:t>
      </w:r>
    </w:p>
    <w:p>
      <w:pPr>
        <w:spacing w:after="0" w:line="1" w:lineRule="exact"/>
        <w:rPr>
          <w:rFonts w:ascii="Times New Roman" w:cs="Times New Roman" w:eastAsia="Times New Roman" w:hAnsi="Times New Roman"/>
          <w:sz w:val="18"/>
          <w:szCs w:val="18"/>
          <w:color w:val="auto"/>
        </w:rPr>
      </w:pPr>
    </w:p>
    <w:p>
      <w:pPr>
        <w:ind w:left="-8" w:firstLine="8"/>
        <w:spacing w:after="0" w:line="250" w:lineRule="auto"/>
        <w:tabs>
          <w:tab w:leader="none" w:pos="207"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Plan, (ii) the material modification of the Plan, (iii) the exhaustion of the maximum number of shares of Common Stock available for Awards under the Plan, as set forth in Section 3(a), (iv) the first meeting of stockholders at which directors are to be elected that occurs after the close of the third calendar year following the calendar year in which the Company first becomes subject to the reporting obligations of Section 12 of the Exchange Act, or</w:t>
      </w:r>
    </w:p>
    <w:p>
      <w:pPr>
        <w:spacing w:after="0" w:line="1" w:lineRule="exact"/>
        <w:rPr>
          <w:rFonts w:ascii="Times New Roman" w:cs="Times New Roman" w:eastAsia="Times New Roman" w:hAnsi="Times New Roman"/>
          <w:sz w:val="18"/>
          <w:szCs w:val="18"/>
          <w:color w:val="auto"/>
        </w:rPr>
      </w:pPr>
    </w:p>
    <w:p>
      <w:pPr>
        <w:ind w:left="-8" w:right="40" w:firstLine="8"/>
        <w:spacing w:after="0" w:line="254" w:lineRule="auto"/>
        <w:tabs>
          <w:tab w:leader="none" w:pos="247"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date required by Section 162(m) of the Code and the rules and regulations promulgated thereunder. To the extent that the Administrator determines as of the date of grant of an Award that (i) the Award is intended to qualify as Performance-Based Compensation and (ii) the exemption described above is no longer available with respect to such Award, such Award shall not be effective until any stockholder approval required under Section 162(m) of the Code has been obtained.</w:t>
      </w:r>
    </w:p>
    <w:p>
      <w:pPr>
        <w:spacing w:after="0" w:line="1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72"/>
          </w:cols>
          <w:pgMar w:left="248" w:top="270" w:right="279" w:bottom="1440" w:gutter="0" w:footer="0" w:header="0"/>
        </w:sectPr>
      </w:pPr>
    </w:p>
    <w:bookmarkStart w:id="570" w:name="page571"/>
    <w:bookmarkEnd w:id="570"/>
    <w:p>
      <w:pPr>
        <w:ind w:left="-20" w:firstLine="464"/>
        <w:spacing w:after="0" w:line="254" w:lineRule="auto"/>
        <w:tabs>
          <w:tab w:leader="none" w:pos="706"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9" w:lineRule="exact"/>
        <w:rPr>
          <w:rFonts w:ascii="Times New Roman" w:cs="Times New Roman" w:eastAsia="Times New Roman" w:hAnsi="Times New Roman"/>
          <w:sz w:val="18"/>
          <w:szCs w:val="18"/>
          <w:color w:val="auto"/>
        </w:rPr>
      </w:pPr>
    </w:p>
    <w:p>
      <w:pPr>
        <w:jc w:val="both"/>
        <w:ind w:left="-20" w:firstLine="464"/>
        <w:spacing w:after="0" w:line="266" w:lineRule="auto"/>
        <w:tabs>
          <w:tab w:leader="none" w:pos="706"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left="-20" w:right="220" w:firstLine="464"/>
        <w:spacing w:after="0" w:line="261" w:lineRule="auto"/>
        <w:tabs>
          <w:tab w:leader="none" w:pos="706"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60" w:top="270" w:right="259" w:bottom="1440" w:gutter="0" w:footer="0" w:header="0"/>
        </w:sectPr>
      </w:pPr>
    </w:p>
    <w:bookmarkStart w:id="571" w:name="page572"/>
    <w:bookmarkEnd w:id="57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THE ARDELYX,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2008 STOCK INCENTIVE PLAN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22, 2011</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authority reserved to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Ardelyx,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 Section 14 of the Company’s 2008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Board hereby amends the Plan as follows.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Section 3(a) of the Plan is hereby deleted in its entirety and replaced with the following: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Stock Subject to the Plan</w:t>
      </w:r>
    </w:p>
    <w:p>
      <w:pPr>
        <w:spacing w:after="0" w:line="117" w:lineRule="exact"/>
        <w:rPr>
          <w:sz w:val="20"/>
          <w:szCs w:val="20"/>
          <w:color w:val="auto"/>
        </w:rPr>
      </w:pPr>
    </w:p>
    <w:p>
      <w:pPr>
        <w:ind w:left="460" w:right="260" w:firstLine="443"/>
        <w:spacing w:after="0" w:line="266" w:lineRule="auto"/>
        <w:tabs>
          <w:tab w:leader="none" w:pos="1143"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 below, the maximum aggregate number of Shares which may be issued pursuant to all Awards (including Incentive Stock Options) is eighteen million fifty one thousand two hundred six (18,051,206) Shares. The Shares may be authorized, but unissued, or reacquired Common Stock”</w:t>
      </w:r>
    </w:p>
    <w:p>
      <w:pPr>
        <w:spacing w:after="0" w:line="17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hereby, the Plan shall continue in full force and effect and is hereby ratified and confirmed.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hereby certify that the foregoing Amendment to the Plan was duly adopted by the Company’s Board effective as of June 22, 2011.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 hereby further certify that the foregoing Amendment to the Plan was duly adopted by the Company’s Stockholders effective as of June 22, 2011.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 * * * * * *</w:t>
      </w:r>
    </w:p>
    <w:p>
      <w:pPr>
        <w:sectPr>
          <w:pgSz w:w="11900" w:h="16838" w:orient="portrait"/>
          <w:cols w:equalWidth="0" w:num="1">
            <w:col w:w="11340"/>
          </w:cols>
          <w:pgMar w:left="240" w:top="265" w:right="31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as of the date first written above.</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Alan C. Mendelson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 xml:space="preserve">Alan C. Mendelson, </w:t>
      </w:r>
      <w:r>
        <w:rPr>
          <w:rFonts w:ascii="Times New Roman" w:cs="Times New Roman" w:eastAsia="Times New Roman" w:hAnsi="Times New Roman"/>
          <w:sz w:val="18"/>
          <w:szCs w:val="18"/>
          <w:i w:val="1"/>
          <w:iCs w:val="1"/>
          <w:color w:val="auto"/>
        </w:rPr>
        <w:t>Secretary</w:t>
      </w:r>
    </w:p>
    <w:p>
      <w:pPr>
        <w:spacing w:after="0" w:line="223"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SIGNATURE PAGE TO AMENDMENT TO THE ARDELYX, INC. 2008 STOCK INCENTIVE PLAN</w:t>
      </w:r>
    </w:p>
    <w:p>
      <w:pPr>
        <w:sectPr>
          <w:pgSz w:w="11900" w:h="16838" w:orient="portrait"/>
          <w:cols w:equalWidth="0" w:num="1">
            <w:col w:w="9759"/>
          </w:cols>
          <w:pgMar w:left="700" w:top="270" w:right="1440" w:bottom="1440" w:gutter="0" w:footer="0" w:header="0"/>
        </w:sectPr>
      </w:pPr>
    </w:p>
    <w:bookmarkStart w:id="573" w:name="page574"/>
    <w:bookmarkEnd w:id="573"/>
    <w:p>
      <w:pPr>
        <w:jc w:val="right"/>
        <w:spacing w:after="0"/>
        <w:rPr>
          <w:sz w:val="20"/>
          <w:szCs w:val="20"/>
          <w:color w:val="auto"/>
        </w:rPr>
      </w:pPr>
      <w:r>
        <w:rPr>
          <w:rFonts w:ascii="Times New Roman" w:cs="Times New Roman" w:eastAsia="Times New Roman" w:hAnsi="Times New Roman"/>
          <w:sz w:val="18"/>
          <w:szCs w:val="18"/>
          <w:b w:val="1"/>
          <w:bCs w:val="1"/>
          <w:color w:val="auto"/>
        </w:rPr>
        <w:t>Exhibit 10.7B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 2008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AWARD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17145</wp:posOffset>
            </wp:positionV>
            <wp:extent cx="439102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240665</wp:posOffset>
            </wp:positionV>
            <wp:extent cx="439102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463550</wp:posOffset>
            </wp:positionV>
            <wp:extent cx="439102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You (the “Grantee”) have been granted an option to purchase shares of Common Stock, subject to the terms and conditions of this Notice of Stock Option Award (the “Notice”), the Ardelyx, Inc. 2008 Stock Incentive Plan, as amended from time to time (the “Plan”) and the Stock Option Award Agreement (the “Option Agreement”) attached hereto, as follows. Unless otherwise defined herein, the terms defined in the Plan shall have the same defined meanings in this Notice.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Award Number</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of Award</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tcBorders>
              <w:bottom w:val="single" w:sz="8" w:color="auto"/>
            </w:tcBorders>
          </w:tcPr>
          <w:p>
            <w:pPr>
              <w:spacing w:after="0"/>
              <w:rPr>
                <w:sz w:val="24"/>
                <w:szCs w:val="24"/>
                <w:color w:val="auto"/>
              </w:rPr>
            </w:pPr>
          </w:p>
        </w:tc>
      </w:tr>
      <w:tr>
        <w:trPr>
          <w:trHeight w:val="3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Subject to the Option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0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(the “Shares”)</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tcBorders>
              <w:bottom w:val="single" w:sz="8" w:color="auto"/>
            </w:tcBorders>
          </w:tcPr>
          <w:p>
            <w:pPr>
              <w:spacing w:after="0"/>
              <w:rPr>
                <w:sz w:val="24"/>
                <w:szCs w:val="24"/>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Stock Option</w:t>
            </w: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r>
        <w:trPr>
          <w:trHeight w:val="3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Post-Termination Exercise Period:</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Three (3) Months</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Subject to the Grantee’s Continuous Service and other limitations set forth in this Notice, the Plan and the Option Agreement, the Option may be exercised, in whole or in part, in accordance with the following schedule:</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25% of the Shares subject to the Option shall vest on the first anniversary of the Vesting Commencement Date, and 1/48 of the Shares subject to the Option shall vest on each monthly anniversary of the Vesting Commencement Date thereafter.</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During any authorized leave of absence, the vesting of the Option as provided in this schedule shall be suspended after the leave of absence exceeds a period of three (3) months. Vesting of the Option shall resume upon the Grantee’s termination of the leave of absence and return to service to the Company or a Related Entity. The Vesting Schedule of the Option shall be extended by the length of the suspension.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74" w:name="page575"/>
    <w:bookmarkEnd w:id="574"/>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termination of the Grantee’s Continuous Service for Cause, the Grantee’s right to exercise the Option shall terminate concurrently with the termination of the Grantee’s Continuous Service, except as otherwise determined by the Administrator.</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Grantee have executed this Notice and agree that the Option is to be governed by the terms and conditions of this Notice, the Plan, and the Option Agreement.</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GRANTEE ACKNOWLEDGES AND AGREES THAT THE SHARES SUBJECT TO THE OPTION SHALL VEST, IF AT ALL, ONLY DURING THE PERIOD OF THE GRANTEE’S CONTINUOUS SERVICE (NOT THROUGH THE ACT OF BEING HIRED, BEING GRANTED THE OPTION OR ACQUIRING SHARES HEREUNDER). THE GRANTEE FURTHER ACKNOWLEDGES AND AGREES THAT NOTHING IN THIS NOTICE, THE OPTION AGREEMENT, OR THE PLAN SHALL CONFER UPON THE GRANTEE ANY RIGHT WITH RESPECT TO FUTURE AWARDS OR CONTINUATION OF THE GRANTEE’S CONTINUOUS SERVICE, NOR SHALL IT INTERFERE IN ANY WAY WITH THE GRANTEE’S RIGHT OR THE RIGHT OF THE COMPANY OR RELATED ENTITY TO WHICH THE GRANTEE PROVIDES SERVICES TO TERMINATE THE GRANTEE’S CONTINUOUS SERVICE, WITH OR WITHOUT CAUSE, AND WITH OR WITHOUT NOTICE. THE GRANTEE ACKNOWLEDGES THAT UNLESS THE GRANTEE HAS A WRITTEN EMPLOYMENT AGREEMENT WITH THE COMPANY TO THE CONTRARY, THE GRANTEE’S STATUS IS AT WILL.</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Grantee acknowledges receipt of a copy of the Plan and the Option Agreement, and represents that he or she is familiar with the terms and provisions thereof, and hereby accepts the Option subject to all of the terms and provisions hereof and thereof. The Grantee has reviewed this Notice, the Plan, and the Option Agreement in their entirety, has had an opportunity to obtain the advice of counsel prior to executing this Notice, and fully understands all provisions of this Notice, the Plan and the Option Agreement. The Grantee hereby agrees that all questions of interpretation and administration relating to this Notice, the Plan and the Option Agreement shall be resolved by the Administrator in accordance with Section 18 of the Option Agreement. The Grantee further agrees to the venue selection in accordance with Section 19 of the Option Agreement. The Grantee further agrees to notify the Company upon any change in the residence address indicated in this Notice.</w:t>
      </w:r>
    </w:p>
    <w:p>
      <w:pPr>
        <w:spacing w:after="0" w:line="216" w:lineRule="exact"/>
        <w:rPr>
          <w:sz w:val="20"/>
          <w:szCs w:val="20"/>
          <w:color w:val="auto"/>
        </w:rPr>
      </w:pPr>
    </w:p>
    <w:p>
      <w:pPr>
        <w:spacing w:after="0"/>
        <w:tabs>
          <w:tab w:leader="none" w:pos="5700" w:val="left"/>
          <w:tab w:leader="none" w:pos="108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642302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9" w:right="259" w:bottom="1440" w:gutter="0" w:footer="0" w:header="0"/>
        </w:sectPr>
      </w:pPr>
    </w:p>
    <w:bookmarkStart w:id="575" w:name="page576"/>
    <w:bookmarkEnd w:id="575"/>
    <w:p>
      <w:pPr>
        <w:ind w:left="92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Number: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 2008 STOCK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AWARD AGREEMENT</w:t>
      </w:r>
    </w:p>
    <w:p>
      <w:pPr>
        <w:spacing w:after="0" w:line="229" w:lineRule="exact"/>
        <w:rPr>
          <w:sz w:val="20"/>
          <w:szCs w:val="20"/>
          <w:color w:val="auto"/>
        </w:rPr>
      </w:pPr>
    </w:p>
    <w:p>
      <w:pPr>
        <w:ind w:right="80" w:firstLine="464"/>
        <w:spacing w:after="0" w:line="256" w:lineRule="auto"/>
        <w:tabs>
          <w:tab w:leader="none" w:pos="636"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Ardelyx, Inc., a Delaware corporation (the “Company”), hereby grants to the Grantee (the “Grantee”) named in the Notice of Stock Option Award (the “Notice”), an option (the “Option”) to purchase the Total Number of Shares of Common Stock subject to the Option (the “Shares”) set forth in the Notice, at the Exercise Price per Share set forth in the Notice (the “Exercise Price”) subject to the terms and provisions of the Notice, this Stock Option Award Agreement (the “Option Agreement”) and the Company’s 2008 Stock Incentive Plan, as amended from time to time (the “Plan”), which are incorporated herein by reference. Unless otherwise defined herein, the terms defined in the Plan shall have the same defined meanings in this Option Agreement.</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designated in the Notice as an Incentive Stock Option, the Option is intended to qualify as an Incentive Stock Option as defined in Section 422 of the Code. However, notwithstanding such designation, the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the Grantee during any calendar year (under all plans of the Company or any Parent or Subsidiary of the Company). For purposes of this calculation, Incentive Stock Options shall be taken into account in the order in which they were granted, and the Fair Market Value of the shares subject to such options shall be determined as of the grant date of the relevant option.</w:t>
      </w:r>
    </w:p>
    <w:p>
      <w:pPr>
        <w:spacing w:after="0" w:line="189" w:lineRule="exact"/>
        <w:rPr>
          <w:sz w:val="20"/>
          <w:szCs w:val="20"/>
          <w:color w:val="auto"/>
        </w:rPr>
      </w:pPr>
    </w:p>
    <w:p>
      <w:pPr>
        <w:ind w:left="640" w:hanging="176"/>
        <w:spacing w:after="0"/>
        <w:tabs>
          <w:tab w:leader="none" w:pos="64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21"/>
        <w:spacing w:after="0" w:line="258" w:lineRule="auto"/>
        <w:tabs>
          <w:tab w:leader="none" w:pos="1157" w:val="left"/>
        </w:tabs>
        <w:numPr>
          <w:ilvl w:val="1"/>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The Option shall be exercisable during its term in accordance with the Vesting Schedule set out in the Notice and with the applicable provisions of the Plan and this Option Agreement. The Option shall be subject to the provisions of Section 11 of the Plan relating to the exercisability or termination of the Option in the event of a Corporate Transaction or Change in Control. The Grantee shall be subject to reasonable limitations on the number of requested exercises during any monthly or weekly period as determined by the Administrator. In no event shall the Company issue fractional Shares.</w:t>
      </w:r>
    </w:p>
    <w:p>
      <w:pPr>
        <w:spacing w:after="0" w:line="183" w:lineRule="exact"/>
        <w:rPr>
          <w:rFonts w:ascii="Times New Roman" w:cs="Times New Roman" w:eastAsia="Times New Roman" w:hAnsi="Times New Roman"/>
          <w:sz w:val="18"/>
          <w:szCs w:val="18"/>
          <w:color w:val="auto"/>
        </w:rPr>
      </w:pPr>
    </w:p>
    <w:p>
      <w:pPr>
        <w:ind w:right="160" w:firstLine="921"/>
        <w:spacing w:after="0" w:line="258" w:lineRule="auto"/>
        <w:tabs>
          <w:tab w:leader="none" w:pos="1168" w:val="left"/>
        </w:tabs>
        <w:numPr>
          <w:ilvl w:val="1"/>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The Option shall be exercisable by delivery of an exercise notice (a form of which is attached as Exhibit A) or by such other procedure as specified from time to time by the Administrator which shall state the election to exercise the Option, the whole number of Shares in respect of which the Option is being exercised, and such other provisions as may be required by the Administrator. The exercise notice shall be delivered in person, by certified mail, or by such other method (including electronic transmission) as determined from time to time by the Administrator to the Company accompanied by payment of the Exercise Price. The Option shall be deemed to be exercised upon receipt by the Company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576" w:name="page577"/>
    <w:bookmarkEnd w:id="576"/>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notice accompanied by the Exercise Price, which, to the extent selected, shall be deemed to be satisfied by use of the broker-dealer sale and remittance procedure to pay the Exercise Price provided in Section 4(d) below.</w:t>
      </w:r>
    </w:p>
    <w:p>
      <w:pPr>
        <w:spacing w:after="0" w:line="162" w:lineRule="exact"/>
        <w:rPr>
          <w:sz w:val="20"/>
          <w:szCs w:val="20"/>
          <w:color w:val="auto"/>
        </w:rPr>
      </w:pPr>
    </w:p>
    <w:p>
      <w:pPr>
        <w:ind w:right="100" w:firstLine="921"/>
        <w:spacing w:after="0" w:line="255" w:lineRule="auto"/>
        <w:tabs>
          <w:tab w:leader="none" w:pos="1157"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will be delivered to the Grantee or other person pursuant to the exercise of the Option until the Grantee or other person has made arrangements acceptable to the Administrator for the satisfaction of applicable income tax and employment tax withholding obligations, including, without limitation, such other tax obligations of the Grantee incident to the receipt of Shares. Upon exercise of the Option, the Company or the Grantee’s employer may offset or withhold (from any amount owed by the Company or the Grantee’s employer to the Grantee) or collect from the Grantee or other person an amount sufficient to satisfy such tax withholding obligations. Furthermore, in the event of any determination that the Company has failed to withhold a sum sufficient to pay all withholding taxes due in connection with the Option, the Grantee agrees to pay the Company the amount of such deficiency in cash within five (5) days after receiving a written demand from the Company to do so, whether or not the Grantee is an employee of the Company at that time.</w:t>
      </w:r>
    </w:p>
    <w:p>
      <w:pPr>
        <w:spacing w:after="0" w:line="185" w:lineRule="exact"/>
        <w:rPr>
          <w:rFonts w:ascii="Times New Roman" w:cs="Times New Roman" w:eastAsia="Times New Roman" w:hAnsi="Times New Roman"/>
          <w:sz w:val="18"/>
          <w:szCs w:val="18"/>
          <w:color w:val="auto"/>
        </w:rPr>
      </w:pPr>
    </w:p>
    <w:p>
      <w:pPr>
        <w:ind w:firstLine="464"/>
        <w:spacing w:after="0" w:line="258" w:lineRule="auto"/>
        <w:tabs>
          <w:tab w:leader="none" w:pos="636"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Grantee’s Representations</w:t>
      </w:r>
      <w:r>
        <w:rPr>
          <w:rFonts w:ascii="Times New Roman" w:cs="Times New Roman" w:eastAsia="Times New Roman" w:hAnsi="Times New Roman"/>
          <w:sz w:val="18"/>
          <w:szCs w:val="18"/>
          <w:color w:val="auto"/>
        </w:rPr>
        <w:t>. The Grantee understands that neither the Option nor the Shares exercisable pursuant to the Option have been registered under the Securities Act of 1933, as amended or any United States securities laws. In the event the Shares purchasable pursuant to the exercise of the Option have not been registered under the Securities Act of 1933, as amended, at the time the Option is exercised, the Grantee shall, if requested by the Company, concurrently with the exercise of all or any portion of the Option, deliver to the Company his or her Investment Representation Statement in the form attached hereto as Exhibit B.</w:t>
      </w:r>
    </w:p>
    <w:p>
      <w:pPr>
        <w:spacing w:after="0" w:line="183" w:lineRule="exact"/>
        <w:rPr>
          <w:rFonts w:ascii="Times New Roman" w:cs="Times New Roman" w:eastAsia="Times New Roman" w:hAnsi="Times New Roman"/>
          <w:sz w:val="18"/>
          <w:szCs w:val="18"/>
          <w:color w:val="auto"/>
        </w:rPr>
      </w:pPr>
    </w:p>
    <w:p>
      <w:pPr>
        <w:ind w:right="140" w:firstLine="464"/>
        <w:spacing w:after="0" w:line="266" w:lineRule="auto"/>
        <w:tabs>
          <w:tab w:leader="none" w:pos="636"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shall be made by any of the following, or a combination thereof, at the election of the Grantee; provided, however, that such exercise method does not then violate any Applicable Law and, provided further, that the portion of the Exercise Price equal to the par value of the Shares must be paid in cash or other legal consideration permitted by the Delaware General Corporation Law.</w:t>
      </w:r>
    </w:p>
    <w:p>
      <w:pPr>
        <w:spacing w:after="0" w:line="17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jc w:val="both"/>
        <w:ind w:firstLine="921"/>
        <w:spacing w:after="0" w:line="266" w:lineRule="auto"/>
        <w:tabs>
          <w:tab w:leader="none" w:pos="1158"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occurs on or after the Registration Date, surrender of Shares or delivery of a properly executed form of attestation of ownership of Shares as the Administrator may require which have a Fair Market Value on the date of surrender or attestation equal to the aggregate Exercise Price of the Shares as to which the Option is being exercised; or</w:t>
      </w:r>
    </w:p>
    <w:p>
      <w:pPr>
        <w:spacing w:after="0" w:line="176" w:lineRule="exact"/>
        <w:rPr>
          <w:sz w:val="20"/>
          <w:szCs w:val="20"/>
          <w:color w:val="auto"/>
        </w:rPr>
      </w:pPr>
    </w:p>
    <w:p>
      <w:pPr>
        <w:ind w:right="120" w:firstLine="1492"/>
        <w:spacing w:after="0" w:line="261" w:lineRule="auto"/>
        <w:tabs>
          <w:tab w:leader="none" w:pos="1698"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occurs on or after the Registration Date, 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9" w:right="259" w:bottom="1440" w:gutter="0" w:footer="0" w:header="0"/>
        </w:sectPr>
      </w:pPr>
    </w:p>
    <w:bookmarkStart w:id="577" w:name="page578"/>
    <w:bookmarkEnd w:id="577"/>
    <w:p>
      <w:pPr>
        <w:ind w:left="-40" w:right="140" w:firstLine="464"/>
        <w:spacing w:after="0" w:line="258" w:lineRule="auto"/>
        <w:tabs>
          <w:tab w:leader="none" w:pos="596"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Exercise</w:t>
      </w:r>
      <w:r>
        <w:rPr>
          <w:rFonts w:ascii="Times New Roman" w:cs="Times New Roman" w:eastAsia="Times New Roman" w:hAnsi="Times New Roman"/>
          <w:sz w:val="18"/>
          <w:szCs w:val="18"/>
          <w:color w:val="auto"/>
        </w:rPr>
        <w:t>. The Option may not be exercised if the issuance of the Shares subject to the Option upon such exercise would constitute a violation of any Applicable Laws. In addition, the Option may not be exercised until such time as the Plan has been approved by the stockholders of the Company. If the exercise of the Option within the applicable time periods set forth in Section 6, 7 and 8 of this Option Agreement is prevented by the provisions of this Section 5, the Option shall remain exercisable until one (1) month after the date the Grantee is notified by the Company that the Option is exercisable, but in any event no later than the Expiration Date set forth in the Notice.</w:t>
      </w:r>
    </w:p>
    <w:p>
      <w:pPr>
        <w:spacing w:after="0" w:line="183" w:lineRule="exact"/>
        <w:rPr>
          <w:rFonts w:ascii="Times New Roman" w:cs="Times New Roman" w:eastAsia="Times New Roman" w:hAnsi="Times New Roman"/>
          <w:sz w:val="18"/>
          <w:szCs w:val="18"/>
          <w:color w:val="auto"/>
        </w:rPr>
      </w:pPr>
    </w:p>
    <w:p>
      <w:pPr>
        <w:ind w:left="-40" w:firstLine="464"/>
        <w:spacing w:after="0" w:line="253" w:lineRule="auto"/>
        <w:tabs>
          <w:tab w:leader="none" w:pos="596"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Change of Continuous Service</w:t>
      </w:r>
      <w:r>
        <w:rPr>
          <w:rFonts w:ascii="Times New Roman" w:cs="Times New Roman" w:eastAsia="Times New Roman" w:hAnsi="Times New Roman"/>
          <w:sz w:val="18"/>
          <w:szCs w:val="18"/>
          <w:color w:val="auto"/>
        </w:rPr>
        <w:t>. In the event the Grantee’s Continuous Service terminates, other than for Cause, the Grantee may, but only during the Post-Termination Exercise Period, exercise the portion of the Option that was vested at the date of such termination (the “Termination Date”). The Post-Termination Exercise Period shall commence on the Termination Date. In the event of termination of the Grantee’s Continuous Service for Cause, the Grantee’s right to exercise the Option shall, except as otherwise determined by the Administrator, terminate concurrently with the termination of the Grantee’s Continuous Service (also the “Termination Date”). In no event, however, shall the Option be exercised later than the Expiration Date set forth in the Notice. In the event of the Grantee’s change in status from Employee, Director or Consultant to any other status of Employee, Director or Consultant, the Option shall remain in effect and the Option shall continue to vest in accordance with the Vesting Schedule set forth in the Notice consistent with any minimum vesting requirements set forth in the Plan; provided, however, with respect to any Incentive Stock Option that shall remain in effect after a change in status from Employee to Director or Consultant, such Incentive Stock Option shall cease to be treated as an Incentive Stock Option and shall be treated as a Non-Qualified Stock Option on the day three (3) months and one (1) day following such change in status. Except as provided in Sections 7 and 8 below, to the extent that the Option was unvested on the Termination Date, or if the Grantee does not exercise the vested portion of the Option within the Post-Termination Exercise Period, the Option shall terminate.</w:t>
      </w:r>
    </w:p>
    <w:p>
      <w:pPr>
        <w:spacing w:after="0" w:line="190" w:lineRule="exact"/>
        <w:rPr>
          <w:rFonts w:ascii="Times New Roman" w:cs="Times New Roman" w:eastAsia="Times New Roman" w:hAnsi="Times New Roman"/>
          <w:sz w:val="18"/>
          <w:szCs w:val="18"/>
          <w:color w:val="auto"/>
        </w:rPr>
      </w:pPr>
    </w:p>
    <w:p>
      <w:pPr>
        <w:ind w:left="-40" w:right="20" w:firstLine="464"/>
        <w:spacing w:after="0" w:line="254" w:lineRule="auto"/>
        <w:tabs>
          <w:tab w:leader="none" w:pos="596"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the Grantee’s Continuous Service terminates as a result of his or her Disability, the Grantee may, but only within twelve (12) months commencing on the Termination Date (but in no event later than the Expiration Date), exercise the portion of the Option that was vested on the Termination Date; provided, however, that if such Disability is not a “disability” as such term is defined in Section 22(e)(3) of the Code and the Option is an Incentive Stock Option, such Incentive Stock Option shall cease to be treated as an Incentive Stock Option and shall be treated as a Non-Qualified Stock Option on the day three (3) months and one (1) day following the Termination Date. To the extent that the Option was unvested on the Termination Date, or if the Grantee does not exercise the vested portion of the Option within the time specified herein, the Option shall terminate. Section 22(e)(3) of the Code provides that an individual is permanently and totally disabled if he or she is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80" w:top="270" w:right="259" w:bottom="1440" w:gutter="0" w:footer="0" w:header="0"/>
        </w:sectPr>
      </w:pPr>
    </w:p>
    <w:bookmarkStart w:id="578" w:name="page579"/>
    <w:bookmarkEnd w:id="578"/>
    <w:p>
      <w:pPr>
        <w:ind w:left="-20" w:right="160" w:firstLine="464"/>
        <w:spacing w:after="0" w:line="256" w:lineRule="auto"/>
        <w:tabs>
          <w:tab w:leader="none" w:pos="616"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Grantee</w:t>
      </w:r>
      <w:r>
        <w:rPr>
          <w:rFonts w:ascii="Times New Roman" w:cs="Times New Roman" w:eastAsia="Times New Roman" w:hAnsi="Times New Roman"/>
          <w:sz w:val="18"/>
          <w:szCs w:val="18"/>
          <w:color w:val="auto"/>
        </w:rPr>
        <w:t>. In the event of the termination of the Grantee’s Continuous Service as a result of his or her death, or in the event of the Grantee’s death during the Post-Termination Exercise Period or during the twelve (12) month period following the Grantee’s termination of Continuous Service as a result of his or her Disability, the person who acquired the right to exercise the Option pursuant to Section 9 may exercise the portion of the Option that was vested at the date of termination within twelve (12) months commencing on the date of death (but in no event later than the Expiration Date). To the extent that the Option was unvested on the date of death, or if the vested portion of the Option is not exercised within the time specified herein, the Option shall terminate.</w:t>
      </w:r>
    </w:p>
    <w:p>
      <w:pPr>
        <w:spacing w:after="0" w:line="187" w:lineRule="exact"/>
        <w:rPr>
          <w:rFonts w:ascii="Times New Roman" w:cs="Times New Roman" w:eastAsia="Times New Roman" w:hAnsi="Times New Roman"/>
          <w:sz w:val="18"/>
          <w:szCs w:val="18"/>
          <w:color w:val="auto"/>
        </w:rPr>
      </w:pPr>
    </w:p>
    <w:p>
      <w:pPr>
        <w:ind w:left="-20" w:firstLine="464"/>
        <w:spacing w:after="0" w:line="254" w:lineRule="auto"/>
        <w:tabs>
          <w:tab w:leader="none" w:pos="616"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Option</w:t>
      </w:r>
      <w:r>
        <w:rPr>
          <w:rFonts w:ascii="Times New Roman" w:cs="Times New Roman" w:eastAsia="Times New Roman" w:hAnsi="Times New Roman"/>
          <w:sz w:val="18"/>
          <w:szCs w:val="18"/>
          <w:color w:val="auto"/>
        </w:rPr>
        <w:t>. The Option, if an Incentive Stock Option, may not be transferred in any manner other than by will or by the laws of descent and distribution and may be exercised during the lifetime of the Grantee only by the Grantee. The Option, if a Non-Qualified Stock Option, may not be transferred in any manner other than by will or by the laws of descent and distribution; provided, however, that a Non-Qualified Stock Option may be transferred during the lifetime of the Grantee by gift or pursuant to a domestic relations order to members of the Grantee’s Immediate Family to the extent and in the manner determined by the Administrator. Notwithstanding the foregoing, the Grantee may designate one or more beneficiaries of the Grantee’s Incentive Stock Option or Non-Qualified Stock Option in the event of the Grantee’s death on a beneficiary designation form provided by the Administrator. Following the death of the Grantee, the Option, to the extent provided in Section 8, may be exercised (a) by the person or persons designated under the deceased Grantee’s beneficiary 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spacing w:after="0" w:line="186" w:lineRule="exact"/>
        <w:rPr>
          <w:rFonts w:ascii="Times New Roman" w:cs="Times New Roman" w:eastAsia="Times New Roman" w:hAnsi="Times New Roman"/>
          <w:sz w:val="18"/>
          <w:szCs w:val="18"/>
          <w:color w:val="auto"/>
        </w:rPr>
      </w:pPr>
    </w:p>
    <w:p>
      <w:pPr>
        <w:ind w:left="-20" w:right="260" w:firstLine="464"/>
        <w:spacing w:after="0" w:line="282" w:lineRule="auto"/>
        <w:tabs>
          <w:tab w:leader="none" w:pos="706"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Option must be exercised no later than the Expiration Date set forth in the Notice or such earlier date as otherwise provided herein. After the Expiration Date or such earlier date, the Option shall be of no further force or effect and may not be exercised.</w:t>
      </w:r>
    </w:p>
    <w:p>
      <w:pPr>
        <w:spacing w:after="0" w:line="161" w:lineRule="exact"/>
        <w:rPr>
          <w:rFonts w:ascii="Times New Roman" w:cs="Times New Roman" w:eastAsia="Times New Roman" w:hAnsi="Times New Roman"/>
          <w:sz w:val="18"/>
          <w:szCs w:val="18"/>
          <w:color w:val="auto"/>
        </w:rPr>
      </w:pPr>
    </w:p>
    <w:p>
      <w:pPr>
        <w:ind w:left="-20" w:right="40" w:firstLine="464"/>
        <w:spacing w:after="0" w:line="258" w:lineRule="auto"/>
        <w:tabs>
          <w:tab w:leader="none" w:pos="70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The Grantee acknowledges and agrees that the Shares are subject to a right of first refusal (“Right of First Refusal”) as set forth in Article 10 of the Bylaws of the Company, which Right of First Refusal is incorporated herein by reference irrespective of whether the Bylaws are amended at some future date to remove the Right of First Refusal therefrom, and that, except in compliance with such Right of First Refusal, neither the Grantee nor a transferee (either being sometimes referred to herein as the “Holder”) shall sell, hypothecate, encumber or otherwise transfer any Shares or any right or interest therein.</w:t>
      </w:r>
    </w:p>
    <w:p>
      <w:pPr>
        <w:spacing w:after="0" w:line="183" w:lineRule="exact"/>
        <w:rPr>
          <w:rFonts w:ascii="Times New Roman" w:cs="Times New Roman" w:eastAsia="Times New Roman" w:hAnsi="Times New Roman"/>
          <w:sz w:val="18"/>
          <w:szCs w:val="18"/>
          <w:color w:val="auto"/>
        </w:rPr>
      </w:pPr>
    </w:p>
    <w:p>
      <w:pPr>
        <w:ind w:left="-20" w:right="80" w:firstLine="464"/>
        <w:spacing w:after="0" w:line="266" w:lineRule="auto"/>
        <w:tabs>
          <w:tab w:leader="none" w:pos="706"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In order to ensure compliance with the restrictions on transfer set forth in this Option Agreement, the Notice or the Plan, the Company may issue appropriate “stop transfer” instructions to its transfer agent, if any, and, if the Company transfers its own securities, it may make appropriate notations to the same effect in its own records.</w:t>
      </w:r>
    </w:p>
    <w:p>
      <w:pPr>
        <w:spacing w:after="0" w:line="176" w:lineRule="exact"/>
        <w:rPr>
          <w:rFonts w:ascii="Times New Roman" w:cs="Times New Roman" w:eastAsia="Times New Roman" w:hAnsi="Times New Roman"/>
          <w:sz w:val="18"/>
          <w:szCs w:val="18"/>
          <w:color w:val="auto"/>
        </w:rPr>
      </w:pPr>
    </w:p>
    <w:p>
      <w:pPr>
        <w:ind w:left="-20" w:right="540" w:firstLine="464"/>
        <w:spacing w:after="0" w:line="282" w:lineRule="auto"/>
        <w:tabs>
          <w:tab w:leader="none" w:pos="706"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60" w:top="269" w:right="239" w:bottom="1440" w:gutter="0" w:footer="0" w:header="0"/>
        </w:sectPr>
      </w:pPr>
    </w:p>
    <w:bookmarkStart w:id="579" w:name="page580"/>
    <w:bookmarkEnd w:id="57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Option Agreement or (ii) to treat as owner of such Shares or to accord the right to vote or pay dividends to any purchaser or other transferee to whom such Shares shall have been so transferred.</w:t>
      </w:r>
    </w:p>
    <w:p>
      <w:pPr>
        <w:spacing w:after="0" w:line="162" w:lineRule="exact"/>
        <w:rPr>
          <w:sz w:val="20"/>
          <w:szCs w:val="20"/>
          <w:color w:val="auto"/>
        </w:rPr>
      </w:pPr>
    </w:p>
    <w:p>
      <w:pPr>
        <w:ind w:left="740" w:hanging="276"/>
        <w:spacing w:after="0"/>
        <w:tabs>
          <w:tab w:leader="none" w:pos="74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21"/>
        <w:spacing w:after="0" w:line="282" w:lineRule="auto"/>
        <w:tabs>
          <w:tab w:leader="none" w:pos="1158"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may incur tax liability as a result of the Grantee’s purchase or disposition of the Shares. THE GRANTEE SHOULD CONSULT A TAX ADVISER BEFORE EXERCISING THE OPTION OR DISPOSING OF THE SHARES.</w:t>
      </w:r>
    </w:p>
    <w:p>
      <w:pPr>
        <w:spacing w:after="0" w:line="161"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Company’s good faith determination of the Fair Market Value of the Company’s Common Stock for purposes of determining the Exercise Price Per Share of the Option as set forth in the Notice, the taxing authorities may assert that the Fair Market Value of the Common Stock on the Date of Award was greater than the Exercise Price Per Share. If designated in the Notice as an Incentive Stock Option, the Option may fail to qualify as an Incentive Stock Option if the Exercise Price Per Share of the Option is less than the Fair Market Value of the Common Stock on the Date of Award. In addition, under Section 409A of the Code, if the Exercise Price Per Share of the Option is less than the Fair Market Value of the Common Stock on the Date of Award, the Option may be treated as a form of deferred compensation and the Grantee may be subject to an acceleration of income recognition, an additional 20% tax, plus interest and possible penalties. In addition, the Company makes no representation that the Option will comply with Section 409A of the Code and makes no undertaking to prevent Section 409A of the Code from applying to the Option or to mitigate its effects on any deferrals or payments made in respect of the Option. The Grantee is encouraged to consult a tax adviser regarding the potential impact of Section 409A of the Code.</w:t>
      </w:r>
    </w:p>
    <w:p>
      <w:pPr>
        <w:spacing w:after="0" w:line="189"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21"/>
        <w:spacing w:after="0" w:line="254" w:lineRule="auto"/>
        <w:tabs>
          <w:tab w:leader="none" w:pos="1157"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Grantee, if requested by the Company and the lead underwriter of any public offering of the Common Stock (the “Lead Underwriter”), hereby irrevocably agrees not to sell, contract to sell, grant any option to purchase, transfer the economic risk of ownership in, make any short sale of, pledge or otherwise transfer or dispose of any interest in any Common Stock or any securities convertible into or exchangeable or exercisable for or any other rights to purchase or acquire Common Stock (except Common Stock included in such public offering or acquired on the public market after such offering) during the 180-day period following the effective date of a registration statement of the Company filed under the Securities Act of 1933, as amended, or such shorter or longer period of time as the Lead Underwriter shall specify. The Grantee further agrees to sign such documents as may be requested by the Lead Underwriter to effect the foregoing and agrees that the Company may impose stop-transfer instructions with respect to such Common Stock subject to the lock-up period until the end of such period. The Company and the Grantee acknowledge that each Lead Underwriter of a public offering of the Company’s stock, during the period of such offering and for the lock-up period thereafter, is an intended beneficiary of this Section 15.</w:t>
      </w:r>
    </w:p>
    <w:p>
      <w:pPr>
        <w:spacing w:after="0" w:line="189" w:lineRule="exact"/>
        <w:rPr>
          <w:rFonts w:ascii="Times New Roman" w:cs="Times New Roman" w:eastAsia="Times New Roman" w:hAnsi="Times New Roman"/>
          <w:sz w:val="18"/>
          <w:szCs w:val="18"/>
          <w:color w:val="auto"/>
        </w:rPr>
      </w:pPr>
    </w:p>
    <w:p>
      <w:pPr>
        <w:ind w:right="80" w:firstLine="921"/>
        <w:spacing w:after="0" w:line="282" w:lineRule="auto"/>
        <w:tabs>
          <w:tab w:leader="none" w:pos="1168" w:val="left"/>
        </w:tabs>
        <w:numPr>
          <w:ilvl w:val="1"/>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 Without Consent of Underwriter</w:t>
      </w:r>
      <w:r>
        <w:rPr>
          <w:rFonts w:ascii="Times New Roman" w:cs="Times New Roman" w:eastAsia="Times New Roman" w:hAnsi="Times New Roman"/>
          <w:sz w:val="18"/>
          <w:szCs w:val="18"/>
          <w:color w:val="auto"/>
        </w:rPr>
        <w:t>. During the period from identification of a Lead Underwriter in connection with any public offering of the Company’s Common Stock until the earlier of (i) the expiration of the lock-up period specified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580" w:name="page581"/>
    <w:bookmarkEnd w:id="580"/>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15(a) in connection with such offering or (ii) the abandonment of such offering by the Company and the Lead Underwriter, the provisions of this Section 15 may not be amended or waived except with the consent of the Lead Underwriter.</w:t>
      </w:r>
    </w:p>
    <w:p>
      <w:pPr>
        <w:spacing w:after="0" w:line="162" w:lineRule="exact"/>
        <w:rPr>
          <w:sz w:val="20"/>
          <w:szCs w:val="20"/>
          <w:color w:val="auto"/>
        </w:rPr>
      </w:pPr>
    </w:p>
    <w:p>
      <w:pPr>
        <w:ind w:firstLine="464"/>
        <w:spacing w:after="0" w:line="254" w:lineRule="auto"/>
        <w:tabs>
          <w:tab w:leader="none" w:pos="72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Notice, the Plan and this Option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and this Option Agreement (except as expressly provided therein) is intended to confer any rights or remedies on any persons other than the parties. The Notice, the Plan and this Option Agreement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the Plan or this Option Agreement be determined to be illegal or unenforceable, such provision shall be enforced to the fullest extent allowed by law and the other provisions shall nevertheless remain effective and shall remain enforceable.</w:t>
      </w:r>
    </w:p>
    <w:p>
      <w:pPr>
        <w:spacing w:after="0" w:line="189" w:lineRule="exact"/>
        <w:rPr>
          <w:rFonts w:ascii="Times New Roman" w:cs="Times New Roman" w:eastAsia="Times New Roman" w:hAnsi="Times New Roman"/>
          <w:sz w:val="18"/>
          <w:szCs w:val="18"/>
          <w:color w:val="auto"/>
        </w:rPr>
      </w:pPr>
    </w:p>
    <w:p>
      <w:pPr>
        <w:ind w:firstLine="464"/>
        <w:spacing w:after="0" w:line="266" w:lineRule="auto"/>
        <w:tabs>
          <w:tab w:leader="none" w:pos="72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the Notice and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right="100" w:firstLine="464"/>
        <w:spacing w:after="0" w:line="266" w:lineRule="auto"/>
        <w:tabs>
          <w:tab w:leader="none" w:pos="72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Any question or dispute regarding the administration or interpretation of the Notice, the Plan or this Option Agreement shall be submitted by the Grantee or by the Company to the Administrator. The resolution of such question or dispute by the Administrator shall be final and binding on all persons.</w:t>
      </w:r>
    </w:p>
    <w:p>
      <w:pPr>
        <w:spacing w:after="0" w:line="176" w:lineRule="exact"/>
        <w:rPr>
          <w:rFonts w:ascii="Times New Roman" w:cs="Times New Roman" w:eastAsia="Times New Roman" w:hAnsi="Times New Roman"/>
          <w:sz w:val="18"/>
          <w:szCs w:val="18"/>
          <w:color w:val="auto"/>
        </w:rPr>
      </w:pPr>
    </w:p>
    <w:p>
      <w:pPr>
        <w:ind w:firstLine="464"/>
        <w:spacing w:after="0" w:line="255" w:lineRule="auto"/>
        <w:tabs>
          <w:tab w:leader="none" w:pos="72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The Company, the Grantee, and the Grantee’s assignees pursuant to Section 9 (the “parties”) agree that any suit, action, or proceeding arising out of or relating to the Notice, the Plan or this Option Agreement shall be brought in the United States District Court for the Northern District of California (or should such court lack jurisdiction to hear such action, suit or proceeding, in a California state court in the County of Santa Clara)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19 shall for any reason be held invalid or unenforceable, it is the specific intent of the parties that such provisions shall be modified to the minimum extent necessary to make it or its application valid and enforceable.</w:t>
      </w:r>
    </w:p>
    <w:p>
      <w:pPr>
        <w:spacing w:after="0" w:line="189" w:lineRule="exact"/>
        <w:rPr>
          <w:rFonts w:ascii="Times New Roman" w:cs="Times New Roman" w:eastAsia="Times New Roman" w:hAnsi="Times New Roman"/>
          <w:sz w:val="18"/>
          <w:szCs w:val="18"/>
          <w:color w:val="auto"/>
        </w:rPr>
      </w:pPr>
    </w:p>
    <w:p>
      <w:pPr>
        <w:ind w:firstLine="464"/>
        <w:spacing w:after="0" w:line="261" w:lineRule="auto"/>
        <w:tabs>
          <w:tab w:leader="none" w:pos="726"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269" w:right="319" w:bottom="1440" w:gutter="0" w:footer="0" w:header="0"/>
        </w:sectPr>
      </w:pPr>
    </w:p>
    <w:bookmarkStart w:id="581" w:name="page582"/>
    <w:bookmarkEnd w:id="581"/>
    <w:p>
      <w:pPr>
        <w:ind w:left="-140" w:firstLine="464"/>
        <w:spacing w:after="0" w:line="255" w:lineRule="auto"/>
        <w:tabs>
          <w:tab w:leader="none" w:pos="586"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The Company shall provide to the Grantee, during the period the Option is outstanding, copies of financial statements of the Company at least annually. The Grantee understands and agrees that such financial statements are confidential and shall not be disclosed by the Grantee, to any entity or person, for any reason, at any time, without the prior written consent of the Company, unless required by law. If disclosure of such financial statements is required by law, whether through subpoena, request for production, deposition, or otherwise, the Grantee promptly shall provide written notice to Company, including copies of the subpoena, request for production, deposition, or otherwise, within five (5) business days of their receipt by the Grantee and prior to any disclosure so as to provide Company an opportunity to move to quash or otherwise to oppose the disclosure. Notwithstanding the foregoing, the Grantee may disclose the terms of such financial statements to his or her spouse or domestic partner, and for legitimate business reasons, to legal, financial, and tax advisors.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 OF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80" w:top="270" w:right="359" w:bottom="1440" w:gutter="0" w:footer="0" w:header="0"/>
        </w:sectPr>
      </w:pPr>
    </w:p>
    <w:bookmarkStart w:id="582" w:name="page583"/>
    <w:bookmarkEnd w:id="5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 2008 STOCK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297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94297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225" w:lineRule="exact"/>
        <w:rPr>
          <w:sz w:val="20"/>
          <w:szCs w:val="20"/>
          <w:color w:val="auto"/>
        </w:rPr>
      </w:pPr>
    </w:p>
    <w:p>
      <w:pPr>
        <w:ind w:left="460"/>
        <w:spacing w:after="0"/>
        <w:tabs>
          <w:tab w:leader="none" w:pos="3100" w:val="left"/>
          <w:tab w:leader="none" w:pos="10480" w:val="left"/>
        </w:tabs>
        <w:rPr>
          <w:sz w:val="20"/>
          <w:szCs w:val="20"/>
          <w:color w:val="auto"/>
        </w:rPr>
      </w:pPr>
      <w:r>
        <w:rPr>
          <w:rFonts w:ascii="Times New Roman" w:cs="Times New Roman" w:eastAsia="Times New Roman" w:hAnsi="Times New Roman"/>
          <w:sz w:val="18"/>
          <w:szCs w:val="18"/>
          <w:color w:val="auto"/>
        </w:rPr>
        <w:t>1. Effective as of today,</w:t>
      </w:r>
      <w:r>
        <w:rPr>
          <w:sz w:val="20"/>
          <w:szCs w:val="20"/>
          <w:color w:val="auto"/>
        </w:rPr>
        <w:tab/>
      </w:r>
      <w:r>
        <w:rPr>
          <w:rFonts w:ascii="Times New Roman" w:cs="Times New Roman" w:eastAsia="Times New Roman" w:hAnsi="Times New Roman"/>
          <w:sz w:val="18"/>
          <w:szCs w:val="18"/>
          <w:color w:val="auto"/>
        </w:rPr>
        <w:t>, the undersigned (the “Grantee”) hereby elects to exercise the Grantee’s option to purchase</w:t>
      </w:r>
      <w:r>
        <w:rPr>
          <w:sz w:val="20"/>
          <w:szCs w:val="20"/>
          <w:color w:val="auto"/>
        </w:rPr>
        <w:tab/>
      </w:r>
      <w:r>
        <w:rPr>
          <w:rFonts w:ascii="Times New Roman" w:cs="Times New Roman" w:eastAsia="Times New Roman" w:hAnsi="Times New Roman"/>
          <w:sz w:val="18"/>
          <w:szCs w:val="18"/>
          <w:color w:val="auto"/>
        </w:rPr>
        <w:t>shares of the</w:t>
      </w:r>
    </w:p>
    <w:p>
      <w:pPr>
        <w:spacing w:after="0" w:line="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Common Stock (the “Shares”) of Ardelyx, Inc., (the “Company”) under and pursuant to the Company’s 2008 Stock Incentive Plan, as amended from time to time (the “Plan”) and the [ ] Incentive [ ] Non-Qualified Stock Option Award Agreement (the “Option Agreement”) and Notice of Stock Option Award (the</w:t>
      </w:r>
    </w:p>
    <w:p>
      <w:pPr>
        <w:spacing w:after="0" w:line="1" w:lineRule="exact"/>
        <w:rPr>
          <w:sz w:val="20"/>
          <w:szCs w:val="20"/>
          <w:color w:val="auto"/>
        </w:rPr>
      </w:pPr>
    </w:p>
    <w:p>
      <w:pPr>
        <w:spacing w:after="0"/>
        <w:tabs>
          <w:tab w:leader="none" w:pos="1700" w:val="left"/>
          <w:tab w:leader="none" w:pos="2160" w:val="left"/>
        </w:tabs>
        <w:rPr>
          <w:sz w:val="20"/>
          <w:szCs w:val="20"/>
          <w:color w:val="auto"/>
        </w:rPr>
      </w:pPr>
      <w:r>
        <w:rPr>
          <w:rFonts w:ascii="Times New Roman" w:cs="Times New Roman" w:eastAsia="Times New Roman" w:hAnsi="Times New Roman"/>
          <w:sz w:val="18"/>
          <w:szCs w:val="18"/>
          <w:color w:val="auto"/>
        </w:rPr>
        <w:t>“Notice”) 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Unless otherwise defined herein, the terms defined in the Plan shall have the same defined meanings in this Exercise Notice.</w:t>
      </w:r>
    </w:p>
    <w:p>
      <w:pPr>
        <w:spacing w:after="0" w:line="207" w:lineRule="exact"/>
        <w:rPr>
          <w:sz w:val="20"/>
          <w:szCs w:val="20"/>
          <w:color w:val="auto"/>
        </w:rPr>
      </w:pPr>
    </w:p>
    <w:p>
      <w:pPr>
        <w:ind w:right="240" w:firstLine="464"/>
        <w:spacing w:after="0" w:line="282" w:lineRule="auto"/>
        <w:tabs>
          <w:tab w:leader="none" w:pos="636"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the Grantee</w:t>
      </w:r>
      <w:r>
        <w:rPr>
          <w:rFonts w:ascii="Times New Roman" w:cs="Times New Roman" w:eastAsia="Times New Roman" w:hAnsi="Times New Roman"/>
          <w:sz w:val="18"/>
          <w:szCs w:val="18"/>
          <w:color w:val="auto"/>
        </w:rPr>
        <w:t>. The Grantee acknowledges that the Grantee has received, read and understood the Notice,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300" w:firstLine="464"/>
        <w:spacing w:after="0" w:line="258" w:lineRule="auto"/>
        <w:tabs>
          <w:tab w:leader="none" w:pos="636"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10 of the Plan.</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Grantee shall enjoy rights as a stockholder until such time as the Grantee disposes of the Shares or the Company and/or its assignee(s) exercises the Right of First Refusal (as such term is defined in the Option Agreement). Upon such exercise, the Grantee shall have no further rights as a holder of the Shares so purchased except the right to receive payment for the Shares so purchased in accordance with the provisions of the Option Agreement, and the Grantee shall forthwith cause the certificate(s) evidencing the Shares so purchased to be surrendered to the Company for transfer or cancellation.</w:t>
      </w:r>
    </w:p>
    <w:p>
      <w:pPr>
        <w:spacing w:after="0" w:line="180" w:lineRule="exact"/>
        <w:rPr>
          <w:sz w:val="20"/>
          <w:szCs w:val="20"/>
          <w:color w:val="auto"/>
        </w:rPr>
      </w:pPr>
    </w:p>
    <w:p>
      <w:pPr>
        <w:ind w:right="100" w:firstLine="464"/>
        <w:spacing w:after="0" w:line="282" w:lineRule="auto"/>
        <w:tabs>
          <w:tab w:leader="none" w:pos="636"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The Grantee herewith delivers to the Company the full Exercise Price for the Shares, which, to the extent selected, shall be deemed to be satisfied by use of the broker-dealer sale and remittance procedure to pay the Exercise Price provided in Section 4(d) of the Option Agreement.</w:t>
      </w:r>
    </w:p>
    <w:p>
      <w:pPr>
        <w:spacing w:after="0" w:line="161" w:lineRule="exact"/>
        <w:rPr>
          <w:rFonts w:ascii="Times New Roman" w:cs="Times New Roman" w:eastAsia="Times New Roman" w:hAnsi="Times New Roman"/>
          <w:sz w:val="18"/>
          <w:szCs w:val="18"/>
          <w:color w:val="auto"/>
        </w:rPr>
      </w:pPr>
    </w:p>
    <w:p>
      <w:pPr>
        <w:jc w:val="both"/>
        <w:ind w:right="80" w:firstLine="464"/>
        <w:spacing w:after="0" w:line="266" w:lineRule="auto"/>
        <w:tabs>
          <w:tab w:leader="none" w:pos="636"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583" w:name="page584"/>
    <w:bookmarkEnd w:id="583"/>
    <w:p>
      <w:pPr>
        <w:ind w:left="-60" w:firstLine="464"/>
        <w:spacing w:after="0" w:line="258" w:lineRule="auto"/>
        <w:tabs>
          <w:tab w:leader="none" w:pos="57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Taxes</w:t>
      </w:r>
      <w:r>
        <w:rPr>
          <w:rFonts w:ascii="Times New Roman" w:cs="Times New Roman" w:eastAsia="Times New Roman" w:hAnsi="Times New Roman"/>
          <w:sz w:val="18"/>
          <w:szCs w:val="18"/>
          <w:color w:val="auto"/>
        </w:rPr>
        <w:t>. The Grantee agrees to satisfy all applicable federal, state and local income and employment tax withholding obligations and herewith delivers to the Company the full amount of such obligations or has made arrangements acceptable to the Company to satisfy such obligations. In the case of an Incentive Stock Option, the Grantee also agrees, as partial consideration for the designation of the Option as an Incentive Stock Option, to notify the Company in writing within thirty (30) days of any disposition of any shares acquired by exercise of the Option if such disposition occurs within two (2) years from the Date of Award or within one (1) year from the date the Shares were transferred to the Grantee.</w:t>
      </w:r>
    </w:p>
    <w:p>
      <w:pPr>
        <w:spacing w:after="0" w:line="183" w:lineRule="exact"/>
        <w:rPr>
          <w:rFonts w:ascii="Times New Roman" w:cs="Times New Roman" w:eastAsia="Times New Roman" w:hAnsi="Times New Roman"/>
          <w:sz w:val="18"/>
          <w:szCs w:val="18"/>
          <w:color w:val="auto"/>
        </w:rPr>
      </w:pPr>
    </w:p>
    <w:p>
      <w:pPr>
        <w:ind w:left="-60" w:right="480" w:firstLine="464"/>
        <w:spacing w:after="0" w:line="266" w:lineRule="auto"/>
        <w:tabs>
          <w:tab w:leader="none" w:pos="57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Grantee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68" w:lineRule="exact"/>
        <w:rPr>
          <w:sz w:val="20"/>
          <w:szCs w:val="20"/>
          <w:color w:val="auto"/>
        </w:rPr>
      </w:pPr>
    </w:p>
    <w:p>
      <w:pPr>
        <w:ind w:left="860" w:right="8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(THE “ACT”) OR ANY STATE SECURITIES LAWS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76" w:lineRule="exact"/>
        <w:rPr>
          <w:sz w:val="20"/>
          <w:szCs w:val="20"/>
          <w:color w:val="auto"/>
        </w:rPr>
      </w:pPr>
    </w:p>
    <w:p>
      <w:pPr>
        <w:ind w:left="860" w:right="720"/>
        <w:spacing w:after="0" w:line="28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RIGHT OF FIRST REFUSAL IN FAVOR OF THE COMPANY AS SET FORTH IN THE BYLAWS OF THE COMPANY.</w:t>
      </w:r>
    </w:p>
    <w:p>
      <w:pPr>
        <w:spacing w:after="0" w:line="162" w:lineRule="exact"/>
        <w:rPr>
          <w:sz w:val="20"/>
          <w:szCs w:val="20"/>
          <w:color w:val="auto"/>
        </w:rPr>
      </w:pPr>
    </w:p>
    <w:p>
      <w:pPr>
        <w:jc w:val="both"/>
        <w:ind w:left="-60" w:right="240" w:firstLine="464"/>
        <w:spacing w:after="0" w:line="266" w:lineRule="auto"/>
        <w:tabs>
          <w:tab w:leader="none" w:pos="576"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 agreement shall inure to the benefit of the successors and assigns of the Company. Subject to the restrictions on transfer herein set forth, this Exercise Notice shall be binding upon the Grantee and his or her heirs, executors, administrators, successors and assigns.</w:t>
      </w:r>
    </w:p>
    <w:p>
      <w:pPr>
        <w:spacing w:after="0" w:line="176" w:lineRule="exact"/>
        <w:rPr>
          <w:rFonts w:ascii="Times New Roman" w:cs="Times New Roman" w:eastAsia="Times New Roman" w:hAnsi="Times New Roman"/>
          <w:sz w:val="18"/>
          <w:szCs w:val="18"/>
          <w:color w:val="auto"/>
        </w:rPr>
      </w:pPr>
    </w:p>
    <w:p>
      <w:pPr>
        <w:ind w:left="-60" w:right="180" w:firstLine="464"/>
        <w:spacing w:after="0" w:line="266" w:lineRule="auto"/>
        <w:tabs>
          <w:tab w:leader="none" w:pos="576"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this Exercise Notice are inserted for convenience and shall not be deemed a part of this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left="-60" w:right="160" w:firstLine="464"/>
        <w:spacing w:after="0" w:line="266" w:lineRule="auto"/>
        <w:tabs>
          <w:tab w:leader="none" w:pos="666"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The Grantee hereby agrees that any question or dispute regarding the administration or interpretation of this Exercise Notice shall be submitted by the Grantee or by the Company to the Administrator. The resolution of such question or dispute by the Administrator shall be final and binding on all persons.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300" w:top="270" w:right="299" w:bottom="1440" w:gutter="0" w:footer="0" w:header="0"/>
        </w:sectPr>
      </w:pPr>
    </w:p>
    <w:bookmarkStart w:id="584" w:name="page585"/>
    <w:bookmarkEnd w:id="584"/>
    <w:p>
      <w:pPr>
        <w:ind w:right="280" w:firstLine="464"/>
        <w:spacing w:after="0" w:line="258" w:lineRule="auto"/>
        <w:tabs>
          <w:tab w:leader="none" w:pos="720"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Severability</w:t>
      </w:r>
      <w:r>
        <w:rPr>
          <w:rFonts w:ascii="Times New Roman" w:cs="Times New Roman" w:eastAsia="Times New Roman" w:hAnsi="Times New Roman"/>
          <w:sz w:val="18"/>
          <w:szCs w:val="18"/>
          <w:color w:val="auto"/>
        </w:rPr>
        <w:t>. This Exercise Notice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183" w:lineRule="exact"/>
        <w:rPr>
          <w:rFonts w:ascii="Times New Roman" w:cs="Times New Roman" w:eastAsia="Times New Roman" w:hAnsi="Times New Roman"/>
          <w:sz w:val="18"/>
          <w:szCs w:val="18"/>
          <w:color w:val="auto"/>
        </w:rPr>
      </w:pPr>
    </w:p>
    <w:p>
      <w:pPr>
        <w:ind w:right="80" w:firstLine="464"/>
        <w:spacing w:after="0" w:line="261" w:lineRule="auto"/>
        <w:tabs>
          <w:tab w:leader="none" w:pos="726"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spacing w:after="0" w:line="180" w:lineRule="exact"/>
        <w:rPr>
          <w:rFonts w:ascii="Times New Roman" w:cs="Times New Roman" w:eastAsia="Times New Roman" w:hAnsi="Times New Roman"/>
          <w:sz w:val="18"/>
          <w:szCs w:val="18"/>
          <w:color w:val="auto"/>
        </w:rPr>
      </w:pPr>
    </w:p>
    <w:p>
      <w:pPr>
        <w:ind w:right="200" w:firstLine="464"/>
        <w:spacing w:after="0" w:line="282" w:lineRule="auto"/>
        <w:tabs>
          <w:tab w:leader="none" w:pos="726"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Instruments</w:t>
      </w:r>
      <w:r>
        <w:rPr>
          <w:rFonts w:ascii="Times New Roman" w:cs="Times New Roman" w:eastAsia="Times New Roman" w:hAnsi="Times New Roman"/>
          <w:sz w:val="18"/>
          <w:szCs w:val="18"/>
          <w:color w:val="auto"/>
        </w:rPr>
        <w:t>. The parties agree to execute such further instruments and to take such further action as may be reasonably necessary to carry out the purposes and intent of this agreement.</w:t>
      </w:r>
    </w:p>
    <w:p>
      <w:pPr>
        <w:spacing w:after="0" w:line="161" w:lineRule="exact"/>
        <w:rPr>
          <w:rFonts w:ascii="Times New Roman" w:cs="Times New Roman" w:eastAsia="Times New Roman" w:hAnsi="Times New Roman"/>
          <w:sz w:val="18"/>
          <w:szCs w:val="18"/>
          <w:color w:val="auto"/>
        </w:rPr>
      </w:pPr>
    </w:p>
    <w:p>
      <w:pPr>
        <w:ind w:right="100" w:firstLine="464"/>
        <w:spacing w:after="0" w:line="258" w:lineRule="auto"/>
        <w:tabs>
          <w:tab w:leader="none" w:pos="726"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Notice, the Plan and the Option Agreement are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Notice, the Plan, the Option Agreement and this Exercise Notice (except as expressly provided therein) is intended to confer any rights or remedies on any persons other than the parties.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3480" w:type="dxa"/>
            <w:vAlign w:val="bottom"/>
          </w:tcPr>
          <w:p>
            <w:pPr>
              <w:spacing w:after="0"/>
              <w:rPr>
                <w:sz w:val="20"/>
                <w:szCs w:val="20"/>
                <w:color w:val="auto"/>
              </w:rPr>
            </w:pPr>
          </w:p>
        </w:tc>
        <w:tc>
          <w:tcPr>
            <w:tcW w:w="6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Accepted by:</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GRANTEE:</w:t>
            </w:r>
          </w:p>
        </w:tc>
        <w:tc>
          <w:tcPr>
            <w:tcW w:w="3480" w:type="dxa"/>
            <w:vAlign w:val="bottom"/>
          </w:tcPr>
          <w:p>
            <w:pPr>
              <w:spacing w:after="0"/>
              <w:rPr>
                <w:sz w:val="24"/>
                <w:szCs w:val="24"/>
                <w:color w:val="auto"/>
              </w:rPr>
            </w:pPr>
          </w:p>
        </w:tc>
        <w:tc>
          <w:tcPr>
            <w:tcW w:w="6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ARDELYX, INC.</w:t>
            </w:r>
          </w:p>
        </w:tc>
      </w:tr>
      <w:tr>
        <w:trPr>
          <w:trHeight w:val="324"/>
        </w:trPr>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4"/>
                <w:szCs w:val="24"/>
                <w:color w:val="auto"/>
              </w:rPr>
            </w:pPr>
          </w:p>
        </w:tc>
      </w:tr>
      <w:tr>
        <w:trPr>
          <w:trHeight w:val="331"/>
        </w:trPr>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Title:</w:t>
            </w:r>
          </w:p>
        </w:tc>
      </w:tr>
      <w:tr>
        <w:trPr>
          <w:trHeight w:val="228"/>
        </w:trPr>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00" w:type="dxa"/>
            <w:vAlign w:val="bottom"/>
            <w:tcBorders>
              <w:top w:val="single" w:sz="8" w:color="auto"/>
            </w:tcBorders>
          </w:tcPr>
          <w:p>
            <w:pPr>
              <w:spacing w:after="0"/>
              <w:rPr>
                <w:sz w:val="19"/>
                <w:szCs w:val="19"/>
                <w:color w:val="auto"/>
              </w:rPr>
            </w:pPr>
          </w:p>
        </w:tc>
      </w:tr>
      <w:tr>
        <w:trPr>
          <w:trHeight w:val="387"/>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3480" w:type="dxa"/>
            <w:vAlign w:val="bottom"/>
          </w:tcPr>
          <w:p>
            <w:pPr>
              <w:spacing w:after="0"/>
              <w:rPr>
                <w:sz w:val="24"/>
                <w:szCs w:val="24"/>
                <w:color w:val="auto"/>
              </w:rPr>
            </w:pPr>
          </w:p>
        </w:tc>
        <w:tc>
          <w:tcPr>
            <w:tcW w:w="6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Address:</w:t>
            </w:r>
          </w:p>
        </w:tc>
      </w:tr>
      <w:tr>
        <w:trPr>
          <w:trHeight w:val="20"/>
        </w:trPr>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9" w:right="239" w:bottom="1440" w:gutter="0" w:footer="0" w:header="0"/>
        </w:sectPr>
      </w:pPr>
    </w:p>
    <w:bookmarkStart w:id="585" w:name="page586"/>
    <w:bookmarkEnd w:id="585"/>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60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EXHIBIT B</w:t>
            </w:r>
          </w:p>
        </w:tc>
      </w:tr>
      <w:tr>
        <w:trPr>
          <w:trHeight w:val="432"/>
        </w:trPr>
        <w:tc>
          <w:tcPr>
            <w:tcW w:w="3340" w:type="dxa"/>
            <w:vAlign w:val="bottom"/>
          </w:tcPr>
          <w:p>
            <w:pPr>
              <w:spacing w:after="0"/>
              <w:rPr>
                <w:sz w:val="24"/>
                <w:szCs w:val="24"/>
                <w:color w:val="auto"/>
              </w:rPr>
            </w:pPr>
          </w:p>
        </w:tc>
        <w:tc>
          <w:tcPr>
            <w:tcW w:w="604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ARDELYX, INC. 2008 STOCK INCENTIVE PLAN</w:t>
            </w:r>
          </w:p>
        </w:tc>
      </w:tr>
      <w:tr>
        <w:trPr>
          <w:trHeight w:val="432"/>
        </w:trPr>
        <w:tc>
          <w:tcPr>
            <w:tcW w:w="3340" w:type="dxa"/>
            <w:vAlign w:val="bottom"/>
          </w:tcPr>
          <w:p>
            <w:pPr>
              <w:spacing w:after="0"/>
              <w:rPr>
                <w:sz w:val="24"/>
                <w:szCs w:val="24"/>
                <w:color w:val="auto"/>
              </w:rPr>
            </w:pPr>
          </w:p>
        </w:tc>
        <w:tc>
          <w:tcPr>
            <w:tcW w:w="604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INVESTMENT REPRESENTATION STATEMENT</w:t>
            </w:r>
          </w:p>
        </w:tc>
      </w:tr>
      <w:tr>
        <w:trPr>
          <w:trHeight w:val="45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6040" w:type="dxa"/>
            <w:vAlign w:val="bottom"/>
            <w:tcBorders>
              <w:bottom w:val="single" w:sz="8" w:color="auto"/>
            </w:tcBorders>
          </w:tcPr>
          <w:p>
            <w:pPr>
              <w:spacing w:after="0"/>
              <w:rPr>
                <w:sz w:val="24"/>
                <w:szCs w:val="24"/>
                <w:color w:val="auto"/>
              </w:rPr>
            </w:pPr>
          </w:p>
        </w:tc>
      </w:tr>
      <w:tr>
        <w:trPr>
          <w:trHeight w:val="33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ARDELYX, INC.</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6040" w:type="dxa"/>
            <w:vAlign w:val="bottom"/>
            <w:tcBorders>
              <w:bottom w:val="single" w:sz="8" w:color="auto"/>
            </w:tcBorders>
          </w:tcPr>
          <w:p>
            <w:pPr>
              <w:spacing w:after="0"/>
              <w:rPr>
                <w:sz w:val="24"/>
                <w:szCs w:val="24"/>
                <w:color w:val="auto"/>
              </w:rPr>
            </w:pPr>
          </w:p>
        </w:tc>
      </w:tr>
      <w:tr>
        <w:trPr>
          <w:trHeight w:val="33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4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connection with the purchase of the above-listed Securities, the undersigned Grantee represents to the Company the following:</w:t>
      </w:r>
    </w:p>
    <w:p>
      <w:pPr>
        <w:spacing w:after="0" w:line="225" w:lineRule="exact"/>
        <w:rPr>
          <w:sz w:val="20"/>
          <w:szCs w:val="20"/>
          <w:color w:val="auto"/>
        </w:rPr>
      </w:pPr>
    </w:p>
    <w:p>
      <w:pPr>
        <w:ind w:right="40" w:firstLine="921"/>
        <w:spacing w:after="0" w:line="261" w:lineRule="auto"/>
        <w:tabs>
          <w:tab w:leader="none" w:pos="1158"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aware of the Company’s business affairs and financial condition and has acquired sufficient information about the Company to reach an informed and knowledgeable decision to acquire the Securities. Grantee is acquiring these Securities for investment for Grantee’s own account only and not with a view to, or for resale in connection with, any “distribution” thereof within the meaning of the Securities Act of 1933, as amended (the “Securities Act”).</w:t>
      </w:r>
    </w:p>
    <w:p>
      <w:pPr>
        <w:spacing w:after="0" w:line="180" w:lineRule="exact"/>
        <w:rPr>
          <w:rFonts w:ascii="Times New Roman" w:cs="Times New Roman" w:eastAsia="Times New Roman" w:hAnsi="Times New Roman"/>
          <w:sz w:val="18"/>
          <w:szCs w:val="18"/>
          <w:color w:val="auto"/>
        </w:rPr>
      </w:pPr>
    </w:p>
    <w:p>
      <w:pPr>
        <w:ind w:right="20" w:firstLine="921"/>
        <w:spacing w:after="0" w:line="256" w:lineRule="auto"/>
        <w:tabs>
          <w:tab w:leader="none" w:pos="1168"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Grantee’s investment intent as expressed herein. Grantee further understands that the Securities must be held indefinitely unless they are subsequently registered under the Securities Act or an exemption from such registration is available. Grantee further acknowledges and understands that the Company is under no obligation to register the Securities. Grantee understands that the certificate evidencing the Securities will be imprinted with a legend which prohibits the transfer of the Securities unless they are registered or such registration is not required in the opinion of counsel satisfactory to the Company.</w:t>
      </w:r>
    </w:p>
    <w:p>
      <w:pPr>
        <w:spacing w:after="0" w:line="187" w:lineRule="exact"/>
        <w:rPr>
          <w:rFonts w:ascii="Times New Roman" w:cs="Times New Roman" w:eastAsia="Times New Roman" w:hAnsi="Times New Roman"/>
          <w:sz w:val="18"/>
          <w:szCs w:val="18"/>
          <w:color w:val="auto"/>
        </w:rPr>
      </w:pPr>
    </w:p>
    <w:p>
      <w:pPr>
        <w:ind w:firstLine="921"/>
        <w:spacing w:after="0" w:line="254" w:lineRule="auto"/>
        <w:tabs>
          <w:tab w:leader="none" w:pos="1158"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Grantee,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266" w:right="319" w:bottom="1440" w:gutter="0" w:footer="0" w:header="0"/>
        </w:sectPr>
      </w:pPr>
    </w:p>
    <w:bookmarkStart w:id="586" w:name="page587"/>
    <w:bookmarkEnd w:id="586"/>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Company does not qualify under Rule 701 at the time of sale of the Securities, then the Securities may be resold in certain limited circumstances subject to the provisions of Rule 144, which requires the resale to occur not less than six (6) months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one (1) year, the satisfaction of the conditions set forth in sections (1), (2), (3) and (4) of the paragraph immediately above.</w:t>
      </w:r>
    </w:p>
    <w:p>
      <w:pPr>
        <w:spacing w:after="0" w:line="184" w:lineRule="exact"/>
        <w:rPr>
          <w:sz w:val="20"/>
          <w:szCs w:val="20"/>
          <w:color w:val="auto"/>
        </w:rPr>
      </w:pPr>
    </w:p>
    <w:p>
      <w:pPr>
        <w:ind w:right="60" w:firstLine="921"/>
        <w:spacing w:after="0" w:line="256" w:lineRule="auto"/>
        <w:tabs>
          <w:tab w:leader="none" w:pos="1168"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Grantee understands that no assurances can be given that any such other registration exemption will be available in such event.</w:t>
      </w:r>
    </w:p>
    <w:p>
      <w:pPr>
        <w:spacing w:after="0" w:line="188" w:lineRule="exact"/>
        <w:rPr>
          <w:sz w:val="20"/>
          <w:szCs w:val="20"/>
          <w:color w:val="auto"/>
        </w:rPr>
      </w:pPr>
    </w:p>
    <w:p>
      <w:pPr>
        <w:ind w:left="920"/>
        <w:spacing w:after="0"/>
        <w:tabs>
          <w:tab w:leader="none" w:pos="7200" w:val="left"/>
        </w:tabs>
        <w:rPr>
          <w:sz w:val="20"/>
          <w:szCs w:val="20"/>
          <w:color w:val="auto"/>
        </w:rPr>
      </w:pPr>
      <w:r>
        <w:rPr>
          <w:rFonts w:ascii="Times New Roman" w:cs="Times New Roman" w:eastAsia="Times New Roman" w:hAnsi="Times New Roman"/>
          <w:sz w:val="18"/>
          <w:szCs w:val="18"/>
          <w:color w:val="auto"/>
        </w:rPr>
        <w:t>(e) Grantee represents that Grantee is a resident of the state of</w:t>
      </w:r>
      <w:r>
        <w:rPr>
          <w:sz w:val="20"/>
          <w:szCs w:val="20"/>
          <w:color w:val="auto"/>
        </w:rPr>
        <w:tab/>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70" w:right="299" w:bottom="1440" w:gutter="0" w:footer="0" w:header="0"/>
        </w:sectPr>
      </w:pPr>
    </w:p>
    <w:bookmarkStart w:id="587" w:name="page588"/>
    <w:bookmarkEnd w:id="587"/>
    <w:p>
      <w:pPr>
        <w:jc w:val="right"/>
        <w:spacing w:after="0"/>
        <w:rPr>
          <w:sz w:val="20"/>
          <w:szCs w:val="20"/>
          <w:color w:val="auto"/>
        </w:rPr>
      </w:pPr>
      <w:r>
        <w:rPr>
          <w:rFonts w:ascii="Times New Roman" w:cs="Times New Roman" w:eastAsia="Times New Roman" w:hAnsi="Times New Roman"/>
          <w:sz w:val="18"/>
          <w:szCs w:val="18"/>
          <w:b w:val="1"/>
          <w:bCs w:val="1"/>
          <w:color w:val="auto"/>
        </w:rPr>
        <w:t>Exhibit 10.7C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 2008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PURCHASE AWARD</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240665</wp:posOffset>
            </wp:positionV>
            <wp:extent cx="40563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463550</wp:posOffset>
            </wp:positionV>
            <wp:extent cx="40563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You (the “Grantee”) have been granted the right to purchase shares of Common Stock of the Company, subject to the terms and conditions of this Notice of Restricted Stock Purchase Award (the “Notice”), the Ardelyx, Inc. 2008 Stock Incentive Plan, as amended from time to time (the “Plan”) and the Restricted Stock Purchase Award Agreement (the “Agreement”) attached hereto, as follows. Unless otherwise defined herein, the terms defined in the Plan shall have the same defined meanings in this Notice.</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Award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Purchase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Number of Shares of Common Stock</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-10795</wp:posOffset>
            </wp:positionV>
            <wp:extent cx="405638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0563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Subject to the Grantee’s Continuous Service and other limitations set forth in this Notice, the Agreement and the Plan, the Shares will “vest” in accordance with the following schedule:</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25% of the Total Number of Shares of Common Stock Awarded shall vest on the first anniversary of the Vesting Commencement Date, and 1/48 of the Total Number of Shares of Common Stock Awarded shall vest on each monthly anniversary of the Vesting Commencement Date thereafter.</w:t>
      </w:r>
    </w:p>
    <w:p>
      <w:pPr>
        <w:spacing w:after="0" w:line="162"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During any authorized leave of absence, the vesting of the Shares shall be suspended after the leave of absence exceeds a period of three (3) months. Vesting of the Shares shall resume upon the Grantee’s termination of the leave of absence and return to Continuous Service. The Vesting Schedule of the Shares shall be extended by the length of the suspension.</w:t>
      </w:r>
    </w:p>
    <w:p>
      <w:pPr>
        <w:spacing w:after="0" w:line="17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the event of the Grantee’s change in status from Employee, Director or Consultant to any other status of Employee, Director or Consultant, the Shares shall continue to vest in accordance with the Vesting Schedule.</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Vesting shall cease upon the date of termination of the Grantee’s Continuous Service for any reason, including death or Disability. For purposes of this Notice and the Agreement, the term “vest” shall mean, with respect to any Shares, that such Shares are no longer subject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88" w:name="page589"/>
    <w:bookmarkEnd w:id="58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 at the Purchase Price per Share; provided, however, that such Shares shall remain subject to other restrictions on transfer set forth in the Agreement or the Plan. Shares that have not vested are deemed “Restricted Shares.” If the Grantee would become vested in a fraction of a Restricted Share, such Restricted Share shall not vest until the Grantee becomes vested in the entire Share. Notwithstanding the foregoing, the Shares subject to this Notice will be subject to the provisions of the Agreement and Section 11 of the Plan relating to the release of repurchase and forfeiture provisions in the event of a Corporate Transaction or Change of Control.</w:t>
      </w:r>
    </w:p>
    <w:p>
      <w:pPr>
        <w:spacing w:after="0" w:line="18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Grantee have executed this Notice and agree that the Award is to be governed by the terms and conditions of this Notice, the Plan, and the Agreement.</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Ardelyx, Inc.,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17145</wp:posOffset>
            </wp:positionV>
            <wp:extent cx="243522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17145</wp:posOffset>
            </wp:positionV>
            <wp:extent cx="243522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GRANTEE ACKNOWLEDGES AND AGREES THAT THE SHARES SHALL VEST, IF AT ALL, ONLY DURING THE PERIOD OF THE GRANTEE’S CONTINUOUS SERVICE (NOT THROUGH THE ACT OF BEING HIRED, BEING GRANTED THIS AWARD OR ACQUIRING SHARES HEREUNDER). THE GRANTEE FURTHER ACKNOWLEDGES AND AGREES THAT NOTHING IN THIS NOTICE, THE AGREEMENT, NOR IN THE PLAN, SHALL CONFER UPON THE GRANTEE ANY RIGHT WITH RESPECT TO CONTINUATION OF THE GRANTEE’S CONTINUOUS SERVICE, NOR SHALL IT INTERFERE IN ANY WAY WITH THE GRANTEE’S RIGHT OR THE COMPANY’S RIGHT TO TERMINATE THE GRANTEE’S CONTINUOUS SERVICE AT ANY TIME, WITH OR WITHOUT CAUSE, AND WITH OR WITHOUT NOTICE. THE GRANTEE ACKNOWLEDGES THAT UNLESS THE GRANTEE HAS A WRITTEN EMPLOYMENT AGREEMENT WITH THE COMPANY TO THE CONTRARY, THE GRANTEE’S STATUS IS AT WILL.</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Grantee acknowledges receipt of a copy of the Plan and the Agreement and represents that he or she is familiar with the terms and provisions thereof, and hereby accepts the Award subject to all of the terms and provisions hereof and thereof. The Grantee has reviewed this Notice, the Agreement and the Plan in their entirety, has had an opportunity to obtain the advice of counsel prior to executing this Notice and fully understands all provisions of this Notice, the Agreement and the Plan. The Grantee hereby agrees that all questions of interpretation and administration relating to this Notice, the Plan and the Agreement shall be resolved by the Administrator in accordance with Section 17 of the Agreement. The Grantee further agrees to the venue selection in accordance with Section 18 of the Agreement. The Grantee further agrees to notify the Company upon any change in the residence address indicated in this Notice.</w:t>
      </w:r>
    </w:p>
    <w:p>
      <w:pPr>
        <w:spacing w:after="0" w:line="216"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685228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9" w:right="279" w:bottom="1440" w:gutter="0" w:footer="0" w:header="0"/>
        </w:sectPr>
      </w:pPr>
    </w:p>
    <w:bookmarkStart w:id="589" w:name="page590"/>
    <w:bookmarkEnd w:id="589"/>
    <w:p>
      <w:pPr>
        <w:ind w:left="9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Number: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 2008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PURCHASE AWARD AGREEMENT</w:t>
      </w:r>
    </w:p>
    <w:p>
      <w:pPr>
        <w:spacing w:after="0" w:line="229" w:lineRule="exact"/>
        <w:rPr>
          <w:sz w:val="20"/>
          <w:szCs w:val="20"/>
          <w:color w:val="auto"/>
        </w:rPr>
      </w:pPr>
    </w:p>
    <w:p>
      <w:pPr>
        <w:ind w:left="-40" w:firstLine="464"/>
        <w:spacing w:after="0" w:line="255" w:lineRule="auto"/>
        <w:tabs>
          <w:tab w:leader="none" w:pos="596"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Ardelyx, Inc., a Delaware corporation (the “Company”), hereby issues and sells to the Grantee (the “Grantee”) named in the Notice of Restricted Stock Purchase Award (the “Notice”), the Total Number of Shares of Common Stock Awarded set forth in the Notice (the “Shares”) for a Purchase Price per Share set forth in the Notice (the “Total Purchase Price”), subject to the Notice, this Restricted Stock Purchase Award Agreement (the “Agreement”) and the terms and provisions of the Company’s 2008 Stock Incentive Plan, as amended from time to time (the “Plan”), which is incorporated herein by reference. Payment for the Shares in the amount of the Total Purchase Price set forth in the Notice shall be made to the Company upon execution of the Notice. Unless otherwise defined herein, the terms defined in the Plan shall have the same defined meanings in this Agreement. All Shares sold hereunder will be deemed issued to the Grantee as fully paid and nonassessable shares, and the Grantee will have the right to vote the Shares at meetings of the Company’s shareholders. The Company shall pay any applicable stock transfer taxes imposed upon the issuance of the Shares to the Grantee hereunder.</w:t>
      </w:r>
    </w:p>
    <w:p>
      <w:pPr>
        <w:spacing w:after="0" w:line="185" w:lineRule="exact"/>
        <w:rPr>
          <w:rFonts w:ascii="Times New Roman" w:cs="Times New Roman" w:eastAsia="Times New Roman" w:hAnsi="Times New Roman"/>
          <w:sz w:val="18"/>
          <w:szCs w:val="18"/>
          <w:color w:val="auto"/>
        </w:rPr>
      </w:pPr>
    </w:p>
    <w:p>
      <w:pPr>
        <w:ind w:left="-40" w:right="180" w:firstLine="464"/>
        <w:spacing w:after="0" w:line="266" w:lineRule="auto"/>
        <w:tabs>
          <w:tab w:leader="none" w:pos="596"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Total Purchase Price shall be by any of the following, or a combination thereof, at the election of the Grantee; provided, however, that such payment method does not then violate an Applicable Law and, provided further, that the portion of the Total Purchase Price equal to the par value of the Shares must be paid in cash or other legal consideration permitted by the Delaware General Corporation Law:</w:t>
      </w:r>
    </w:p>
    <w:p>
      <w:pPr>
        <w:spacing w:after="0" w:line="176"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w:t>
      </w:r>
    </w:p>
    <w:p>
      <w:pPr>
        <w:spacing w:after="0" w:line="225"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40" w:right="60" w:firstLine="464"/>
        <w:spacing w:after="0" w:line="261" w:lineRule="auto"/>
        <w:tabs>
          <w:tab w:leader="none" w:pos="596"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Shares sold to the Grantee hereunder may not be sold, transferred by gift, pledged, hypothecated, or otherwise transferred or disposed of by the Grantee prior to the date when the Shares become vested pursuant to the Vesting Schedule set forth in the Notice. Any attempt to transfer Restricted Shares in violation of this Section 3 will be null and void and will be disregarded. After the Shares vest, the Shares will be subject to the Company’s Right of First Refusal as set forth in Section 8 below.</w:t>
      </w:r>
    </w:p>
    <w:p>
      <w:pPr>
        <w:spacing w:after="0" w:line="180" w:lineRule="exact"/>
        <w:rPr>
          <w:rFonts w:ascii="Times New Roman" w:cs="Times New Roman" w:eastAsia="Times New Roman" w:hAnsi="Times New Roman"/>
          <w:sz w:val="18"/>
          <w:szCs w:val="18"/>
          <w:color w:val="auto"/>
        </w:rPr>
      </w:pPr>
    </w:p>
    <w:p>
      <w:pPr>
        <w:ind w:left="-40" w:right="60" w:firstLine="464"/>
        <w:spacing w:after="0" w:line="258" w:lineRule="auto"/>
        <w:tabs>
          <w:tab w:leader="none" w:pos="596"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of Stock</w:t>
      </w:r>
      <w:r>
        <w:rPr>
          <w:rFonts w:ascii="Times New Roman" w:cs="Times New Roman" w:eastAsia="Times New Roman" w:hAnsi="Times New Roman"/>
          <w:sz w:val="18"/>
          <w:szCs w:val="18"/>
          <w:color w:val="auto"/>
        </w:rPr>
        <w:t xml:space="preserve">. For purposes of facilitating the enforcement of the provisions of this Agreement, the Grantee agrees, immediately upon receipt of the certificate(s) for the Restricted Shares, to deliver such certificate(s), together with an Assignment Separate from Certificate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in blank by the Grantee with respect to each such stock certificate, to the Secretary or Assistant Secretary of the Company, or their designee, to hold in escrow for so long as such Restricted Shares have not vested pursuant to the Vesting Schedule set forth in the Notice or continue to remain subject to the Company’s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80" w:top="266" w:right="279" w:bottom="1440" w:gutter="0" w:footer="0" w:header="0"/>
        </w:sectPr>
      </w:pPr>
    </w:p>
    <w:bookmarkStart w:id="590" w:name="page591"/>
    <w:bookmarkEnd w:id="59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First Refusal or Repurchase Right, with the authority to take all such actions and to effectuate all such transfers and/or releases as may be necessary or appropriate to accomplish the objectives of this Agreement in accordance with the terms hereof. The Grantee hereby acknowledges that the appointment of the Secretary or Assistant Secretary of the Company (or their designee) as the escrow holder hereunder with the stated authorities is a material inducement to the Company to make this Agreement and that such appointment is coupled with an interest and is accordingly irrevocable. The Grantee agrees that the Restricted Shares may be held electronically in a book entry system maintained by the Company’s transfer agent or other third-party and that all the terms and conditions of this Section 4 applicable to certificated Restricted Shares will apply with the same force and effect to such electronic method for holding the Restricted Shares. The Grantee agrees that such escrow holder shall not be liable to any party hereto (or to any other party) for any actions or omissions unless such escrow holder is grossly negligent relative thereto. The escrow holder may rely upon any letter, notice or other document executed by any signature purported to be genuine and may resign at any time. Upon the vesting of all Restricted Shares and termination of the Company’s Right of First Refusal and Repurchase Right, the escrow holder will, without further order or instruction, transmit to the Grantee the certificate evidencing such Shares, subject, however, to satisfaction of any withholding obligations provided in Section 6 below.</w:t>
      </w:r>
    </w:p>
    <w:p>
      <w:pPr>
        <w:spacing w:after="0" w:line="193" w:lineRule="exact"/>
        <w:rPr>
          <w:sz w:val="20"/>
          <w:szCs w:val="20"/>
          <w:color w:val="auto"/>
        </w:rPr>
      </w:pPr>
    </w:p>
    <w:p>
      <w:pPr>
        <w:ind w:right="40" w:firstLine="464"/>
        <w:spacing w:after="0" w:line="282" w:lineRule="auto"/>
        <w:tabs>
          <w:tab w:leader="none" w:pos="636"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Except as set forth in Section 9(e), the Company shall disburse to the Grantee all regular cash dividends with respect to the Shares and Additional Securities (whether vested or not), less any applicable withholding obligations.</w:t>
      </w:r>
    </w:p>
    <w:p>
      <w:pPr>
        <w:spacing w:after="0" w:line="161" w:lineRule="exact"/>
        <w:rPr>
          <w:rFonts w:ascii="Times New Roman" w:cs="Times New Roman" w:eastAsia="Times New Roman" w:hAnsi="Times New Roman"/>
          <w:sz w:val="18"/>
          <w:szCs w:val="18"/>
          <w:color w:val="auto"/>
        </w:rPr>
      </w:pPr>
    </w:p>
    <w:p>
      <w:pPr>
        <w:ind w:right="40" w:firstLine="464"/>
        <w:spacing w:after="0" w:line="254" w:lineRule="auto"/>
        <w:tabs>
          <w:tab w:leader="none" w:pos="636"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 and Withholding of Taxes</w:t>
      </w:r>
      <w:r>
        <w:rPr>
          <w:rFonts w:ascii="Times New Roman" w:cs="Times New Roman" w:eastAsia="Times New Roman" w:hAnsi="Times New Roman"/>
          <w:sz w:val="18"/>
          <w:szCs w:val="18"/>
          <w:color w:val="auto"/>
        </w:rPr>
        <w:t xml:space="preserve">. The Grantee shall provide the Administrator with a copy of any timely election made pursuant to Section 83(b) of the Internal Revenue Code or similar provision of state law (collectively, an “83(b) Election”), a form of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the Grantee makes a timely 83(b) Election, the Grantee shall immediately pay the Company the amount necessary to satisfy any applicable foreign, federal, state, and local income and employment tax withholding obligations. If the Grantee does not make a timely 83(b) Election, the Grantee shall, as Restricted Shares shall vest or at the time withholding is otherwise required by any Applicable Law, pay the Company the amount necessary to satisfy any applicable foreign, federal, state, and local income and employment tax withholding obligations. The Grantee hereby represents that he or she understands</w:t>
      </w:r>
    </w:p>
    <w:p>
      <w:pPr>
        <w:ind w:right="20" w:firstLine="8"/>
        <w:spacing w:after="0" w:line="253" w:lineRule="auto"/>
        <w:tabs>
          <w:tab w:leader="none" w:pos="245"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and requirements of the 83(b) Election, (b) the application of Section 83(b) to the receipt of the Shares by the Grantee pursuant to this Agreement, (c) the nature of the election to be made by the Grantee under Section 83(b), and (d) the effect and requirements of the 83(b) Election under relevant state and local tax laws. The Grantee further represents that he or she intends to file an election pursuant to Section 83(b) with the Internal Revenue Service within thirty (30) days following the date of this Agreement, and submit a copy of such election to the Company and with his or her federal tax return for the calendar year in which the date of this Agreement falls.</w:t>
      </w:r>
    </w:p>
    <w:p>
      <w:pPr>
        <w:spacing w:after="0" w:line="187" w:lineRule="exact"/>
        <w:rPr>
          <w:rFonts w:ascii="Times New Roman" w:cs="Times New Roman" w:eastAsia="Times New Roman" w:hAnsi="Times New Roman"/>
          <w:sz w:val="18"/>
          <w:szCs w:val="18"/>
          <w:color w:val="auto"/>
        </w:rPr>
      </w:pPr>
    </w:p>
    <w:p>
      <w:pPr>
        <w:ind w:right="40" w:firstLine="464"/>
        <w:spacing w:after="0" w:line="266" w:lineRule="auto"/>
        <w:tabs>
          <w:tab w:leader="none" w:pos="636"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Any securities or cash received (other than a regular cash dividend) as the result of ownership of the Restricted Shares (the “Additional Securities”), including, but not by way of limitation, warrants, options and securities received as a stock dividend or stock split, or as a result of a recapitalization or reorganization or other similar change in the Company’s capital structure, shall be retained in escrow in the same manner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9" w:right="259" w:bottom="1440" w:gutter="0" w:footer="0" w:header="0"/>
        </w:sectPr>
      </w:pPr>
    </w:p>
    <w:bookmarkStart w:id="591" w:name="page592"/>
    <w:bookmarkEnd w:id="59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same conditions and restrictions as the Restricted Shares with respect to which they were issued, including, without limitation, the Vesting Schedule set forth in the Notice, the Right of First Refusal and the Repurchase Right. The Grantee shall be entitled to direct the Company to exercise any warrant or option received as Additional Securities upon supplying the funds necessary to do so, in which event the securities so purchased shall constitute Additional Securities, but the Grantee may not direct the Company to sell any such warrant or option. If Additional Securities consist of a convertible security, the Grantee may exercise any conversion right, and any securities so acquired shall constitute Additional Securities. Appropriate adjustments to reflect the distribution of Additional Securities shall be made to the price per share to be paid upon the exercise of the Repurchase Right in order to reflect the effect of any such transaction upon the Company’s capital structure. In the event of any change in certificates evidencing the Shares or the Additional Securities by reason of any recapitalization, reorganization or other transaction that results in the creation of Additional Securities, the escrow holder is authorized to deliver to the issuer the certificates evidencing the Shares or the Additional Securities in exchange for the certificates of the replacement securities.</w:t>
      </w:r>
    </w:p>
    <w:p>
      <w:pPr>
        <w:spacing w:after="0" w:line="186" w:lineRule="exact"/>
        <w:rPr>
          <w:sz w:val="20"/>
          <w:szCs w:val="20"/>
          <w:color w:val="auto"/>
        </w:rPr>
      </w:pPr>
    </w:p>
    <w:p>
      <w:pPr>
        <w:ind w:left="640" w:hanging="176"/>
        <w:spacing w:after="0"/>
        <w:tabs>
          <w:tab w:leader="none" w:pos="640" w:val="left"/>
        </w:tabs>
        <w:numPr>
          <w:ilvl w:val="1"/>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The Grantee acknowledges and agrees that the Shares are subject to a right of first refusal (“Right of First</w:t>
      </w:r>
    </w:p>
    <w:p>
      <w:pPr>
        <w:spacing w:after="0" w:line="27"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as set forth in Article 10 of the Bylaws of the Company, which Right of First Refusal is incorporated herein by reference irrespective of whether the Bylaws are amended at some future date to remove the Right of First Refusal therefrom, and that, except in compliance with such Right of First Refusal, neither the Grantee nor a transferee (either being sometimes referred to herein as the “Holder”) shall sell, hypothecate, encumber or otherwise transfer any Shares or any right or interest therein.</w:t>
      </w:r>
    </w:p>
    <w:p>
      <w:pPr>
        <w:spacing w:after="0" w:line="18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Repurchase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Repurchase Right</w:t>
      </w:r>
      <w:r>
        <w:rPr>
          <w:rFonts w:ascii="Times New Roman" w:cs="Times New Roman" w:eastAsia="Times New Roman" w:hAnsi="Times New Roman"/>
          <w:sz w:val="18"/>
          <w:szCs w:val="18"/>
          <w:color w:val="auto"/>
        </w:rPr>
        <w:t>. The Company is hereby granted the right (the “Repurchase Right”), exercisable at any time during the six</w:t>
      </w:r>
    </w:p>
    <w:p>
      <w:pPr>
        <w:spacing w:after="0" w:line="27" w:lineRule="exact"/>
        <w:rPr>
          <w:rFonts w:ascii="Times New Roman" w:cs="Times New Roman" w:eastAsia="Times New Roman" w:hAnsi="Times New Roman"/>
          <w:sz w:val="18"/>
          <w:szCs w:val="18"/>
          <w:color w:val="auto"/>
        </w:rPr>
      </w:pPr>
    </w:p>
    <w:p>
      <w:pPr>
        <w:ind w:right="420" w:firstLine="8"/>
        <w:spacing w:after="0" w:line="261" w:lineRule="auto"/>
        <w:tabs>
          <w:tab w:leader="none" w:pos="255"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 “Share Repurchase Period”) following the date the Grantee’s Continuous Service terminates for any reason, with or without cause (including death or disability) (the “Termination Date”) to repurchase all or any portion of the Restricted Shares.</w:t>
      </w:r>
    </w:p>
    <w:p>
      <w:pPr>
        <w:spacing w:after="0" w:line="179"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2"/>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the Repurchase Right</w:t>
      </w:r>
      <w:r>
        <w:rPr>
          <w:rFonts w:ascii="Times New Roman" w:cs="Times New Roman" w:eastAsia="Times New Roman" w:hAnsi="Times New Roman"/>
          <w:sz w:val="18"/>
          <w:szCs w:val="18"/>
          <w:color w:val="auto"/>
        </w:rPr>
        <w:t>. The Repurchase Right shall be exercisable by written notice delivered to each Holder of the Shares prior to the expiration of the Share Repurchase Period. The notice shall indicate the number of Shares to be repurchased and the date on which the repurchase is to be effected, such date to be not later than the last day of the Share Repurchase Period. On the date on which the repurchase is to be effected, the Company and/or its assigns shall pay to the Holder of the Shares in cash or cash equivalents (including the cancellation of any purchase-money indebtedness) for Restricted Shares being repurchased an amount equal to the Purchase Price per Share previously paid by the Grantee to the Company for such Shares. Upon such payment to the Holder of the Shares or into escrow for the benefit of the Holder of the Shares, the Company and/or its assigns shall become the legal and beneficial owner of the Shares being repurchased and all rights and interest thereon or related thereto, and the Company shall have the right to transfer to its own name or its assigns the number of Shares being repurchased, without further action by the Holder of the Shares.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69" w:right="279" w:bottom="1440" w:gutter="0" w:footer="0" w:header="0"/>
        </w:sectPr>
      </w:pPr>
    </w:p>
    <w:bookmarkStart w:id="592" w:name="page593"/>
    <w:bookmarkEnd w:id="592"/>
    <w:p>
      <w:pPr>
        <w:ind w:left="-20" w:right="60" w:firstLine="921"/>
        <w:spacing w:after="0" w:line="266" w:lineRule="auto"/>
        <w:tabs>
          <w:tab w:leader="none" w:pos="1137"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w:t>
      </w:r>
      <w:r>
        <w:rPr>
          <w:rFonts w:ascii="Times New Roman" w:cs="Times New Roman" w:eastAsia="Times New Roman" w:hAnsi="Times New Roman"/>
          <w:sz w:val="18"/>
          <w:szCs w:val="18"/>
          <w:color w:val="auto"/>
        </w:rPr>
        <w:t>. Whenever the Company shall have the right to purchase Shares under this Repurchase Right, the Company may designate and assign one or more employees, officers, directors or shareholders of the Company or other persons or organizations, to exercise all or a part of the Company’s Repurchase Right.</w:t>
      </w:r>
    </w:p>
    <w:p>
      <w:pPr>
        <w:spacing w:after="0" w:line="176"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Repurchase Right</w:t>
      </w:r>
      <w:r>
        <w:rPr>
          <w:rFonts w:ascii="Times New Roman" w:cs="Times New Roman" w:eastAsia="Times New Roman" w:hAnsi="Times New Roman"/>
          <w:sz w:val="18"/>
          <w:szCs w:val="18"/>
          <w:color w:val="auto"/>
        </w:rPr>
        <w:t>. The Repurchase Right shall terminate with respect to any Shares for which it is not timely exercised.</w:t>
      </w:r>
    </w:p>
    <w:p>
      <w:pPr>
        <w:spacing w:after="0" w:line="225" w:lineRule="exact"/>
        <w:rPr>
          <w:rFonts w:ascii="Times New Roman" w:cs="Times New Roman" w:eastAsia="Times New Roman" w:hAnsi="Times New Roman"/>
          <w:sz w:val="18"/>
          <w:szCs w:val="18"/>
          <w:color w:val="auto"/>
        </w:rPr>
      </w:pPr>
    </w:p>
    <w:p>
      <w:pPr>
        <w:ind w:left="-20" w:firstLine="921"/>
        <w:spacing w:after="0" w:line="258" w:lineRule="auto"/>
        <w:tabs>
          <w:tab w:leader="none" w:pos="1137"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In the event of any transaction described in Sections10 or 11 of the Plan, the Repurchase Right shall apply to the new, substituted or additional capital stock or other property (including cash paid other than as a regular cash dividend) received in exchange for the Shares in consummation of any such transaction and such stock or property shall be deemed Additional Securities for purposes of this Agreement, but only to the extent the Shares are at the time covered by such Repurchase Right. Appropriate adjustments shall be made to the price per share payable upon exercise of the Repurchase Right to reflect the effect of any such transaction.</w:t>
      </w:r>
    </w:p>
    <w:p>
      <w:pPr>
        <w:spacing w:after="0" w:line="183" w:lineRule="exact"/>
        <w:rPr>
          <w:rFonts w:ascii="Times New Roman" w:cs="Times New Roman" w:eastAsia="Times New Roman" w:hAnsi="Times New Roman"/>
          <w:sz w:val="18"/>
          <w:szCs w:val="18"/>
          <w:color w:val="auto"/>
        </w:rPr>
      </w:pPr>
    </w:p>
    <w:p>
      <w:pPr>
        <w:jc w:val="both"/>
        <w:ind w:left="-20" w:right="620" w:firstLine="464"/>
        <w:spacing w:after="0" w:line="266" w:lineRule="auto"/>
        <w:tabs>
          <w:tab w:leader="none" w:pos="706"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In order to ensure compliance with the restrictions on transfer set forth in this Agreement, the Notice or the Plan, the Company may issue appropriate “stop transfer” instructions to its transfer agent, if any, and, if the Company transfers its own securities, it may make appropriate notations to the same effect in its own records.</w:t>
      </w:r>
    </w:p>
    <w:p>
      <w:pPr>
        <w:spacing w:after="0" w:line="176" w:lineRule="exact"/>
        <w:rPr>
          <w:rFonts w:ascii="Times New Roman" w:cs="Times New Roman" w:eastAsia="Times New Roman" w:hAnsi="Times New Roman"/>
          <w:sz w:val="18"/>
          <w:szCs w:val="18"/>
          <w:color w:val="auto"/>
        </w:rPr>
      </w:pPr>
    </w:p>
    <w:p>
      <w:pPr>
        <w:ind w:left="-20" w:right="100" w:firstLine="464"/>
        <w:spacing w:after="0" w:line="266" w:lineRule="auto"/>
        <w:tabs>
          <w:tab w:leader="none" w:pos="70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Times New Roman" w:cs="Times New Roman" w:eastAsia="Times New Roman" w:hAnsi="Times New Roman"/>
          <w:sz w:val="18"/>
          <w:szCs w:val="18"/>
          <w:color w:val="auto"/>
        </w:rPr>
      </w:pPr>
    </w:p>
    <w:p>
      <w:pPr>
        <w:ind w:left="-20" w:right="540" w:firstLine="464"/>
        <w:spacing w:after="0" w:line="266" w:lineRule="auto"/>
        <w:tabs>
          <w:tab w:leader="none" w:pos="706"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The Grantee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68" w:lineRule="exact"/>
        <w:rPr>
          <w:sz w:val="20"/>
          <w:szCs w:val="20"/>
          <w:color w:val="auto"/>
        </w:rPr>
      </w:pPr>
    </w:p>
    <w:p>
      <w:pPr>
        <w:ind w:left="900" w:right="14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72" w:lineRule="exact"/>
        <w:rPr>
          <w:sz w:val="20"/>
          <w:szCs w:val="20"/>
          <w:color w:val="auto"/>
        </w:rPr>
      </w:pPr>
    </w:p>
    <w:p>
      <w:pPr>
        <w:ind w:left="900" w:right="720"/>
        <w:spacing w:after="0" w:line="28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CERTAIN RESTRICTIONS ON TRANSFER AND A REPURCHASE RIGHT HELD BY THE ISSUER OR ITS ASSIGNEE(S) AS SET FORTH IN THE RESTRICTED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60" w:top="270" w:right="239" w:bottom="1440" w:gutter="0" w:footer="0" w:header="0"/>
        </w:sectPr>
      </w:pPr>
    </w:p>
    <w:bookmarkStart w:id="593" w:name="page594"/>
    <w:bookmarkEnd w:id="593"/>
    <w:p>
      <w:pPr>
        <w:ind w:left="8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PURCHASE AGREEMENT BETWEEN THE ISSUER AND THE ORIGINAL HOLDER OF THESE SHARES, A COPY OF WHICH MAY BE OBTAINED AT THE PRINCIPAL OFFICE OF THE ISSUER. SUCH TRANSFER RESTRICTIONS AND REPURCHASE RIGHT ARE BINDING ON TRANSFEREES OF THESE SHARES.</w:t>
      </w:r>
    </w:p>
    <w:p>
      <w:pPr>
        <w:spacing w:after="0" w:line="68" w:lineRule="exact"/>
        <w:rPr>
          <w:sz w:val="20"/>
          <w:szCs w:val="20"/>
          <w:color w:val="auto"/>
        </w:rPr>
      </w:pPr>
    </w:p>
    <w:p>
      <w:pPr>
        <w:ind w:left="840" w:right="720"/>
        <w:spacing w:after="0" w:line="28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RIGHT OF FIRST REFUSAL IN FAVOR OF THE COMPANY AS SET FORTH IN THE BYLAWS OF THE COMPANY</w:t>
      </w:r>
    </w:p>
    <w:p>
      <w:pPr>
        <w:spacing w:after="0" w:line="162" w:lineRule="exact"/>
        <w:rPr>
          <w:sz w:val="20"/>
          <w:szCs w:val="20"/>
          <w:color w:val="auto"/>
        </w:rPr>
      </w:pPr>
    </w:p>
    <w:p>
      <w:pPr>
        <w:ind w:left="660" w:hanging="276"/>
        <w:spacing w:after="0"/>
        <w:tabs>
          <w:tab w:leader="none" w:pos="660"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 w:right="20" w:firstLine="921"/>
        <w:spacing w:after="0" w:line="254" w:lineRule="auto"/>
        <w:tabs>
          <w:tab w:leader="none" w:pos="1077"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Grantee, if requested by the Company and the lead underwriter of any public offering of the Common Stock (the “Lead Underwriter”), hereby irrevocably agrees not to sell, contract to sell, grant any option to purchase, transfer the economic risk of ownership in, make any short sale of, pledge or otherwise transfer or dispose of any interest in any Common Stock or any securities convertible into or exchangeable or exercisable for or any other rights to purchase or acquire Common Stock (except Common Stock included in such public offering or acquired on the public market after such offering) during the 180-day period following the effective date of a registration statement of the Company filed under the Securities Act of 1933, as amended, or such shorter or longer period of time as the Lead Underwriter shall specify. The Grantee further agrees to sign such documents as may be requested by the Lead Underwriter to effect the foregoing and agrees that the Company may impose stop-transfer instructions with respect to such Common Stock subject until the end of such period. The Company and the Grantee acknowledge that each Lead Underwriter of a public offering of the Company’s stock, during the period of such offering and for the lock-up period thereafter, is an intended beneficiary of this Section 13.</w:t>
      </w:r>
    </w:p>
    <w:p>
      <w:pPr>
        <w:spacing w:after="0" w:line="189" w:lineRule="exact"/>
        <w:rPr>
          <w:rFonts w:ascii="Times New Roman" w:cs="Times New Roman" w:eastAsia="Times New Roman" w:hAnsi="Times New Roman"/>
          <w:sz w:val="18"/>
          <w:szCs w:val="18"/>
          <w:color w:val="auto"/>
        </w:rPr>
      </w:pPr>
    </w:p>
    <w:p>
      <w:pPr>
        <w:ind w:left="-80" w:firstLine="921"/>
        <w:spacing w:after="0" w:line="261" w:lineRule="auto"/>
        <w:tabs>
          <w:tab w:leader="none" w:pos="1088"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 Without Consent of Underwriter</w:t>
      </w:r>
      <w:r>
        <w:rPr>
          <w:rFonts w:ascii="Times New Roman" w:cs="Times New Roman" w:eastAsia="Times New Roman" w:hAnsi="Times New Roman"/>
          <w:sz w:val="18"/>
          <w:szCs w:val="18"/>
          <w:color w:val="auto"/>
        </w:rPr>
        <w:t>. During the period from identification as a Lead Underwriter in connection with any public offering of the Company’s Common Stock until the earlier of (i) the expiration of the lock-up period specified in Section 13(a) in connection with such offering or (ii) the abandonment of such offering by the Company and the Lead Underwriter, the provisions of this Section 13 may not be amended or waived except with the consent of the Lead Underwriter.</w:t>
      </w:r>
    </w:p>
    <w:p>
      <w:pPr>
        <w:spacing w:after="0" w:line="180" w:lineRule="exact"/>
        <w:rPr>
          <w:rFonts w:ascii="Times New Roman" w:cs="Times New Roman" w:eastAsia="Times New Roman" w:hAnsi="Times New Roman"/>
          <w:sz w:val="18"/>
          <w:szCs w:val="18"/>
          <w:color w:val="auto"/>
        </w:rPr>
      </w:pPr>
    </w:p>
    <w:p>
      <w:pPr>
        <w:ind w:left="-80" w:right="340" w:firstLine="464"/>
        <w:spacing w:after="0" w:line="266" w:lineRule="auto"/>
        <w:tabs>
          <w:tab w:leader="none" w:pos="646"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Grantee’s Representations</w:t>
      </w:r>
      <w:r>
        <w:rPr>
          <w:rFonts w:ascii="Times New Roman" w:cs="Times New Roman" w:eastAsia="Times New Roman" w:hAnsi="Times New Roman"/>
          <w:sz w:val="18"/>
          <w:szCs w:val="18"/>
          <w:color w:val="auto"/>
        </w:rPr>
        <w:t xml:space="preserve">. In the event the Shares purchasable pursuant to this Agreement have not been registered under the Securities Act of 1933, as amended, at the time of purchase, the Grantee shall, if required by the Company, concurrently with the purchase of the Shares, deliver to the Company his or her Investment Representation Statement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80" w:right="40" w:firstLine="464"/>
        <w:spacing w:after="0" w:line="266" w:lineRule="auto"/>
        <w:tabs>
          <w:tab w:leader="none" w:pos="646"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320" w:top="269" w:right="299" w:bottom="1440" w:gutter="0" w:footer="0" w:header="0"/>
        </w:sectPr>
      </w:pPr>
    </w:p>
    <w:bookmarkStart w:id="594" w:name="page595"/>
    <w:bookmarkEnd w:id="59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except by means of a writing signed by the Company and the Grantee. These agreements are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parties. Should any provision of the Notice or this Agreement be determined to be illegal or unenforceable, the other provisions shall nevertheless remain effective and shall remain enforceable.</w:t>
      </w:r>
    </w:p>
    <w:p>
      <w:pPr>
        <w:spacing w:after="0" w:line="180" w:lineRule="exact"/>
        <w:rPr>
          <w:sz w:val="20"/>
          <w:szCs w:val="20"/>
          <w:color w:val="auto"/>
        </w:rPr>
      </w:pPr>
    </w:p>
    <w:p>
      <w:pPr>
        <w:ind w:right="60" w:firstLine="464"/>
        <w:spacing w:after="0" w:line="266" w:lineRule="auto"/>
        <w:tabs>
          <w:tab w:leader="none" w:pos="72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captions used in the Notice and this Agreement are inserted for convenience and shall not be deemed a part of the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jc w:val="both"/>
        <w:ind w:right="100" w:firstLine="464"/>
        <w:spacing w:after="0" w:line="266" w:lineRule="auto"/>
        <w:tabs>
          <w:tab w:leader="none" w:pos="72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Interpretation</w:t>
      </w:r>
      <w:r>
        <w:rPr>
          <w:rFonts w:ascii="Times New Roman" w:cs="Times New Roman" w:eastAsia="Times New Roman" w:hAnsi="Times New Roman"/>
          <w:sz w:val="18"/>
          <w:szCs w:val="18"/>
          <w:color w:val="auto"/>
        </w:rPr>
        <w:t>.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w:t>
      </w:r>
    </w:p>
    <w:p>
      <w:pPr>
        <w:spacing w:after="0" w:line="176" w:lineRule="exact"/>
        <w:rPr>
          <w:rFonts w:ascii="Times New Roman" w:cs="Times New Roman" w:eastAsia="Times New Roman" w:hAnsi="Times New Roman"/>
          <w:sz w:val="18"/>
          <w:szCs w:val="18"/>
          <w:color w:val="auto"/>
        </w:rPr>
      </w:pPr>
    </w:p>
    <w:p>
      <w:pPr>
        <w:ind w:firstLine="464"/>
        <w:spacing w:after="0" w:line="255" w:lineRule="auto"/>
        <w:tabs>
          <w:tab w:leader="none" w:pos="72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The Company, the Grantee, and the Grantee’s assignees pursuant to Section 3 (the “parties”) agree that any suit, action, or proceeding arising out of or relating to the Notice, the Plan or this Agreement shall be brought in the United States District Court for the Northern District of California (or should such court lack jurisdiction to hear such action, suit or proceeding, in a California state court in the County of Santa Clara)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18 shall for any reason be held invalid or unenforceable, it is the specific intent of the parties that such provisions shall be modified to the minimum extent necessary to make it or its application valid and enforceable.</w:t>
      </w:r>
    </w:p>
    <w:p>
      <w:pPr>
        <w:spacing w:after="0" w:line="189" w:lineRule="exact"/>
        <w:rPr>
          <w:rFonts w:ascii="Times New Roman" w:cs="Times New Roman" w:eastAsia="Times New Roman" w:hAnsi="Times New Roman"/>
          <w:sz w:val="18"/>
          <w:szCs w:val="18"/>
          <w:color w:val="auto"/>
        </w:rPr>
      </w:pPr>
    </w:p>
    <w:p>
      <w:pPr>
        <w:ind w:right="60" w:firstLine="464"/>
        <w:spacing w:after="0" w:line="261" w:lineRule="auto"/>
        <w:tabs>
          <w:tab w:leader="none" w:pos="72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180" w:lineRule="exact"/>
        <w:rPr>
          <w:rFonts w:ascii="Times New Roman" w:cs="Times New Roman" w:eastAsia="Times New Roman" w:hAnsi="Times New Roman"/>
          <w:sz w:val="18"/>
          <w:szCs w:val="18"/>
          <w:color w:val="auto"/>
        </w:rPr>
      </w:pPr>
    </w:p>
    <w:p>
      <w:pPr>
        <w:ind w:right="160" w:firstLine="464"/>
        <w:spacing w:after="0" w:line="282" w:lineRule="auto"/>
        <w:tabs>
          <w:tab w:leader="none" w:pos="72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Grantee shall cause his or her spouse to execute a Consent of Spouse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concurrently with the execution of this Agreement or, if later, at the time Grantee becomes married.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9" w:right="259" w:bottom="1440" w:gutter="0" w:footer="0" w:header="0"/>
        </w:sectPr>
      </w:pPr>
    </w:p>
    <w:bookmarkStart w:id="595" w:name="page596"/>
    <w:bookmarkEnd w:id="59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 ASSIGNMENT SEPARATE FROM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sign this document but do not date it. The date and information of the transferee will be completed if and when the shares are assigned.]</w:t>
      </w:r>
    </w:p>
    <w:p>
      <w:pPr>
        <w:spacing w:after="0" w:line="229" w:lineRule="exact"/>
        <w:rPr>
          <w:sz w:val="20"/>
          <w:szCs w:val="20"/>
          <w:color w:val="auto"/>
        </w:rPr>
      </w:pPr>
    </w:p>
    <w:p>
      <w:pPr>
        <w:ind w:left="920"/>
        <w:spacing w:after="0"/>
        <w:tabs>
          <w:tab w:leader="none" w:pos="4760" w:val="left"/>
          <w:tab w:leader="none" w:pos="940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sells, assigns and transfers unto</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600" w:hanging="592"/>
        <w:spacing w:after="0"/>
        <w:tabs>
          <w:tab w:leader="none" w:pos="60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the Common Stock of Ardelyx, Inc., a Delaware corporation (the “Company”), standing in his or her name on the books of, the Company</w:t>
      </w:r>
    </w:p>
    <w:p>
      <w:pPr>
        <w:spacing w:after="0" w:line="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represented by Certificate No. herewith, and does hereby irrevocably constitute and appoint the Secretary of the Company attorney to transfer the said stock in the books of the Company with full power of substitution.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97561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97561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309245</wp:posOffset>
            </wp:positionV>
            <wp:extent cx="296735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20"/>
          </w:cols>
          <w:pgMar w:left="240" w:top="266" w:right="339" w:bottom="1440" w:gutter="0" w:footer="0" w:header="0"/>
        </w:sectPr>
      </w:pPr>
    </w:p>
    <w:bookmarkStart w:id="596" w:name="page597"/>
    <w:bookmarkEnd w:id="59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ELECTION UNDER SECTION 83(b)</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 THE INTERNAL REVENUE CODE OF 1986</w:t>
      </w:r>
    </w:p>
    <w:p>
      <w:pPr>
        <w:spacing w:after="0" w:line="207"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undersigned taxpayer hereby elects, pursuant to the Internal Revenue Code, to include in gross income for 20 the amount of any compensation taxable in connection with the taxpayer’s receipt of the property described below:</w:t>
      </w:r>
    </w:p>
    <w:p>
      <w:pPr>
        <w:spacing w:after="0" w:line="162" w:lineRule="exact"/>
        <w:rPr>
          <w:sz w:val="20"/>
          <w:szCs w:val="20"/>
          <w:color w:val="auto"/>
        </w:rPr>
      </w:pPr>
    </w:p>
    <w:p>
      <w:pPr>
        <w:ind w:left="640" w:hanging="176"/>
        <w:spacing w:after="0"/>
        <w:tabs>
          <w:tab w:leader="none" w:pos="64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taxpayer identification number and taxable year of the undersigned are:</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NAME:</w:t>
      </w:r>
    </w:p>
    <w:p>
      <w:pPr>
        <w:spacing w:after="0" w:line="225" w:lineRule="exact"/>
        <w:rPr>
          <w:rFonts w:ascii="Times New Roman" w:cs="Times New Roman" w:eastAsia="Times New Roman" w:hAnsi="Times New Roman"/>
          <w:sz w:val="18"/>
          <w:szCs w:val="18"/>
          <w:color w:val="auto"/>
        </w:rPr>
      </w:pPr>
    </w:p>
    <w:p>
      <w:pPr>
        <w:ind w:left="460" w:right="78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TAXPAYER’S SOCIAL SECURITY NO.: SPOUSE’S SOCIAL SECURITY NO.: TAXABLE YEAR: Calendar Year 20</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11360"/>
          </w:cols>
          <w:pgMar w:left="240" w:top="266" w:right="29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 The property which is the subject of this election is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 Ardelyx, Inc.</w:t>
      </w:r>
    </w:p>
    <w:p>
      <w:pPr>
        <w:spacing w:after="0" w:line="200" w:lineRule="exact"/>
        <w:rPr>
          <w:sz w:val="20"/>
          <w:szCs w:val="20"/>
          <w:color w:val="auto"/>
        </w:rPr>
      </w:pPr>
    </w:p>
    <w:p>
      <w:pPr>
        <w:sectPr>
          <w:pgSz w:w="11900" w:h="16838" w:orient="portrait"/>
          <w:cols w:equalWidth="0" w:num="2">
            <w:col w:w="4420" w:space="720"/>
            <w:col w:w="6220"/>
          </w:cols>
          <w:pgMar w:left="240" w:top="266" w:right="29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 The property was transferred to the undersigned 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11" w:lineRule="exact"/>
        <w:rPr>
          <w:sz w:val="20"/>
          <w:szCs w:val="20"/>
          <w:color w:val="auto"/>
        </w:rPr>
      </w:pPr>
    </w:p>
    <w:p>
      <w:pPr>
        <w:sectPr>
          <w:pgSz w:w="11900" w:h="16838" w:orient="portrait"/>
          <w:cols w:equalWidth="0" w:num="3">
            <w:col w:w="4320" w:space="600"/>
            <w:col w:w="260" w:space="180"/>
            <w:col w:w="6000"/>
          </w:cols>
          <w:pgMar w:left="240" w:top="266" w:right="299" w:bottom="1440" w:gutter="0" w:footer="0" w:header="0"/>
          <w:type w:val="continuous"/>
        </w:sectPr>
      </w:pPr>
    </w:p>
    <w:p>
      <w:pPr>
        <w:spacing w:after="0" w:line="37" w:lineRule="exact"/>
        <w:rPr>
          <w:sz w:val="20"/>
          <w:szCs w:val="20"/>
          <w:color w:val="auto"/>
        </w:rPr>
      </w:pPr>
    </w:p>
    <w:p>
      <w:pPr>
        <w:ind w:firstLine="464"/>
        <w:spacing w:after="0" w:line="266" w:lineRule="auto"/>
        <w:tabs>
          <w:tab w:leader="none" w:pos="636"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the following restrictions: The property is subject to a repurchase right pursuant to which the issuer has the right to acquire the property at the original purchase price if for any reason taxpayer’s employment or service with the issuer is terminated. The issuer’s repurchase right lapses in a series of periodic installments.</w:t>
      </w:r>
    </w:p>
    <w:p>
      <w:pPr>
        <w:ind w:left="640" w:hanging="176"/>
        <w:spacing w:after="0"/>
        <w:tabs>
          <w:tab w:leader="none" w:pos="64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property at the time of transfer (determined without regard to any restriction other than a restriction which by its terms</w:t>
      </w:r>
    </w:p>
    <w:p>
      <w:pPr>
        <w:spacing w:after="0" w:line="196" w:lineRule="exact"/>
        <w:rPr>
          <w:sz w:val="20"/>
          <w:szCs w:val="20"/>
          <w:color w:val="auto"/>
        </w:rPr>
      </w:pPr>
    </w:p>
    <w:p>
      <w:pPr>
        <w:spacing w:after="0"/>
        <w:tabs>
          <w:tab w:leader="none" w:pos="1940" w:val="left"/>
          <w:tab w:leader="none" w:pos="3540" w:val="left"/>
          <w:tab w:leader="none" w:pos="4640" w:val="left"/>
        </w:tabs>
        <w:rPr>
          <w:sz w:val="20"/>
          <w:szCs w:val="20"/>
          <w:color w:val="auto"/>
        </w:rPr>
      </w:pPr>
      <w:r>
        <w:rPr>
          <w:rFonts w:ascii="Times New Roman" w:cs="Times New Roman" w:eastAsia="Times New Roman" w:hAnsi="Times New Roman"/>
          <w:sz w:val="18"/>
          <w:szCs w:val="18"/>
          <w:color w:val="auto"/>
        </w:rPr>
        <w:t>will never lapse) is: $</w:t>
      </w:r>
      <w:r>
        <w:rPr>
          <w:sz w:val="20"/>
          <w:szCs w:val="20"/>
          <w:color w:val="auto"/>
        </w:rPr>
        <w:tab/>
      </w:r>
      <w:r>
        <w:rPr>
          <w:rFonts w:ascii="Times New Roman" w:cs="Times New Roman" w:eastAsia="Times New Roman" w:hAnsi="Times New Roman"/>
          <w:sz w:val="18"/>
          <w:szCs w:val="18"/>
          <w:color w:val="auto"/>
        </w:rPr>
        <w:t>per share x</w:t>
      </w:r>
      <w:r>
        <w:rPr>
          <w:sz w:val="20"/>
          <w:szCs w:val="20"/>
          <w:color w:val="auto"/>
        </w:rPr>
        <w:tab/>
      </w:r>
      <w:r>
        <w:rPr>
          <w:rFonts w:ascii="Times New Roman" w:cs="Times New Roman" w:eastAsia="Times New Roman" w:hAnsi="Times New Roman"/>
          <w:sz w:val="18"/>
          <w:szCs w:val="18"/>
          <w:color w:val="auto"/>
        </w:rPr>
        <w:t>shares = $</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360"/>
          </w:cols>
          <w:pgMar w:left="240" w:top="266" w:right="299" w:bottom="1440" w:gutter="0" w:footer="0" w:header="0"/>
          <w:type w:val="continuous"/>
        </w:sectPr>
      </w:pP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The undersigned paid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for the property transferred or a total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2340" w:space="400"/>
            <w:col w:w="880" w:space="720"/>
            <w:col w:w="3460" w:space="360"/>
            <w:col w:w="3200"/>
          </w:cols>
          <w:pgMar w:left="240" w:top="266" w:right="299" w:bottom="1440" w:gutter="0" w:footer="0" w:header="0"/>
          <w:type w:val="continuous"/>
        </w:sectPr>
      </w:pPr>
    </w:p>
    <w:p>
      <w:pPr>
        <w:spacing w:after="0" w:line="25" w:lineRule="exact"/>
        <w:rPr>
          <w:sz w:val="20"/>
          <w:szCs w:val="20"/>
          <w:color w:val="auto"/>
        </w:rPr>
      </w:pPr>
    </w:p>
    <w:p>
      <w:pPr>
        <w:jc w:val="both"/>
        <w:ind w:right="400" w:firstLine="456"/>
        <w:spacing w:after="0" w:line="313" w:lineRule="auto"/>
        <w:rPr>
          <w:sz w:val="20"/>
          <w:szCs w:val="20"/>
          <w:color w:val="auto"/>
        </w:rPr>
      </w:pPr>
      <w:r>
        <w:rPr>
          <w:rFonts w:ascii="Times New Roman" w:cs="Times New Roman" w:eastAsia="Times New Roman" w:hAnsi="Times New Roman"/>
          <w:sz w:val="17"/>
          <w:szCs w:val="17"/>
          <w:color w:val="auto"/>
        </w:rPr>
        <w:t>The undersigned has submitted a copy of this statement to the person for whom the services were performed in connection with the undersigned’s receipt of the above-described property. The undersigned taxpayer is the person performing the services in connection with the transfer of said property.</w:t>
      </w:r>
    </w:p>
    <w:p>
      <w:pPr>
        <w:spacing w:after="0" w:line="13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undersigned will file this election with the Internal Revenue Service office to which he or she files his or her annual income tax return not later than 30 days after the date of transfer of the property. A copy of the election also will be furnished to the person for whom the services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40" w:top="266" w:right="299" w:bottom="1440" w:gutter="0" w:footer="0" w:header="0"/>
          <w:type w:val="continuous"/>
        </w:sectPr>
      </w:pPr>
    </w:p>
    <w:bookmarkStart w:id="597" w:name="page598"/>
    <w:bookmarkEnd w:id="59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were performed. Additionally, the undersigned will include a copy of the election with his or her income tax return for the taxable year in which the property is transferred. The undersigned understands that this election will also be effective as an election under California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686054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Taxpayer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00"/>
          </w:cols>
          <w:pgMar w:left="240" w:top="269" w:right="359" w:bottom="1440" w:gutter="0" w:footer="0" w:header="0"/>
        </w:sectPr>
      </w:pPr>
    </w:p>
    <w:bookmarkStart w:id="598" w:name="page599"/>
    <w:bookmarkEnd w:id="598"/>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EXHIBIT C</w:t>
            </w:r>
          </w:p>
        </w:tc>
      </w:tr>
      <w:tr>
        <w:trPr>
          <w:trHeight w:val="432"/>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ARDELYX, INC. 2008 STOCK INCENTIVE PLAN</w:t>
            </w:r>
          </w:p>
        </w:tc>
      </w:tr>
      <w:tr>
        <w:trPr>
          <w:trHeight w:val="432"/>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INVESTMENT REPRESENTATION STATEMENT</w:t>
            </w:r>
          </w:p>
        </w:tc>
      </w:tr>
      <w:tr>
        <w:trPr>
          <w:trHeight w:val="45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r>
        <w:trPr>
          <w:trHeight w:val="33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ARDELYX, INC.</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1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COMMON STOCK</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r>
        <w:trPr>
          <w:trHeight w:val="33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connection with the purchase of the above-listed Securities, the undersigned Grantee represents to the Company the following:</w:t>
      </w:r>
    </w:p>
    <w:p>
      <w:pPr>
        <w:spacing w:after="0" w:line="225" w:lineRule="exact"/>
        <w:rPr>
          <w:sz w:val="20"/>
          <w:szCs w:val="20"/>
          <w:color w:val="auto"/>
        </w:rPr>
      </w:pPr>
    </w:p>
    <w:p>
      <w:pPr>
        <w:ind w:right="20" w:firstLine="921"/>
        <w:spacing w:after="0" w:line="261" w:lineRule="auto"/>
        <w:tabs>
          <w:tab w:leader="none" w:pos="1158"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aware of the Company’s business affairs and financial condition and has acquired sufficient information about the Company to reach an informed and knowledgeable decision to acquire the Securities. The Grantee is acquiring these Securities for investment for the Grantee’s own account only and not with a view to, or for resale in connection with, any “distribution” thereof within the meaning of the Securities Act of 1933, as amended (the “Securities Act”).</w:t>
      </w:r>
    </w:p>
    <w:p>
      <w:pPr>
        <w:spacing w:after="0" w:line="180"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the Grantee’s investment intent as expressed herein. In this connection, the Grantee understands that, in the view of the Securities and Exchange Commission, the statutory basis for such exemption may be unavailable if the Grantee’s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The Grantee further understands that the Securities must be held indefinitely unless they are subsequently registered under the Securities Act or an exemption from such registration is available. The Grantee further acknowledges and understands that the Company is under no obligation to register the Securities. The Grantee understands that the certificate evidencing the Securities will be imprinted with a legend which prohibits the transfer of the Securities unless they are registered or such registration is not required in the opinion of counsel satisfactory to the Company.</w:t>
      </w:r>
    </w:p>
    <w:p>
      <w:pPr>
        <w:spacing w:after="0" w:line="186" w:lineRule="exact"/>
        <w:rPr>
          <w:rFonts w:ascii="Times New Roman" w:cs="Times New Roman" w:eastAsia="Times New Roman" w:hAnsi="Times New Roman"/>
          <w:sz w:val="18"/>
          <w:szCs w:val="18"/>
          <w:color w:val="auto"/>
        </w:rPr>
      </w:pPr>
    </w:p>
    <w:p>
      <w:pPr>
        <w:ind w:right="40" w:firstLine="921"/>
        <w:spacing w:after="0" w:line="266" w:lineRule="auto"/>
        <w:tabs>
          <w:tab w:leader="none" w:pos="1158"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5" w:right="239" w:bottom="1440" w:gutter="0" w:footer="0" w:header="0"/>
        </w:sectPr>
      </w:pPr>
    </w:p>
    <w:bookmarkStart w:id="599" w:name="page600"/>
    <w:bookmarkEnd w:id="59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qualifies under Rule 701 at the time of the sale of the Shares to the Grantee, the sale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the event that the Company does not qualify under Rule 701 at the time of sale of the Securities, then the Securities may be resold in certain limited circumstances subject to the provisions of Rule 144, which requires the resale to occur not less than six (6) months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one (1) year, the satisfaction of the conditions set forth in sections (1), (2), (3) and (4) of the paragraph immediately above.</w:t>
      </w:r>
    </w:p>
    <w:p>
      <w:pPr>
        <w:spacing w:after="0" w:line="76" w:lineRule="exact"/>
        <w:rPr>
          <w:sz w:val="20"/>
          <w:szCs w:val="20"/>
          <w:color w:val="auto"/>
        </w:rPr>
      </w:pPr>
    </w:p>
    <w:p>
      <w:pPr>
        <w:ind w:right="40" w:firstLine="921"/>
        <w:spacing w:after="0" w:line="256" w:lineRule="auto"/>
        <w:tabs>
          <w:tab w:leader="none" w:pos="1168"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The Grantee understands that no assurances can be given that any such other registration exemption will be available in such event.</w:t>
      </w:r>
    </w:p>
    <w:p>
      <w:pPr>
        <w:spacing w:after="0" w:line="80" w:lineRule="exact"/>
        <w:rPr>
          <w:sz w:val="20"/>
          <w:szCs w:val="20"/>
          <w:color w:val="auto"/>
        </w:rPr>
      </w:pPr>
    </w:p>
    <w:p>
      <w:pPr>
        <w:ind w:left="920"/>
        <w:spacing w:after="0"/>
        <w:tabs>
          <w:tab w:leader="none" w:pos="7780" w:val="left"/>
        </w:tabs>
        <w:rPr>
          <w:sz w:val="20"/>
          <w:szCs w:val="20"/>
          <w:color w:val="auto"/>
        </w:rPr>
      </w:pPr>
      <w:r>
        <w:rPr>
          <w:rFonts w:ascii="Times New Roman" w:cs="Times New Roman" w:eastAsia="Times New Roman" w:hAnsi="Times New Roman"/>
          <w:sz w:val="18"/>
          <w:szCs w:val="18"/>
          <w:color w:val="auto"/>
        </w:rPr>
        <w:t>(e) The Grantee represents that the Grantee is a resident of the state of</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 of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600" w:name="page601"/>
    <w:bookmarkEnd w:id="60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SPOUSE</w:t>
      </w:r>
    </w:p>
    <w:p>
      <w:pPr>
        <w:spacing w:after="0" w:line="229" w:lineRule="exact"/>
        <w:rPr>
          <w:sz w:val="20"/>
          <w:szCs w:val="20"/>
          <w:color w:val="auto"/>
        </w:rPr>
      </w:pPr>
    </w:p>
    <w:p>
      <w:pPr>
        <w:ind w:left="460"/>
        <w:spacing w:after="0"/>
        <w:tabs>
          <w:tab w:leader="none" w:pos="2400" w:val="left"/>
          <w:tab w:leader="none" w:pos="50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spouse of</w:t>
      </w:r>
      <w:r>
        <w:rPr>
          <w:sz w:val="20"/>
          <w:szCs w:val="20"/>
          <w:color w:val="auto"/>
        </w:rPr>
        <w:tab/>
      </w:r>
      <w:r>
        <w:rPr>
          <w:rFonts w:ascii="Times New Roman" w:cs="Times New Roman" w:eastAsia="Times New Roman" w:hAnsi="Times New Roman"/>
          <w:sz w:val="17"/>
          <w:szCs w:val="17"/>
          <w:color w:val="auto"/>
        </w:rPr>
        <w:t>, have read and approved the foregoing Agreement. In consideration of the right of my</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spouse to purchase shares of Ardelyx, Inc. as set forth in the Agreement, I hereby appoint my spouse as my attorney-in-fact in respect to the exercise of any rights under the Agreement insofar as I may have any rights under the community property laws of the State of California or similar laws relating to marital property in effect in the state of our residence as of the date of the signing of the foregoing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686054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266" w:right="399" w:bottom="1440" w:gutter="0" w:footer="0" w:header="0"/>
        </w:sectPr>
      </w:pPr>
    </w:p>
    <w:bookmarkStart w:id="601" w:name="page602"/>
    <w:bookmarkEnd w:id="601"/>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color w:val="auto"/>
        </w:rPr>
        <w:t>This Executive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February 17, 2009, by and between Michael Raab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the Company desires to employ Executive to provide personal services to the Company, and wishes to provide Executive with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benefits in return for Executive’s services; and</w:t>
      </w:r>
    </w:p>
    <w:p>
      <w:pPr>
        <w:spacing w:after="0" w:line="155"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HEREAS</w:t>
      </w:r>
      <w:r>
        <w:rPr>
          <w:rFonts w:ascii="Times New Roman" w:cs="Times New Roman" w:eastAsia="Times New Roman" w:hAnsi="Times New Roman"/>
          <w:sz w:val="18"/>
          <w:szCs w:val="18"/>
          <w:color w:val="auto"/>
        </w:rPr>
        <w:t>, Executive wishes to be employed by the Company and provide personal services to the Company in return for certain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w:t>
      </w:r>
    </w:p>
    <w:p>
      <w:pPr>
        <w:spacing w:after="0" w:line="155"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5"/>
          <w:szCs w:val="15"/>
          <w:b w:val="1"/>
          <w:bCs w:val="1"/>
          <w:color w:val="auto"/>
        </w:rPr>
        <w:t>HEREFORE</w:t>
      </w:r>
      <w:r>
        <w:rPr>
          <w:rFonts w:ascii="Times New Roman" w:cs="Times New Roman" w:eastAsia="Times New Roman" w:hAnsi="Times New Roman"/>
          <w:sz w:val="18"/>
          <w:szCs w:val="18"/>
          <w:color w:val="auto"/>
        </w:rPr>
        <w:t>, in consideration of the mutual promises and covenants contained herein, it is hereby agreed by and between the parties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the Agreement, the following terms are defined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any of the following events described below:</w:t>
      </w:r>
    </w:p>
    <w:p>
      <w:pPr>
        <w:spacing w:after="0" w:line="229" w:lineRule="exact"/>
        <w:rPr>
          <w:sz w:val="20"/>
          <w:szCs w:val="20"/>
          <w:color w:val="auto"/>
        </w:rPr>
      </w:pPr>
    </w:p>
    <w:p>
      <w:pPr>
        <w:ind w:left="720" w:hanging="256"/>
        <w:spacing w:after="0"/>
        <w:tabs>
          <w:tab w:leader="none" w:pos="720"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Executive’s theft, dishonesty or falsification of any employment or Company records that is non-trivial in nature;</w:t>
      </w:r>
    </w:p>
    <w:p>
      <w:pPr>
        <w:spacing w:after="0" w:line="225" w:lineRule="exact"/>
        <w:rPr>
          <w:rFonts w:ascii="Times New Roman" w:cs="Times New Roman" w:eastAsia="Times New Roman" w:hAnsi="Times New Roman"/>
          <w:sz w:val="18"/>
          <w:szCs w:val="18"/>
          <w:b w:val="1"/>
          <w:bCs w:val="1"/>
          <w:color w:val="auto"/>
        </w:rPr>
      </w:pPr>
    </w:p>
    <w:p>
      <w:pPr>
        <w:ind w:right="280" w:firstLine="464"/>
        <w:spacing w:after="0" w:line="282" w:lineRule="auto"/>
        <w:tabs>
          <w:tab w:leader="none" w:pos="721"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malicious or reckless disclosure of the Company’s confidential or proprietary information or any material breach by Executive of his obligations under the Confidential Information Agreement;</w:t>
      </w:r>
    </w:p>
    <w:p>
      <w:pPr>
        <w:spacing w:after="0" w:line="161" w:lineRule="exact"/>
        <w:rPr>
          <w:rFonts w:ascii="Times New Roman" w:cs="Times New Roman" w:eastAsia="Times New Roman" w:hAnsi="Times New Roman"/>
          <w:sz w:val="18"/>
          <w:szCs w:val="18"/>
          <w:b w:val="1"/>
          <w:bCs w:val="1"/>
          <w:color w:val="auto"/>
        </w:rPr>
      </w:pPr>
    </w:p>
    <w:p>
      <w:pPr>
        <w:jc w:val="both"/>
        <w:ind w:firstLine="464"/>
        <w:spacing w:after="0" w:line="258" w:lineRule="auto"/>
        <w:tabs>
          <w:tab w:leader="none" w:pos="701"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conviction of the Executive of a felony (excluding motor vehicle violations) or the commission of gross negligence or willful misconduct, where a majority of the non-employee members of the Board reasonably determines that such act or misconduct has (i) seriously undermined the ability of the Board or management of the Company to entrust Executive with important matters or otherwise work effectively with Executive, (ii) substantially contributed to the Company’s loss of significant revenues or business opportunities, or (iii) significantly and detrimentally affected the business or reputation of the Company or any of its subsidiaries; and/or</w:t>
      </w:r>
    </w:p>
    <w:p>
      <w:pPr>
        <w:spacing w:after="0" w:line="183" w:lineRule="exact"/>
        <w:rPr>
          <w:rFonts w:ascii="Times New Roman" w:cs="Times New Roman" w:eastAsia="Times New Roman" w:hAnsi="Times New Roman"/>
          <w:sz w:val="18"/>
          <w:szCs w:val="18"/>
          <w:b w:val="1"/>
          <w:bCs w:val="1"/>
          <w:color w:val="auto"/>
        </w:rPr>
      </w:pPr>
    </w:p>
    <w:p>
      <w:pPr>
        <w:ind w:firstLine="464"/>
        <w:spacing w:after="0" w:line="266" w:lineRule="auto"/>
        <w:tabs>
          <w:tab w:leader="none" w:pos="721"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willful failure or refusal by Executive to follow the reasonable and lawful directives of the Board, provided such willful failure or refusal continues after Executive’s receipt of reasonable notice in writing of such failure or refusal and a reasonable opportunity of not less than 30 days to correct the problem.</w:t>
      </w:r>
    </w:p>
    <w:p>
      <w:pPr>
        <w:sectPr>
          <w:pgSz w:w="11900" w:h="16838" w:orient="portrait"/>
          <w:cols w:equalWidth="0" w:num="1">
            <w:col w:w="11420"/>
          </w:cols>
          <w:pgMar w:left="240" w:top="117" w:right="239" w:bottom="1440" w:gutter="0" w:footer="0" w:header="0"/>
        </w:sectPr>
      </w:pPr>
    </w:p>
    <w:bookmarkStart w:id="602" w:name="page603"/>
    <w:bookmarkEnd w:id="602"/>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 of this Agreement, no act, or failure to act, shall be considered “willful” unless undertaken by Executive with an absence of good faith that this act, or failure to act, was in the best interests of the Company.</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 provided that the event will constitute a change in the ownership or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the Company or a change in the ownership of a substantial portion of the assets of the Company, as described in Treasury Regulation Section 1.409A-3(i)(5):</w:t>
      </w:r>
    </w:p>
    <w:p>
      <w:pPr>
        <w:spacing w:after="0" w:line="175" w:lineRule="exact"/>
        <w:rPr>
          <w:sz w:val="20"/>
          <w:szCs w:val="20"/>
          <w:color w:val="auto"/>
        </w:rPr>
      </w:pPr>
    </w:p>
    <w:p>
      <w:pPr>
        <w:ind w:firstLine="464"/>
        <w:spacing w:after="0" w:line="258" w:lineRule="auto"/>
        <w:tabs>
          <w:tab w:leader="none" w:pos="711" w:val="left"/>
        </w:tabs>
        <w:numPr>
          <w:ilvl w:val="0"/>
          <w:numId w:val="7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controlling surviving entity outstanding immediately after such business combination; or</w:t>
      </w:r>
    </w:p>
    <w:p>
      <w:pPr>
        <w:spacing w:after="0" w:line="183" w:lineRule="exact"/>
        <w:rPr>
          <w:rFonts w:ascii="Times New Roman" w:cs="Times New Roman" w:eastAsia="Times New Roman" w:hAnsi="Times New Roman"/>
          <w:sz w:val="18"/>
          <w:szCs w:val="18"/>
          <w:b w:val="1"/>
          <w:bCs w:val="1"/>
          <w:color w:val="auto"/>
        </w:rPr>
      </w:pPr>
    </w:p>
    <w:p>
      <w:pPr>
        <w:ind w:right="600" w:firstLine="464"/>
        <w:spacing w:after="0" w:line="282" w:lineRule="auto"/>
        <w:tabs>
          <w:tab w:leader="none" w:pos="721" w:val="left"/>
        </w:tabs>
        <w:numPr>
          <w:ilvl w:val="0"/>
          <w:numId w:val="7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 lease, exchange or other transfer or disposition by the Company of all or substantially all (more than seventy percent (70%)) of the Company’s assets by value; or</w:t>
      </w:r>
    </w:p>
    <w:p>
      <w:pPr>
        <w:spacing w:after="0" w:line="161" w:lineRule="exact"/>
        <w:rPr>
          <w:rFonts w:ascii="Times New Roman" w:cs="Times New Roman" w:eastAsia="Times New Roman" w:hAnsi="Times New Roman"/>
          <w:sz w:val="18"/>
          <w:szCs w:val="18"/>
          <w:b w:val="1"/>
          <w:bCs w:val="1"/>
          <w:color w:val="auto"/>
        </w:rPr>
      </w:pPr>
    </w:p>
    <w:p>
      <w:pPr>
        <w:ind w:right="20" w:firstLine="464"/>
        <w:spacing w:after="0" w:line="258" w:lineRule="auto"/>
        <w:tabs>
          <w:tab w:leader="none" w:pos="701" w:val="left"/>
        </w:tabs>
        <w:numPr>
          <w:ilvl w:val="0"/>
          <w:numId w:val="7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Ardelyx, Inc. or any successor thereto.</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 Agreement</w:t>
      </w:r>
      <w:r>
        <w:rPr>
          <w:rFonts w:ascii="Times New Roman" w:cs="Times New Roman" w:eastAsia="Times New Roman" w:hAnsi="Times New Roman"/>
          <w:sz w:val="18"/>
          <w:szCs w:val="18"/>
          <w:color w:val="auto"/>
        </w:rPr>
        <w:t>” means the Company’s form of Proprietary Information and Inventions Assignment Agreement to be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Executive contemporaneously with the execution of this Agreement.</w:t>
      </w:r>
    </w:p>
    <w:p>
      <w:pPr>
        <w:spacing w:after="0" w:line="155"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 “Convertible Securities” </w:t>
      </w:r>
      <w:r>
        <w:rPr>
          <w:rFonts w:ascii="Times New Roman" w:cs="Times New Roman" w:eastAsia="Times New Roman" w:hAnsi="Times New Roman"/>
          <w:sz w:val="18"/>
          <w:szCs w:val="18"/>
          <w:color w:val="auto"/>
        </w:rPr>
        <w:t>shall mean (a) any debt or equity securities of the Company that are convertible into or exchangeable for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and (b) any rights, warrants or options to subscribe for or purchase shares of the Company’s common stock or any securities described in clause (a).</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Termination</w:t>
      </w:r>
      <w:r>
        <w:rPr>
          <w:rFonts w:ascii="Times New Roman" w:cs="Times New Roman" w:eastAsia="Times New Roman" w:hAnsi="Times New Roman"/>
          <w:sz w:val="18"/>
          <w:szCs w:val="18"/>
          <w:color w:val="auto"/>
        </w:rPr>
        <w:t>” means (a) an Involuntary Termination Without Cause or (b) a voluntary termination for Good Reason, provided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constitutes a Separation from Service.</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603" w:name="page604"/>
    <w:bookmarkEnd w:id="603"/>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Executive’s resignation as a result of a Good Reason Condition. In order to resign for Good Reason, Executive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 4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 consent:</w:t>
      </w:r>
    </w:p>
    <w:p>
      <w:pPr>
        <w:spacing w:after="0" w:line="229" w:lineRule="exact"/>
        <w:rPr>
          <w:sz w:val="20"/>
          <w:szCs w:val="20"/>
          <w:color w:val="auto"/>
        </w:rPr>
      </w:pPr>
    </w:p>
    <w:p>
      <w:pPr>
        <w:ind w:right="100" w:firstLine="464"/>
        <w:spacing w:after="0" w:line="282" w:lineRule="auto"/>
        <w:tabs>
          <w:tab w:leader="none" w:pos="711"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material diminution in Executive’s authority, duties, or responsibilities which substantially reduces the nature or character of Executive’s position with the Company;</w:t>
      </w:r>
    </w:p>
    <w:p>
      <w:pPr>
        <w:spacing w:after="0" w:line="161" w:lineRule="exact"/>
        <w:rPr>
          <w:rFonts w:ascii="Times New Roman" w:cs="Times New Roman" w:eastAsia="Times New Roman" w:hAnsi="Times New Roman"/>
          <w:sz w:val="18"/>
          <w:szCs w:val="18"/>
          <w:b w:val="1"/>
          <w:bCs w:val="1"/>
          <w:color w:val="auto"/>
        </w:rPr>
      </w:pPr>
    </w:p>
    <w:p>
      <w:pPr>
        <w:ind w:left="720" w:hanging="256"/>
        <w:spacing w:after="0"/>
        <w:tabs>
          <w:tab w:leader="none" w:pos="720"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reduction by the Company of Executive’s Base Salary (as defined in Section 3.1 below) as in effect immediately prior to such reduction;</w:t>
      </w:r>
    </w:p>
    <w:p>
      <w:pPr>
        <w:spacing w:after="0" w:line="225" w:lineRule="exact"/>
        <w:rPr>
          <w:rFonts w:ascii="Times New Roman" w:cs="Times New Roman" w:eastAsia="Times New Roman" w:hAnsi="Times New Roman"/>
          <w:sz w:val="18"/>
          <w:szCs w:val="18"/>
          <w:b w:val="1"/>
          <w:bCs w:val="1"/>
          <w:color w:val="auto"/>
        </w:rPr>
      </w:pPr>
    </w:p>
    <w:p>
      <w:pPr>
        <w:ind w:right="40" w:firstLine="464"/>
        <w:spacing w:after="0" w:line="282" w:lineRule="auto"/>
        <w:tabs>
          <w:tab w:leader="none" w:pos="701"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relocation of Executive’s principal office to a location more than fifty (50) miles from the location of the Company’s current principal offices as of the Commencement Date (as defined in Section 2.1 below), except for required travel by Executive on the Company’s business; or</w:t>
      </w:r>
    </w:p>
    <w:p>
      <w:pPr>
        <w:spacing w:after="0" w:line="161" w:lineRule="exact"/>
        <w:rPr>
          <w:rFonts w:ascii="Times New Roman" w:cs="Times New Roman" w:eastAsia="Times New Roman" w:hAnsi="Times New Roman"/>
          <w:sz w:val="18"/>
          <w:szCs w:val="18"/>
          <w:b w:val="1"/>
          <w:bCs w:val="1"/>
          <w:color w:val="auto"/>
        </w:rPr>
      </w:pPr>
    </w:p>
    <w:p>
      <w:pPr>
        <w:ind w:right="80" w:firstLine="464"/>
        <w:spacing w:after="0" w:line="282" w:lineRule="auto"/>
        <w:tabs>
          <w:tab w:leader="none" w:pos="721"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breach by the Company of any provision of this Agreement which the Company does not cure within 30 days following written notice thereof from Executive.</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as a result of Executive’s death or inability to perform the essential functions of his job due to disability will not be deemed to be an Involuntary Termination Without Cause.</w:t>
      </w:r>
    </w:p>
    <w:p>
      <w:pPr>
        <w:spacing w:after="0" w:line="17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 “Outstanding Shares” </w:t>
      </w:r>
      <w:r>
        <w:rPr>
          <w:rFonts w:ascii="Times New Roman" w:cs="Times New Roman" w:eastAsia="Times New Roman" w:hAnsi="Times New Roman"/>
          <w:sz w:val="18"/>
          <w:szCs w:val="18"/>
          <w:color w:val="auto"/>
        </w:rPr>
        <w:t>shall mean, as of the time of determination, all outstanding shares of the Company’s common stock plus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Securities of the Company at such time.</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 Section 1.409A-1(h).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BY THE COMPANY</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Position and Duties. </w:t>
      </w:r>
      <w:r>
        <w:rPr>
          <w:rFonts w:ascii="Times New Roman" w:cs="Times New Roman" w:eastAsia="Times New Roman" w:hAnsi="Times New Roman"/>
          <w:sz w:val="18"/>
          <w:szCs w:val="18"/>
          <w:color w:val="auto"/>
        </w:rPr>
        <w:t>Subject to terms set forth herein, the Company agrees to employ Executive in the position of Chief Executive Officer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accepts such employment. The Company and Executive currently expect Executive’s employment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604" w:name="page605"/>
    <w:bookmarkEnd w:id="60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 on March 9, 2009 (the actual commencement date shall be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The Company’s offer to employ Executive as described herein is contingent upon completion of a satisfactory check of Executive’s references prior to the Commencement Date. Executive shall serve in an executive capacity and shall perform such duties as are customarily associated with the position of Chief Executive Officer and such other duties as are assigned to Executive by the Board. During the term of Executive’s employment with the Company, Executive will devote Executive’s best efforts and substantially all of Executive’s business time and attention (except for vacation periods and reasonable periods of illness or other incapacities permitted by the Company’s general employment policies or as otherwise set forth in this Agreement) to the business of the Company. As of the Commencement Date, Executive shall continue to serve as a member of the Board and as the Chairman of the Board.</w:t>
      </w:r>
    </w:p>
    <w:p>
      <w:pPr>
        <w:spacing w:after="0" w:line="18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Employment at Will. </w:t>
      </w:r>
      <w:r>
        <w:rPr>
          <w:rFonts w:ascii="Times New Roman" w:cs="Times New Roman" w:eastAsia="Times New Roman" w:hAnsi="Times New Roman"/>
          <w:sz w:val="18"/>
          <w:szCs w:val="18"/>
          <w:color w:val="auto"/>
        </w:rPr>
        <w:t>Both the Company and Executive shall have the right to terminate Executive’s employment with the Company at any time,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and without prior notice. If Executive’s employment with the Company is terminated, Executive will be eligible to receive severance benefits to the extent provided in this Agreement.</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Employment Policies. </w:t>
      </w:r>
      <w:r>
        <w:rPr>
          <w:rFonts w:ascii="Times New Roman" w:cs="Times New Roman" w:eastAsia="Times New Roman" w:hAnsi="Times New Roman"/>
          <w:sz w:val="18"/>
          <w:szCs w:val="18"/>
          <w:color w:val="auto"/>
        </w:rPr>
        <w:t>The employment relationship between the parties shall also be governed by the general employment policies and practices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those relating to protection of confidential information and assignment of inventions, except that when the terms of this Agreement differ from or are in conflict with the Company’s general employment policies or practices, this Agreement shall control.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Base Salary. </w:t>
      </w:r>
      <w:r>
        <w:rPr>
          <w:rFonts w:ascii="Times New Roman" w:cs="Times New Roman" w:eastAsia="Times New Roman" w:hAnsi="Times New Roman"/>
          <w:sz w:val="18"/>
          <w:szCs w:val="18"/>
          <w:color w:val="auto"/>
        </w:rPr>
        <w:t>Executive shall receive for services to be rendered hereunder an annual base salary of $400,000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payable on the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dates of the Company, subject to increase in the sole discretion of the Board.</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Annual Bonus. </w:t>
      </w:r>
      <w:r>
        <w:rPr>
          <w:rFonts w:ascii="Times New Roman" w:cs="Times New Roman" w:eastAsia="Times New Roman" w:hAnsi="Times New Roman"/>
          <w:sz w:val="18"/>
          <w:szCs w:val="18"/>
          <w:color w:val="auto"/>
        </w:rPr>
        <w:t>Executive will be eligible to receive an annual performance bonus targeted at ten percent (10%) of Base Salary, 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determined by the Board or a committee of the Board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Annual Bonus payments for 2009, as well as for future years, will be determined in the discretion of the Board or a committee of the Board and will be (a) subject to achievement of any applicable bonus objectives and/or conditions determined by the Board or a committee of the Board, and (b) payable to Executive during the year following the end of the applicable calendar year at the same time as bonuses for other Company executives are paid.</w:t>
      </w:r>
    </w:p>
    <w:p>
      <w:pPr>
        <w:spacing w:after="0" w:line="1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 Standard Company Benefits. </w:t>
      </w:r>
      <w:r>
        <w:rPr>
          <w:rFonts w:ascii="Times New Roman" w:cs="Times New Roman" w:eastAsia="Times New Roman" w:hAnsi="Times New Roman"/>
          <w:sz w:val="18"/>
          <w:szCs w:val="18"/>
          <w:color w:val="auto"/>
        </w:rPr>
        <w:t>Executive shall be entitled to all rights and benefits for which Executive is eligible under the terms and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 Company benefits and compensation practices that may be in effect from time to time and are provided by the Company to its executive employees generally.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Stock Options.</w:t>
      </w:r>
    </w:p>
    <w:p>
      <w:pPr>
        <w:spacing w:after="0" w:line="229" w:lineRule="exact"/>
        <w:rPr>
          <w:sz w:val="20"/>
          <w:szCs w:val="20"/>
          <w:color w:val="auto"/>
        </w:rPr>
      </w:pPr>
    </w:p>
    <w:p>
      <w:pPr>
        <w:ind w:right="60" w:firstLine="464"/>
        <w:spacing w:after="0" w:line="282" w:lineRule="auto"/>
        <w:tabs>
          <w:tab w:leader="none" w:pos="711" w:val="left"/>
        </w:tabs>
        <w:numPr>
          <w:ilvl w:val="0"/>
          <w:numId w:val="7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approval of the Board, Executive will be granted an initial option to purchase shares of the Company’s common stock pursuant to the Company’s 2008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5" w:right="239" w:bottom="1440" w:gutter="0" w:footer="0" w:header="0"/>
        </w:sectPr>
      </w:pPr>
    </w:p>
    <w:bookmarkStart w:id="605" w:name="page606"/>
    <w:bookmarkEnd w:id="605"/>
    <w:p>
      <w:pPr>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at an exercise price per share equal to the fair market value of a share of the Company’s common stock on the grant date, as determined in good faith by the Board (the “</w:t>
      </w:r>
      <w:r>
        <w:rPr>
          <w:rFonts w:ascii="Times New Roman" w:cs="Times New Roman" w:eastAsia="Times New Roman" w:hAnsi="Times New Roman"/>
          <w:sz w:val="18"/>
          <w:szCs w:val="18"/>
          <w:b w:val="1"/>
          <w:bCs w:val="1"/>
          <w:color w:val="auto"/>
        </w:rPr>
        <w:t>Initial Option</w:t>
      </w:r>
      <w:r>
        <w:rPr>
          <w:rFonts w:ascii="Times New Roman" w:cs="Times New Roman" w:eastAsia="Times New Roman" w:hAnsi="Times New Roman"/>
          <w:sz w:val="18"/>
          <w:szCs w:val="18"/>
          <w:color w:val="auto"/>
        </w:rPr>
        <w:t>”). The number of shares of the Company’s common stock subject to the Initial Option shall be equal to five percent (5%) of the Outstanding Shares on the Commencement Date, with the result rounded down to the nearest whole number of shares. As of the Execution Date, the number of Outstanding Shares is 29,293,338, and therefore if the Commencement Date occurred on the Execution Date, the number of shares of the Company’s common stock subject to the Initial Option would be 1,464,666.</w:t>
      </w:r>
    </w:p>
    <w:p>
      <w:pPr>
        <w:spacing w:after="0" w:line="184" w:lineRule="exact"/>
        <w:rPr>
          <w:sz w:val="20"/>
          <w:szCs w:val="20"/>
          <w:color w:val="auto"/>
        </w:rPr>
      </w:pPr>
    </w:p>
    <w:p>
      <w:pPr>
        <w:ind w:right="120" w:firstLine="464"/>
        <w:spacing w:after="0" w:line="255" w:lineRule="auto"/>
        <w:tabs>
          <w:tab w:leader="none" w:pos="721" w:val="left"/>
        </w:tabs>
        <w:numPr>
          <w:ilvl w:val="1"/>
          <w:numId w:val="7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addition, subject to the approval of the Board, following the closing of an extension of the Company’s Series A preferred stock financing which occurs within six (6) months after the Commencement Date pursuant to which the Company receives gross proceeds of at least $7,500,000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Executive will be granted an additional option to purchase shares of the Company’s common stock pursuant to the Plan at an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equal to the fair market value of a share of the Company’s common stock on the grant date, as determined in good faith by the Board (the “</w:t>
      </w:r>
      <w:r>
        <w:rPr>
          <w:rFonts w:ascii="Times New Roman" w:cs="Times New Roman" w:eastAsia="Times New Roman" w:hAnsi="Times New Roman"/>
          <w:sz w:val="18"/>
          <w:szCs w:val="18"/>
          <w:b w:val="1"/>
          <w:bCs w:val="1"/>
          <w:color w:val="auto"/>
        </w:rPr>
        <w:t>Additional Option</w:t>
      </w:r>
      <w:r>
        <w:rPr>
          <w:rFonts w:ascii="Times New Roman" w:cs="Times New Roman" w:eastAsia="Times New Roman" w:hAnsi="Times New Roman"/>
          <w:sz w:val="18"/>
          <w:szCs w:val="18"/>
          <w:color w:val="auto"/>
        </w:rPr>
        <w:t>”). The number of shares of the Company’s common stock subject to the Additional Option shall be equal to (i) five percent (5%) of the Outstanding Shares immediately following the closing of the Financing Transaction, less (ii) the number of shares of stock subject to the Initial Option, with the result rounded down to the nearest whole number of shares.</w:t>
      </w:r>
    </w:p>
    <w:p>
      <w:pPr>
        <w:spacing w:after="0" w:line="189" w:lineRule="exact"/>
        <w:rPr>
          <w:rFonts w:ascii="Times New Roman" w:cs="Times New Roman" w:eastAsia="Times New Roman" w:hAnsi="Times New Roman"/>
          <w:sz w:val="18"/>
          <w:szCs w:val="18"/>
          <w:b w:val="1"/>
          <w:bCs w:val="1"/>
          <w:color w:val="auto"/>
        </w:rPr>
      </w:pPr>
    </w:p>
    <w:p>
      <w:pPr>
        <w:ind w:firstLine="464"/>
        <w:spacing w:after="0" w:line="276" w:lineRule="auto"/>
        <w:tabs>
          <w:tab w:leader="none" w:pos="701" w:val="left"/>
        </w:tabs>
        <w:numPr>
          <w:ilvl w:val="1"/>
          <w:numId w:val="7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Executive’s continued service with the Company, shares subject to each option granted pursuant to this Section 3.4 will vest over a period of four (4) years, with 25% of the shares vesting on the first anniversary of the Commencement Date, and the remainder of the shares vesting in thirty-six</w:t>
      </w:r>
    </w:p>
    <w:p>
      <w:pPr>
        <w:ind w:right="220" w:firstLine="8"/>
        <w:spacing w:after="0" w:line="255" w:lineRule="auto"/>
        <w:tabs>
          <w:tab w:leader="none" w:pos="345"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monthly increments thereafter. Each option described in this Section 3.4 will be subject to the terms and conditions of the Plan and except as otherwise described in this Agreement, the Company’s standard form of stock option agreement, which Executive will be required to sign as a condition of receiving each option granted pursuant to this Section 3.4.</w:t>
      </w:r>
    </w:p>
    <w:p>
      <w:pPr>
        <w:spacing w:after="0" w:line="18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3.5 First Year Reimbursement</w:t>
      </w:r>
      <w:r>
        <w:rPr>
          <w:rFonts w:ascii="Times New Roman" w:cs="Times New Roman" w:eastAsia="Times New Roman" w:hAnsi="Times New Roman"/>
          <w:sz w:val="18"/>
          <w:szCs w:val="18"/>
          <w:color w:val="auto"/>
        </w:rPr>
        <w:t>. The Company shall reimburse Executive, up to a maximum aggregate amount of $15,000, for (a) legal expenses incurred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connection with the negotiation, drafting, and execution of this Agreement, and (b) costs incurred by Executive within one (1) year after the Commencement Date for life insurance premiums with respect to a policy on Executive’s life, Executive’s disability income insurance premiums and out of pocket medical expenses (for Executive, his spouse and his dependents).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20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Severance Benefits. </w:t>
      </w:r>
      <w:r>
        <w:rPr>
          <w:rFonts w:ascii="Times New Roman" w:cs="Times New Roman" w:eastAsia="Times New Roman" w:hAnsi="Times New Roman"/>
          <w:sz w:val="18"/>
          <w:szCs w:val="18"/>
          <w:color w:val="auto"/>
        </w:rPr>
        <w:t>Upon Executive’s termination of employment, Executive shall receive any accrued but unpaid Base Salary and other accrued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unpaid compensation, including any Annual Bonus that has been earned with respect to a prior year, but remains unpaid as of the date of the termination. If the termination is due to a Covered Termination, provided that Executive first returns all Company property in his possession and, within fifty (50) days following the Covered Termination, executes and does not revoke an effective general release of all claims against the Company and its affiliates in a form reasonably acceptable to the Company, Executive shall also be entitled to receive the following severance benefits described in Section 4.1.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66" w:right="259" w:bottom="1440" w:gutter="0" w:footer="0" w:header="0"/>
        </w:sectPr>
      </w:pPr>
    </w:p>
    <w:bookmarkStart w:id="606" w:name="page607"/>
    <w:bookmarkEnd w:id="606"/>
    <w:p>
      <w:pPr>
        <w:ind w:left="-8" w:right="240" w:firstLine="464"/>
        <w:spacing w:after="0" w:line="278" w:lineRule="auto"/>
        <w:tabs>
          <w:tab w:leader="none" w:pos="703" w:val="left"/>
        </w:tabs>
        <w:numPr>
          <w:ilvl w:val="1"/>
          <w:numId w:val="7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Covered Termination Not Related to a Change in Control. </w:t>
      </w:r>
      <w:r>
        <w:rPr>
          <w:rFonts w:ascii="Times New Roman" w:cs="Times New Roman" w:eastAsia="Times New Roman" w:hAnsi="Times New Roman"/>
          <w:sz w:val="17"/>
          <w:szCs w:val="17"/>
          <w:color w:val="auto"/>
        </w:rPr>
        <w:t>If Executive’s employment terminates due to a Covered Termination which occurs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more than sixty (60) days prior to a Change in Control or more than twelve (12) months after a Change in Control, Executive shall receive the following:</w:t>
      </w:r>
    </w:p>
    <w:p>
      <w:pPr>
        <w:spacing w:after="0" w:line="1" w:lineRule="exact"/>
        <w:rPr>
          <w:rFonts w:ascii="Times New Roman" w:cs="Times New Roman" w:eastAsia="Times New Roman" w:hAnsi="Times New Roman"/>
          <w:sz w:val="17"/>
          <w:szCs w:val="17"/>
          <w:b w:val="1"/>
          <w:bCs w:val="1"/>
          <w:color w:val="auto"/>
        </w:rPr>
      </w:pPr>
    </w:p>
    <w:p>
      <w:pPr>
        <w:ind w:left="-8" w:firstLine="8"/>
        <w:spacing w:after="0" w:line="251" w:lineRule="auto"/>
        <w:tabs>
          <w:tab w:leader="none" w:pos="207"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Executive’s annual Base Salary as in effect during the last regularly scheduled payroll period immediately preceding the Covered Termination, for a period of twelve (12) months following the Covered Termination, which payments shall be made in accordance with the Company’s normal payroll practices, (ii) to the extent Executive elects to continue medical, dental or vision benefits pursuant to COBRA (“</w:t>
      </w: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under the Company’s group plans, the Company will pay for the cost to continue COBRA Coverage for Executive and his eligible dependents who participated in such plans on the date immediately preceding the date of the Covered Termination, during the twelve-month period commencing on the date of the Covered Termination, or until Executive becomes eligible to participate in another employer health plan, whichever occurs first, (iii) twelve (12) months of accelerated vesting for purposes of determining the number of vested shares subject to any outstanding options to purchase the Company’s common stock granted to Executive, including the options described in Section 3.4 above (the “</w:t>
      </w:r>
      <w:r>
        <w:rPr>
          <w:rFonts w:ascii="Times New Roman" w:cs="Times New Roman" w:eastAsia="Times New Roman" w:hAnsi="Times New Roman"/>
          <w:sz w:val="18"/>
          <w:szCs w:val="18"/>
          <w:b w:val="1"/>
          <w:bCs w:val="1"/>
          <w:color w:val="auto"/>
        </w:rPr>
        <w:t>Outstanding Options</w:t>
      </w:r>
      <w:r>
        <w:rPr>
          <w:rFonts w:ascii="Times New Roman" w:cs="Times New Roman" w:eastAsia="Times New Roman" w:hAnsi="Times New Roman"/>
          <w:sz w:val="18"/>
          <w:szCs w:val="18"/>
          <w:color w:val="auto"/>
        </w:rPr>
        <w:t>”), and (iv) each Outstanding Option shall remain exercisable until the earlier of twelve (12) months following the date of the Covered Termination or such other expiration date set forth in the agreement evidencing such Outstanding Option.</w:t>
      </w:r>
    </w:p>
    <w:p>
      <w:pPr>
        <w:spacing w:after="0" w:line="189" w:lineRule="exact"/>
        <w:rPr>
          <w:rFonts w:ascii="Times New Roman" w:cs="Times New Roman" w:eastAsia="Times New Roman" w:hAnsi="Times New Roman"/>
          <w:sz w:val="18"/>
          <w:szCs w:val="18"/>
          <w:color w:val="auto"/>
        </w:rPr>
      </w:pPr>
    </w:p>
    <w:p>
      <w:pPr>
        <w:ind w:left="-8" w:right="220" w:firstLine="464"/>
        <w:spacing w:after="0" w:line="317" w:lineRule="auto"/>
        <w:tabs>
          <w:tab w:leader="none" w:pos="713" w:val="left"/>
        </w:tabs>
        <w:numPr>
          <w:ilvl w:val="1"/>
          <w:numId w:val="7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Covered Termination Related to a Change in Control. </w:t>
      </w:r>
      <w:r>
        <w:rPr>
          <w:rFonts w:ascii="Times New Roman" w:cs="Times New Roman" w:eastAsia="Times New Roman" w:hAnsi="Times New Roman"/>
          <w:sz w:val="17"/>
          <w:szCs w:val="17"/>
          <w:color w:val="auto"/>
        </w:rPr>
        <w:t>If Executive’s employment terminates due to a Covered Termination that occurs within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sixty (60) days prior to a Change in Control or during the twelve (12) month period after a Change in Control, Executive shall receive the following:</w:t>
      </w:r>
    </w:p>
    <w:p>
      <w:pPr>
        <w:spacing w:after="0" w:line="135" w:lineRule="exact"/>
        <w:rPr>
          <w:rFonts w:ascii="Times New Roman" w:cs="Times New Roman" w:eastAsia="Times New Roman" w:hAnsi="Times New Roman"/>
          <w:sz w:val="17"/>
          <w:szCs w:val="17"/>
          <w:b w:val="1"/>
          <w:bCs w:val="1"/>
          <w:color w:val="auto"/>
        </w:rPr>
      </w:pPr>
    </w:p>
    <w:p>
      <w:pPr>
        <w:ind w:left="-8" w:right="60" w:firstLine="921"/>
        <w:spacing w:after="0" w:line="256" w:lineRule="auto"/>
        <w:tabs>
          <w:tab w:leader="none" w:pos="1120" w:val="left"/>
        </w:tabs>
        <w:numPr>
          <w:ilvl w:val="2"/>
          <w:numId w:val="7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lump sum payment (to be paid as soon as practicable following the Covered Termination, but in no event more than sixty (60) days after the Covered Termination) equal to the sum of (A) Executive’s annual Base Salary as in effect during the last regularly scheduled payroll period immediately preceding the Covered Termination, plus (B) Executive’s target Annual Bonus for the year in which the Covered Termination occurred; provided, however, that if the Covered Termination occurs within the sixty (60) day period prior to a Change in Control, the Base Salary severance benefit in described in this Section 4.1(b)(i)(A) shall be paid over a period of twelve (12) months following the Covered Termination, in accordance with the Company’s normal payroll practices, rather than in a lump sum,</w:t>
      </w:r>
    </w:p>
    <w:p>
      <w:pPr>
        <w:spacing w:after="0" w:line="187" w:lineRule="exact"/>
        <w:rPr>
          <w:rFonts w:ascii="Times New Roman" w:cs="Times New Roman" w:eastAsia="Times New Roman" w:hAnsi="Times New Roman"/>
          <w:sz w:val="18"/>
          <w:szCs w:val="18"/>
          <w:b w:val="1"/>
          <w:bCs w:val="1"/>
          <w:color w:val="auto"/>
        </w:rPr>
      </w:pPr>
    </w:p>
    <w:p>
      <w:pPr>
        <w:jc w:val="both"/>
        <w:ind w:left="-8" w:right="160" w:firstLine="921"/>
        <w:spacing w:after="0" w:line="261" w:lineRule="auto"/>
        <w:tabs>
          <w:tab w:leader="none" w:pos="1170" w:val="left"/>
        </w:tabs>
        <w:numPr>
          <w:ilvl w:val="2"/>
          <w:numId w:val="7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Executive elects COBRA Coverage under the Company’s group plans, the Company will pay for the cost to continue COBRA Coverage for Executive and his eligible dependents who participated in such plans on the date immediately preceding the date of the Covered Termination, during the twelve month period commencing on the date of the Covered Termination, or until Executive becomes eligible to participate in another employer health plan, whichever occurs first,</w:t>
      </w:r>
    </w:p>
    <w:p>
      <w:pPr>
        <w:spacing w:after="0" w:line="180" w:lineRule="exact"/>
        <w:rPr>
          <w:rFonts w:ascii="Times New Roman" w:cs="Times New Roman" w:eastAsia="Times New Roman" w:hAnsi="Times New Roman"/>
          <w:sz w:val="18"/>
          <w:szCs w:val="18"/>
          <w:b w:val="1"/>
          <w:bCs w:val="1"/>
          <w:color w:val="auto"/>
        </w:rPr>
      </w:pPr>
    </w:p>
    <w:p>
      <w:pPr>
        <w:ind w:left="1232" w:hanging="319"/>
        <w:spacing w:after="0"/>
        <w:tabs>
          <w:tab w:leader="none" w:pos="1232" w:val="left"/>
        </w:tabs>
        <w:numPr>
          <w:ilvl w:val="2"/>
          <w:numId w:val="7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Outstanding Options shall become immediately fully vested and exercisable as of the date of such Covered Termination, and</w:t>
      </w:r>
    </w:p>
    <w:p>
      <w:pPr>
        <w:spacing w:after="0" w:line="15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92"/>
          </w:cols>
          <w:pgMar w:left="248" w:top="266" w:right="259" w:bottom="1440" w:gutter="0" w:footer="0" w:header="0"/>
        </w:sectPr>
      </w:pPr>
    </w:p>
    <w:bookmarkStart w:id="607" w:name="page608"/>
    <w:bookmarkEnd w:id="607"/>
    <w:p>
      <w:pPr>
        <w:ind w:right="180" w:firstLine="921"/>
        <w:spacing w:after="0" w:line="282" w:lineRule="auto"/>
        <w:tabs>
          <w:tab w:leader="none" w:pos="1218" w:val="left"/>
        </w:tabs>
        <w:numPr>
          <w:ilvl w:val="0"/>
          <w:numId w:val="7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Outstanding Option shall remain exercisable until the earlier of twelve (12) months following the date of the Covered Termination or such other expiration date set forth in the agreement evidencing such Outstanding Option.</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4.2 280G Provisions. </w:t>
      </w:r>
      <w:r>
        <w:rPr>
          <w:rFonts w:ascii="Times New Roman" w:cs="Times New Roman" w:eastAsia="Times New Roman" w:hAnsi="Times New Roman"/>
          <w:sz w:val="18"/>
          <w:szCs w:val="18"/>
          <w:color w:val="auto"/>
        </w:rPr>
        <w:t>In the event that (a) a portion of the benefits provided to Executive pursuant to this Agreement could result in Executive’s receipt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parachute payment” under Section 280G of the Code (which would subject Executive to an excise tax under Code Section 4999), (b) the Company’s stock is not publicly traded prior to the Change in Control, and (c) Executive notifies the Company that he is willing to waive his right to receive or retain certain benefits provided pursuant to this Agreement, subject to the approval of the Company’s stockholders, so that the subsequent receipt of such benefits will not cause him to be subject to an excise tax under Code Section 4999, the Company agrees that it will use commercially reasonable efforts to present a proposal to its stockholders, in accordance with the stockholder approval requirements set forth in Code Section 280G(b)(5)(B), to approve the payment of such benefits to Executive.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Section 409A.</w:t>
      </w:r>
    </w:p>
    <w:p>
      <w:pPr>
        <w:spacing w:after="0" w:line="229" w:lineRule="exact"/>
        <w:rPr>
          <w:sz w:val="20"/>
          <w:szCs w:val="20"/>
          <w:color w:val="auto"/>
        </w:rPr>
      </w:pPr>
    </w:p>
    <w:p>
      <w:pPr>
        <w:ind w:firstLine="464"/>
        <w:spacing w:after="0" w:line="255" w:lineRule="auto"/>
        <w:tabs>
          <w:tab w:leader="none" w:pos="711" w:val="left"/>
        </w:tabs>
        <w:numPr>
          <w:ilvl w:val="1"/>
          <w:numId w:val="7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which would subject Executive to a tax obligation under Section 409A of the Code, such portion of Executive’s benefits shall not be provided to Executive prior to the earlier of (i) the expiration of the six-month period measured from the date of the Executive’s Separation from Service or (ii) the date of Executive’s death. Upon the expiration of the applicable Code Section 409A(a)(2)(B)(i) period, all payments deferred pursuant to this Section 4.3(a) shall be paid in a lump sum to Executive, and any remaining payments due under the Agreement shall be paid as otherwise provided herein.</w:t>
      </w:r>
    </w:p>
    <w:p>
      <w:pPr>
        <w:spacing w:after="0" w:line="189" w:lineRule="exact"/>
        <w:rPr>
          <w:rFonts w:ascii="Times New Roman" w:cs="Times New Roman" w:eastAsia="Times New Roman" w:hAnsi="Times New Roman"/>
          <w:sz w:val="18"/>
          <w:szCs w:val="18"/>
          <w:b w:val="1"/>
          <w:bCs w:val="1"/>
          <w:color w:val="auto"/>
        </w:rPr>
      </w:pPr>
    </w:p>
    <w:p>
      <w:pPr>
        <w:ind w:right="80" w:firstLine="464"/>
        <w:spacing w:after="0" w:line="254" w:lineRule="auto"/>
        <w:tabs>
          <w:tab w:leader="none" w:pos="721" w:val="left"/>
        </w:tabs>
        <w:numPr>
          <w:ilvl w:val="1"/>
          <w:numId w:val="7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reimbursements payable to Executive pursuant to the Agreement (including Section 3.5) shall be paid to Executive no later than 30 days after Executive provides the Company with a written request for reimbursement, and to the extent that any such reimbursements are deemed to constitute “nonqualified deferred compensation” within the meaning of Section 409A of the Code (i) such amounts shall be paid or reimbursed to Executive promptly, but in no event later than December 31 of the year following the year in which the expense is incurred, (ii) the amount of any such payments eligible for reimbursement in one year shall not affect the payments or expenses that are eligible for payment or reimbursement in any other taxable year, and</w:t>
      </w:r>
    </w:p>
    <w:p>
      <w:pPr>
        <w:spacing w:after="0" w:line="3"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 to such payments or reimbursement shall not be subject to liquidation or exchange for any other benefit.</w:t>
      </w:r>
    </w:p>
    <w:p>
      <w:pPr>
        <w:spacing w:after="0" w:line="206" w:lineRule="exact"/>
        <w:rPr>
          <w:rFonts w:ascii="Times New Roman" w:cs="Times New Roman" w:eastAsia="Times New Roman" w:hAnsi="Times New Roman"/>
          <w:sz w:val="18"/>
          <w:szCs w:val="18"/>
          <w:color w:val="auto"/>
        </w:rPr>
      </w:pPr>
    </w:p>
    <w:p>
      <w:pPr>
        <w:ind w:right="220" w:firstLine="464"/>
        <w:spacing w:after="0" w:line="266" w:lineRule="auto"/>
        <w:tabs>
          <w:tab w:leader="none" w:pos="701" w:val="left"/>
        </w:tabs>
        <w:numPr>
          <w:ilvl w:val="1"/>
          <w:numId w:val="7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 409A of the Code (including, without limitation, for purposes of Treasury Regulation Section 1.409A-2(b)(2)(iii)), Executive’s right to receive installment payments under the Agreement shall be treated as a right to receive a series of separate payments and, accordingly, each installment payment hereunder shall at all times be considered a separate and distinct payment.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69" w:right="299" w:bottom="1440" w:gutter="0" w:footer="0" w:header="0"/>
        </w:sectPr>
      </w:pPr>
    </w:p>
    <w:bookmarkStart w:id="608" w:name="page609"/>
    <w:bookmarkEnd w:id="608"/>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Mitigation. </w:t>
      </w:r>
      <w:r>
        <w:rPr>
          <w:rFonts w:ascii="Times New Roman" w:cs="Times New Roman" w:eastAsia="Times New Roman" w:hAnsi="Times New Roman"/>
          <w:sz w:val="18"/>
          <w:szCs w:val="18"/>
          <w:color w:val="auto"/>
        </w:rPr>
        <w:t>Executive shall not be required to mitigate damages or the amount of any payment provided under this Agreement by seeking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otherwise, nor shall the amount of any payment provided for under this Agreement be reduced by any compensation earned by Executive as a result of employment by another employer or by any retirement benefits received by Executive after the date of the Covered Termination, or otherwise.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PROPRIETARY INFORMATION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5.1 Agreement. </w:t>
      </w:r>
      <w:r>
        <w:rPr>
          <w:rFonts w:ascii="Times New Roman" w:cs="Times New Roman" w:eastAsia="Times New Roman" w:hAnsi="Times New Roman"/>
          <w:sz w:val="18"/>
          <w:szCs w:val="18"/>
          <w:color w:val="auto"/>
        </w:rPr>
        <w:t>Executive agrees to execute and abide by the Confidential Information Agreement.</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Remedies. </w:t>
      </w:r>
      <w:r>
        <w:rPr>
          <w:rFonts w:ascii="Times New Roman" w:cs="Times New Roman" w:eastAsia="Times New Roman" w:hAnsi="Times New Roman"/>
          <w:sz w:val="18"/>
          <w:szCs w:val="18"/>
          <w:color w:val="auto"/>
        </w:rPr>
        <w:t>Executive’s duties under the Confidential Information Agreement shall survive termination of Executive’s employment with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this Agreement. Executive acknowledges that a remedy at law for any breach or threatened breach by Executive of the provisions of the Confidential Information Agreement, as well as Executive’s obligations pursuant to Section 6.2 and Article 7 below, would be inadequate, and Executive therefore agrees that the Company shall be entitled to seek injunctive relief in case of any such breach or threatened breach.</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OUTSIDE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Other Activities.</w:t>
      </w:r>
    </w:p>
    <w:p>
      <w:pPr>
        <w:spacing w:after="0" w:line="229" w:lineRule="exact"/>
        <w:rPr>
          <w:sz w:val="20"/>
          <w:szCs w:val="20"/>
          <w:color w:val="auto"/>
        </w:rPr>
      </w:pPr>
    </w:p>
    <w:p>
      <w:pPr>
        <w:ind w:right="320" w:firstLine="464"/>
        <w:spacing w:after="0" w:line="266" w:lineRule="auto"/>
        <w:tabs>
          <w:tab w:leader="none" w:pos="711"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6.1(b), Executive shall not, during the term of this Agreement undertake or engage in any other employment, occupation or business enterprise, other than ones in which Executive is a passive investor, unless he obtains the prior written consent of the Board.</w:t>
      </w:r>
    </w:p>
    <w:p>
      <w:pPr>
        <w:spacing w:after="0" w:line="176" w:lineRule="exact"/>
        <w:rPr>
          <w:rFonts w:ascii="Times New Roman" w:cs="Times New Roman" w:eastAsia="Times New Roman" w:hAnsi="Times New Roman"/>
          <w:sz w:val="18"/>
          <w:szCs w:val="18"/>
          <w:b w:val="1"/>
          <w:bCs w:val="1"/>
          <w:color w:val="auto"/>
        </w:rPr>
      </w:pPr>
    </w:p>
    <w:p>
      <w:pPr>
        <w:ind w:right="40" w:firstLine="464"/>
        <w:spacing w:after="0" w:line="258" w:lineRule="auto"/>
        <w:tabs>
          <w:tab w:leader="none" w:pos="721"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may engage in civic and not-for-profit activities so long as such activities do not materially interfere with the performance of Executive’s duties hereunder. In addition, Executive shall be allowed to serve as a member of the board of directors of up to two (2) other for profit entities at any time during the term of this Agreement, which service shall not materially interfere with the performance of Executive’s duties hereunder; provided, however, that the Board, in its discretion, may require that Executive resign from one or both of such director positions if it determines that such resignation(s) would be in the best interests of the Company.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6.2 Competition/Investments. </w:t>
      </w:r>
      <w:r>
        <w:rPr>
          <w:rFonts w:ascii="Times New Roman" w:cs="Times New Roman" w:eastAsia="Times New Roman" w:hAnsi="Times New Roman"/>
          <w:sz w:val="18"/>
          <w:szCs w:val="18"/>
          <w:color w:val="auto"/>
        </w:rPr>
        <w:t>During the term of Executive’s employment by the Company, except on behalf of the Company, Executive shall not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whether as an officer, director, stockholder, partner, proprietor, associate, representative, consultant, or in any capacity whatsoever engage in, become financially interested in, be employed by or have any business connection with any other person, corporation, firm, partnership or other entity whatsoever which were known by Executive to compete directly with the Company, throughout the world, in any line of business engaged in (or planned to be engaged in) by the Company; provided, however, that anything above to the contrary notwithstanding, Executive may own, as a passive investor, securities of any competitor corporation, so long as Executive’s direct holdings in any one such corporation shall not in the aggregate constitute more than 1% of the voting stock of such corporation.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65" w:right="259" w:bottom="1440" w:gutter="0" w:footer="0" w:header="0"/>
        </w:sectPr>
      </w:pPr>
    </w:p>
    <w:bookmarkStart w:id="609" w:name="page610"/>
    <w:bookmarkEnd w:id="60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NONINTERFERENCE</w:t>
      </w:r>
    </w:p>
    <w:p>
      <w:pPr>
        <w:spacing w:after="0" w:line="20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While employed by the Company, and for one (1) year immediately following the date on which Executive terminates employment or otherwise ceases providing services to the Company, Executive agrees not to interfere with the business of the Company by soliciting or attempting to solicit any employee of the Company to terminate such employee’s employment in order to become an employee, consultant or independent contractor to or for any competitor of the Company. Executive’s duties under this Article 7 shall survive termination of Executive’s employment with the Company and the termination of this Agreement.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Notices. </w:t>
      </w:r>
      <w:r>
        <w:rPr>
          <w:rFonts w:ascii="Times New Roman" w:cs="Times New Roman" w:eastAsia="Times New Roman" w:hAnsi="Times New Roman"/>
          <w:sz w:val="18"/>
          <w:szCs w:val="18"/>
          <w:color w:val="auto"/>
        </w:rPr>
        <w:t>Any notices provided hereunder must be in writing and shall be deemed effective upon the earlier of personal delivery (including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by facsimile) or the third day after mailing by first class mail, to the Company at its primary office location and to Executive at Executive’s address as listed on the Company payroll.</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8.2 Tax Withholding</w:t>
      </w:r>
      <w:r>
        <w:rPr>
          <w:rFonts w:ascii="Times New Roman" w:cs="Times New Roman" w:eastAsia="Times New Roman" w:hAnsi="Times New Roman"/>
          <w:sz w:val="18"/>
          <w:szCs w:val="18"/>
          <w:color w:val="auto"/>
        </w:rPr>
        <w:t>. Executive acknowledges that all amounts and benefits payable under this Agreement are subject to deduction and withholding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required by applicable law.</w:t>
      </w:r>
    </w:p>
    <w:p>
      <w:pPr>
        <w:spacing w:after="0" w:line="15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8.3 Severability. </w:t>
      </w:r>
      <w:r>
        <w:rPr>
          <w:rFonts w:ascii="Times New Roman" w:cs="Times New Roman" w:eastAsia="Times New Roman" w:hAnsi="Times New Roman"/>
          <w:sz w:val="18"/>
          <w:szCs w:val="18"/>
          <w:color w:val="auto"/>
        </w:rPr>
        <w:t>Whenever possible, each provision of this Agreement will be interpreted in such manner as to be effective and valid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Waiver. </w:t>
      </w:r>
      <w:r>
        <w:rPr>
          <w:rFonts w:ascii="Times New Roman" w:cs="Times New Roman" w:eastAsia="Times New Roman" w:hAnsi="Times New Roman"/>
          <w:sz w:val="18"/>
          <w:szCs w:val="18"/>
          <w:color w:val="auto"/>
        </w:rPr>
        <w:t>If either party should waive any breach of any provisions of this Agreement, they shall not thereby be deemed to have waived any preceding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succeeding breach of the same or any other provision of this Agreement.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8.5 Complete Agreement. </w:t>
      </w:r>
      <w:r>
        <w:rPr>
          <w:rFonts w:ascii="Times New Roman" w:cs="Times New Roman" w:eastAsia="Times New Roman" w:hAnsi="Times New Roman"/>
          <w:sz w:val="18"/>
          <w:szCs w:val="18"/>
          <w:color w:val="auto"/>
        </w:rPr>
        <w:t>This Agreement constitutes the entire agreement between Executive and the Company and is the complete, final,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embodiment of their agreement with regard to this subject matter, and will supersede all prior agreements, understandings, discussions, negotiations and undertakings, whether written or oral, between the parties with respect to the subject matter hereof. This Agreement is entered into without reliance on any promise or representation other than those expressly contained herein or therein, and cannot be modified or amended except in a writing signed by an officer of the Company and Executive.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67" w:right="279" w:bottom="1440" w:gutter="0" w:footer="0" w:header="0"/>
        </w:sectPr>
      </w:pPr>
    </w:p>
    <w:bookmarkStart w:id="610" w:name="page611"/>
    <w:bookmarkEnd w:id="610"/>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8.6 Counterparts. </w:t>
      </w:r>
      <w:r>
        <w:rPr>
          <w:rFonts w:ascii="Times New Roman" w:cs="Times New Roman" w:eastAsia="Times New Roman" w:hAnsi="Times New Roman"/>
          <w:sz w:val="18"/>
          <w:szCs w:val="18"/>
          <w:color w:val="auto"/>
        </w:rPr>
        <w:t>This Agreement may be executed in separate counterparts, any one of which need not contain signatures of more than one party,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taken together will constitute one and the same Agreement.</w:t>
      </w:r>
    </w:p>
    <w:p>
      <w:pPr>
        <w:spacing w:after="0" w:line="15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8.7 Headings. </w:t>
      </w:r>
      <w:r>
        <w:rPr>
          <w:rFonts w:ascii="Times New Roman" w:cs="Times New Roman" w:eastAsia="Times New Roman" w:hAnsi="Times New Roman"/>
          <w:sz w:val="18"/>
          <w:szCs w:val="18"/>
          <w:color w:val="auto"/>
        </w:rPr>
        <w:t>The headings of the sections hereof are inserted for convenience only and shall not be deemed to constitute a part hereof nor to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thereof.</w:t>
      </w:r>
    </w:p>
    <w:p>
      <w:pPr>
        <w:spacing w:after="0" w:line="15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8.8 Successors and Assigns. </w:t>
      </w:r>
      <w:r>
        <w:rPr>
          <w:rFonts w:ascii="Times New Roman" w:cs="Times New Roman" w:eastAsia="Times New Roman" w:hAnsi="Times New Roman"/>
          <w:sz w:val="18"/>
          <w:szCs w:val="18"/>
          <w:color w:val="auto"/>
        </w:rPr>
        <w:t>This Agreement is intended to bind and inure to the benefit of and be enforceable by Executive and the Company,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assigns, heirs, executors and administrators, except that Executive may not assign his rights or delegate his duties or obligations hereunder without the prior written consent of the Company.</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8.9 Arbitration. </w:t>
      </w:r>
      <w:r>
        <w:rPr>
          <w:rFonts w:ascii="Times New Roman" w:cs="Times New Roman" w:eastAsia="Times New Roman" w:hAnsi="Times New Roman"/>
          <w:sz w:val="18"/>
          <w:szCs w:val="18"/>
          <w:color w:val="auto"/>
        </w:rPr>
        <w:t>Unless otherwise prohibited by law or specified below, all disputes, claims and causes of action, in law or equity, arising from or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its enforcement, performance, breach, or interpretation shall be resolved solely and exclusively by final and binding arbitration held in Alameda County, California through Judicial Arbitration &amp; Mediation Services/Endispute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in conformity with the then-existing JAMS employment arbitration rules and California law. The arbitrator shall: (a) provide adequate discovery for the resolution of the dispute; and (b) issue a written arbitration decision, to include the arbitrator’s essential findings and conclusions and a statement of the award. However, nothing in this section is intended to prevent either party from obtaining injunctive relief in court to prevent irreparable harm pending the conclusion of any such arbitration. The Company shall bear the costs of any such arbitration.</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8.10 Executive Acknowledgement</w:t>
      </w:r>
      <w:r>
        <w:rPr>
          <w:rFonts w:ascii="Times New Roman" w:cs="Times New Roman" w:eastAsia="Times New Roman" w:hAnsi="Times New Roman"/>
          <w:sz w:val="18"/>
          <w:szCs w:val="18"/>
          <w:color w:val="auto"/>
        </w:rPr>
        <w:t>. Executive acknowledges that (a) he has consulted with or has had the opportunity to consult with independent counsel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own choice concerning this Agreement, and has been advised to do so by the Company, and (b) that he has read and understands the Agreement, is fully aware of its legal effect, and has entered into it freely based on his own judgment.</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8.11 Choice of Law. </w:t>
      </w:r>
      <w:r>
        <w:rPr>
          <w:rFonts w:ascii="Times New Roman" w:cs="Times New Roman" w:eastAsia="Times New Roman" w:hAnsi="Times New Roman"/>
          <w:sz w:val="18"/>
          <w:szCs w:val="18"/>
          <w:color w:val="auto"/>
        </w:rPr>
        <w:t>All questions concerning the construction, validity and interpretation of this Agreement will be governed by the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without regard to the conflicts of law provisions thereof.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66" w:right="259" w:bottom="1440" w:gutter="0" w:footer="0" w:header="0"/>
        </w:sectPr>
      </w:pPr>
    </w:p>
    <w:bookmarkStart w:id="611" w:name="page612"/>
    <w:bookmarkEnd w:id="61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8"/>
          <w:szCs w:val="18"/>
          <w:color w:val="auto"/>
        </w:rPr>
        <w:t>, the parties have executed this Agreement as of the date first written above.</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ICHAEL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AAB</w:t>
      </w:r>
    </w:p>
    <w:p>
      <w:pPr>
        <w:sectPr>
          <w:pgSz w:w="11900" w:h="16838" w:orient="portrait"/>
          <w:cols w:equalWidth="0" w:num="1">
            <w:col w:w="10219"/>
          </w:cols>
          <w:pgMar w:left="240" w:top="266" w:right="1440" w:bottom="1440" w:gutter="0" w:footer="0" w:header="0"/>
        </w:sectPr>
      </w:pPr>
    </w:p>
    <w:bookmarkStart w:id="612" w:name="page613"/>
    <w:bookmarkEnd w:id="61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(the “Agreement”), dated as of May 29, 2008 (the “Effective Date”), is between Nteryx, Inc., a Delaware corporation (the “Company”) and Dominique Charmot (“Executive”).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Company and Executive previously executed that certain Offer of Employment, dated October 19, 2007 (the “Offer Letter”).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The Company and Executive now desire to supersede the Offer Letter by this Agreement.</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receipt of which is hereby acknowledged, the Company and Executive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52" w:lineRule="exact"/>
        <w:rPr>
          <w:sz w:val="20"/>
          <w:szCs w:val="20"/>
          <w:color w:val="auto"/>
        </w:rPr>
      </w:pPr>
    </w:p>
    <w:p>
      <w:pPr>
        <w:ind w:left="800" w:hanging="792"/>
        <w:spacing w:after="0"/>
        <w:tabs>
          <w:tab w:leader="none" w:pos="800" w:val="left"/>
        </w:tabs>
        <w:numPr>
          <w:ilvl w:val="0"/>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RESPONSIBILITIES</w:t>
      </w:r>
    </w:p>
    <w:p>
      <w:pPr>
        <w:spacing w:after="0" w:line="117" w:lineRule="exact"/>
        <w:rPr>
          <w:rFonts w:ascii="Times New Roman" w:cs="Times New Roman" w:eastAsia="Times New Roman" w:hAnsi="Times New Roman"/>
          <w:sz w:val="18"/>
          <w:szCs w:val="18"/>
          <w:b w:val="1"/>
          <w:bCs w:val="1"/>
          <w:color w:val="auto"/>
        </w:rPr>
      </w:pPr>
    </w:p>
    <w:p>
      <w:pPr>
        <w:jc w:val="both"/>
        <w:ind w:right="60" w:firstLine="464"/>
        <w:spacing w:after="0" w:line="262" w:lineRule="auto"/>
        <w:tabs>
          <w:tab w:leader="none" w:pos="676" w:val="left"/>
        </w:tabs>
        <w:numPr>
          <w:ilvl w:val="1"/>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w:t>
      </w:r>
      <w:r>
        <w:rPr>
          <w:rFonts w:ascii="Times New Roman" w:cs="Times New Roman" w:eastAsia="Times New Roman" w:hAnsi="Times New Roman"/>
          <w:sz w:val="18"/>
          <w:szCs w:val="18"/>
          <w:color w:val="auto"/>
        </w:rPr>
        <w:t>Executive is employed by the Company to render services to the Company in the position of Chief Technology Officer.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such duties and responsibilities as are normally related to such position in accordance with the standards of the industry and any additional duties now or hereafter assigned to Executive by the Company. Executive shall report to the Chief Executive Officer. Executive shall abide by the rules, regulations, and practices as adopted or modified from time to time in the Company’s sole discretion.</w:t>
      </w:r>
    </w:p>
    <w:p>
      <w:pPr>
        <w:spacing w:after="0" w:line="176" w:lineRule="exact"/>
        <w:rPr>
          <w:rFonts w:ascii="Times New Roman" w:cs="Times New Roman" w:eastAsia="Times New Roman" w:hAnsi="Times New Roman"/>
          <w:sz w:val="18"/>
          <w:szCs w:val="18"/>
          <w:b w:val="1"/>
          <w:bCs w:val="1"/>
          <w:color w:val="auto"/>
        </w:rPr>
      </w:pPr>
    </w:p>
    <w:p>
      <w:pPr>
        <w:ind w:right="80" w:firstLine="464"/>
        <w:spacing w:after="0" w:line="268" w:lineRule="auto"/>
        <w:tabs>
          <w:tab w:leader="none" w:pos="667" w:val="left"/>
        </w:tabs>
        <w:numPr>
          <w:ilvl w:val="1"/>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Activities. </w:t>
      </w:r>
      <w:r>
        <w:rPr>
          <w:rFonts w:ascii="Times New Roman" w:cs="Times New Roman" w:eastAsia="Times New Roman" w:hAnsi="Times New Roman"/>
          <w:sz w:val="18"/>
          <w:szCs w:val="18"/>
          <w:color w:val="auto"/>
        </w:rPr>
        <w:t>Except upon the prior written consent of the Company, Executive will not, during the term of this Agreement, (i) accept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(ii) engage, directly or indirectly, in any other business activity (whether or not pursued for pecuniary advantage) that might interfere with Executive’s duties and responsibilities hereunder or create a conflict of interest with the Company.</w:t>
      </w:r>
    </w:p>
    <w:p>
      <w:pPr>
        <w:spacing w:after="0" w:line="170" w:lineRule="exact"/>
        <w:rPr>
          <w:rFonts w:ascii="Times New Roman" w:cs="Times New Roman" w:eastAsia="Times New Roman" w:hAnsi="Times New Roman"/>
          <w:sz w:val="18"/>
          <w:szCs w:val="18"/>
          <w:b w:val="1"/>
          <w:bCs w:val="1"/>
          <w:color w:val="auto"/>
        </w:rPr>
      </w:pPr>
    </w:p>
    <w:p>
      <w:pPr>
        <w:jc w:val="both"/>
        <w:ind w:right="80" w:firstLine="464"/>
        <w:spacing w:after="0" w:line="268" w:lineRule="auto"/>
        <w:tabs>
          <w:tab w:leader="none" w:pos="676" w:val="left"/>
        </w:tabs>
        <w:numPr>
          <w:ilvl w:val="1"/>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Executive represents and warrants that Executive’s execution of this Agreement, employment with the Company, and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319" w:lineRule="exact"/>
        <w:rPr>
          <w:sz w:val="20"/>
          <w:szCs w:val="20"/>
          <w:color w:val="auto"/>
        </w:rPr>
      </w:pPr>
    </w:p>
    <w:p>
      <w:pPr>
        <w:ind w:left="800" w:hanging="792"/>
        <w:spacing w:after="0"/>
        <w:tabs>
          <w:tab w:leader="none" w:pos="800" w:val="left"/>
        </w:tabs>
        <w:numPr>
          <w:ilvl w:val="0"/>
          <w:numId w:val="7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p>
    <w:p>
      <w:pPr>
        <w:spacing w:after="0" w:line="117" w:lineRule="exact"/>
        <w:rPr>
          <w:rFonts w:ascii="Times New Roman" w:cs="Times New Roman" w:eastAsia="Times New Roman" w:hAnsi="Times New Roman"/>
          <w:sz w:val="18"/>
          <w:szCs w:val="18"/>
          <w:b w:val="1"/>
          <w:bCs w:val="1"/>
          <w:color w:val="auto"/>
        </w:rPr>
      </w:pPr>
    </w:p>
    <w:p>
      <w:pPr>
        <w:ind w:right="80" w:firstLine="456"/>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Base Salary. </w:t>
      </w:r>
      <w:r>
        <w:rPr>
          <w:rFonts w:ascii="Times New Roman" w:cs="Times New Roman" w:eastAsia="Times New Roman" w:hAnsi="Times New Roman"/>
          <w:sz w:val="18"/>
          <w:szCs w:val="18"/>
          <w:color w:val="auto"/>
        </w:rPr>
        <w:t>In consideration of the services to be rendered under this Agreement, the Company shall pay Executive a salary at the rate of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Forty Thousand Dollars ($240,000) per year (“Base Salary”). The Base Salary shall be paid in accordance with the Company’s regularly established payroll practice. Executive’s Base Salary will be reviewed from time to time in accordance with the established procedures of the Company for adjusting salaries for similarly situated employees and may be adjusted in the sole discretion of the Company.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613" w:name="page614"/>
    <w:bookmarkEnd w:id="613"/>
    <w:p>
      <w:pPr>
        <w:jc w:val="both"/>
        <w:ind w:right="1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Stock Options and Restricted Stock. </w:t>
      </w:r>
      <w:r>
        <w:rPr>
          <w:rFonts w:ascii="Times New Roman" w:cs="Times New Roman" w:eastAsia="Times New Roman" w:hAnsi="Times New Roman"/>
          <w:sz w:val="18"/>
          <w:szCs w:val="18"/>
          <w:color w:val="auto"/>
        </w:rPr>
        <w:t>Unless otherwise authorized by the Company’s Board of Directors, any stock options granted or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issued to Executive after the date hereof shall be subject to the following vesting provisions: twenty-five percent (25%) of the shares shall vest on the first anniversary of the date of grant or issuance, as the case may be, and seventy-five percent (75%) of the shares shall vest in thirty-six (36) equal monthly installments thereafter, with all shares vested 48 months after the date of grant or issuance, as the case may be, which vesting shall be subject to acceleration pursuant to Sections III.B and VI.B below.</w:t>
      </w:r>
    </w:p>
    <w:p>
      <w:pPr>
        <w:spacing w:after="0" w:line="180" w:lineRule="exact"/>
        <w:rPr>
          <w:sz w:val="20"/>
          <w:szCs w:val="20"/>
          <w:color w:val="auto"/>
        </w:rPr>
      </w:pPr>
    </w:p>
    <w:p>
      <w:pPr>
        <w:ind w:right="2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Benefits. </w:t>
      </w:r>
      <w:r>
        <w:rPr>
          <w:rFonts w:ascii="Times New Roman" w:cs="Times New Roman" w:eastAsia="Times New Roman" w:hAnsi="Times New Roman"/>
          <w:sz w:val="18"/>
          <w:szCs w:val="18"/>
          <w:color w:val="auto"/>
        </w:rPr>
        <w:t>Executive shall be eligible to participate in the benefits made generally available by the Company to similarly-situated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bonus plans, in accordance with the benefit plans established by the Company, and as may be amended from time to time in the Company’s sole discretion.</w:t>
      </w:r>
    </w:p>
    <w:p>
      <w:pPr>
        <w:spacing w:after="0" w:line="171"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Paid Time Off. </w:t>
      </w:r>
      <w:r>
        <w:rPr>
          <w:rFonts w:ascii="Times New Roman" w:cs="Times New Roman" w:eastAsia="Times New Roman" w:hAnsi="Times New Roman"/>
          <w:sz w:val="18"/>
          <w:szCs w:val="18"/>
          <w:color w:val="auto"/>
        </w:rPr>
        <w:t>Executive shall accrue three (3) weeks of paid time off per year in accordance with the Company’s policy as may be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in addition to paid Company holidays.</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Expenses. </w:t>
      </w:r>
      <w:r>
        <w:rPr>
          <w:rFonts w:ascii="Times New Roman" w:cs="Times New Roman" w:eastAsia="Times New Roman" w:hAnsi="Times New Roman"/>
          <w:sz w:val="18"/>
          <w:szCs w:val="18"/>
          <w:color w:val="auto"/>
        </w:rPr>
        <w:t>The Company shall reimburse Executive for reasonable business expenses incurred in the performance of Executive’s duties hereunder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Company’s expense reimbursement guidelines.</w:t>
      </w:r>
    </w:p>
    <w:p>
      <w:pPr>
        <w:spacing w:after="0" w:line="303" w:lineRule="exact"/>
        <w:rPr>
          <w:sz w:val="20"/>
          <w:szCs w:val="20"/>
          <w:color w:val="auto"/>
        </w:rPr>
      </w:pPr>
    </w:p>
    <w:p>
      <w:pPr>
        <w:ind w:left="800" w:hanging="792"/>
        <w:spacing w:after="0"/>
        <w:tabs>
          <w:tab w:leader="none" w:pos="800" w:val="left"/>
        </w:tabs>
        <w:numPr>
          <w:ilvl w:val="0"/>
          <w:numId w:val="7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AT-WILL EMPLOYMENT; TERMINATION BY COMPANY</w:t>
      </w:r>
    </w:p>
    <w:p>
      <w:pPr>
        <w:spacing w:after="0" w:line="117" w:lineRule="exact"/>
        <w:rPr>
          <w:rFonts w:ascii="Times New Roman" w:cs="Times New Roman" w:eastAsia="Times New Roman" w:hAnsi="Times New Roman"/>
          <w:sz w:val="18"/>
          <w:szCs w:val="18"/>
          <w:b w:val="1"/>
          <w:bCs w:val="1"/>
          <w:color w:val="auto"/>
        </w:rPr>
      </w:pPr>
    </w:p>
    <w:p>
      <w:pPr>
        <w:ind w:right="480" w:firstLine="464"/>
        <w:spacing w:after="0" w:line="262" w:lineRule="auto"/>
        <w:tabs>
          <w:tab w:leader="none" w:pos="676" w:val="left"/>
        </w:tabs>
        <w:numPr>
          <w:ilvl w:val="1"/>
          <w:numId w:val="7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At-Will Termination by Company. </w:t>
      </w:r>
      <w:r>
        <w:rPr>
          <w:rFonts w:ascii="Times New Roman" w:cs="Times New Roman" w:eastAsia="Times New Roman" w:hAnsi="Times New Roman"/>
          <w:sz w:val="18"/>
          <w:szCs w:val="18"/>
          <w:color w:val="auto"/>
        </w:rPr>
        <w:t>Executive’s employment with the Company shall be “at-will” at all times. The Company may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with the Company at any time, without any advance notice, for any reason or no reason at all, notwithstanding anything to the contrary contained in or arising from any statements, policies or practices of the Company relating to the employment, discipline or termination of its employees. Upon and after such termination, all obligations of the Company under this Agreement shall cease, except as otherwise provided herein.</w:t>
      </w:r>
    </w:p>
    <w:p>
      <w:pPr>
        <w:spacing w:after="0" w:line="176" w:lineRule="exact"/>
        <w:rPr>
          <w:rFonts w:ascii="Times New Roman" w:cs="Times New Roman" w:eastAsia="Times New Roman" w:hAnsi="Times New Roman"/>
          <w:sz w:val="18"/>
          <w:szCs w:val="18"/>
          <w:b w:val="1"/>
          <w:bCs w:val="1"/>
          <w:color w:val="auto"/>
        </w:rPr>
      </w:pPr>
    </w:p>
    <w:p>
      <w:pPr>
        <w:ind w:firstLine="464"/>
        <w:spacing w:after="0" w:line="255" w:lineRule="auto"/>
        <w:tabs>
          <w:tab w:leader="none" w:pos="667" w:val="left"/>
        </w:tabs>
        <w:numPr>
          <w:ilvl w:val="1"/>
          <w:numId w:val="7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Except in situations where the employment of Executive is terminated For Cause, By Death or By Disability (each as defined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 below) and subject to Section VI.B below, in the event that the Company terminates Executive’s employment or Executive terminates his employment For Good Reason (as defined in Section V below), Executive will be eligible to receive: (i) an amount equal to six (6) months of Executive’s then-current Base Salary and then maximum target bonus prorated for such six (6) months, payable in the form of salary continuation, less applicable withholding; (ii) vesting of fifty percent (50%) of Executive’s unvested stock options and restricted stock; and (iii) payment of the COBRA premiums for continued medical, dental and vision coverage for Executive (and any eligible family members) for a period of twelve (12) months from such date; provided, however, that Executive elects continuation coverage pursuant to the Consolidated Omnibus Budget Reconciliation Act of 1985, as amended (“COBRA”), within the time period prescribed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66" w:right="279" w:bottom="1440" w:gutter="0" w:footer="0" w:header="0"/>
        </w:sectPr>
      </w:pPr>
    </w:p>
    <w:bookmarkStart w:id="614" w:name="page615"/>
    <w:bookmarkEnd w:id="61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COBRA (clauses (i), (ii) and (iii), collectively, “Severance”). Executive’s eligibility for the foregoing Severance is conditioned on Executive having first signed a release agreement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not having revoked such release within any applicable revocation period. Executive shall not be entitled to any Severance if Executive’s employment is terminated For Cause, By Death or By Disability (each as defined in Section IV below) or if Executive’s employment is terminated by Executive other than For Good Reason (each as defined in Section V below).</w:t>
      </w:r>
    </w:p>
    <w:p>
      <w:pPr>
        <w:spacing w:after="0" w:line="3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OTHER TERMINATIONS BY COMPANY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A. Termination for Cause. </w:t>
      </w:r>
      <w:r>
        <w:rPr>
          <w:rFonts w:ascii="Times New Roman" w:cs="Times New Roman" w:eastAsia="Times New Roman" w:hAnsi="Times New Roman"/>
          <w:sz w:val="18"/>
          <w:szCs w:val="18"/>
          <w:color w:val="auto"/>
        </w:rPr>
        <w:t>For purposes of this Agreement, “For Cause” shall mean, unless cured by Executive within a period of twenty</w:t>
      </w:r>
    </w:p>
    <w:p>
      <w:pPr>
        <w:spacing w:after="0" w:line="31" w:lineRule="exact"/>
        <w:rPr>
          <w:sz w:val="20"/>
          <w:szCs w:val="20"/>
          <w:color w:val="auto"/>
        </w:rPr>
      </w:pPr>
    </w:p>
    <w:p>
      <w:pPr>
        <w:jc w:val="both"/>
        <w:ind w:right="80" w:firstLine="8"/>
        <w:spacing w:after="0" w:line="265" w:lineRule="auto"/>
        <w:tabs>
          <w:tab w:leader="none" w:pos="345" w:val="left"/>
        </w:tabs>
        <w:numPr>
          <w:ilvl w:val="0"/>
          <w:numId w:val="7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after receipt of notice from the Company (if capable of being cured) (i) Executive’s conviction of a crime involving dishonesty, breach of trust, or physical harm to any person; (ii) Executive’s conviction of, or plea of nolo contendere to, a felony, a crime of moral turpitude or a crime involving a violation of securities laws; (iii) Executive willfully engages in misconduct that is, or reasonably can be expected to be, materially injurious to the Company, including but not limited to, misappropriation of trade secrets, fraud, gross negligence, embezzlement or aiding or abetting a competitor, supplier or customer of the Company; (iv) Executive commits a material breach of this Agreement or the Proprietary Information Agreement (as defined in Section VII below);</w:t>
      </w:r>
    </w:p>
    <w:p>
      <w:pPr>
        <w:spacing w:after="0" w:line="1" w:lineRule="exact"/>
        <w:rPr>
          <w:rFonts w:ascii="Times New Roman" w:cs="Times New Roman" w:eastAsia="Times New Roman" w:hAnsi="Times New Roman"/>
          <w:sz w:val="17"/>
          <w:szCs w:val="17"/>
          <w:color w:val="auto"/>
        </w:rPr>
      </w:pP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Executive willfully refuses to implement or follow a lawful policy or directive of the Company; or (vi) Executive engages in misfeasance or malfeasance demonstrated by a pattern of failure to perform job duties diligently and professionally. For purposes of this definition of Cause, no act shall be considered as having been done willfully unless done by Executive in bad faith and without Executive’s reasonable good faith belief that such act was in the best interests of the Company. The Company may terminate Executive’s employment For Cause at any time, without any advance notice. The Company shall pay to Executive all compensation to which Executive is entitled up through the date of termination, subject to any other rights or remedies of the Company under law; and thereafter all obligations of the Company under this Agreement shall cease.</w:t>
      </w:r>
    </w:p>
    <w:p>
      <w:pPr>
        <w:spacing w:after="0" w:line="186" w:lineRule="exact"/>
        <w:rPr>
          <w:rFonts w:ascii="Times New Roman" w:cs="Times New Roman" w:eastAsia="Times New Roman" w:hAnsi="Times New Roman"/>
          <w:sz w:val="17"/>
          <w:szCs w:val="17"/>
          <w:color w:val="auto"/>
        </w:rPr>
      </w:pPr>
    </w:p>
    <w:p>
      <w:pPr>
        <w:ind w:right="300" w:firstLine="464"/>
        <w:spacing w:after="0" w:line="268" w:lineRule="auto"/>
        <w:tabs>
          <w:tab w:leader="none" w:pos="667" w:val="left"/>
        </w:tabs>
        <w:numPr>
          <w:ilvl w:val="1"/>
          <w:numId w:val="7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 Death. </w:t>
      </w:r>
      <w:r>
        <w:rPr>
          <w:rFonts w:ascii="Times New Roman" w:cs="Times New Roman" w:eastAsia="Times New Roman" w:hAnsi="Times New Roman"/>
          <w:sz w:val="18"/>
          <w:szCs w:val="18"/>
          <w:color w:val="auto"/>
        </w:rPr>
        <w:t>Executive’s employment shall terminate automatically upon Executive’s death (“By Death”). The Company shall pay to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beneficiaries or estate, as appropriate, any compensation then due and owing. Thereafter all obligations of the Company under this Agreement shall cease. Nothing in this Section shall affect any entitlement of Executive’s heirs or devisees to the benefits of any life insurance plan or other applicable benefits.</w:t>
      </w:r>
    </w:p>
    <w:p>
      <w:pPr>
        <w:spacing w:after="0" w:line="170" w:lineRule="exact"/>
        <w:rPr>
          <w:rFonts w:ascii="Times New Roman" w:cs="Times New Roman" w:eastAsia="Times New Roman" w:hAnsi="Times New Roman"/>
          <w:sz w:val="18"/>
          <w:szCs w:val="18"/>
          <w:b w:val="1"/>
          <w:bCs w:val="1"/>
          <w:color w:val="auto"/>
        </w:rPr>
      </w:pPr>
    </w:p>
    <w:p>
      <w:pPr>
        <w:ind w:right="100" w:firstLine="464"/>
        <w:spacing w:after="0" w:line="257" w:lineRule="auto"/>
        <w:tabs>
          <w:tab w:leader="none" w:pos="676" w:val="left"/>
        </w:tabs>
        <w:numPr>
          <w:ilvl w:val="1"/>
          <w:numId w:val="7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 Disability. </w:t>
      </w:r>
      <w:r>
        <w:rPr>
          <w:rFonts w:ascii="Times New Roman" w:cs="Times New Roman" w:eastAsia="Times New Roman" w:hAnsi="Times New Roman"/>
          <w:sz w:val="18"/>
          <w:szCs w:val="18"/>
          <w:color w:val="auto"/>
        </w:rPr>
        <w:t>If Executive becomes eligible for the Company’s long term disability benefits or if, in the sole opinion of the Company, Executive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unable to carry out the responsibilities and functions of the position held by Executive by reason of any physical or mental impairment for more than ninety consecutive days or more than one hundred and twenty days in any twelve-month period, then, to the extent permitted by law, the Company may terminate Executive’s employment (“By Disability”). The Company shall pay to Executive all compensation to which Executive is entitled up through the date of termination, and thereafter all obligations of the Company under this Agreement shall cease. Nothing in this Section shall affect Executive’s rights under any disability plan in which Executive is a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15" w:name="page616"/>
    <w:bookmarkEnd w:id="615"/>
    <w:p>
      <w:pPr>
        <w:ind w:left="800" w:hanging="792"/>
        <w:spacing w:after="0"/>
        <w:tabs>
          <w:tab w:leader="none" w:pos="800" w:val="left"/>
        </w:tabs>
        <w:numPr>
          <w:ilvl w:val="0"/>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BY EXECUTIVE</w:t>
      </w:r>
    </w:p>
    <w:p>
      <w:pPr>
        <w:spacing w:after="0" w:line="117" w:lineRule="exact"/>
        <w:rPr>
          <w:rFonts w:ascii="Times New Roman" w:cs="Times New Roman" w:eastAsia="Times New Roman" w:hAnsi="Times New Roman"/>
          <w:sz w:val="18"/>
          <w:szCs w:val="18"/>
          <w:b w:val="1"/>
          <w:bCs w:val="1"/>
          <w:color w:val="auto"/>
        </w:rPr>
      </w:pPr>
    </w:p>
    <w:p>
      <w:pPr>
        <w:ind w:right="160" w:firstLine="464"/>
        <w:spacing w:after="0" w:line="259" w:lineRule="auto"/>
        <w:tabs>
          <w:tab w:leader="none" w:pos="676" w:val="left"/>
        </w:tabs>
        <w:numPr>
          <w:ilvl w:val="1"/>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At-Will Termination by Executive. </w:t>
      </w:r>
      <w:r>
        <w:rPr>
          <w:rFonts w:ascii="Times New Roman" w:cs="Times New Roman" w:eastAsia="Times New Roman" w:hAnsi="Times New Roman"/>
          <w:sz w:val="18"/>
          <w:szCs w:val="18"/>
          <w:color w:val="auto"/>
        </w:rPr>
        <w:t>Executive may terminate employment with the Company at any time for any reason or no reason at all,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weeks’ advance written notice, unless terminated for Good Reason, which notice of termination shall be subject to Section V.B below. During such notice period Executive shall continue to diligently perform all of Executive’s duties hereunder. The Company shall have the option, in its sole discretion, to make Executive’s termination effective at any time prior to the end of such notice period as long as the Company pays Executive all compensation to which Executive is entitled up through the last day of the four week notice period. Thereafter all obligations of the Company shall cease.</w:t>
      </w:r>
    </w:p>
    <w:p>
      <w:pPr>
        <w:spacing w:after="0" w:line="179" w:lineRule="exact"/>
        <w:rPr>
          <w:rFonts w:ascii="Times New Roman" w:cs="Times New Roman" w:eastAsia="Times New Roman" w:hAnsi="Times New Roman"/>
          <w:sz w:val="18"/>
          <w:szCs w:val="18"/>
          <w:b w:val="1"/>
          <w:bCs w:val="1"/>
          <w:color w:val="auto"/>
        </w:rPr>
      </w:pPr>
    </w:p>
    <w:p>
      <w:pPr>
        <w:ind w:firstLine="464"/>
        <w:spacing w:after="0" w:line="254" w:lineRule="auto"/>
        <w:tabs>
          <w:tab w:leader="none" w:pos="667" w:val="left"/>
        </w:tabs>
        <w:numPr>
          <w:ilvl w:val="1"/>
          <w:numId w:val="7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Good Reason. </w:t>
      </w:r>
      <w:r>
        <w:rPr>
          <w:rFonts w:ascii="Times New Roman" w:cs="Times New Roman" w:eastAsia="Times New Roman" w:hAnsi="Times New Roman"/>
          <w:sz w:val="18"/>
          <w:szCs w:val="18"/>
          <w:color w:val="auto"/>
        </w:rPr>
        <w:t>Executive’s termination shall be for “Good Reason” if Executive provides written notice to the Company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Reason within three (3) months of the event constituting Good Reason and provides the Company with a period of twenty (20) calendar days to cure the Good Reason and the Company fails to cure the Good Reason within that period. For purposes of this Agreement, “Good Reason” shall mean, without Executive’s express written consent and without cure, (i) a significant reduction of Executive’s duties, position or responsibilities relative to Executive’s duties, title, position or responsibilities in effect immediately prior to such reduction; (ii) a significant reduction of Executive’s base salary, target bonus or aggregate compensation in effect immediately prior to such reduction, unless such reduction is part of an across-the-board reduction in the salary level of all other executive officers of the Company by the same percentage amount; or (iii) the relocation of Executive to a facility or a location more than forty</w:t>
      </w:r>
    </w:p>
    <w:p>
      <w:pPr>
        <w:spacing w:after="0" w:line="1" w:lineRule="exact"/>
        <w:rPr>
          <w:rFonts w:ascii="Times New Roman" w:cs="Times New Roman" w:eastAsia="Times New Roman" w:hAnsi="Times New Roman"/>
          <w:sz w:val="18"/>
          <w:szCs w:val="18"/>
          <w:b w:val="1"/>
          <w:bCs w:val="1"/>
          <w:color w:val="auto"/>
        </w:rPr>
      </w:pPr>
    </w:p>
    <w:p>
      <w:pPr>
        <w:jc w:val="both"/>
        <w:ind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(40) miles from the Company’s principal executive office (excluding regular travel in the ordinary course of business. In such event, and after the expiration of the cure period and Company’s failure to cure the Good Reason within that period, Executive may terminate his employment for Good Reason, in which case Executive will be eligible to receive Severance subject to the terms described in Section III above.</w:t>
      </w:r>
    </w:p>
    <w:p>
      <w:pPr>
        <w:spacing w:after="0" w:line="3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 Definition. </w:t>
      </w:r>
      <w:r>
        <w:rPr>
          <w:rFonts w:ascii="Times New Roman" w:cs="Times New Roman" w:eastAsia="Times New Roman" w:hAnsi="Times New Roman"/>
          <w:sz w:val="18"/>
          <w:szCs w:val="18"/>
          <w:color w:val="auto"/>
        </w:rPr>
        <w:t>For purposes of this Agreement, “Change of Control” shall mean a change in ownership or control of the Company effected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consolidation or acquisition by any person or related group of persons (other than an acquisition by the Company or by a Company-sponsored employee benefit plan or by a person or persons that directly or indirectly controls, is controlled by, or is under common control with, the Company) of beneficial ownership (within the meaning of Rule 13d-3 of the Securities Exchange Act of 1934) of securities possessing more than fifty percent (50%) of the total combined voting power of the outstanding securities of the Company; provided, that an equity financing in which the Company is the surviving corporation, or any reorganization, merger or consolidation effected exclusively for the purpose of changing the domicile of the Company, shall not constitute a “Change of Control.”</w:t>
      </w:r>
    </w:p>
    <w:p>
      <w:pPr>
        <w:spacing w:after="0" w:line="183" w:lineRule="exact"/>
        <w:rPr>
          <w:sz w:val="20"/>
          <w:szCs w:val="20"/>
          <w:color w:val="auto"/>
        </w:rPr>
      </w:pPr>
    </w:p>
    <w:p>
      <w:pPr>
        <w:ind w:right="340" w:firstLine="456"/>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 Acceleration Upon Change of Control. </w:t>
      </w:r>
      <w:r>
        <w:rPr>
          <w:rFonts w:ascii="Times New Roman" w:cs="Times New Roman" w:eastAsia="Times New Roman" w:hAnsi="Times New Roman"/>
          <w:sz w:val="17"/>
          <w:szCs w:val="17"/>
          <w:color w:val="auto"/>
        </w:rPr>
        <w:t>Notwithstanding Section III to the contrary, if, within three (3) months prior to or twelve (12)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a Change of Control, Executive’s employment with the Company, or any successor to the Company, is terminated (A) for any reason other than</w:t>
      </w:r>
    </w:p>
    <w:p>
      <w:pPr>
        <w:spacing w:after="0" w:line="2" w:lineRule="exact"/>
        <w:rPr>
          <w:sz w:val="20"/>
          <w:szCs w:val="20"/>
          <w:color w:val="auto"/>
        </w:rPr>
      </w:pPr>
    </w:p>
    <w:p>
      <w:pPr>
        <w:ind w:left="5660" w:right="1440" w:hanging="5652"/>
        <w:spacing w:after="0" w:line="433" w:lineRule="auto"/>
        <w:tabs>
          <w:tab w:leader="none" w:pos="214"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Death, (ii) By Disability, (iii) For Cause or (iv) because of the voluntary retirement from or voluntary resignation of employment by 4</w:t>
      </w:r>
    </w:p>
    <w:p>
      <w:pPr>
        <w:sectPr>
          <w:pgSz w:w="11900" w:h="16838" w:orient="portrait"/>
          <w:cols w:equalWidth="0" w:num="1">
            <w:col w:w="11420"/>
          </w:cols>
          <w:pgMar w:left="240" w:top="266" w:right="239" w:bottom="1440" w:gutter="0" w:footer="0" w:header="0"/>
        </w:sectPr>
      </w:pPr>
    </w:p>
    <w:bookmarkStart w:id="616" w:name="page617"/>
    <w:bookmarkEnd w:id="616"/>
    <w:p>
      <w:pPr>
        <w:ind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for any reason other than those set forth in clause (B), or (B) upon voluntary resignation of employment by Executive within two (2) months of the occurrence of an event that constitutes Good Reason, subject to Executive executing, and failing to revoke during any applicable revocation period, the release agreement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Executive shall be entitled to the severance benefits set forth in Section III.B, except that instead of six</w:t>
      </w:r>
    </w:p>
    <w:p>
      <w:pPr>
        <w:spacing w:after="0" w:line="2" w:lineRule="exact"/>
        <w:rPr>
          <w:sz w:val="20"/>
          <w:szCs w:val="20"/>
          <w:color w:val="auto"/>
        </w:rPr>
      </w:pPr>
    </w:p>
    <w:p>
      <w:pPr>
        <w:ind w:right="60" w:firstLine="8"/>
        <w:spacing w:after="0" w:line="254" w:lineRule="auto"/>
        <w:tabs>
          <w:tab w:leader="none" w:pos="255"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severance benefits in clause (i) therein, Executive shall be entitled to twelve (12) months and instead of fifty percent (50%) accelerated vesting, Executive shall be entitled to accelerated vesting of all outstanding stock options or restricted stock held by Executive. As of the date of this Agreement, the Company will amend each outstanding stock option or restricted stock agreement issued to Executive to provide for accelerated vesting of such stock option or restricted stock in the case of termination of employment following a Change of Control to provide for the acceleration set forth in this Section VI.B.</w:t>
      </w:r>
    </w:p>
    <w:p>
      <w:pPr>
        <w:spacing w:after="0" w:line="3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TERMINATION OBLIGATIONS</w:t>
      </w:r>
    </w:p>
    <w:p>
      <w:pPr>
        <w:spacing w:after="0" w:line="117"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Return of Property. </w:t>
      </w:r>
      <w:r>
        <w:rPr>
          <w:rFonts w:ascii="Times New Roman" w:cs="Times New Roman" w:eastAsia="Times New Roman" w:hAnsi="Times New Roman"/>
          <w:sz w:val="18"/>
          <w:szCs w:val="18"/>
          <w:color w:val="auto"/>
        </w:rPr>
        <w:t>Executive agrees that all property (including without limitation all equipment, tangible proprietary information,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notes, contracts and computer-generated materials) furnished to or created or prepared by Executive incident to Executive’s employment belongs to the Company and shall be promptly returned to the Company upon termination of Executive’s employment.</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Resignation and Cooperation. </w:t>
      </w:r>
      <w:r>
        <w:rPr>
          <w:rFonts w:ascii="Times New Roman" w:cs="Times New Roman" w:eastAsia="Times New Roman" w:hAnsi="Times New Roman"/>
          <w:sz w:val="18"/>
          <w:szCs w:val="18"/>
          <w:color w:val="auto"/>
        </w:rPr>
        <w:t>Upon termination of Executive’s employment, Executive shall be deemed to have resigned from all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directorships then held with the Company. Following any termination of employment, Executive shall cooperate with the Company in the winding up of pending work on behalf of the Company and the orderly transfer of work to other employees. Executive shall also cooperate with the Company in the defense of any action brought by any third party against the Company that relates to Executive’s employment by the Company.</w:t>
      </w:r>
    </w:p>
    <w:p>
      <w:pPr>
        <w:spacing w:after="0" w:line="3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color w:val="auto"/>
        </w:rPr>
        <w:t>INVENTIONS AND PROPRIETARY INFORMATION; PROHIBITION ON THIRD PARTY INFORMATION</w:t>
      </w:r>
    </w:p>
    <w:p>
      <w:pPr>
        <w:spacing w:after="0" w:line="117" w:lineRule="exact"/>
        <w:rPr>
          <w:sz w:val="20"/>
          <w:szCs w:val="20"/>
          <w:color w:val="auto"/>
        </w:rPr>
      </w:pPr>
    </w:p>
    <w:p>
      <w:pPr>
        <w:ind w:right="7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Proprietary Information Agreement. </w:t>
      </w:r>
      <w:r>
        <w:rPr>
          <w:rFonts w:ascii="Times New Roman" w:cs="Times New Roman" w:eastAsia="Times New Roman" w:hAnsi="Times New Roman"/>
          <w:sz w:val="18"/>
          <w:szCs w:val="18"/>
          <w:color w:val="auto"/>
        </w:rPr>
        <w:t>Executive has previously signed, and agrees to continue to be bound by, the Company’s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and Inventions Assignment Agreement which is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“Proprietary Information Agreement”).</w:t>
      </w:r>
    </w:p>
    <w:p>
      <w:pPr>
        <w:spacing w:after="0" w:line="15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Non-Disclosure of Third Party Information. </w:t>
      </w:r>
      <w:r>
        <w:rPr>
          <w:rFonts w:ascii="Times New Roman" w:cs="Times New Roman" w:eastAsia="Times New Roman" w:hAnsi="Times New Roman"/>
          <w:sz w:val="18"/>
          <w:szCs w:val="18"/>
          <w:color w:val="auto"/>
        </w:rPr>
        <w:t>Executive represents and warrants and covenants that Executive shall not disclose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or induce the Company to use, any proprietary information or trade secrets of others at any time, including but not limited to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has requested or instructed Executive to disclose or use any such third party proprietary information or trade secrets.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617" w:name="page618"/>
    <w:bookmarkEnd w:id="617"/>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w:t>
      </w:r>
      <w:r>
        <w:rPr>
          <w:sz w:val="20"/>
          <w:szCs w:val="20"/>
          <w:color w:val="auto"/>
        </w:rPr>
        <w:tab/>
      </w:r>
      <w:r>
        <w:rPr>
          <w:rFonts w:ascii="Times New Roman" w:cs="Times New Roman" w:eastAsia="Times New Roman" w:hAnsi="Times New Roman"/>
          <w:sz w:val="18"/>
          <w:szCs w:val="18"/>
          <w:b w:val="1"/>
          <w:bCs w:val="1"/>
          <w:color w:val="auto"/>
        </w:rPr>
        <w:t>ARBITRATION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Executive agrees to sign and be bound by the terms of the Company’s Arbitration Agreement, which is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800" w:hanging="792"/>
        <w:spacing w:after="0"/>
        <w:tabs>
          <w:tab w:leader="none" w:pos="800" w:val="left"/>
        </w:tabs>
        <w:numPr>
          <w:ilvl w:val="0"/>
          <w:numId w:val="7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WAIVERS; REMEDIES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This Agreement may not be amended or waived except by a writing signed by Executive and by a duly authorized representative of the Company other than Executive.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ASSIGNMENT; BINDING EFFECT</w:t>
      </w:r>
    </w:p>
    <w:p>
      <w:pPr>
        <w:spacing w:after="0" w:line="117" w:lineRule="exact"/>
        <w:rPr>
          <w:sz w:val="20"/>
          <w:szCs w:val="20"/>
          <w:color w:val="auto"/>
        </w:rPr>
      </w:pPr>
    </w:p>
    <w:p>
      <w:pPr>
        <w:jc w:val="both"/>
        <w:ind w:right="2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Assignment. </w:t>
      </w:r>
      <w:r>
        <w:rPr>
          <w:rFonts w:ascii="Times New Roman" w:cs="Times New Roman" w:eastAsia="Times New Roman" w:hAnsi="Times New Roman"/>
          <w:sz w:val="18"/>
          <w:szCs w:val="18"/>
          <w:color w:val="auto"/>
        </w:rPr>
        <w:t>The performance of Executive is personal hereunder, and Executive agrees that Executive shall have no right to assign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purport to assign any rights or obligations under this Agreement. This Agreement may be assigned or transferred by the Company; and nothing in this Agreement shall prevent the consolidation, merger or sale of the Company or a sale of any or all or substantially all of its assets.</w:t>
      </w:r>
    </w:p>
    <w:p>
      <w:pPr>
        <w:spacing w:after="0" w:line="171"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Binding Effect. </w:t>
      </w:r>
      <w:r>
        <w:rPr>
          <w:rFonts w:ascii="Times New Roman" w:cs="Times New Roman" w:eastAsia="Times New Roman" w:hAnsi="Times New Roman"/>
          <w:sz w:val="18"/>
          <w:szCs w:val="18"/>
          <w:color w:val="auto"/>
        </w:rPr>
        <w:t>Subject to the foregoing restriction on assignment by Executive, this Agreement shall inure to the benefit of and be binding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the affiliates, officers, directors, agents, successors and assigns of the Company; and the heirs, devisees, spouses, legal representatives and successors of Executive.</w:t>
      </w:r>
    </w:p>
    <w:p>
      <w:pPr>
        <w:spacing w:after="0" w:line="31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notices or other communications required or permitted hereunder shall be made in writing and shall be deemed to have been duly given if delivered:</w:t>
      </w:r>
    </w:p>
    <w:p>
      <w:pPr>
        <w:spacing w:after="0" w:line="27" w:lineRule="exact"/>
        <w:rPr>
          <w:sz w:val="20"/>
          <w:szCs w:val="20"/>
          <w:color w:val="auto"/>
        </w:rPr>
      </w:pPr>
    </w:p>
    <w:p>
      <w:pPr>
        <w:ind w:right="60" w:firstLine="8"/>
        <w:spacing w:after="0" w:line="254" w:lineRule="auto"/>
        <w:tabs>
          <w:tab w:leader="none" w:pos="245"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hand; (b) by a nationally recognized overnight courier service; or (c) by United States first class registered or certified mail, return receipt requested, to the principal address of the other party, as set forth below. The date of notice shall be deemed to be the earlier of (i) actual receipt of notice by any permitted means, or (ii) five business days following dispatch by overnight delivery service or the United States Mail. Executive shall be obligated to notify the Company in writing of any change in Executive’s address. Notice of change of address shall be effective only when done in accordance with this paragraph.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Notice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Nteryx,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 S. Winchester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Notice Address: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6" w:right="239" w:bottom="1440" w:gutter="0" w:footer="0" w:header="0"/>
        </w:sectPr>
      </w:pPr>
    </w:p>
    <w:bookmarkStart w:id="618" w:name="page619"/>
    <w:bookmarkEnd w:id="618"/>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XIII.</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shall be held by a court or arbitrator to be invalid, unenforceable, or void, such provision shall be enforced to the fullest extent permitted by law, and the remainder of this Agreement shall remain in full force and effect. In the event that the time period or scope of any provision is declared by a court or arbitrator of competent jurisdiction to exceed the maximum time period or scope that such court or arbitrator deems enforceable, then such court or arbitrator shall reduce the time period or scope to the maximum time period or scope permitted by law.</w:t>
      </w:r>
    </w:p>
    <w:p>
      <w:pPr>
        <w:spacing w:after="0" w:line="3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BEST PAYMENTS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to the extent that payments and benefits provided under this Agreement to Executive and benefits provided to, or for the benefit of, Executive under any other Company plan or agreement (collectively, “Payments”) would be subject to the excise tax (the “Excise Tax”) imposed under Section 4999 of the Code, the Payments shall be reduced (but not below zero) to the extent necessary so that no Payment shall be subject to the Excise Tax, but only if, by reason of such reduction, the net after-tax benefit received by Executive shall exceed the net after-tax benefit received by him if no such reduction was made. For purposes of this Agreement, “net after-tax benefit” shall mean (a) the Payments which Executive receives or is then entitled to receive from the Company that would constitute “parachute payments” within the meaning of Section 280G of the Code, less (b) the amount of all federal, state and local income taxes payable with respect to the foregoing calculated at the maximum marginal income tax rate for each year in which the foregoing shall be paid to Executive (based on the rate in effect for such year as set forth in the Code as in effect at the time of the first payment of the foregoing), less (c) the amount of excise taxes imposed with respect to the payments and benefits described in (a) above by</w:t>
      </w:r>
    </w:p>
    <w:p>
      <w:pPr>
        <w:spacing w:after="0" w:line="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4999 of the Code. The foregoing determination will be made by a nationally recognized accounting firm (the “Accounting Firm”) selected by the Company (which may be, but will not be required to be, the Company’s independent auditors). The Company will direct the Accounting Firm to submit its determination and detailed supporting calculations to both Executive and the Company within fifteen (15) days after his Termination Date. If the Accounting Firm determines that a reduction is required by this provision, Executive, in his sole and absolute discretion, may determine which Payments shall be reduced to the extent necessary so that no portion thereof shall be subject to the excise tax imposed by Section 4999 of the Code, and the Company shall pay such reduced amount to him. The fees and expenses of the Accounting Firm for its services in connection with the determinations and calculations contemplated by this provision will be borne by the Company.</w:t>
      </w:r>
    </w:p>
    <w:p>
      <w:pPr>
        <w:spacing w:after="0" w:line="3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All amounts paid under this Agreement shall be paid less all applicable state and federal tax withholdings (if any) and any other withholdings required by any applicable jurisdiction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5" w:right="239" w:bottom="1440" w:gutter="0" w:footer="0" w:header="0"/>
        </w:sectPr>
      </w:pPr>
    </w:p>
    <w:bookmarkStart w:id="619" w:name="page620"/>
    <w:bookmarkEnd w:id="61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authorized by Executive. Notwithstanding any other provision of this Agreement whatsoever, the Company, in its sole discretion, shall have the right to provide for the application and effects of Section 409A of the Code (relating to deferred compensation arrangements) and any related administrative guidance issued by the Internal Revenue Service. The Company shall have the authority to delay the payment of any amounts under this Agreement to the extent it deems necessary or appropriate to comply with Section 409A(a)(2)(B)(i) of the Code (relating to payments made to certain “key employees” of publicly-traded companies); in such event, the payment(s) at issue may not be made before the date which is six (6) months after the date of Executive’s separation from service, or, if earlier, the date of death.</w:t>
      </w:r>
    </w:p>
    <w:p>
      <w:pPr>
        <w:spacing w:after="0" w:line="3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XVI.</w:t>
      </w:r>
      <w:r>
        <w:rPr>
          <w:sz w:val="20"/>
          <w:szCs w:val="20"/>
          <w:color w:val="auto"/>
        </w:rPr>
        <w:tab/>
      </w: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California.</w:t>
      </w:r>
    </w:p>
    <w:p>
      <w:pPr>
        <w:spacing w:after="0" w:line="37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XVII.</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3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XVIII.</w:t>
        <w:tab/>
        <w:t>OBLIGATIONS SURVIVE TERMINATION OF EMPLOYMENT</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Executive agrees that any and all of Executive’s obligations under this agreement, including but not limited to </w:t>
      </w:r>
      <w:r>
        <w:rPr>
          <w:rFonts w:ascii="Times New Roman" w:cs="Times New Roman" w:eastAsia="Times New Roman" w:hAnsi="Times New Roman"/>
          <w:sz w:val="18"/>
          <w:szCs w:val="18"/>
          <w:u w:val="single" w:color="auto"/>
          <w:color w:val="auto"/>
        </w:rPr>
        <w:t>Exhibits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shall survive the termination of employment and the termination of this Agreement.</w:t>
      </w:r>
    </w:p>
    <w:p>
      <w:pPr>
        <w:spacing w:after="0" w:line="30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XIX.</w:t>
      </w:r>
      <w:r>
        <w:rPr>
          <w:sz w:val="20"/>
          <w:szCs w:val="20"/>
          <w:color w:val="auto"/>
        </w:rPr>
        <w:tab/>
      </w:r>
      <w:r>
        <w:rPr>
          <w:rFonts w:ascii="Times New Roman" w:cs="Times New Roman" w:eastAsia="Times New Roman" w:hAnsi="Times New Roman"/>
          <w:sz w:val="18"/>
          <w:szCs w:val="18"/>
          <w:b w:val="1"/>
          <w:bCs w:val="1"/>
          <w:color w:val="auto"/>
        </w:rPr>
        <w:t>COUNTERPARTS</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of this Agreement, but all of which together shall constitute one and the same instrument.</w:t>
      </w:r>
    </w:p>
    <w:p>
      <w:pPr>
        <w:spacing w:after="0" w:line="306" w:lineRule="exact"/>
        <w:rPr>
          <w:sz w:val="20"/>
          <w:szCs w:val="20"/>
          <w:color w:val="auto"/>
        </w:rPr>
      </w:pPr>
    </w:p>
    <w:p>
      <w:pPr>
        <w:ind w:left="800" w:hanging="792"/>
        <w:spacing w:after="0"/>
        <w:tabs>
          <w:tab w:leader="none" w:pos="800" w:val="left"/>
        </w:tabs>
        <w:numPr>
          <w:ilvl w:val="0"/>
          <w:numId w:val="7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3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XXI.</w:t>
      </w:r>
      <w:r>
        <w:rPr>
          <w:sz w:val="20"/>
          <w:szCs w:val="20"/>
          <w:color w:val="auto"/>
        </w:rPr>
        <w:tab/>
      </w:r>
      <w:r>
        <w:rPr>
          <w:rFonts w:ascii="Times New Roman" w:cs="Times New Roman" w:eastAsia="Times New Roman" w:hAnsi="Times New Roman"/>
          <w:sz w:val="18"/>
          <w:szCs w:val="18"/>
          <w:b w:val="1"/>
          <w:bCs w:val="1"/>
          <w:color w:val="auto"/>
        </w:rPr>
        <w:t>ENTIRE AGREEMENT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This Agreement is intended to be the final, complete, and exclusive statement of the terms of Executive’s employment by the Company and may not be contradicted by evidence of any prior or contemporaneous statements or agreements, except for the Proprietary Information Agreement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This Agreement supersedes the Offer Letter in all respects.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0" w:right="279" w:bottom="1440" w:gutter="0" w:footer="0" w:header="0"/>
        </w:sectPr>
      </w:pPr>
    </w:p>
    <w:bookmarkStart w:id="620" w:name="page621"/>
    <w:bookmarkEnd w:id="62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the practices, policies or procedures of the Company, now or in the future, apply to Executive and are inconsistent with the terms of this Agreement, the provisions of this Agreement shall control. Any subsequent change in Executive’s duties, position, or compensation will not affect the validity or scope of this Agreement.</w:t>
      </w:r>
    </w:p>
    <w:p>
      <w:pPr>
        <w:spacing w:after="0" w:line="3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XXII.</w:t>
      </w:r>
      <w:r>
        <w:rPr>
          <w:sz w:val="20"/>
          <w:szCs w:val="20"/>
          <w:color w:val="auto"/>
        </w:rPr>
        <w:tab/>
      </w:r>
      <w:r>
        <w:rPr>
          <w:rFonts w:ascii="Times New Roman" w:cs="Times New Roman" w:eastAsia="Times New Roman" w:hAnsi="Times New Roman"/>
          <w:sz w:val="18"/>
          <w:szCs w:val="18"/>
          <w:b w:val="1"/>
          <w:bCs w:val="1"/>
          <w:color w:val="auto"/>
        </w:rPr>
        <w:t>EXECUTIVE ACKNOWLEDGEMENT</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9" w:right="259" w:bottom="1440" w:gutter="0" w:footer="0" w:header="0"/>
        </w:sectPr>
      </w:pPr>
    </w:p>
    <w:bookmarkStart w:id="621" w:name="page622"/>
    <w:bookmarkEnd w:id="621"/>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duly executed this Agreement as of the date first written above.</w:t>
      </w:r>
    </w:p>
    <w:p>
      <w:pPr>
        <w:sectPr>
          <w:pgSz w:w="11900" w:h="16838" w:orient="portrait"/>
          <w:cols w:equalWidth="0" w:num="1">
            <w:col w:w="10219"/>
          </w:cols>
          <w:pgMar w:left="240" w:top="270" w:right="1440"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NTERYX,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131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Frechet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1312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DOMINIQUE CHARMOT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40487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4048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5340" w:space="720"/>
            <w:col w:w="4159"/>
          </w:cols>
          <w:pgMar w:left="240" w:top="270" w:right="1440" w:bottom="1440" w:gutter="0" w:footer="0" w:header="0"/>
          <w:type w:val="continuous"/>
        </w:sectPr>
      </w:pPr>
    </w:p>
    <w:bookmarkStart w:id="622" w:name="page623"/>
    <w:bookmarkEnd w:id="6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RELEASE CERTIFICATE</w:t>
      </w:r>
    </w:p>
    <w:p>
      <w:pPr>
        <w:spacing w:after="0" w:line="22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Dominique Charmot (“You”) and Nteryx, Inc., a Delaware corporation (the “Company”) have agreed to enter into this Release Certificate on the following terms:</w:t>
      </w:r>
    </w:p>
    <w:p>
      <w:pPr>
        <w:spacing w:after="0" w:line="162" w:lineRule="exact"/>
        <w:rPr>
          <w:sz w:val="20"/>
          <w:szCs w:val="20"/>
          <w:color w:val="auto"/>
        </w:rPr>
      </w:pPr>
    </w:p>
    <w:p>
      <w:pPr>
        <w:jc w:val="both"/>
        <w:ind w:right="180" w:firstLine="456"/>
        <w:spacing w:after="0" w:line="282" w:lineRule="auto"/>
        <w:rPr>
          <w:sz w:val="20"/>
          <w:szCs w:val="20"/>
          <w:color w:val="auto"/>
        </w:rPr>
      </w:pPr>
      <w:r>
        <w:rPr>
          <w:rFonts w:ascii="Times New Roman" w:cs="Times New Roman" w:eastAsia="Times New Roman" w:hAnsi="Times New Roman"/>
          <w:sz w:val="18"/>
          <w:szCs w:val="18"/>
          <w:color w:val="auto"/>
        </w:rPr>
        <w:t>Within ten (10) days after you sign this Release Certificate (which you may sign no sooner than the last day of your employment with the Company), you will become eligible to receive severance benefits in accordance with the terms of your Employment Agreement with the Company (the “Agreement”).</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return for the consideration described in the Agreement, you and your representatives completely release the Company, its affiliated, related, parent or subsidiary corporations, and its and their present and former directors, officers, and employees (the “Released Parties”) from all claims of any kind, known and unknown,</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which you may now have or have ever had against any of them, or arising out of your relationship with any of them, including all claims arising from your employment or the termination of your employment, whether based on contract, tort, statute, local ordinance, regulation or any comparable law in any jurisdiction (“Released Claims”). By way of example and not in limitation, the Released Claims shall include any claims arising under Title VII of the Civil Rights Act of 1964, the Americans with Disabilities Act, the Worker Adjustment and Retraining Notification Act, the Age Discrimination in Employment Act, and the California Fair Employment and Housing Act, or any other comparable state or local law, as well as any claims asserting wrongful termination, breach of contract, breach of the covenant of good faith and fair dealing, negligent or intentional misrepresentation, and defamation and any claims for attorneys’ fees. The parties intend for this release to be enforced to the fullest extent permitted by law. You understand that you are not waiving any right or claim that cannot be waived as a matter of law, such as workers’ compensation or unemployment insurance benefits. You agree not to file or initiate any lawsuit concerning the Released Claims. You understand that this paragraph does not prevent you from filing a charge with or participating in an investigation by a governmental administrative agency; provided, however, that you hereby waive any right to receive any monetary award resulting from such a charge or investigation.</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acknowledge that the release of claims under the Age Discrimination in Employment Act (“ADEA”) is subject to special waiver protection. Therefore, you acknowledge the following: (a) you have had twenty one (21) days to consider this Release Certificate (but may sign it at any time beforehand if you so desire); (b) you can consult an attorney in doing so; (c) you can revoke this Release Certificate within seven (7) days of signing it by sending a certified letter to that effect to the Company at its principal executive office, c/o the Company’s Chief Executive Officer; and that (d) this Release Certificate shall not become effective or enforceable and no severance benefits shall be provided until the 7-day revocation period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right="40" w:hanging="212"/>
        <w:spacing w:after="0" w:line="261" w:lineRule="auto"/>
        <w:tabs>
          <w:tab w:leader="none" w:pos="220" w:val="left"/>
        </w:tabs>
        <w:numPr>
          <w:ilvl w:val="0"/>
          <w:numId w:val="7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You further agree that because this Release Certificate specifically covers known and unknown claims, you waive your rights under Section 1542 of the California Civil Code or under any other comparable law of another jurisdiction that limits a general release to claims that are known to exist at the date of this release. Section 1542 of the California Civil Code states as follows: “A general release does not extend to claims which the creditor does not know or suspect to exist in his favor at the time of executing the release, which if known by him must have materially affected his settlement with the debtor.”</w:t>
      </w:r>
    </w:p>
    <w:p>
      <w:pPr>
        <w:sectPr>
          <w:pgSz w:w="11900" w:h="16838" w:orient="portrait"/>
          <w:cols w:equalWidth="0" w:num="1">
            <w:col w:w="11400"/>
          </w:cols>
          <w:pgMar w:left="240" w:top="267" w:right="259" w:bottom="1440" w:gutter="0" w:footer="0" w:header="0"/>
        </w:sectPr>
      </w:pPr>
    </w:p>
    <w:bookmarkStart w:id="623" w:name="page624"/>
    <w:bookmarkEnd w:id="623"/>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agree that this Release Certificate and the Agreement contain all of our agreements and understandings with respect to their subject matter, and may not be contradicted by evidence of any prior or contemporaneous agreement, except to the extent that the provisions of any such agreement have been expressly referred to in this Release Certificate or the Agreement as having continued effect. It is agreed that this Release Certificate shall be governed by the laws of the State of California. If any provision of this Release Certificate or its application to any person, place, or circumstance is held by a court of competent jurisdiction to be invalid, unenforceable, or void, the remainder of this Release Certificate and such provision as applied to other person, places, and circumstances will remain in full force and effect.</w:t>
      </w:r>
    </w:p>
    <w:p>
      <w:pPr>
        <w:spacing w:after="0" w:line="184"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this Release Certificate may not be signed before the last day of your employment with the Company, and that your eligibility for severance benefits is conditioned upon meeting the terms set forth in the Agreement.</w:t>
      </w:r>
    </w:p>
    <w:p>
      <w:pPr>
        <w:spacing w:after="0" w:line="18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Dominique Charmot</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Nteryx, Inc.</w:t>
      </w:r>
    </w:p>
    <w:p>
      <w:pPr>
        <w:sectPr>
          <w:pgSz w:w="11900" w:h="16838" w:orient="portrait"/>
          <w:cols w:equalWidth="0" w:num="1">
            <w:col w:w="11340"/>
          </w:cols>
          <w:pgMar w:left="240" w:top="270" w:right="319" w:bottom="1440" w:gutter="0" w:footer="0" w:header="0"/>
        </w:sectPr>
      </w:pPr>
    </w:p>
    <w:bookmarkStart w:id="624" w:name="page625"/>
    <w:bookmarkEnd w:id="6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PROPRIETARY INFORMATION AGREEMENT</w:t>
      </w:r>
    </w:p>
    <w:p>
      <w:pPr>
        <w:sectPr>
          <w:pgSz w:w="11900" w:h="16838" w:orient="portrait"/>
          <w:cols w:equalWidth="0" w:num="1">
            <w:col w:w="9019"/>
          </w:cols>
          <w:pgMar w:left="1440" w:top="266" w:right="1440" w:bottom="1440" w:gutter="0" w:footer="0" w:header="0"/>
        </w:sectPr>
      </w:pPr>
    </w:p>
    <w:bookmarkStart w:id="625" w:name="page626"/>
    <w:bookmarkEnd w:id="6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NTERYX,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PROPRIETARY INFORMATION AND INVENTIONS ASSIGNMENT AGREEMENT</w:t>
      </w:r>
    </w:p>
    <w:p>
      <w:pPr>
        <w:spacing w:after="0" w:line="22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In consideration of my employment by Nteryx, Inc., a Delaware corporation (the “Company”), I hereby agree to the following restrictions and obligations placed on my use and development of information, technology, ideas, inventions and other materials:</w:t>
      </w:r>
    </w:p>
    <w:p>
      <w:pPr>
        <w:spacing w:after="0" w:line="306" w:lineRule="exact"/>
        <w:rPr>
          <w:sz w:val="20"/>
          <w:szCs w:val="20"/>
          <w:color w:val="auto"/>
        </w:rPr>
      </w:pPr>
    </w:p>
    <w:p>
      <w:pPr>
        <w:ind w:left="800" w:hanging="792"/>
        <w:spacing w:after="0"/>
        <w:tabs>
          <w:tab w:leader="none" w:pos="800" w:val="left"/>
        </w:tabs>
        <w:numPr>
          <w:ilvl w:val="0"/>
          <w:numId w:val="7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INFORMATION</w:t>
      </w:r>
    </w:p>
    <w:p>
      <w:pPr>
        <w:spacing w:after="0" w:line="117" w:lineRule="exact"/>
        <w:rPr>
          <w:rFonts w:ascii="Times New Roman" w:cs="Times New Roman" w:eastAsia="Times New Roman" w:hAnsi="Times New Roman"/>
          <w:sz w:val="18"/>
          <w:szCs w:val="18"/>
          <w:b w:val="1"/>
          <w:bCs w:val="1"/>
          <w:color w:val="auto"/>
        </w:rPr>
      </w:pPr>
    </w:p>
    <w:p>
      <w:pPr>
        <w:ind w:firstLine="464"/>
        <w:spacing w:after="0" w:line="253" w:lineRule="auto"/>
        <w:tabs>
          <w:tab w:leader="none" w:pos="636" w:val="left"/>
        </w:tabs>
        <w:numPr>
          <w:ilvl w:val="1"/>
          <w:numId w:val="7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Proprietary Information. </w:t>
      </w:r>
      <w:r>
        <w:rPr>
          <w:rFonts w:ascii="Times New Roman" w:cs="Times New Roman" w:eastAsia="Times New Roman" w:hAnsi="Times New Roman"/>
          <w:sz w:val="18"/>
          <w:szCs w:val="18"/>
          <w:color w:val="auto"/>
        </w:rPr>
        <w:t>I agree that, during my employment and at all times thereafter, I will hold the Proprietary Information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strict confidence and will neither use the information nor disclose it to anyone, except to the extent necessary to carry out my responsibilities as an employee of the Company or as specifically authorized in writing by a duly authorized officer of the Company other than me. I understand that “Proprietary Information” means all information pertaining in any manner to the business of the Company or its affiliates, consultants, customers, business associates or members, unless (i) the information is or becomes generally known to the public through lawful means and through no fault of mine; (ii) the information was part of my general knowledge prior to the initial disclosure of the information by the Company or any person under a duty of confidentiality; or (iii) the information is disclosed to me without restriction by a third party who rightfully possesses the information and is under no duty of confidentiality. This definition of “Proprietary Information” includes but is not limited to any and all (a) technical or engineering information, know-how, computer codes, programs, tools, data, designs, diagrams, plans, specifications, trade secrets, inventions, concepts, structures, improvements, products, patents pending, prototypes, processes, formulas, algorithms, methods, techniques, works in process, systems, technologies or applications; (b) financial and other information about costs, profits, markets, sales, customers, subscribers, members, and bids; (c) plans for business, marketing, future development and new product concepts; and (d) employee personnel files and information about employee compensation and benefits; in any form and whether or not labeled or identified as confidential or proprietary. I agree that I will have the burden of proving the applicability of any of the foregoing exceptions.</w:t>
      </w:r>
    </w:p>
    <w:p>
      <w:pPr>
        <w:spacing w:after="0" w:line="188" w:lineRule="exact"/>
        <w:rPr>
          <w:rFonts w:ascii="Times New Roman" w:cs="Times New Roman" w:eastAsia="Times New Roman" w:hAnsi="Times New Roman"/>
          <w:sz w:val="18"/>
          <w:szCs w:val="18"/>
          <w:b w:val="1"/>
          <w:bCs w:val="1"/>
          <w:color w:val="auto"/>
        </w:rPr>
      </w:pPr>
    </w:p>
    <w:p>
      <w:pPr>
        <w:jc w:val="both"/>
        <w:ind w:right="40" w:firstLine="464"/>
        <w:spacing w:after="0" w:line="262" w:lineRule="auto"/>
        <w:tabs>
          <w:tab w:leader="none" w:pos="647" w:val="left"/>
        </w:tabs>
        <w:numPr>
          <w:ilvl w:val="1"/>
          <w:numId w:val="7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and Reproduction. </w:t>
      </w:r>
      <w:r>
        <w:rPr>
          <w:rFonts w:ascii="Times New Roman" w:cs="Times New Roman" w:eastAsia="Times New Roman" w:hAnsi="Times New Roman"/>
          <w:sz w:val="18"/>
          <w:szCs w:val="18"/>
          <w:color w:val="auto"/>
        </w:rPr>
        <w:t>I agree to maintain at my work station and/or any other place under my control only such Proprietary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current “need to know.” I agree to return to the appropriate person or location or otherwise properly dispose of Proprietary Information once that need to know no longer exists. I also agree not to make copies or otherwise reproduce Proprietary Information unless there is a legitimate business need for reproduction.</w:t>
      </w:r>
    </w:p>
    <w:p>
      <w:pPr>
        <w:spacing w:after="0" w:line="176" w:lineRule="exact"/>
        <w:rPr>
          <w:rFonts w:ascii="Times New Roman" w:cs="Times New Roman" w:eastAsia="Times New Roman" w:hAnsi="Times New Roman"/>
          <w:sz w:val="18"/>
          <w:szCs w:val="18"/>
          <w:b w:val="1"/>
          <w:bCs w:val="1"/>
          <w:color w:val="auto"/>
        </w:rPr>
      </w:pPr>
    </w:p>
    <w:p>
      <w:pPr>
        <w:ind w:right="520" w:firstLine="464"/>
        <w:spacing w:after="0" w:line="286" w:lineRule="auto"/>
        <w:tabs>
          <w:tab w:leader="none" w:pos="626" w:val="left"/>
        </w:tabs>
        <w:numPr>
          <w:ilvl w:val="1"/>
          <w:numId w:val="7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 Actions and Knowledge. </w:t>
      </w:r>
      <w:r>
        <w:rPr>
          <w:rFonts w:ascii="Times New Roman" w:cs="Times New Roman" w:eastAsia="Times New Roman" w:hAnsi="Times New Roman"/>
          <w:sz w:val="18"/>
          <w:szCs w:val="18"/>
          <w:color w:val="auto"/>
        </w:rPr>
        <w:t>Except as disclosed on Schedule A to this Agreement, I have no knowledge about the Company’s business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other than information I have learned from the Company in the course of being hired and employed.</w:t>
      </w:r>
    </w:p>
    <w:p>
      <w:pPr>
        <w:spacing w:after="0" w:line="154" w:lineRule="exact"/>
        <w:rPr>
          <w:rFonts w:ascii="Times New Roman" w:cs="Times New Roman" w:eastAsia="Times New Roman" w:hAnsi="Times New Roman"/>
          <w:sz w:val="18"/>
          <w:szCs w:val="18"/>
          <w:b w:val="1"/>
          <w:bCs w:val="1"/>
          <w:color w:val="auto"/>
        </w:rPr>
      </w:pPr>
    </w:p>
    <w:p>
      <w:pPr>
        <w:ind w:right="160" w:firstLine="464"/>
        <w:spacing w:after="0" w:line="286" w:lineRule="auto"/>
        <w:tabs>
          <w:tab w:leader="none" w:pos="647" w:val="left"/>
        </w:tabs>
        <w:numPr>
          <w:ilvl w:val="1"/>
          <w:numId w:val="7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Third Party Information. </w:t>
      </w:r>
      <w:r>
        <w:rPr>
          <w:rFonts w:ascii="Times New Roman" w:cs="Times New Roman" w:eastAsia="Times New Roman" w:hAnsi="Times New Roman"/>
          <w:sz w:val="18"/>
          <w:szCs w:val="18"/>
          <w:color w:val="auto"/>
        </w:rPr>
        <w:t>I recognize that the Company has received and will receive confidential or proprietary information from third parties.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hold all such</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66" w:right="279" w:bottom="1440" w:gutter="0" w:footer="0" w:header="0"/>
        </w:sectPr>
      </w:pPr>
    </w:p>
    <w:bookmarkStart w:id="626" w:name="page627"/>
    <w:bookmarkEnd w:id="62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in the strictest confidence and will not use the information or disclose it to anyone (except as necessary in carrying out my work for the Company consistent with the Company’s agreement with such third party).</w:t>
      </w:r>
    </w:p>
    <w:p>
      <w:pPr>
        <w:spacing w:after="0" w:line="15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Non-Solicitation. </w:t>
      </w:r>
      <w:r>
        <w:rPr>
          <w:rFonts w:ascii="Times New Roman" w:cs="Times New Roman" w:eastAsia="Times New Roman" w:hAnsi="Times New Roman"/>
          <w:sz w:val="18"/>
          <w:szCs w:val="18"/>
          <w:color w:val="auto"/>
        </w:rPr>
        <w:t>I acknowledge that because of my position in the Company, I will have access to the Company’s confidential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secrets. I agree that during my employment with the Company and for a period of one (1) year after termination of my employment with the Company, I shall not directly or indirectly (i) divert or attempt to divert from the Company (or any affiliate) any business of any kind, including without limitation the solicitation of or interference with any of its customers, clients, members, business partners or suppliers or (ii) solicit, induce, recruit or encourage any person employed by the Company on the date of termination of my employment (or at any time during the six (6) month period prior to termination of my employment) to terminate his or her employment.</w:t>
      </w:r>
    </w:p>
    <w:p>
      <w:pPr>
        <w:spacing w:after="0" w:line="331" w:lineRule="exact"/>
        <w:rPr>
          <w:sz w:val="20"/>
          <w:szCs w:val="20"/>
          <w:color w:val="auto"/>
        </w:rPr>
      </w:pPr>
    </w:p>
    <w:p>
      <w:pPr>
        <w:ind w:left="800" w:hanging="792"/>
        <w:spacing w:after="0"/>
        <w:tabs>
          <w:tab w:leader="none" w:pos="800" w:val="left"/>
        </w:tabs>
        <w:numPr>
          <w:ilvl w:val="0"/>
          <w:numId w:val="7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INVENTIONS</w:t>
      </w:r>
    </w:p>
    <w:p>
      <w:pPr>
        <w:spacing w:after="0" w:line="117" w:lineRule="exact"/>
        <w:rPr>
          <w:rFonts w:ascii="Times New Roman" w:cs="Times New Roman" w:eastAsia="Times New Roman" w:hAnsi="Times New Roman"/>
          <w:sz w:val="18"/>
          <w:szCs w:val="18"/>
          <w:b w:val="1"/>
          <w:bCs w:val="1"/>
          <w:color w:val="auto"/>
        </w:rPr>
      </w:pPr>
    </w:p>
    <w:p>
      <w:pPr>
        <w:ind w:right="60" w:firstLine="464"/>
        <w:spacing w:after="0" w:line="256" w:lineRule="auto"/>
        <w:tabs>
          <w:tab w:leader="none" w:pos="636" w:val="left"/>
        </w:tabs>
        <w:numPr>
          <w:ilvl w:val="1"/>
          <w:numId w:val="7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of Inventions. </w:t>
      </w:r>
      <w:r>
        <w:rPr>
          <w:rFonts w:ascii="Times New Roman" w:cs="Times New Roman" w:eastAsia="Times New Roman" w:hAnsi="Times New Roman"/>
          <w:sz w:val="18"/>
          <w:szCs w:val="18"/>
          <w:color w:val="auto"/>
        </w:rPr>
        <w:t>I agree to assign and transfer to the Company, without further consideration, my entire right, title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United States and in all other countries or jurisdictions), free and clear of all liens and encumbrances, in and to all Inventions. Such assignment and transfer to the Company shall be continuous during my employment as of the relevant time of development of each such Invention. The Company may, in its sole discretion, agree to provide consideration for certain Inventions through a written agreement between the Company and the undersigned which specifically provides for such consideration; in all other cases, no consideration shall be paid. The Inventions shall be the sole property of the Company, whether or not copyrightable or patentable or in a commercial stage of development. In addition, I agree to maintain adequate and current written records on the development of all Inventions, which shall also remain the sole property of the Company.</w:t>
      </w:r>
    </w:p>
    <w:p>
      <w:pPr>
        <w:spacing w:after="0" w:line="183" w:lineRule="exact"/>
        <w:rPr>
          <w:rFonts w:ascii="Times New Roman" w:cs="Times New Roman" w:eastAsia="Times New Roman" w:hAnsi="Times New Roman"/>
          <w:sz w:val="18"/>
          <w:szCs w:val="18"/>
          <w:b w:val="1"/>
          <w:bCs w:val="1"/>
          <w:color w:val="auto"/>
        </w:rPr>
      </w:pPr>
    </w:p>
    <w:p>
      <w:pPr>
        <w:ind w:right="40" w:firstLine="464"/>
        <w:spacing w:after="0" w:line="255" w:lineRule="auto"/>
        <w:tabs>
          <w:tab w:leader="none" w:pos="647" w:val="left"/>
        </w:tabs>
        <w:numPr>
          <w:ilvl w:val="1"/>
          <w:numId w:val="7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Inventions. </w:t>
      </w:r>
      <w:r>
        <w:rPr>
          <w:rFonts w:ascii="Times New Roman" w:cs="Times New Roman" w:eastAsia="Times New Roman" w:hAnsi="Times New Roman"/>
          <w:sz w:val="18"/>
          <w:szCs w:val="18"/>
          <w:color w:val="auto"/>
        </w:rPr>
        <w:t>“Inventions” collectively means any and all ideas, concepts, inventions, discoveries, developments, know-how, structures,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formulas, algorithms, methods, products, processes, systems and technologies in any stage of development that are conceived, developed or reduced to practice by me alone or with others during the period of my employment with the Company that (1) are developed using the Company’s equipment, supplies, facilities, or trade secret information, (2) relate at the time of conception or reduction to practice to the Company’s business or actual or demonstrably anticipated research or development, or (3) result from any work performed by me for the Company;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except Inventions excluded in Schedule A and to the extent that California Labor Code Section 2870 lawfully prohibits the assignment. I understand that Section 2870(a) provides as follows:</w:t>
      </w:r>
    </w:p>
    <w:p>
      <w:pPr>
        <w:spacing w:after="0" w:line="81" w:lineRule="exact"/>
        <w:rPr>
          <w:sz w:val="20"/>
          <w:szCs w:val="20"/>
          <w:color w:val="auto"/>
        </w:rPr>
      </w:pPr>
    </w:p>
    <w:p>
      <w:pPr>
        <w:ind w:left="920" w:right="240"/>
        <w:spacing w:after="0" w:line="266" w:lineRule="auto"/>
        <w:rPr>
          <w:sz w:val="20"/>
          <w:szCs w:val="20"/>
          <w:color w:val="auto"/>
        </w:rPr>
      </w:pPr>
      <w:r>
        <w:rPr>
          <w:rFonts w:ascii="Times New Roman" w:cs="Times New Roman" w:eastAsia="Times New Roman" w:hAnsi="Times New Roman"/>
          <w:sz w:val="18"/>
          <w:szCs w:val="18"/>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627" w:name="page628"/>
    <w:bookmarkEnd w:id="627"/>
    <w:p>
      <w:pPr>
        <w:jc w:val="both"/>
        <w:ind w:left="92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p>
    <w:p>
      <w:pPr>
        <w:spacing w:after="0" w:line="172"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Moral Rights. </w:t>
      </w:r>
      <w:r>
        <w:rPr>
          <w:rFonts w:ascii="Times New Roman" w:cs="Times New Roman" w:eastAsia="Times New Roman" w:hAnsi="Times New Roman"/>
          <w:sz w:val="18"/>
          <w:szCs w:val="18"/>
          <w:color w:val="auto"/>
        </w:rPr>
        <w:t>To the extent allowed by law, this assignment of inventions includes all rights of paternity, integrity, disclosure and withdrawal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rights that may be known as or referred to as “moral rights,” “artist’s rights,” “droit moral,” or the like (collectively “Moral Rights”). To the extent I retain any such Moral Rights under applicable law, I hereby ratify and consent to any action that may be taken with respect to such Moral Rights by or authorized by the Company and agree not to assert any Moral Rights with respect thereto. I will confirm any such ratifications, consents and agreements from time to time as requested by the Company.</w:t>
      </w:r>
    </w:p>
    <w:p>
      <w:pPr>
        <w:spacing w:after="0" w:line="18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License for Other Inventions. </w:t>
      </w:r>
      <w:r>
        <w:rPr>
          <w:rFonts w:ascii="Times New Roman" w:cs="Times New Roman" w:eastAsia="Times New Roman" w:hAnsi="Times New Roman"/>
          <w:sz w:val="18"/>
          <w:szCs w:val="18"/>
          <w:color w:val="auto"/>
        </w:rPr>
        <w:t>If, in the course of my employment with the Company, I incorporate into Company property an invention owned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 or in which I have an interest, the Company is hereby granted a nonexclusive, royalty-free, irrevocable, perpetual and transferable license throughout the universe to make, use, import, sell, copy, distribute, display, perform (whether or not publicly) such invention as part of and in connection with the Company property.</w:t>
      </w:r>
    </w:p>
    <w:p>
      <w:pPr>
        <w:spacing w:after="0" w:line="17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 Assist With Registration. </w:t>
      </w:r>
      <w:r>
        <w:rPr>
          <w:rFonts w:ascii="Times New Roman" w:cs="Times New Roman" w:eastAsia="Times New Roman" w:hAnsi="Times New Roman"/>
          <w:sz w:val="18"/>
          <w:szCs w:val="18"/>
          <w:color w:val="auto"/>
        </w:rPr>
        <w:t>In the event any Invention shall be deemed by the Company to be copyrightable or patentable or otherwise registrable,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assist the Company (at its expense) in obtaining and maintaining letters patent or other applicable registrations and in vesting the Company with full title. Should the Company be unable to secure my signature on any document necessary to apply for, prosecute, obtain, or enforce any patent, copyright, or other right or protection relating to any Invention, due to my incapacity or any other cause, I hereby irrevocably designate and appoint the Company and each of its duly authorized officers and agents as my agent and attorney-in-fact to do all lawfully permitted acts to further the prosecution, issuance, and enforcement of patents, copyrights, or other rights or protection with the same force and effect as if executed and delivered by me.</w:t>
      </w:r>
    </w:p>
    <w:p>
      <w:pPr>
        <w:spacing w:after="0" w:line="18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 Disclosure. </w:t>
      </w:r>
      <w:r>
        <w:rPr>
          <w:rFonts w:ascii="Times New Roman" w:cs="Times New Roman" w:eastAsia="Times New Roman" w:hAnsi="Times New Roman"/>
          <w:sz w:val="18"/>
          <w:szCs w:val="18"/>
          <w:color w:val="auto"/>
        </w:rPr>
        <w:t>I agree to disclose promptly to the Company all Inventions and relevant records. I further agree to promptly disclose to the Company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idea that I do not believe to be an Invention, but is conceived, developed, or reduced to practice by me (alone or with others) while I am employed by the Company. I will disclose the idea, along with all information and records pertaining to the idea, and the Company will examine the disclosure in confidence to determine if in fact it is an Invention subject to this Agreement.</w:t>
      </w:r>
    </w:p>
    <w:p>
      <w:pPr>
        <w:spacing w:after="0" w:line="325" w:lineRule="exact"/>
        <w:rPr>
          <w:sz w:val="20"/>
          <w:szCs w:val="20"/>
          <w:color w:val="auto"/>
        </w:rPr>
      </w:pPr>
    </w:p>
    <w:p>
      <w:pPr>
        <w:ind w:left="800" w:hanging="792"/>
        <w:spacing w:after="0"/>
        <w:tabs>
          <w:tab w:leader="none" w:pos="800" w:val="left"/>
        </w:tabs>
        <w:numPr>
          <w:ilvl w:val="0"/>
          <w:numId w:val="7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FORMER OR CONFLICTING AGREEMENTS</w:t>
      </w:r>
    </w:p>
    <w:p>
      <w:pPr>
        <w:spacing w:after="0" w:line="117" w:lineRule="exact"/>
        <w:rPr>
          <w:rFonts w:ascii="Times New Roman" w:cs="Times New Roman" w:eastAsia="Times New Roman" w:hAnsi="Times New Roman"/>
          <w:sz w:val="18"/>
          <w:szCs w:val="18"/>
          <w:b w:val="1"/>
          <w:bCs w:val="1"/>
          <w:color w:val="auto"/>
        </w:rPr>
      </w:pPr>
    </w:p>
    <w:p>
      <w:pPr>
        <w:ind w:right="40" w:firstLine="456"/>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Former Agreements. </w:t>
      </w:r>
      <w:r>
        <w:rPr>
          <w:rFonts w:ascii="Times New Roman" w:cs="Times New Roman" w:eastAsia="Times New Roman" w:hAnsi="Times New Roman"/>
          <w:sz w:val="18"/>
          <w:szCs w:val="18"/>
          <w:color w:val="auto"/>
        </w:rPr>
        <w:t>I represent and warrant that my performance of the terms of this Agreement will not breach any agreement to keep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 proprietary information acquired by me prior to my employment by the Company. I have listed in Schedule A all other agreements concerning proprietary information or inventions to which I am a party and attached copies of any agreements in my possession. To the best of my knowledge, there is no other contract between me and any other person or entity that is in conflict with this Agreement or concerns proprietary information, inventions or assignment of ideas.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28" w:name="page629"/>
    <w:bookmarkEnd w:id="628"/>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Prohibition on Use of Third Party Information. </w:t>
      </w:r>
      <w:r>
        <w:rPr>
          <w:rFonts w:ascii="Times New Roman" w:cs="Times New Roman" w:eastAsia="Times New Roman" w:hAnsi="Times New Roman"/>
          <w:sz w:val="18"/>
          <w:szCs w:val="18"/>
          <w:color w:val="auto"/>
        </w:rPr>
        <w:t>I represent and warrant and covenant that I will not disclose to the Company, or use, or induce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use, any proprietary information or trade secrets of others at any time, including but not limited to any proprietary information or trade secrets of any former employer, if any. I acknowledge and agree that any violation of this provision shall be grounds for my immediate termination and could subject me to substantial civil liabilities and criminal penalties. I further specifically and expressly acknowledge that no officer or other employee or representative of the Company has requested or instructed me to disclose or use any such third party proprietary information or trade secrets.</w:t>
      </w:r>
    </w:p>
    <w:p>
      <w:pPr>
        <w:spacing w:after="0" w:line="328" w:lineRule="exact"/>
        <w:rPr>
          <w:sz w:val="20"/>
          <w:szCs w:val="20"/>
          <w:color w:val="auto"/>
        </w:rPr>
      </w:pPr>
    </w:p>
    <w:p>
      <w:pPr>
        <w:ind w:left="800" w:hanging="792"/>
        <w:spacing w:after="0"/>
        <w:tabs>
          <w:tab w:leader="none" w:pos="800" w:val="left"/>
        </w:tabs>
        <w:numPr>
          <w:ilvl w:val="0"/>
          <w:numId w:val="7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17" w:lineRule="exact"/>
        <w:rPr>
          <w:rFonts w:ascii="Times New Roman" w:cs="Times New Roman" w:eastAsia="Times New Roman" w:hAnsi="Times New Roman"/>
          <w:sz w:val="18"/>
          <w:szCs w:val="18"/>
          <w:b w:val="1"/>
          <w:bCs w:val="1"/>
          <w:color w:val="auto"/>
        </w:rPr>
      </w:pPr>
    </w:p>
    <w:p>
      <w:pPr>
        <w:ind w:right="240" w:firstLine="464"/>
        <w:spacing w:after="0" w:line="268" w:lineRule="auto"/>
        <w:tabs>
          <w:tab w:leader="none" w:pos="636" w:val="left"/>
        </w:tabs>
        <w:numPr>
          <w:ilvl w:val="1"/>
          <w:numId w:val="7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the Company’s Property. </w:t>
      </w:r>
      <w:r>
        <w:rPr>
          <w:rFonts w:ascii="Times New Roman" w:cs="Times New Roman" w:eastAsia="Times New Roman" w:hAnsi="Times New Roman"/>
          <w:sz w:val="18"/>
          <w:szCs w:val="18"/>
          <w:color w:val="auto"/>
        </w:rPr>
        <w:t>I agree to promptly return to the Company upon termination of my employment all Proprietary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personal property furnished to or prepared by me in the course of or incident to my employment. Following my termination, I will not retain any written or other tangible material containing any Proprietary Information or information pertaining to any Invention.</w:t>
      </w:r>
    </w:p>
    <w:p>
      <w:pPr>
        <w:spacing w:after="0" w:line="170" w:lineRule="exact"/>
        <w:rPr>
          <w:rFonts w:ascii="Times New Roman" w:cs="Times New Roman" w:eastAsia="Times New Roman" w:hAnsi="Times New Roman"/>
          <w:sz w:val="18"/>
          <w:szCs w:val="18"/>
          <w:b w:val="1"/>
          <w:bCs w:val="1"/>
          <w:color w:val="auto"/>
        </w:rPr>
      </w:pPr>
    </w:p>
    <w:p>
      <w:pPr>
        <w:ind w:right="780" w:firstLine="464"/>
        <w:spacing w:after="0" w:line="286" w:lineRule="auto"/>
        <w:tabs>
          <w:tab w:leader="none" w:pos="647" w:val="left"/>
        </w:tabs>
        <w:numPr>
          <w:ilvl w:val="1"/>
          <w:numId w:val="7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Certificate. </w:t>
      </w:r>
      <w:r>
        <w:rPr>
          <w:rFonts w:ascii="Times New Roman" w:cs="Times New Roman" w:eastAsia="Times New Roman" w:hAnsi="Times New Roman"/>
          <w:sz w:val="18"/>
          <w:szCs w:val="18"/>
          <w:color w:val="auto"/>
        </w:rPr>
        <w:t>In the event of the termination of my employment, I agree, if requested by the Company, to sign and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Certificate attached as Schedule B.</w:t>
      </w:r>
    </w:p>
    <w:p>
      <w:pPr>
        <w:spacing w:after="0" w:line="303" w:lineRule="exact"/>
        <w:rPr>
          <w:rFonts w:ascii="Times New Roman" w:cs="Times New Roman" w:eastAsia="Times New Roman" w:hAnsi="Times New Roman"/>
          <w:sz w:val="18"/>
          <w:szCs w:val="18"/>
          <w:b w:val="1"/>
          <w:bCs w:val="1"/>
          <w:color w:val="auto"/>
        </w:rPr>
      </w:pPr>
    </w:p>
    <w:p>
      <w:pPr>
        <w:ind w:left="800" w:hanging="792"/>
        <w:spacing w:after="0"/>
        <w:tabs>
          <w:tab w:leader="none" w:pos="800" w:val="left"/>
        </w:tabs>
        <w:numPr>
          <w:ilvl w:val="0"/>
          <w:numId w:val="7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IMPLIED EMPLOYMENT RIGHTS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 recognize that nothing in this Agreement shall be construed to imply that my employment is guaranteed for any period of time. Unless stated in a written agreement signed by a duly authorized officer of the Company, my employment is for an indefinite duration and at-will, and either the Company or I can terminate our employment relationship at any time, without notice and for any reason or no reason, with or without cause.</w:t>
      </w:r>
    </w:p>
    <w:p>
      <w:pPr>
        <w:spacing w:after="0" w:line="321" w:lineRule="exact"/>
        <w:rPr>
          <w:sz w:val="20"/>
          <w:szCs w:val="20"/>
          <w:color w:val="auto"/>
        </w:rPr>
      </w:pPr>
    </w:p>
    <w:p>
      <w:pPr>
        <w:ind w:left="800" w:hanging="792"/>
        <w:spacing w:after="0"/>
        <w:tabs>
          <w:tab w:leader="none" w:pos="800" w:val="left"/>
        </w:tabs>
        <w:numPr>
          <w:ilvl w:val="0"/>
          <w:numId w:val="7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12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 recognize that nothing in this Agreement is intended to limit any remedy of the Company under any federal or state law concerning trade secrets. I recognize that my violation of this Agreement could cause the Company irreparable harm and agree that the Company shall have the right to apply to any court of competent jurisdiction for an order restraining any breach or threatened breach of this Agreement.</w:t>
      </w:r>
    </w:p>
    <w:p>
      <w:pPr>
        <w:spacing w:after="0" w:line="321" w:lineRule="exact"/>
        <w:rPr>
          <w:sz w:val="20"/>
          <w:szCs w:val="20"/>
          <w:color w:val="auto"/>
        </w:rPr>
      </w:pPr>
    </w:p>
    <w:p>
      <w:pPr>
        <w:ind w:left="800" w:hanging="792"/>
        <w:spacing w:after="0"/>
        <w:tabs>
          <w:tab w:leader="none" w:pos="800" w:val="left"/>
        </w:tabs>
        <w:numPr>
          <w:ilvl w:val="0"/>
          <w:numId w:val="8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 acknowledge and agree that my performance is personal hereunder, and that I shall have no right to assign and shall not assign or purport to assign any rights or obligations under this Agreement. This Agreement may be assigned or transferred by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65" w:right="279" w:bottom="1440" w:gutter="0" w:footer="0" w:header="0"/>
        </w:sectPr>
      </w:pPr>
    </w:p>
    <w:bookmarkStart w:id="629" w:name="page630"/>
    <w:bookmarkEnd w:id="629"/>
    <w:p>
      <w:pPr>
        <w:ind w:left="800" w:hanging="792"/>
        <w:spacing w:after="0"/>
        <w:tabs>
          <w:tab w:leader="none" w:pos="800" w:val="left"/>
        </w:tabs>
        <w:numPr>
          <w:ilvl w:val="0"/>
          <w:numId w:val="8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121"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California without reference to conflicts of law principles.</w:t>
      </w:r>
    </w:p>
    <w:p>
      <w:pPr>
        <w:spacing w:after="0" w:line="306" w:lineRule="exact"/>
        <w:rPr>
          <w:sz w:val="20"/>
          <w:szCs w:val="20"/>
          <w:color w:val="auto"/>
        </w:rPr>
      </w:pPr>
    </w:p>
    <w:p>
      <w:pPr>
        <w:ind w:left="800" w:hanging="792"/>
        <w:spacing w:after="0"/>
        <w:tabs>
          <w:tab w:leader="none" w:pos="800" w:val="left"/>
        </w:tabs>
        <w:numPr>
          <w:ilvl w:val="0"/>
          <w:numId w:val="8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or application thereof to any person, place, or circumstance, shall be held by a court of competent jurisdiction to be unenforceable, such provision shall be enforced to the greatest extent permitted by law and the remainder of this Agreement shall remain in full force and effect.</w:t>
      </w:r>
    </w:p>
    <w:p>
      <w:pPr>
        <w:spacing w:after="0" w:line="321" w:lineRule="exact"/>
        <w:rPr>
          <w:sz w:val="20"/>
          <w:szCs w:val="20"/>
          <w:color w:val="auto"/>
        </w:rPr>
      </w:pPr>
    </w:p>
    <w:p>
      <w:pPr>
        <w:ind w:left="800" w:hanging="792"/>
        <w:spacing w:after="0"/>
        <w:tabs>
          <w:tab w:leader="none" w:pos="800" w:val="left"/>
        </w:tabs>
        <w:numPr>
          <w:ilvl w:val="0"/>
          <w:numId w:val="8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terms of this Agreement are the final expression of my agreement with respect to the subject matter hereof and may not be contradicted by evidence of any prior or contemporaneous agreement. This Agreement shall constitute the complete and exclusive statement of its terms. I acknowledge that the Company has not made any other representations or warranties concerning the subject matter of this Agreement. The termination of any employment or other agreement between the Company and me shall not terminate this Agreement and each and all of the terms and conditions hereof shall survive and remain in full force and effect.</w:t>
      </w:r>
    </w:p>
    <w:p>
      <w:pPr>
        <w:spacing w:after="0" w:line="329" w:lineRule="exact"/>
        <w:rPr>
          <w:sz w:val="20"/>
          <w:szCs w:val="20"/>
          <w:color w:val="auto"/>
        </w:rPr>
      </w:pPr>
    </w:p>
    <w:p>
      <w:pPr>
        <w:ind w:left="800" w:hanging="792"/>
        <w:spacing w:after="0"/>
        <w:tabs>
          <w:tab w:leader="none" w:pos="800" w:val="left"/>
        </w:tabs>
        <w:numPr>
          <w:ilvl w:val="0"/>
          <w:numId w:val="8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WAIVERS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This Agreement may not be amended or waived except by a writing signed by me and by a duly authorized representative of the Company other than me.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325" w:lineRule="exact"/>
        <w:rPr>
          <w:sz w:val="20"/>
          <w:szCs w:val="20"/>
          <w:color w:val="auto"/>
        </w:rPr>
      </w:pPr>
    </w:p>
    <w:p>
      <w:pPr>
        <w:ind w:left="800" w:hanging="792"/>
        <w:spacing w:after="0"/>
        <w:tabs>
          <w:tab w:leader="none" w:pos="800" w:val="left"/>
        </w:tabs>
        <w:numPr>
          <w:ilvl w:val="0"/>
          <w:numId w:val="8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of interpretation of this Agreement. Whenever the context requires, references to the singular shall include the plural and the plural the singular and any gender shall include any other gender.</w:t>
      </w:r>
    </w:p>
    <w:p>
      <w:pPr>
        <w:spacing w:after="0" w:line="321" w:lineRule="exact"/>
        <w:rPr>
          <w:sz w:val="20"/>
          <w:szCs w:val="20"/>
          <w:color w:val="auto"/>
        </w:rPr>
      </w:pPr>
    </w:p>
    <w:p>
      <w:pPr>
        <w:ind w:left="800" w:hanging="792"/>
        <w:spacing w:after="0"/>
        <w:tabs>
          <w:tab w:leader="none" w:pos="800" w:val="left"/>
        </w:tabs>
        <w:numPr>
          <w:ilvl w:val="0"/>
          <w:numId w:val="8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Subject to the foregoing restrictions on assignment, this Agreement shall inure to the benefit of the Company and its affiliates, officers, directors, agents, successors and assigns; and shall be binding on me and my heirs, devisees, spouses, agents, legal representatives and successors.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67" w:right="319" w:bottom="1440" w:gutter="0" w:footer="0" w:header="0"/>
        </w:sectPr>
      </w:pPr>
    </w:p>
    <w:bookmarkStart w:id="630" w:name="page631"/>
    <w:bookmarkEnd w:id="630"/>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HAVE READ THIS AGREEMENT CAREFULLY AND UNDERSTAND ITS TERMS. I HAVE COMPLETELY NOTED ON SCHEDULE A TO THIS AGREEMENT ANY PROPRIETARY INFORMATION, IDEAS, PROCESSES, INVENTIONS, TECHNOLOGY, WRITINGS, PROGRAMS, DESIGNS, FORMULAS, DISCOVERIES, PATENTS, COPYRIGHTS, OR TRADEMARKS, OR IMPROVEMENTS, RIGHTS, OR CLAIMS RELATING TO THE FOREGOING, THAT I DESIRE TO EXCLUDE FROM THIS AGREEMENT.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November 1, 2007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Name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270" w:right="339" w:bottom="1440" w:gutter="0" w:footer="0" w:header="0"/>
        </w:sectPr>
      </w:pPr>
    </w:p>
    <w:bookmarkStart w:id="631" w:name="page632"/>
    <w:bookmarkEnd w:id="6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DISCLOSURE</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Proprietary Information. </w:t>
      </w:r>
      <w:r>
        <w:rPr>
          <w:rFonts w:ascii="Times New Roman" w:cs="Times New Roman" w:eastAsia="Times New Roman" w:hAnsi="Times New Roman"/>
          <w:sz w:val="18"/>
          <w:szCs w:val="18"/>
          <w:color w:val="auto"/>
        </w:rPr>
        <w:t>Except as set forth below, I acknowledge that at this time I know nothing about the business or Proprietary Information of</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Nteryx, Inc. (the “Company”), other than information I have learned from the Company in the course of being hired: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142875</wp:posOffset>
            </wp:positionV>
            <wp:extent cx="695515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297180</wp:posOffset>
            </wp:positionV>
            <wp:extent cx="69551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451485</wp:posOffset>
            </wp:positionV>
            <wp:extent cx="69551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hanging="452"/>
        <w:spacing w:after="0" w:line="259" w:lineRule="auto"/>
        <w:tabs>
          <w:tab w:leader="none" w:pos="460"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Inventions. </w:t>
      </w:r>
      <w:r>
        <w:rPr>
          <w:rFonts w:ascii="Times New Roman" w:cs="Times New Roman" w:eastAsia="Times New Roman" w:hAnsi="Times New Roman"/>
          <w:sz w:val="18"/>
          <w:szCs w:val="18"/>
          <w:color w:val="auto"/>
        </w:rPr>
        <w:t>Except as set forth below, there are no ideas, concepts, inventions, discoveries, developments, know-how, structures,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formulas, algorithms, methods, products, processes, systems and technologies in any stage of development that are conceived, developed or reduced, to practice by me alone or with others; any patents, patents pending, copyrights, moral rights, trademarks and any other intellectual property rights therein; or any improvements, modifications, derivative works from, other rights in and claims related to any of the foregoing under the laws of any jurisdiction, that I wish to exclude from the operation of this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460" w:right="320" w:hanging="452"/>
        <w:spacing w:after="0" w:line="286" w:lineRule="auto"/>
        <w:tabs>
          <w:tab w:leader="none" w:pos="460"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Agreements. </w:t>
      </w:r>
      <w:r>
        <w:rPr>
          <w:rFonts w:ascii="Times New Roman" w:cs="Times New Roman" w:eastAsia="Times New Roman" w:hAnsi="Times New Roman"/>
          <w:sz w:val="18"/>
          <w:szCs w:val="18"/>
          <w:color w:val="auto"/>
        </w:rPr>
        <w:t>Except as set forth below, I am aware of no prior agreements between me and any other person or entity concerning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or inventions (attach copies of all agreements in your possession):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November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-2005965</wp:posOffset>
            </wp:positionV>
            <wp:extent cx="69551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-1851660</wp:posOffset>
            </wp:positionV>
            <wp:extent cx="69551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-1697355</wp:posOffset>
            </wp:positionV>
            <wp:extent cx="695515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-1543050</wp:posOffset>
            </wp:positionV>
            <wp:extent cx="69551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-1388110</wp:posOffset>
            </wp:positionV>
            <wp:extent cx="69551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-890905</wp:posOffset>
            </wp:positionV>
            <wp:extent cx="69551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-736600</wp:posOffset>
            </wp:positionV>
            <wp:extent cx="69551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-582295</wp:posOffset>
            </wp:positionV>
            <wp:extent cx="69551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-427990</wp:posOffset>
            </wp:positionV>
            <wp:extent cx="69551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-273685</wp:posOffset>
            </wp:positionV>
            <wp:extent cx="69551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Name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5" w:right="239" w:bottom="1440" w:gutter="0" w:footer="0" w:header="0"/>
        </w:sectPr>
      </w:pPr>
    </w:p>
    <w:bookmarkStart w:id="632" w:name="page633"/>
    <w:bookmarkEnd w:id="6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TERMINATION CERTIFICATE CONCERNING</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PROPRIETARY INFORMATION</w:t>
      </w:r>
    </w:p>
    <w:p>
      <w:pPr>
        <w:spacing w:after="0" w:line="207"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This is to certify that I have returned all property of Nteryx, Inc., (the “Company”), including, without limitation, all source code listings, books, manuals, records, models, drawings, reports, notes, contracts, lists, blueprints, and other documents and materials, Proprietary Information, and equipment furnished to or prepared by me in the course of or incident to my employment with the Company, and that I did not make or distribute any copies of the foregoing.</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 further certify that I have reviewed the Company’s Proprietary Information Agreement (“Agreement”) signed by me and that I have complied with and will continue to comply with each and all of its terms and conditions, including without limitation: (i) the reporting of any and all ideas, concepts, inventions, discoveries, developments, know-how, structures, designs, formulas, algorithms, methods, products, processes, systems and technologies; any and all patents, patents pending, copyrights, moral rights, trademarks and any other intellectual property rights therein; and any and all improvements, modifications, derivative works from, other rights in and claims related to any of the foregoing under the laws of any jurisdiction, conceived or developed by me alone or with others and covered by the Agreement and (ii) the preservation as confidential all Proprietary Information pertaining to the Company. This certificate in no manner limits my responsibilities or the Company’s rights under the Agreement.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November 1, 2007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Name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 Signature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67" w:right="279" w:bottom="1440" w:gutter="0" w:footer="0" w:header="0"/>
        </w:sectPr>
      </w:pPr>
    </w:p>
    <w:bookmarkStart w:id="633" w:name="page634"/>
    <w:bookmarkEnd w:id="6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ARBITRATION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Nteryx, Inc., a Delaware corporation (the “Company”) and Dominique Charmot (“Employee”) hereby agree that, to the fullest extent permitted by law, any and all claims or controversies between them (or between Employee and any present or former officer, director, agent, or employee of the Company or any parent, subsidiary, or other entity affiliated with the Company) relating in any manner to the employment or the termination of employment of Employee shall be resolved by final and binding arbitration. Except as specifically provided herein, any arbitration proceeding shall be conducted in accordance with the National Rules for the Resolution of Employment Disputes of the American Arbitration Association (“the AAA Rules”).</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Claims subject to arbitration shall include, without limitation: contract claims, tort claims, claims relating to compensation and stock options, as well as claims based on any federal, state, or local law, statute, or regulation, including but not limited to any claims arising under Title VII of the Civil Rights Act of 1964, the Age Discrimination in Employment Act, the Americans with Disabilities Act, and the California Fair Employment and Housing Act. However, claims for unemployment benefits, workers’ compensation claims, and claims under the National Labor Relations Act shall not be subject to arbitration.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neutral and impartial arbitrator shall be chosen by mutual agreement of the parties; however, if the parties are unable to agree upon an arbitrator within a reasonable period of time, then a neutral and impartial arbitrator shall be appointed in accordance with the arbitrator nomination and selection procedure set forth in the AAA Rules. The arbitrator shall prepare a written decision containing the essential findings and conclusions on which the award is based so as to ensure meaningful judicial review of the decision. The arbitrator shall apply the same substantive law, with the same statutes of limitations and same remedies that would apply if the claims were brought in a court of law. The arbitrator shall have the authority to rule on a motion to dismiss and/or summary judgment by either party, and the arbitrator shall apply the standards governing such motions under the California Code of Civil Procedure.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Either the Company or Employee may bring an action in court to compel arbitration under this Arbitration Agreement and to enforce an arbitration award. Otherwise, neither party shall initiate or prosecute any lawsuit or claim in any way related to any arbitrable claim, including without limitation any claim as to the making, existence, validity, or enforceability of the agreement to arbitrate. Nothing in this Arbitration Agreement, however, precludes a party from filing an administrative charge before an agency that has jurisdiction over an arbitrable claim. Moreover, nothing in this Arbitration Agreement prohibits either party from seeking provisional relief pursuant to Section 1281.8 of the California Code of Civil Procedure.</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arbitration hearings under this Arbitration Agreement shall be conducted in Santa Clara County, California, unless otherwise agreed by the parties. The arbitration provisions of this Arbitration Agreement shall be governed by the California Arbitration Act. In all respects, this Arbitration Agreement shall be construed in accordance with the laws of the State of California, without reference to conflicts of law principles.</w:t>
      </w:r>
    </w:p>
    <w:p>
      <w:pPr>
        <w:sectPr>
          <w:pgSz w:w="11900" w:h="16838" w:orient="portrait"/>
          <w:cols w:equalWidth="0" w:num="1">
            <w:col w:w="11400"/>
          </w:cols>
          <w:pgMar w:left="240" w:top="266" w:right="259" w:bottom="1440" w:gutter="0" w:footer="0" w:header="0"/>
        </w:sectPr>
      </w:pPr>
    </w:p>
    <w:bookmarkStart w:id="634" w:name="page635"/>
    <w:bookmarkEnd w:id="63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pay its own costs and attorney’s fees, unless a party prevails on a statutory claim, and the statute provides that the prevailing party is entitled to payment of its attorneys’ fees. In that case, the arbitrator may award reasonable attorneys’ fees and costs to the prevailing party as provided by law. The Company agrees to pay the costs and fees of the arbitrator.</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This Arbitration Agreement does not alter Employee’s at-will employment status. Accordingly, Employee understands that the Company may terminate Employee’s employment, as well as discipline or demote Employee, at any time, with or without prior notice, and with or without cause. The parties also understand that Employee is free to leave the Company at any time and for any reason, with or without cause and with or without advance notice.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any provision of this Arbitration Agreement shall be held by a court or the arbitrator to be invalid, unenforceable, or void, such provision shall be enforced to the fullest extent permitted by law, and the remainder of this Arbitration Agreement shall remain in full force and effect. The parties’ obligations under this Arbitration Agreement shall survive the termination of Employee’s employment with the Company and the expiration of this Arbitration Agreement.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and Employee understand and agree that this Arbitration Agreement contains a full and complete statement of any agreements and understandings regarding resolution of disputes between the parties, and the parties agree that this Arbitration Agreement supersedes all previous agreements, whether written or oral, express or implied, relating to the subjects covered in this agreement. The parties also agree that the terms of this Arbitration Agreement cannot be revoked or modified except in a written document signed by both Employee and an officer of the Company.</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PARTIES ALSO UNDERSTAND AND AGREE THAT THIS ARBITRATION AGREEMENT CONSTITUTES A WAIVER OF THEIR RIGHT TO A TRIAL BY JURY OF ANY CLAIMS OR CONTROVERSIES COVERED BY THIS AGREEMENT. THE PARTIES AGREE THAT NONE OF THOSE CLAIMS OR CONTROVERSIES SHALL BE RESOLVED BY A JURY TRIAL.</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PARTIES FURTHER ACKNOWLEDGE THAT THEY HAVE BEEN GIVEN THE OPPORTUNITY TO DISCUSS THIS ARBITRATION AGREEMENT WITH THEIR LEGAL COUNSEL AND HAVE AVAILED THEMSELVES OF THAT OPPORTUNITY TO THE EXTENT THEY WISH TO DO SO.</w:t>
      </w:r>
    </w:p>
    <w:p>
      <w:pPr>
        <w:sectPr>
          <w:pgSz w:w="11900" w:h="16838" w:orient="portrait"/>
          <w:cols w:equalWidth="0" w:num="1">
            <w:col w:w="11380"/>
          </w:cols>
          <w:pgMar w:left="240" w:top="270" w:right="27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42697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Signed:</w:t>
        <w:tab/>
        <w:t>/s/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42697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Dominique Charmot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42697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Signed:</w:t>
        <w:tab/>
        <w:t>/s/ Jean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242697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Nteryx, Inc.</w:t>
      </w:r>
    </w:p>
    <w:p>
      <w:pPr>
        <w:spacing w:after="0" w:line="221"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b w:val="1"/>
          <w:bCs w:val="1"/>
          <w:color w:val="auto"/>
        </w:rPr>
        <w:t>SIGNATURE PAGE TO ARBITRATION AGREEMENT</w:t>
      </w:r>
    </w:p>
    <w:p>
      <w:pPr>
        <w:sectPr>
          <w:pgSz w:w="11900" w:h="16838" w:orient="portrait"/>
          <w:cols w:equalWidth="0" w:num="1">
            <w:col w:w="10219"/>
          </w:cols>
          <w:pgMar w:left="240" w:top="270" w:right="1440" w:bottom="1440" w:gutter="0" w:footer="0" w:header="0"/>
        </w:sectPr>
      </w:pPr>
    </w:p>
    <w:bookmarkStart w:id="636" w:name="page637"/>
    <w:bookmarkEnd w:id="636"/>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72590" cy="41148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672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745-1700 – Tele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745-0493 – Fax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www.ardelyx.com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Kaufmann</w:t>
      </w:r>
    </w:p>
    <w:p>
      <w:pPr>
        <w:spacing w:after="0" w:line="24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Mark,</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behalf of Ardelyx (the “Company”), I am pleased to offer you employment in the position of Chief Business Officer, reporting to the Chief Executive Officer. This letter sets out the terms of your employment with the Company, which shall start the earlier of August 15, 2011.</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will be paid a starting base salary of $11,458.33 semi-monthly, which equals $275,000.00 per year, less applicable tax and other withholdings in accordance with the Company’s normal payroll procedure.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You will also be eligible to receive a bonus based on your performance in the Company as well as the performance of the Company, paid once a year, representing up to thirty (30) percent of your base salary.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 will be provided a relocation package to move from Montreal to the San Francisco Bay area. The Company will provide up to $100,000 (includes gross-up for taxes) for house hunting trips (two); cost to move the family; cost to move household goods, furniture and vehicles; and temporary housing up to 60 days.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Company’s Board of Directors, you will be granted an option to purchase 1,293,601 shares of Company common stock under the Company’s incentive stock option plan at an exercise price equal to the fair market value of that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stock option plan and standard form of stock option agreement, which you will be required to sign as a condition of receiving the option.</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You will be provided a Change in Control Agreement. The key terms of the agreement will reflect a nine (9) months of your base salary (less applicable taxes), accelerated vesting of 50% of your unvested shares, and nine (9) months of COBRA healthcare coverage. A detail agreement outlining the specifics that causes the Change in Control will be forthcoming.</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will be eligible to participate in various Company fringe benefit plans, including group health insurance, 401(k), and vacation programs in accordance with the Company’s benefit plan requirements.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118" w:right="239" w:bottom="1440" w:gutter="0" w:footer="0" w:header="0"/>
        </w:sectPr>
      </w:pPr>
    </w:p>
    <w:bookmarkStart w:id="637" w:name="page638"/>
    <w:bookmarkEnd w:id="63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employment with the Company is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condition of your employment, you will be required to sign the Company’s standard form of employee nondisclosure and assignment agreement (a copy of which is enclosed), and to provide the Company with documents establishing your identity and right to work in the United States. Those documents must be provided to the Company within three business days of your employment start date.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and the non-disclosure and stock option agreement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sign and date this letter on the spaces provided below to acknowledge your acceptance of the terms of this agreement and return it to me prior to or on August 12, 2011.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we look forward to working with you at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Ardelyx,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George Jue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George Jue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Finance and Operations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agree to and accept employment with Ardelyx on the terms and conditions set forth in this agreement. I understand and agree that my employment with the Company is at-will.</w:t>
      </w:r>
    </w:p>
    <w:p>
      <w:pPr>
        <w:spacing w:after="0" w:line="189" w:lineRule="exact"/>
        <w:rPr>
          <w:sz w:val="20"/>
          <w:szCs w:val="20"/>
          <w:color w:val="auto"/>
        </w:rPr>
      </w:pPr>
    </w:p>
    <w:p>
      <w:pPr>
        <w:spacing w:after="0"/>
        <w:tabs>
          <w:tab w:leader="none" w:pos="540" w:val="left"/>
          <w:tab w:leader="none" w:pos="6260" w:val="left"/>
        </w:tabs>
        <w:rPr>
          <w:sz w:val="20"/>
          <w:szCs w:val="20"/>
          <w:color w:val="auto"/>
        </w:rPr>
      </w:pPr>
      <w:r>
        <w:rPr>
          <w:rFonts w:ascii="Times New Roman" w:cs="Times New Roman" w:eastAsia="Times New Roman" w:hAnsi="Times New Roman"/>
          <w:sz w:val="18"/>
          <w:szCs w:val="18"/>
          <w:color w:val="auto"/>
        </w:rPr>
        <w:t>Date:</w:t>
        <w:tab/>
        <w:t>Aug 13, 2011</w:t>
      </w:r>
      <w:r>
        <w:rPr>
          <w:sz w:val="20"/>
          <w:szCs w:val="20"/>
          <w:color w:val="auto"/>
        </w:rPr>
        <w:tab/>
      </w:r>
      <w:r>
        <w:rPr>
          <w:rFonts w:ascii="Times New Roman" w:cs="Times New Roman" w:eastAsia="Times New Roman" w:hAnsi="Times New Roman"/>
          <w:sz w:val="18"/>
          <w:szCs w:val="18"/>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689483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Mark Kaufmann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1360"/>
          </w:cols>
          <w:pgMar w:left="240" w:top="270" w:right="299" w:bottom="1440" w:gutter="0" w:footer="0" w:header="0"/>
        </w:sectPr>
      </w:pPr>
    </w:p>
    <w:bookmarkStart w:id="638" w:name="page639"/>
    <w:bookmarkEnd w:id="638"/>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9040" cy="3086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0904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21st ,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Jue</w:t>
      </w:r>
    </w:p>
    <w:p>
      <w:pPr>
        <w:spacing w:after="0" w:line="248" w:lineRule="exact"/>
        <w:rPr>
          <w:sz w:val="20"/>
          <w:szCs w:val="20"/>
          <w:color w:val="auto"/>
        </w:rPr>
      </w:pPr>
    </w:p>
    <w:p>
      <w:pPr>
        <w:ind w:left="80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George,</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behalf of NteryX (the “Company”), I am pleased to offer you employment in the position of Vice President, Finance and Operations, reporting initially to the Chief Technology Officer. This letter sets out the terms of your employment with the Company, which will be conditioned upon the occurrence of i) the closing of the Company’s Series A financing and ii) the approval by the Board of Directors, and shall start on the later of June 1, 2008 or the first Monday after the date of the Board meeting.</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You will be paid a base salary of $ 6667 semi-monthly, which equals $160,000 per year, less applicable tax and other withholdings in accordance with the Company’s normal payroll procedure.</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You will be eligible to participate in various Company fringe benefit plans, including group health insurance, 401(k), and vacation programs in accordance with the Company’s benefit plan requirements. You will also be eligible to receive a bonus based on your performance in the Company, paid once a year, representing up to fifteen (15) percent of your base salary.</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Company’s Board of Directors, you will be granted an option to purchase 200,000 shares of Company common stock under the Company’s incentive stock option plan at an exercise price equal to the fair market value of that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stock option plan and standard form of stock option agreement, which you will be required to sign as a condition of receiving the option.</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Your employment with the Company is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a condition of your employment, you will be required to sign the Company’s standard form of employee nondisclosure and assignment agreement (a copy of which is enclosed), and to provide the Company with documents establishing your identity and right to work in the United States. Those documents must be provided to the Company within three business days of your employment start date.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118" w:right="239" w:bottom="1440" w:gutter="0" w:footer="0" w:header="0"/>
        </w:sectPr>
      </w:pPr>
    </w:p>
    <w:bookmarkStart w:id="639" w:name="page640"/>
    <w:bookmarkEnd w:id="639"/>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agreement and the non-disclosure and stock option agreement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Please sign and date this letter on the spaces provided below to acknowledge your acceptance of the terms of this agreement and return it to me prior to or on May 28th, 2008.</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George, we look forward to working with you at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NteryX</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Jean M. Frechet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Jean M. Frechet</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 agree to and accept employment with NteryX on the terms and conditions set forth in this agreement. I understand and agree that my employment with the Company is at-will.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George Jue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1420"/>
          </w:cols>
          <w:pgMar w:left="240" w:top="270" w:right="239" w:bottom="1440" w:gutter="0" w:footer="0" w:header="0"/>
        </w:sectPr>
      </w:pPr>
    </w:p>
    <w:bookmarkStart w:id="640" w:name="page641"/>
    <w:bookmarkEnd w:id="64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337945" cy="3346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379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Jeff Jacobs</w:t>
      </w:r>
    </w:p>
    <w:p>
      <w:pPr>
        <w:spacing w:after="0" w:line="248"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Jeff</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behalf of NteryX (the “Company”), I am pleased to offer you employment in the position of Vice President, Medicinal Chemistry, reporting to the Chief Technology Officer. This letter sets out the terms of your employment with the Company, which will be conditioned upon the occurrence of i) the closing of the Company’s Series A financing and ii) the approval by the Board of Directors, and shall start on the later of June 15, 2008 or the first Monday after the date of the Board meeting.</w:t>
      </w:r>
    </w:p>
    <w:p>
      <w:pPr>
        <w:spacing w:after="0" w:line="180" w:lineRule="exact"/>
        <w:rPr>
          <w:sz w:val="20"/>
          <w:szCs w:val="20"/>
          <w:color w:val="auto"/>
        </w:rPr>
      </w:pPr>
    </w:p>
    <w:p>
      <w:pPr>
        <w:jc w:val="both"/>
        <w:ind w:right="820" w:firstLine="456"/>
        <w:spacing w:after="0" w:line="313" w:lineRule="auto"/>
        <w:rPr>
          <w:sz w:val="20"/>
          <w:szCs w:val="20"/>
          <w:color w:val="auto"/>
        </w:rPr>
      </w:pPr>
      <w:r>
        <w:rPr>
          <w:rFonts w:ascii="Times New Roman" w:cs="Times New Roman" w:eastAsia="Times New Roman" w:hAnsi="Times New Roman"/>
          <w:sz w:val="17"/>
          <w:szCs w:val="17"/>
          <w:color w:val="auto"/>
        </w:rPr>
        <w:t>You will be paid a starting base salary of $8750 semi-monthly, which equals $210,000 per year, less applicable tax and other withholdings in accordance with the Company’s normal payroll procedure. When joining the Company, you will also receive a one-time sign-on bonus of $25,000.</w:t>
      </w:r>
    </w:p>
    <w:p>
      <w:pPr>
        <w:spacing w:after="0" w:line="13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You will be eligible to participate in various Company fringe benefit plans, including group health insurance, 401(k), and vacation programs in accordance with the Company’s benefit plan requirements. You will also be eligible to receive a bonus based on your performance in the Company, paid once a year, representing up to fifteen (15) percent of your base salary.</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Company’s Board of Directors, you will be granted an option to purchase 350,000 shares of Company common stock under the Company’s incentive stock option plan at an exercise price equal to the fair market value of that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stock option plan and standard form of stock option agreement, which you will be required to sign as a condition of receiving the option.</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Your employment with the Company is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a condition of your employment, you will be required to sign the Company’s standard form of employee nondisclosure and assignment agreement (a copy of which is enclosed), and to provide the Company with documents establishing your identity and right to work in the United States. Those documents must be provided to the Company within three business days of your employment start date.</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the event of any dispute or claim relating to or arising out of your employment relationship with the Company, this agreement, or the termination of your employment with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118" w:right="239" w:bottom="1440" w:gutter="0" w:footer="0" w:header="0"/>
        </w:sectPr>
      </w:pPr>
    </w:p>
    <w:bookmarkStart w:id="641" w:name="page642"/>
    <w:bookmarkEnd w:id="64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337945" cy="3346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clrChange>
                        <a:clrFrom>
                          <a:srgbClr val="FFFFFF"/>
                        </a:clrFrom>
                        <a:clrTo>
                          <a:srgbClr val="FFFFFF">
                            <a:alpha val="0"/>
                          </a:srgbClr>
                        </a:clrTo>
                      </a:clrChange>
                      <a:extLst>
                        <a:ext uri="{28A0092B-C50C-407E-A947-70E740481C1C}"/>
                      </a:extLst>
                    </a:blip>
                    <a:srcRect/>
                    <a:stretch>
                      <a:fillRect/>
                    </a:stretch>
                  </pic:blipFill>
                  <pic:spPr bwMode="auto">
                    <a:xfrm>
                      <a:off x="0" y="0"/>
                      <a:ext cx="1337945" cy="334645"/>
                    </a:xfrm>
                    <a:prstGeom prst="rect">
                      <a:avLst/>
                    </a:prstGeom>
                    <a:noFill/>
                  </pic:spPr>
                </pic:pic>
              </a:graphicData>
            </a:graphic>
          </wp:anchor>
        </w:drawing>
        <w:t>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agreement and the non-disclosure and stock option agreement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Please sign and date this letter on the spaces provided below to acknowledge your acceptance of the terms of this agreement and return it to me prior to or on May 12, 2008. Jeff, we look forward to working with you at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NteryX</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Dominique Charmot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Dominque Charmot</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 agree to and accept employment with NteryX on the terms and conditions set forth in this agreement. I understand and agree that my employment with the Company is at-will.</w:t>
      </w:r>
    </w:p>
    <w:p>
      <w:pPr>
        <w:spacing w:after="0" w:line="189" w:lineRule="exact"/>
        <w:rPr>
          <w:sz w:val="20"/>
          <w:szCs w:val="20"/>
          <w:color w:val="auto"/>
        </w:rPr>
      </w:pPr>
    </w:p>
    <w:p>
      <w:pPr>
        <w:spacing w:after="0"/>
        <w:tabs>
          <w:tab w:leader="none" w:pos="6280" w:val="left"/>
          <w:tab w:leader="none" w:pos="10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 Jeff Jacobs</w:t>
      </w:r>
      <w:r>
        <w:rPr>
          <w:sz w:val="20"/>
          <w:szCs w:val="20"/>
          <w:color w:val="auto"/>
        </w:rPr>
        <w:tab/>
      </w:r>
      <w:r>
        <w:rPr>
          <w:rFonts w:ascii="Times New Roman" w:cs="Times New Roman" w:eastAsia="Times New Roman" w:hAnsi="Times New Roman"/>
          <w:sz w:val="17"/>
          <w:szCs w:val="17"/>
          <w:color w:val="auto"/>
        </w:rPr>
        <w:t>5/12/08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17145</wp:posOffset>
            </wp:positionV>
            <wp:extent cx="324993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Jeff Jacobs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1420"/>
          </w:cols>
          <w:pgMar w:left="240" w:top="945" w:right="239" w:bottom="1440" w:gutter="0" w:footer="0" w:header="0"/>
        </w:sectPr>
      </w:pPr>
    </w:p>
    <w:bookmarkStart w:id="642" w:name="page643"/>
    <w:bookmarkEnd w:id="642"/>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672590" cy="41148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672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745-1700 – Tele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745-0493 – Fax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www.ardelyx.com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Rosenbaum, PhD</w:t>
      </w:r>
    </w:p>
    <w:p>
      <w:pPr>
        <w:spacing w:after="0" w:line="248"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David,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behalf of Ardelyx (the “Company”), I am pleased to offer you employment in the position of Vice President of Drug Development, reporting to the Chief Executive Officer. This letter sets out the terms of your employment with the Company which shall start on January 1, 2010.</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You will be paid a starting base salary of $9,125.00 semi-monthly, which equals $219,000.00 per year, less applicable tax and other withholdings in accordance with the Company’s normal payroll procedure.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You will be eligible to participate in various Company fringe benefit plans, including group health insurance, 401(k), and vacation programs in accordance with the Company’s benefit plan requirements. You will also be eligible to receive a bonus based on your performance in the Company, paid once a year, representing up to fifteen (15) percent of your base salary.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Company’s Board of Directors, you will be granted an option to purchase 350,000 shares of Company common stock under the Company’s incentive stock option plan at an exercise price equal to the fair market value of that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stock option plan and standard form of stock option agreement, which you will be required to sign as a condition of receiving the option.</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Your employment with the Company is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 condition of your employment, you will be required to sign the Company’s standard form of employee nondisclosure and assignment agreement (a copy of which is enclosed), and to provide the Company with documents establishing your identity and right to work in the United States. Those documents must be provided to the Company within three business days of your employment start date.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118" w:right="239" w:bottom="1440" w:gutter="0" w:footer="0" w:header="0"/>
        </w:sectPr>
      </w:pPr>
    </w:p>
    <w:bookmarkStart w:id="643" w:name="page644"/>
    <w:bookmarkEnd w:id="64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and the non-disclosure and stock option agreement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sign and date this letter on the spaces provided below to acknowledge your acceptance of the terms of this agreement and return it to me prior to or on December 31, 2009.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we look forward to working with you at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Ardelyx</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Raab</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agree to and accept employment with Ardelyx on the terms and conditions set forth in this agreement. I understand and agree that my employment with the Company is at-will.</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31 Dec 2009</w:t>
      </w:r>
      <w:r>
        <w:rPr>
          <w:sz w:val="20"/>
          <w:szCs w:val="20"/>
          <w:color w:val="auto"/>
        </w:rPr>
        <w:tab/>
      </w:r>
      <w:r>
        <w:rPr>
          <w:rFonts w:ascii="Times New Roman" w:cs="Times New Roman" w:eastAsia="Times New Roman" w:hAnsi="Times New Roman"/>
          <w:sz w:val="17"/>
          <w:szCs w:val="17"/>
          <w:color w:val="auto"/>
        </w:rPr>
        <w:t>/s/ David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Rosenbaum</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1360"/>
          </w:cols>
          <w:pgMar w:left="240" w:top="270" w:right="299" w:bottom="1440" w:gutter="0" w:footer="0" w:header="0"/>
        </w:sectPr>
      </w:pPr>
    </w:p>
    <w:bookmarkStart w:id="644" w:name="page645"/>
    <w:bookmarkEnd w:id="644"/>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672590" cy="4114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6725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34175 Ardenwood Blvd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Fremont, CA 94555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745-1700 – Tele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(510) 745-0493 – Fax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www.ardelyx.com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24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Liz,</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behalf of Ardelyx, Inc. (the “Company”), I am pleased to offer you employment in the position of Vice President, Legal, reporting to the Chief Executive Officer. This letter sets out the terms of your employment with the Company which shall start on December 1, 2012.</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will be paid a starting base salary of $11,458.33 semi-monthly, which equals $275,000.00 per year, less applicable tax and other withholdings in accordance with the Company’s normal payroll procedure.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You will be eligible to participate in various Company fringe benefit plans, including group health insurance, 401(k), and vacation programs in accordance with the Company’s benefit plan requirements. You will also be eligible to receive a bonus based on corporate goals as wells as your performance in the Company, paid once a year, representing up to twenty (20) percent of your base salary.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Company’s Board of Directors, you will be granted an option to purchase 650,000 shares of Company common stock under the Company’s incentive stock option plan at an exercise price equal to the fair market value of that stock on your option grant date. Your option will vest over a period of 4 years, with 25% of the shares vesting at the end of your first year of employment, and the remainder vesting monthly over the following three years, and will be subject to the terms and conditions of the Company’s stock option plan and standard form of stock option agreement, which you will be required to sign as a condition of receiving the option.</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will be provided a Change in Control Agreement. The key terms of the agreement will reflect six (6) months of your base salary (less applicable taxes), accelerated vesting of 50% of your unvested shares, and six (6) months of COBRA healthcare coverage. A detail agreement outlining the specifics that causes the Change in Control will be forthcoming.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Your employment with the Company is “at will.” This means it is for no specified term and may be terminated by you or the Company at any time, with or without cause or advance notice. In addition, the Company reserves the right to modify your compensation, position, duties or reporting relationship to meet business needs and to decide on appropriate discipline.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117" w:right="239" w:bottom="1440" w:gutter="0" w:footer="0" w:header="0"/>
        </w:sectPr>
      </w:pPr>
    </w:p>
    <w:bookmarkStart w:id="645" w:name="page646"/>
    <w:bookmarkEnd w:id="64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condition of your employment, you will be required to sign the Company’s standard form of employee nondisclosure and assignment agreement (a copy of which is enclosed), and to provide the Company with documents establishing your identity and right to work in the United States. Those documents must be provided to the Company within three business days of your employment start date.</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and the non-disclosure and stock option agreement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sign and date this letter on the spaces provided below to acknowledge your acceptance of the terms of this agreement and return it to me prior to or on November 30,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 we look forward to working with you at the Company.</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Ardelyx</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George Jue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George Jue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Finance and Operations</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agree to and accept employment with Ardelyx on the terms and conditions set forth in this agreement. I understand and agree that my employment with the Company is at-will.</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11-23-2012</w:t>
      </w:r>
      <w:r>
        <w:rPr>
          <w:sz w:val="20"/>
          <w:szCs w:val="20"/>
          <w:color w:val="auto"/>
        </w:rPr>
        <w:tab/>
      </w:r>
      <w:r>
        <w:rPr>
          <w:rFonts w:ascii="Times New Roman" w:cs="Times New Roman" w:eastAsia="Times New Roman" w:hAnsi="Times New Roman"/>
          <w:sz w:val="17"/>
          <w:szCs w:val="17"/>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[Page 2 of 2]</w:t>
      </w:r>
    </w:p>
    <w:p>
      <w:pPr>
        <w:sectPr>
          <w:pgSz w:w="11900" w:h="16838" w:orient="portrait"/>
          <w:cols w:equalWidth="0" w:num="1">
            <w:col w:w="11360"/>
          </w:cols>
          <w:pgMar w:left="240" w:top="271" w:right="299" w:bottom="1440" w:gutter="0" w:footer="0" w:header="0"/>
        </w:sectPr>
      </w:pPr>
    </w:p>
    <w:bookmarkStart w:id="646" w:name="page647"/>
    <w:bookmarkEnd w:id="646"/>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22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This Change in Control Severance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Mark Kaufmann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the latest date set forth by the signatures of the parties hereto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Certain capitalized terms used in this Agreement are defined in Section 7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right="280" w:firstLine="464"/>
        <w:spacing w:after="0" w:line="282" w:lineRule="auto"/>
        <w:tabs>
          <w:tab w:leader="none" w:pos="636"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become effective as of the Effective Date and terminate upon the date that all obligations of the parties hereto with respect to this Agreement have been satisfied.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 During a Change in Control Period</w:t>
      </w:r>
      <w:r>
        <w:rPr>
          <w:rFonts w:ascii="Times New Roman" w:cs="Times New Roman" w:eastAsia="Times New Roman" w:hAnsi="Times New Roman"/>
          <w:sz w:val="18"/>
          <w:szCs w:val="18"/>
          <w:color w:val="auto"/>
        </w:rPr>
        <w:t>. If Executive experiences a Covered Termination during a Change in Control Period, and if Executive executes and fails to revoke during any applicable revocation period a general release of claims against the Company and its affiliates in a form acceptable to the Company (a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within fifty (50) days, or such shorter period of time specified by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9]</w:t>
      </w:r>
    </w:p>
    <w:p>
      <w:pPr>
        <w:sectPr>
          <w:pgSz w:w="11900" w:h="16838" w:orient="portrait"/>
          <w:cols w:equalWidth="0" w:num="1">
            <w:col w:w="11420"/>
          </w:cols>
          <w:pgMar w:left="240" w:top="117" w:right="239" w:bottom="1440" w:gutter="0" w:footer="0" w:header="0"/>
        </w:sectPr>
      </w:pPr>
    </w:p>
    <w:bookmarkStart w:id="647" w:name="page648"/>
    <w:bookmarkEnd w:id="647"/>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such Covered Termination, then in addition to any accrued but unpaid salary, bonus, vacation and expense reimbursement payable in accordance with applicable law, the Company shall provide Executive with the following:</w:t>
      </w:r>
    </w:p>
    <w:p>
      <w:pPr>
        <w:spacing w:after="0" w:line="162" w:lineRule="exact"/>
        <w:rPr>
          <w:sz w:val="20"/>
          <w:szCs w:val="20"/>
          <w:color w:val="auto"/>
        </w:rPr>
      </w:pPr>
    </w:p>
    <w:p>
      <w:pPr>
        <w:jc w:val="both"/>
        <w:ind w:right="260" w:firstLine="921"/>
        <w:spacing w:after="0" w:line="261" w:lineRule="auto"/>
        <w:tabs>
          <w:tab w:leader="none" w:pos="1157" w:val="left"/>
        </w:tabs>
        <w:numPr>
          <w:ilvl w:val="2"/>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Executive shall be entitled to receive an amount equal to nine (9) months of Executive’s base salary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80"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2"/>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fifty percent (50%) of the then unvested shares subject thereto at the time of the Change in Control.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 Executive acknowledges that upon the execution of this Agreement, each unexercised “incentive stock option” within the meaning of Section 422 of the of the Internal Revenue Code of 1986, as amended (the “Code”), shall be deemed modified for the purposes of Section 424 of the Code and, to the extent the exercise price thereof is lower than the fair market value of the Company’s common stock as of the Effective Date, such option shall no longer qualify as an incentive stock option.</w:t>
      </w:r>
    </w:p>
    <w:p>
      <w:pPr>
        <w:spacing w:after="0" w:line="185" w:lineRule="exact"/>
        <w:rPr>
          <w:rFonts w:ascii="Times New Roman" w:cs="Times New Roman" w:eastAsia="Times New Roman" w:hAnsi="Times New Roman"/>
          <w:sz w:val="18"/>
          <w:szCs w:val="18"/>
          <w:color w:val="auto"/>
        </w:rPr>
      </w:pPr>
    </w:p>
    <w:p>
      <w:pPr>
        <w:ind w:right="200" w:firstLine="921"/>
        <w:spacing w:after="0" w:line="256" w:lineRule="auto"/>
        <w:tabs>
          <w:tab w:leader="none" w:pos="1157" w:val="left"/>
        </w:tabs>
        <w:numPr>
          <w:ilvl w:val="2"/>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Healthcare</w:t>
      </w:r>
      <w:r>
        <w:rPr>
          <w:rFonts w:ascii="Times New Roman" w:cs="Times New Roman" w:eastAsia="Times New Roman" w:hAnsi="Times New Roman"/>
          <w:sz w:val="18"/>
          <w:szCs w:val="18"/>
          <w:color w:val="auto"/>
        </w:rPr>
        <w:t>. If Executive elects to receive continued healthcare coverage pursuant to the provisions of the Consolidated Omnibus Budget Reconciliation Act of 1985, as amended (“COBRA”), the Company shall directly pay, or reimburse Executive for, the premium for Executive and Executive’s covered dependents through the earlier of (i) the nine (9) month anniversary of the date of Executive’s termination of employment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the provisions of COBRA.</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During a Change in Control Period</w:t>
      </w:r>
      <w:r>
        <w:rPr>
          <w:rFonts w:ascii="Times New Roman" w:cs="Times New Roman" w:eastAsia="Times New Roman" w:hAnsi="Times New Roman"/>
          <w:sz w:val="18"/>
          <w:szCs w:val="18"/>
          <w:color w:val="auto"/>
        </w:rPr>
        <w:t>. If Executive’s service with the Company is terminated by the Company or by Executive for any or no reason other than as a Covered Termination during a Change in Control Period,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0" w:lineRule="exact"/>
        <w:rPr>
          <w:rFonts w:ascii="Times New Roman" w:cs="Times New Roman" w:eastAsia="Times New Roman" w:hAnsi="Times New Roman"/>
          <w:sz w:val="18"/>
          <w:szCs w:val="18"/>
          <w:color w:val="auto"/>
        </w:rPr>
      </w:pPr>
    </w:p>
    <w:p>
      <w:pPr>
        <w:ind w:right="500" w:firstLine="464"/>
        <w:spacing w:after="0" w:line="276" w:lineRule="auto"/>
        <w:tabs>
          <w:tab w:leader="none" w:pos="636" w:val="left"/>
        </w:tabs>
        <w:numPr>
          <w:ilvl w:val="1"/>
          <w:numId w:val="8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Payments</w:t>
      </w:r>
      <w:r>
        <w:rPr>
          <w:rFonts w:ascii="Times New Roman" w:cs="Times New Roman" w:eastAsia="Times New Roman" w:hAnsi="Times New Roman"/>
          <w:sz w:val="17"/>
          <w:szCs w:val="17"/>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would (a) constitute a “parachute payment” within the meaning of Section 280G of the Code, and</w:t>
      </w:r>
    </w:p>
    <w:p>
      <w:pPr>
        <w:ind w:left="260" w:hanging="252"/>
        <w:spacing w:after="0"/>
        <w:tabs>
          <w:tab w:leader="none" w:pos="260"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either be (i) delivered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9]</w:t>
      </w:r>
    </w:p>
    <w:p>
      <w:pPr>
        <w:sectPr>
          <w:pgSz w:w="11900" w:h="16838" w:orient="portrait"/>
          <w:cols w:equalWidth="0" w:num="1">
            <w:col w:w="11420"/>
          </w:cols>
          <w:pgMar w:left="240" w:top="270" w:right="239" w:bottom="1440" w:gutter="0" w:footer="0" w:header="0"/>
        </w:sectPr>
      </w:pPr>
    </w:p>
    <w:bookmarkStart w:id="648" w:name="page649"/>
    <w:bookmarkEnd w:id="64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40" w:hanging="176"/>
        <w:spacing w:after="0"/>
        <w:tabs>
          <w:tab w:leader="none" w:pos="640"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 meanings: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theft, dishonesty or falsification of any employment or Company records that is non-trivial in nature;</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malicious or reckless disclosure of the Company’s confidential or proprietary information or any material breach by Executive of his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w:t>
      </w:r>
    </w:p>
    <w:p>
      <w:pPr>
        <w:spacing w:after="0" w:line="2"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2"/>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 events: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9]</w:t>
      </w:r>
    </w:p>
    <w:p>
      <w:pPr>
        <w:sectPr>
          <w:pgSz w:w="11900" w:h="16838" w:orient="portrait"/>
          <w:cols w:equalWidth="0" w:num="1">
            <w:col w:w="11420"/>
          </w:cols>
          <w:pgMar w:left="240" w:top="270" w:right="239" w:bottom="1440" w:gutter="0" w:footer="0" w:header="0"/>
        </w:sectPr>
      </w:pPr>
    </w:p>
    <w:bookmarkStart w:id="649" w:name="page650"/>
    <w:bookmarkEnd w:id="649"/>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controlling surviving entity outstanding immediately after such business combination;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8" w:lineRule="exact"/>
        <w:rPr>
          <w:sz w:val="20"/>
          <w:szCs w:val="20"/>
          <w:color w:val="auto"/>
        </w:rPr>
      </w:pPr>
    </w:p>
    <w:p>
      <w:pPr>
        <w:ind w:left="1160" w:hanging="239"/>
        <w:spacing w:after="0"/>
        <w:tabs>
          <w:tab w:leader="none" w:pos="1160"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twelve (12) month period of time commencing upon a Change in Control.</w:t>
      </w:r>
    </w:p>
    <w:p>
      <w:pPr>
        <w:spacing w:after="0" w:line="225"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an Involuntary Termination Without Cause or (b) a Voluntary Resignation for Good Reason, provided that such termination or resignation constitutes a Separation from Service.</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 a material diminution in Executive’s authority, duties, or responsibilities which substantially reduces the nature or character of Executive’s position with the Company; (ii) a material reduction by the Company of Executive’s base salary as in effect immediately prior to such reduction; (iii)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90" w:lineRule="exact"/>
        <w:rPr>
          <w:rFonts w:ascii="Times New Roman" w:cs="Times New Roman" w:eastAsia="Times New Roman" w:hAnsi="Times New Roman"/>
          <w:sz w:val="18"/>
          <w:szCs w:val="18"/>
          <w:color w:val="auto"/>
        </w:rPr>
      </w:pPr>
    </w:p>
    <w:p>
      <w:pPr>
        <w:ind w:firstLine="921"/>
        <w:spacing w:after="0" w:line="266" w:lineRule="auto"/>
        <w:tabs>
          <w:tab w:leader="none" w:pos="113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 Treasury Regulation Section 1.409A-1(h).</w:t>
      </w:r>
    </w:p>
    <w:p>
      <w:pPr>
        <w:spacing w:after="0" w:line="161" w:lineRule="exact"/>
        <w:rPr>
          <w:rFonts w:ascii="Times New Roman" w:cs="Times New Roman" w:eastAsia="Times New Roman" w:hAnsi="Times New Roman"/>
          <w:sz w:val="18"/>
          <w:szCs w:val="18"/>
          <w:color w:val="auto"/>
        </w:rPr>
      </w:pPr>
    </w:p>
    <w:p>
      <w:pPr>
        <w:ind w:right="240" w:firstLine="921"/>
        <w:spacing w:after="0" w:line="258" w:lineRule="auto"/>
        <w:tabs>
          <w:tab w:leader="none" w:pos="116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means Executive’s resignation as a result of a Good Reason Condition in accordance with this subsection (h).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9]</w:t>
      </w:r>
    </w:p>
    <w:p>
      <w:pPr>
        <w:sectPr>
          <w:pgSz w:w="11900" w:h="16838" w:orient="portrait"/>
          <w:cols w:equalWidth="0" w:num="1">
            <w:col w:w="11420"/>
          </w:cols>
          <w:pgMar w:left="240" w:top="270" w:right="239" w:bottom="1440" w:gutter="0" w:footer="0" w:header="0"/>
        </w:sectPr>
      </w:pPr>
    </w:p>
    <w:bookmarkStart w:id="650" w:name="page651"/>
    <w:bookmarkEnd w:id="65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Section 3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76" w:lineRule="exact"/>
        <w:rPr>
          <w:sz w:val="20"/>
          <w:szCs w:val="20"/>
          <w:color w:val="auto"/>
        </w:rPr>
      </w:pPr>
    </w:p>
    <w:p>
      <w:pPr>
        <w:ind w:left="640" w:hanging="176"/>
        <w:spacing w:after="0"/>
        <w:tabs>
          <w:tab w:leader="none" w:pos="640"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21"/>
        <w:spacing w:after="0" w:line="256" w:lineRule="auto"/>
        <w:tabs>
          <w:tab w:leader="none" w:pos="1157" w:val="left"/>
        </w:tabs>
        <w:numPr>
          <w:ilvl w:val="1"/>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jc w:val="both"/>
        <w:ind w:right="140" w:firstLine="464"/>
        <w:spacing w:after="0" w:line="261" w:lineRule="auto"/>
        <w:tabs>
          <w:tab w:leader="none" w:pos="636"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of Finance and Operations.</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1"/>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provided, however,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disclosed to Executive or known by Executive as a consequence of or through his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9]</w:t>
      </w:r>
    </w:p>
    <w:p>
      <w:pPr>
        <w:sectPr>
          <w:pgSz w:w="11900" w:h="16838" w:orient="portrait"/>
          <w:cols w:equalWidth="0" w:num="1">
            <w:col w:w="11420"/>
          </w:cols>
          <w:pgMar w:left="240" w:top="270" w:right="239" w:bottom="1440" w:gutter="0" w:footer="0" w:header="0"/>
        </w:sectPr>
      </w:pPr>
    </w:p>
    <w:bookmarkStart w:id="651" w:name="page652"/>
    <w:bookmarkEnd w:id="65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921"/>
        <w:spacing w:after="0" w:line="255" w:lineRule="auto"/>
        <w:tabs>
          <w:tab w:leader="none" w:pos="1168"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In addition to each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general advertisement to which an employee of the Company responds shall in no event be deemed to result in a breach of this Section 9(b). Executive also agrees not to harass or disparage the Company or its employees, clients, directors or agents or divert or attempt to divert any actual or potential business of the Company.</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provisions of this Section 9 shall survive the termination or expiration of the applicable Executive’s employment with the Company and shall be fully enforceable thereafter. If it is determined by a court of competent jurisdiction in any state that any restriction in this Section 9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0" w:lineRule="exact"/>
        <w:rPr>
          <w:rFonts w:ascii="Times New Roman" w:cs="Times New Roman" w:eastAsia="Times New Roman" w:hAnsi="Times New Roman"/>
          <w:sz w:val="18"/>
          <w:szCs w:val="18"/>
          <w:color w:val="auto"/>
        </w:rPr>
      </w:pPr>
    </w:p>
    <w:p>
      <w:pPr>
        <w:ind w:right="20" w:firstLine="464"/>
        <w:spacing w:after="0" w:line="253" w:lineRule="auto"/>
        <w:tabs>
          <w:tab w:leader="none" w:pos="726"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under the applicable JAMS employment rules. </w:t>
      </w:r>
      <w:r>
        <w:rPr>
          <w:rFonts w:ascii="Times New Roman" w:cs="Times New Roman" w:eastAsia="Times New Roman" w:hAnsi="Times New Roman"/>
          <w:sz w:val="18"/>
          <w:szCs w:val="18"/>
          <w:b w:val="1"/>
          <w:bCs w:val="1"/>
          <w:color w:val="auto"/>
        </w:rPr>
        <w:t>By agreeing to this arbitration procedure, both Executive and the Company waive the right to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such dispute through a trial by jury or judge or administrative proceeding</w:t>
      </w:r>
      <w:r>
        <w:rPr>
          <w:rFonts w:ascii="Times New Roman" w:cs="Times New Roman" w:eastAsia="Times New Roman" w:hAnsi="Times New Roman"/>
          <w:sz w:val="18"/>
          <w:szCs w:val="18"/>
          <w:color w:val="auto"/>
        </w:rPr>
        <w:t>. The arbitrator shall: (i) have the authority to compel adequate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w:t>
      </w:r>
    </w:p>
    <w:p>
      <w:pPr>
        <w:sectPr>
          <w:pgSz w:w="11900" w:h="16838" w:orient="portrait"/>
          <w:cols w:equalWidth="0" w:num="1">
            <w:col w:w="11400"/>
          </w:cols>
          <w:pgMar w:left="240" w:top="269" w:right="259" w:bottom="1440" w:gutter="0" w:footer="0" w:header="0"/>
        </w:sectPr>
      </w:pPr>
    </w:p>
    <w:bookmarkStart w:id="652" w:name="page653"/>
    <w:bookmarkEnd w:id="652"/>
    <w:p>
      <w:pPr>
        <w:ind w:left="720" w:hanging="256"/>
        <w:spacing w:after="0"/>
        <w:tabs>
          <w:tab w:leader="none" w:pos="720" w:val="left"/>
        </w:tabs>
        <w:numPr>
          <w:ilvl w:val="1"/>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3"/>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except as provided under Section 12(a)(ii)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p>
    <w:p>
      <w:pPr>
        <w:spacing w:after="0" w:line="185" w:lineRule="exact"/>
        <w:rPr>
          <w:rFonts w:ascii="Times New Roman" w:cs="Times New Roman" w:eastAsia="Times New Roman" w:hAnsi="Times New Roman"/>
          <w:sz w:val="18"/>
          <w:szCs w:val="18"/>
          <w:color w:val="auto"/>
        </w:rPr>
      </w:pPr>
    </w:p>
    <w:p>
      <w:pPr>
        <w:jc w:val="both"/>
        <w:ind w:right="40" w:firstLine="1492"/>
        <w:spacing w:after="0" w:line="257" w:lineRule="auto"/>
        <w:tabs>
          <w:tab w:leader="none" w:pos="1748" w:val="left"/>
        </w:tabs>
        <w:numPr>
          <w:ilvl w:val="3"/>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Times New Roman" w:cs="Times New Roman" w:eastAsia="Times New Roman" w:hAnsi="Times New Roman"/>
          <w:sz w:val="18"/>
          <w:szCs w:val="18"/>
          <w:color w:val="auto"/>
        </w:rPr>
      </w:pPr>
    </w:p>
    <w:p>
      <w:pPr>
        <w:ind w:right="60" w:firstLine="8"/>
        <w:spacing w:after="0" w:line="254" w:lineRule="auto"/>
        <w:tabs>
          <w:tab w:leader="none" w:pos="215"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spacing w:after="0" w:line="185"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3"/>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3"/>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Installments</w:t>
      </w:r>
      <w:r>
        <w:rPr>
          <w:rFonts w:ascii="Times New Roman" w:cs="Times New Roman" w:eastAsia="Times New Roman" w:hAnsi="Times New Roman"/>
          <w:sz w:val="18"/>
          <w:szCs w:val="18"/>
          <w:color w:val="auto"/>
        </w:rPr>
        <w:t>. For purposes of Section 409A of the Code (including, without limitation, for purposes of Treasury Regulation</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0" w:lineRule="exact"/>
        <w:rPr>
          <w:sz w:val="20"/>
          <w:szCs w:val="20"/>
          <w:color w:val="auto"/>
        </w:rPr>
      </w:pPr>
    </w:p>
    <w:p>
      <w:pPr>
        <w:ind w:right="20" w:firstLine="921"/>
        <w:spacing w:after="0" w:line="282" w:lineRule="auto"/>
        <w:tabs>
          <w:tab w:leader="none" w:pos="1168"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shall be modified, waived or dis- charged unless the modification, waiver or discharge is agreed to in writing and signed by Executive and by an authorized officer of the Company (other than Executive). No waiver 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9]</w:t>
      </w:r>
    </w:p>
    <w:p>
      <w:pPr>
        <w:sectPr>
          <w:pgSz w:w="11900" w:h="16838" w:orient="portrait"/>
          <w:cols w:equalWidth="0" w:num="1">
            <w:col w:w="11400"/>
          </w:cols>
          <w:pgMar w:left="240" w:top="271" w:right="259" w:bottom="1440" w:gutter="0" w:footer="0" w:header="0"/>
        </w:sectPr>
      </w:pPr>
    </w:p>
    <w:bookmarkStart w:id="653" w:name="page654"/>
    <w:bookmarkEnd w:id="65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of any breach of, or of compliance with, any condition or provision of this Agreement by the other party shall be considered a waiver of any other condition or provision or of the same condition or provision at another time.</w:t>
      </w:r>
    </w:p>
    <w:p>
      <w:pPr>
        <w:spacing w:after="0" w:line="162" w:lineRule="exact"/>
        <w:rPr>
          <w:sz w:val="20"/>
          <w:szCs w:val="20"/>
          <w:color w:val="auto"/>
        </w:rPr>
      </w:pPr>
    </w:p>
    <w:p>
      <w:pPr>
        <w:ind w:right="40" w:firstLine="921"/>
        <w:spacing w:after="0" w:line="266" w:lineRule="auto"/>
        <w:tabs>
          <w:tab w:leader="none" w:pos="1157"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any accelerated vesting provisions of Executive’s offer letter agreement, employment agreement and/or stock option agreement.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57"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38"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8 of 9]</w:t>
      </w:r>
    </w:p>
    <w:p>
      <w:pPr>
        <w:sectPr>
          <w:pgSz w:w="11900" w:h="16838" w:orient="portrait"/>
          <w:cols w:equalWidth="0" w:num="1">
            <w:col w:w="11380"/>
          </w:cols>
          <w:pgMar w:left="240" w:top="269" w:right="279" w:bottom="1440" w:gutter="0" w:footer="0" w:header="0"/>
        </w:sectPr>
      </w:pPr>
    </w:p>
    <w:bookmarkStart w:id="654" w:name="page655"/>
    <w:bookmarkEnd w:id="654"/>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August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August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This Change in Control Severance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Elizabeth Grammer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the latest date set forth by the signatures of the parties hereto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Certain capitalized terms used in this Agreement are defined in Section 7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right="280" w:firstLine="464"/>
        <w:spacing w:after="0" w:line="282" w:lineRule="auto"/>
        <w:tabs>
          <w:tab w:leader="none" w:pos="636"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become effective as of the Effective Date and terminate upon the date that all obligations of the parties hereto with respect to this Agreement have been satisfied.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 During a Change in Control Period</w:t>
      </w:r>
      <w:r>
        <w:rPr>
          <w:rFonts w:ascii="Times New Roman" w:cs="Times New Roman" w:eastAsia="Times New Roman" w:hAnsi="Times New Roman"/>
          <w:sz w:val="18"/>
          <w:szCs w:val="18"/>
          <w:color w:val="auto"/>
        </w:rPr>
        <w:t>. If Executive experiences a Covered Termination during a Change in Control Period, and if Executive executes and fails to revoke during any applicable revocation period a general release of claims against the Company and its affiliates in a form acceptable to the Company (a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within fifty (50) days, or such shorter period of time specified by the Company,</w:t>
      </w:r>
    </w:p>
    <w:p>
      <w:pPr>
        <w:sectPr>
          <w:pgSz w:w="11900" w:h="16838" w:orient="portrait"/>
          <w:cols w:equalWidth="0" w:num="1">
            <w:col w:w="11420"/>
          </w:cols>
          <w:pgMar w:left="240" w:top="119" w:right="239" w:bottom="1440" w:gutter="0" w:footer="0" w:header="0"/>
        </w:sectPr>
      </w:pPr>
    </w:p>
    <w:bookmarkStart w:id="656" w:name="page657"/>
    <w:bookmarkEnd w:id="656"/>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such Covered Termination, then in addition to any accrued but unpaid salary, bonus, vacation and expense reimbursement payable in accordance with applicable law, the Company shall provide Executive with the following:</w:t>
      </w:r>
    </w:p>
    <w:p>
      <w:pPr>
        <w:spacing w:after="0" w:line="162" w:lineRule="exact"/>
        <w:rPr>
          <w:sz w:val="20"/>
          <w:szCs w:val="20"/>
          <w:color w:val="auto"/>
        </w:rPr>
      </w:pPr>
    </w:p>
    <w:p>
      <w:pPr>
        <w:ind w:right="20" w:firstLine="921"/>
        <w:spacing w:after="0" w:line="289" w:lineRule="auto"/>
        <w:tabs>
          <w:tab w:leader="none" w:pos="1157" w:val="left"/>
        </w:tabs>
        <w:numPr>
          <w:ilvl w:val="2"/>
          <w:numId w:val="8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w:t>
      </w:r>
      <w:r>
        <w:rPr>
          <w:rFonts w:ascii="Times New Roman" w:cs="Times New Roman" w:eastAsia="Times New Roman" w:hAnsi="Times New Roman"/>
          <w:sz w:val="17"/>
          <w:szCs w:val="17"/>
          <w:color w:val="auto"/>
        </w:rPr>
        <w:t>. Executive shall be entitled to receive an amount equal to six (6) months of Executive’s base salary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58" w:lineRule="exact"/>
        <w:rPr>
          <w:rFonts w:ascii="Times New Roman" w:cs="Times New Roman" w:eastAsia="Times New Roman" w:hAnsi="Times New Roman"/>
          <w:sz w:val="17"/>
          <w:szCs w:val="17"/>
          <w:color w:val="auto"/>
        </w:rPr>
      </w:pPr>
    </w:p>
    <w:p>
      <w:pPr>
        <w:ind w:firstLine="921"/>
        <w:spacing w:after="0" w:line="255" w:lineRule="auto"/>
        <w:tabs>
          <w:tab w:leader="none" w:pos="1168" w:val="left"/>
        </w:tabs>
        <w:numPr>
          <w:ilvl w:val="2"/>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fifty percent (50%) of the then unvested shares subject thereto at the time of the Change in Control.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 Executive acknowledges that upon the execution of this Agreement, each unexercised “incentive stock option” within the meaning of Section 422 of the of the Internal Revenue Code of 1986, as amended (the “Code”), shall be deemed modified for the purposes of Section 424 of the Code and, to the extent the exercise price thereof is lower than the fair market value of the Company’s common stock as of the Effective Date, such option shall no longer qualify as an incentive stock option.</w:t>
      </w:r>
    </w:p>
    <w:p>
      <w:pPr>
        <w:spacing w:after="0" w:line="185" w:lineRule="exact"/>
        <w:rPr>
          <w:rFonts w:ascii="Times New Roman" w:cs="Times New Roman" w:eastAsia="Times New Roman" w:hAnsi="Times New Roman"/>
          <w:sz w:val="18"/>
          <w:szCs w:val="18"/>
          <w:color w:val="auto"/>
        </w:rPr>
      </w:pPr>
    </w:p>
    <w:p>
      <w:pPr>
        <w:ind w:right="80" w:firstLine="921"/>
        <w:spacing w:after="0" w:line="256" w:lineRule="auto"/>
        <w:tabs>
          <w:tab w:leader="none" w:pos="1157" w:val="left"/>
        </w:tabs>
        <w:numPr>
          <w:ilvl w:val="2"/>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Healthcare</w:t>
      </w:r>
      <w:r>
        <w:rPr>
          <w:rFonts w:ascii="Times New Roman" w:cs="Times New Roman" w:eastAsia="Times New Roman" w:hAnsi="Times New Roman"/>
          <w:sz w:val="18"/>
          <w:szCs w:val="18"/>
          <w:color w:val="auto"/>
        </w:rPr>
        <w:t>. If Executive elects to receive continued healthcare coverage pursuant to the provisions of the Consolidated Omnibus Budget Reconciliation Act of 1985, as amended (“COBRA”), the Company shall directly pay, or reimburse Executive for, the premium for Executive and Executive’s covered dependents through the earlier of (i) the six (6) month anniversary of the date of Executive’s termination of employment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the provisions of COBRA.</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During a Change in Control Period</w:t>
      </w:r>
      <w:r>
        <w:rPr>
          <w:rFonts w:ascii="Times New Roman" w:cs="Times New Roman" w:eastAsia="Times New Roman" w:hAnsi="Times New Roman"/>
          <w:sz w:val="18"/>
          <w:szCs w:val="18"/>
          <w:color w:val="auto"/>
        </w:rPr>
        <w:t>. If Executive’s service with the Company is terminated by the Company or by Executive for any or no reason other than as a Covered Termination during a Change in Control Period,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0" w:lineRule="exact"/>
        <w:rPr>
          <w:rFonts w:ascii="Times New Roman" w:cs="Times New Roman" w:eastAsia="Times New Roman" w:hAnsi="Times New Roman"/>
          <w:sz w:val="18"/>
          <w:szCs w:val="18"/>
          <w:color w:val="auto"/>
        </w:rPr>
      </w:pPr>
    </w:p>
    <w:p>
      <w:pPr>
        <w:ind w:right="500" w:firstLine="464"/>
        <w:spacing w:after="0" w:line="276" w:lineRule="auto"/>
        <w:tabs>
          <w:tab w:leader="none" w:pos="636" w:val="left"/>
        </w:tabs>
        <w:numPr>
          <w:ilvl w:val="1"/>
          <w:numId w:val="8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Payments</w:t>
      </w:r>
      <w:r>
        <w:rPr>
          <w:rFonts w:ascii="Times New Roman" w:cs="Times New Roman" w:eastAsia="Times New Roman" w:hAnsi="Times New Roman"/>
          <w:sz w:val="17"/>
          <w:szCs w:val="17"/>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would (a) constitute a “parachute payment” within the meaning of Section 280G of the Code, and</w:t>
      </w:r>
    </w:p>
    <w:p>
      <w:pPr>
        <w:ind w:left="260" w:hanging="252"/>
        <w:spacing w:after="0"/>
        <w:tabs>
          <w:tab w:leader="none" w:pos="260"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either be (i) delivered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20"/>
          </w:cols>
          <w:pgMar w:left="240" w:top="270" w:right="239" w:bottom="1440" w:gutter="0" w:footer="0" w:header="0"/>
        </w:sectPr>
      </w:pPr>
    </w:p>
    <w:bookmarkStart w:id="657" w:name="page658"/>
    <w:bookmarkEnd w:id="65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40" w:hanging="176"/>
        <w:spacing w:after="0"/>
        <w:tabs>
          <w:tab w:leader="none" w:pos="640" w:val="left"/>
        </w:tabs>
        <w:numPr>
          <w:ilvl w:val="1"/>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 meanings: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theft, dishonesty or falsification of any employment or Company records that is non-trivial in nature;</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malicious or reckless disclosure of the Company’s confidential or proprietary information or any material breach by Executive of his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w:t>
      </w:r>
    </w:p>
    <w:p>
      <w:pPr>
        <w:spacing w:after="0" w:line="2"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2"/>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 events: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w:t>
      </w:r>
    </w:p>
    <w:p>
      <w:pPr>
        <w:sectPr>
          <w:pgSz w:w="11900" w:h="16838" w:orient="portrait"/>
          <w:cols w:equalWidth="0" w:num="1">
            <w:col w:w="11420"/>
          </w:cols>
          <w:pgMar w:left="240" w:top="270" w:right="239" w:bottom="1440" w:gutter="0" w:footer="0" w:header="0"/>
        </w:sectPr>
      </w:pPr>
    </w:p>
    <w:bookmarkStart w:id="658" w:name="page659"/>
    <w:bookmarkEnd w:id="658"/>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controlling surviving entity outstanding immediately after such business combination;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8" w:lineRule="exact"/>
        <w:rPr>
          <w:sz w:val="20"/>
          <w:szCs w:val="20"/>
          <w:color w:val="auto"/>
        </w:rPr>
      </w:pPr>
    </w:p>
    <w:p>
      <w:pPr>
        <w:ind w:left="1160" w:hanging="239"/>
        <w:spacing w:after="0"/>
        <w:tabs>
          <w:tab w:leader="none" w:pos="116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twelve (12) month period of time commencing upon a Change in Control.</w:t>
      </w:r>
    </w:p>
    <w:p>
      <w:pPr>
        <w:spacing w:after="0" w:line="225"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an Involuntary Termination Without Cause or (b) a Voluntary Resignation for Good Reason, provided that such termination or resignation constitutes a Separation from Service.</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 a material diminution in Executive’s authority, duties, or responsibilities which substantially reduces the nature or character of Executive’s position with the Company; (ii) a material reduction by the Company of Executive’s base salary as in effect immediately prior to such reduction; (iii)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90" w:lineRule="exact"/>
        <w:rPr>
          <w:rFonts w:ascii="Times New Roman" w:cs="Times New Roman" w:eastAsia="Times New Roman" w:hAnsi="Times New Roman"/>
          <w:sz w:val="18"/>
          <w:szCs w:val="18"/>
          <w:color w:val="auto"/>
        </w:rPr>
      </w:pPr>
    </w:p>
    <w:p>
      <w:pPr>
        <w:ind w:firstLine="921"/>
        <w:spacing w:after="0" w:line="266" w:lineRule="auto"/>
        <w:tabs>
          <w:tab w:leader="none" w:pos="1138"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 Treasury Regulation Section 1.409A-1(h).</w:t>
      </w:r>
    </w:p>
    <w:p>
      <w:pPr>
        <w:spacing w:after="0" w:line="161" w:lineRule="exact"/>
        <w:rPr>
          <w:rFonts w:ascii="Times New Roman" w:cs="Times New Roman" w:eastAsia="Times New Roman" w:hAnsi="Times New Roman"/>
          <w:sz w:val="18"/>
          <w:szCs w:val="18"/>
          <w:color w:val="auto"/>
        </w:rPr>
      </w:pPr>
    </w:p>
    <w:p>
      <w:pPr>
        <w:ind w:right="240" w:firstLine="921"/>
        <w:spacing w:after="0" w:line="258" w:lineRule="auto"/>
        <w:tabs>
          <w:tab w:leader="none" w:pos="1168"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means Executive’s resignation as a result of a Good Reason Condition in accordance with this subsection (h).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w:t>
      </w:r>
    </w:p>
    <w:p>
      <w:pPr>
        <w:sectPr>
          <w:pgSz w:w="11900" w:h="16838" w:orient="portrait"/>
          <w:cols w:equalWidth="0" w:num="1">
            <w:col w:w="11420"/>
          </w:cols>
          <w:pgMar w:left="240" w:top="270" w:right="239" w:bottom="1440" w:gutter="0" w:footer="0" w:header="0"/>
        </w:sectPr>
      </w:pPr>
    </w:p>
    <w:bookmarkStart w:id="659" w:name="page660"/>
    <w:bookmarkEnd w:id="65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Section 3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76" w:lineRule="exact"/>
        <w:rPr>
          <w:sz w:val="20"/>
          <w:szCs w:val="20"/>
          <w:color w:val="auto"/>
        </w:rPr>
      </w:pPr>
    </w:p>
    <w:p>
      <w:pPr>
        <w:ind w:left="640" w:hanging="176"/>
        <w:spacing w:after="0"/>
        <w:tabs>
          <w:tab w:leader="none" w:pos="6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21"/>
        <w:spacing w:after="0" w:line="256" w:lineRule="auto"/>
        <w:tabs>
          <w:tab w:leader="none" w:pos="1157"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jc w:val="both"/>
        <w:ind w:right="140" w:firstLine="464"/>
        <w:spacing w:after="0" w:line="261" w:lineRule="auto"/>
        <w:tabs>
          <w:tab w:leader="none" w:pos="636"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of Finance and Operations.</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provided, however,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disclosed to Executive or known by Executive as a consequence of or through his or</w:t>
      </w:r>
    </w:p>
    <w:p>
      <w:pPr>
        <w:sectPr>
          <w:pgSz w:w="11900" w:h="16838" w:orient="portrait"/>
          <w:cols w:equalWidth="0" w:num="1">
            <w:col w:w="11420"/>
          </w:cols>
          <w:pgMar w:left="240" w:top="270" w:right="239" w:bottom="1440" w:gutter="0" w:footer="0" w:header="0"/>
        </w:sectPr>
      </w:pPr>
    </w:p>
    <w:bookmarkStart w:id="660" w:name="page661"/>
    <w:bookmarkEnd w:id="66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921"/>
        <w:spacing w:after="0" w:line="255" w:lineRule="auto"/>
        <w:tabs>
          <w:tab w:leader="none" w:pos="1168"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In addition to each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general advertisement to which an employee of the Company responds shall in no event be deemed to result in a breach of this Section 9(b). Executive also agrees not to harass or disparage the Company or its employees, clients, directors or agents or divert or attempt to divert any actual or potential business of the Company.</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provisions of this Section 9 shall survive the termination or expiration of the applicable Executive’s employment with the Company and shall be fully enforceable thereafter. If it is determined by a court of competent jurisdiction in any state that any restriction in this Section 9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0" w:lineRule="exact"/>
        <w:rPr>
          <w:rFonts w:ascii="Times New Roman" w:cs="Times New Roman" w:eastAsia="Times New Roman" w:hAnsi="Times New Roman"/>
          <w:sz w:val="18"/>
          <w:szCs w:val="18"/>
          <w:color w:val="auto"/>
        </w:rPr>
      </w:pPr>
    </w:p>
    <w:p>
      <w:pPr>
        <w:ind w:right="20" w:firstLine="464"/>
        <w:spacing w:after="0" w:line="253" w:lineRule="auto"/>
        <w:tabs>
          <w:tab w:leader="none" w:pos="726"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under the applicable JAMS employment rules. </w:t>
      </w:r>
      <w:r>
        <w:rPr>
          <w:rFonts w:ascii="Times New Roman" w:cs="Times New Roman" w:eastAsia="Times New Roman" w:hAnsi="Times New Roman"/>
          <w:sz w:val="18"/>
          <w:szCs w:val="18"/>
          <w:b w:val="1"/>
          <w:bCs w:val="1"/>
          <w:color w:val="auto"/>
        </w:rPr>
        <w:t>By agreeing to this arbitration procedure, both Executive and the Company waive the right to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such dispute through a trial by jury or judge or administrative proceeding. </w:t>
      </w:r>
      <w:r>
        <w:rPr>
          <w:rFonts w:ascii="Times New Roman" w:cs="Times New Roman" w:eastAsia="Times New Roman" w:hAnsi="Times New Roman"/>
          <w:sz w:val="18"/>
          <w:szCs w:val="18"/>
          <w:color w:val="auto"/>
        </w:rPr>
        <w:t>The arbitrator shall: (i) have the authority to compel adequate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ectPr>
          <w:pgSz w:w="11900" w:h="16838" w:orient="portrait"/>
          <w:cols w:equalWidth="0" w:num="1">
            <w:col w:w="11400"/>
          </w:cols>
          <w:pgMar w:left="240" w:top="270" w:right="259" w:bottom="1440" w:gutter="0" w:footer="0" w:header="0"/>
        </w:sectPr>
      </w:pPr>
    </w:p>
    <w:bookmarkStart w:id="661" w:name="page662"/>
    <w:bookmarkEnd w:id="661"/>
    <w:p>
      <w:pPr>
        <w:ind w:left="720" w:hanging="256"/>
        <w:spacing w:after="0"/>
        <w:tabs>
          <w:tab w:leader="none" w:pos="720"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3"/>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except as provided under Section 12(a)(ii)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p>
    <w:p>
      <w:pPr>
        <w:spacing w:after="0" w:line="185" w:lineRule="exact"/>
        <w:rPr>
          <w:rFonts w:ascii="Times New Roman" w:cs="Times New Roman" w:eastAsia="Times New Roman" w:hAnsi="Times New Roman"/>
          <w:sz w:val="18"/>
          <w:szCs w:val="18"/>
          <w:color w:val="auto"/>
        </w:rPr>
      </w:pPr>
    </w:p>
    <w:p>
      <w:pPr>
        <w:jc w:val="both"/>
        <w:ind w:right="40" w:firstLine="1492"/>
        <w:spacing w:after="0" w:line="257" w:lineRule="auto"/>
        <w:tabs>
          <w:tab w:leader="none" w:pos="1748" w:val="left"/>
        </w:tabs>
        <w:numPr>
          <w:ilvl w:val="3"/>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Times New Roman" w:cs="Times New Roman" w:eastAsia="Times New Roman" w:hAnsi="Times New Roman"/>
          <w:sz w:val="18"/>
          <w:szCs w:val="18"/>
          <w:color w:val="auto"/>
        </w:rPr>
      </w:pPr>
    </w:p>
    <w:p>
      <w:pPr>
        <w:ind w:right="60" w:firstLine="8"/>
        <w:spacing w:after="0" w:line="254" w:lineRule="auto"/>
        <w:tabs>
          <w:tab w:leader="none" w:pos="215"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spacing w:after="0" w:line="185"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3"/>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3"/>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Installments</w:t>
      </w:r>
      <w:r>
        <w:rPr>
          <w:rFonts w:ascii="Times New Roman" w:cs="Times New Roman" w:eastAsia="Times New Roman" w:hAnsi="Times New Roman"/>
          <w:sz w:val="18"/>
          <w:szCs w:val="18"/>
          <w:color w:val="auto"/>
        </w:rPr>
        <w:t>. For purposes of Section 409A of the Code (including, without limitation, for purposes of Treasury Regulation</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0" w:lineRule="exact"/>
        <w:rPr>
          <w:sz w:val="20"/>
          <w:szCs w:val="20"/>
          <w:color w:val="auto"/>
        </w:rPr>
      </w:pPr>
    </w:p>
    <w:p>
      <w:pPr>
        <w:ind w:right="120" w:firstLine="921"/>
        <w:spacing w:after="0" w:line="282" w:lineRule="auto"/>
        <w:tabs>
          <w:tab w:leader="none" w:pos="1168"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Executive and by an authorized officer of the Company (other than Executive). No waiver by</w:t>
      </w:r>
    </w:p>
    <w:p>
      <w:pPr>
        <w:sectPr>
          <w:pgSz w:w="11900" w:h="16838" w:orient="portrait"/>
          <w:cols w:equalWidth="0" w:num="1">
            <w:col w:w="11400"/>
          </w:cols>
          <w:pgMar w:left="240" w:top="269" w:right="259" w:bottom="1440" w:gutter="0" w:footer="0" w:header="0"/>
        </w:sectPr>
      </w:pPr>
    </w:p>
    <w:bookmarkStart w:id="662" w:name="page663"/>
    <w:bookmarkEnd w:id="66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of any breach of, or of compliance with, any condition or provision of this Agreement by the other party shall be considered a waiver of any other condition or provision or of the same condition or provision at another time.</w:t>
      </w:r>
    </w:p>
    <w:p>
      <w:pPr>
        <w:spacing w:after="0" w:line="162" w:lineRule="exact"/>
        <w:rPr>
          <w:sz w:val="20"/>
          <w:szCs w:val="20"/>
          <w:color w:val="auto"/>
        </w:rPr>
      </w:pPr>
    </w:p>
    <w:p>
      <w:pPr>
        <w:ind w:right="40" w:firstLine="921"/>
        <w:spacing w:after="0" w:line="266" w:lineRule="auto"/>
        <w:tabs>
          <w:tab w:leader="none" w:pos="1157"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any accelerated vesting provisions of Executive’s offer letter agreement, employment agreement and/or stock option agreement.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57"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38"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71" w:right="279" w:bottom="1440" w:gutter="0" w:footer="0" w:header="0"/>
        </w:sectPr>
      </w:pPr>
    </w:p>
    <w:bookmarkStart w:id="663" w:name="page664"/>
    <w:bookmarkEnd w:id="663"/>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3/4/13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Elizabeth Grammer</w:t>
      </w:r>
    </w:p>
    <w:p>
      <w:pPr>
        <w:spacing w:after="0" w:line="1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3/4/2013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71" w:right="259" w:bottom="1440" w:gutter="0" w:footer="0" w:header="0"/>
        </w:sectPr>
      </w:pPr>
    </w:p>
    <w:bookmarkStart w:id="664" w:name="page665"/>
    <w:bookmarkEnd w:id="66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22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This Change in Control Severance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Jeffrey W. Jacobs, Ph.D.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the latest date set forth by the signatures of the parties hereto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Certain capitalized terms used in this Agreement are defined in Section 7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right="280" w:firstLine="464"/>
        <w:spacing w:after="0" w:line="282" w:lineRule="auto"/>
        <w:tabs>
          <w:tab w:leader="none" w:pos="636"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become effective as of the Effective Date and terminate upon the date that all obligations of the parties hereto with respect to this Agreement have been satisfied.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 During a Change in Control Period</w:t>
      </w:r>
      <w:r>
        <w:rPr>
          <w:rFonts w:ascii="Times New Roman" w:cs="Times New Roman" w:eastAsia="Times New Roman" w:hAnsi="Times New Roman"/>
          <w:sz w:val="18"/>
          <w:szCs w:val="18"/>
          <w:color w:val="auto"/>
        </w:rPr>
        <w:t>. If Executive experiences a Covered Termination during a Change in Control Period, and if Executive executes and fails to revoke during any applicable revocation period a general release of claims against the Company and its affiliates in a form acceptable to the Company (a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within fifty (50) days, or such shorter period of time specified by the Company,</w:t>
      </w:r>
    </w:p>
    <w:p>
      <w:pPr>
        <w:sectPr>
          <w:pgSz w:w="11900" w:h="16838" w:orient="portrait"/>
          <w:cols w:equalWidth="0" w:num="1">
            <w:col w:w="11420"/>
          </w:cols>
          <w:pgMar w:left="240" w:top="117" w:right="239" w:bottom="1440" w:gutter="0" w:footer="0" w:header="0"/>
        </w:sectPr>
      </w:pPr>
    </w:p>
    <w:bookmarkStart w:id="665" w:name="page666"/>
    <w:bookmarkEnd w:id="665"/>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such Covered Termination, then in addition to any accrued but unpaid salary, bonus, vacation and expense reimbursement payable in accordance with applicable law, the Company shall provide Executive with the following:</w:t>
      </w:r>
    </w:p>
    <w:p>
      <w:pPr>
        <w:spacing w:after="0" w:line="162" w:lineRule="exact"/>
        <w:rPr>
          <w:sz w:val="20"/>
          <w:szCs w:val="20"/>
          <w:color w:val="auto"/>
        </w:rPr>
      </w:pPr>
    </w:p>
    <w:p>
      <w:pPr>
        <w:ind w:right="20" w:firstLine="921"/>
        <w:spacing w:after="0" w:line="289" w:lineRule="auto"/>
        <w:tabs>
          <w:tab w:leader="none" w:pos="1157" w:val="left"/>
        </w:tabs>
        <w:numPr>
          <w:ilvl w:val="2"/>
          <w:numId w:val="8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w:t>
      </w:r>
      <w:r>
        <w:rPr>
          <w:rFonts w:ascii="Times New Roman" w:cs="Times New Roman" w:eastAsia="Times New Roman" w:hAnsi="Times New Roman"/>
          <w:sz w:val="17"/>
          <w:szCs w:val="17"/>
          <w:color w:val="auto"/>
        </w:rPr>
        <w:t>. Executive shall be entitled to receive an amount equal to six (6) months of Executive’s base salary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58" w:lineRule="exact"/>
        <w:rPr>
          <w:rFonts w:ascii="Times New Roman" w:cs="Times New Roman" w:eastAsia="Times New Roman" w:hAnsi="Times New Roman"/>
          <w:sz w:val="17"/>
          <w:szCs w:val="17"/>
          <w:color w:val="auto"/>
        </w:rPr>
      </w:pPr>
    </w:p>
    <w:p>
      <w:pPr>
        <w:ind w:firstLine="921"/>
        <w:spacing w:after="0" w:line="255" w:lineRule="auto"/>
        <w:tabs>
          <w:tab w:leader="none" w:pos="1168" w:val="left"/>
        </w:tabs>
        <w:numPr>
          <w:ilvl w:val="2"/>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fifty percent (50%) of the then unvested shares subject thereto at the time of the Change in Control.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 Executive acknowledges that upon the execution of this Agreement, each unexercised “incentive stock option” within the meaning of Section 422 of the of the Internal Revenue Code of 1986, as amended (the “Code”), shall be deemed modified for the purposes of Section 424 of the Code and, to the extent the exercise price thereof is lower than the fair market value of the Company’s common stock as of the Effective Date, such option shall no longer qualify as an incentive stock option.</w:t>
      </w:r>
    </w:p>
    <w:p>
      <w:pPr>
        <w:spacing w:after="0" w:line="185" w:lineRule="exact"/>
        <w:rPr>
          <w:rFonts w:ascii="Times New Roman" w:cs="Times New Roman" w:eastAsia="Times New Roman" w:hAnsi="Times New Roman"/>
          <w:sz w:val="18"/>
          <w:szCs w:val="18"/>
          <w:color w:val="auto"/>
        </w:rPr>
      </w:pPr>
    </w:p>
    <w:p>
      <w:pPr>
        <w:ind w:right="80" w:firstLine="921"/>
        <w:spacing w:after="0" w:line="256" w:lineRule="auto"/>
        <w:tabs>
          <w:tab w:leader="none" w:pos="1157" w:val="left"/>
        </w:tabs>
        <w:numPr>
          <w:ilvl w:val="2"/>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Healthcare</w:t>
      </w:r>
      <w:r>
        <w:rPr>
          <w:rFonts w:ascii="Times New Roman" w:cs="Times New Roman" w:eastAsia="Times New Roman" w:hAnsi="Times New Roman"/>
          <w:sz w:val="18"/>
          <w:szCs w:val="18"/>
          <w:color w:val="auto"/>
        </w:rPr>
        <w:t>. If Executive elects to receive continued healthcare coverage pursuant to the provisions of the Consolidated Omnibus Budget Reconciliation Act of 1985, as amended (“COBRA”), the Company shall directly pay, or reimburse Executive for, the premium for Executive and Executive’s covered dependents through the earlier of (i) the six (6) month anniversary of the date of Executive’s termination of employment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the provisions of COBRA.</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During a Change in Control Period</w:t>
      </w:r>
      <w:r>
        <w:rPr>
          <w:rFonts w:ascii="Times New Roman" w:cs="Times New Roman" w:eastAsia="Times New Roman" w:hAnsi="Times New Roman"/>
          <w:sz w:val="18"/>
          <w:szCs w:val="18"/>
          <w:color w:val="auto"/>
        </w:rPr>
        <w:t>. If Executive’s service with the Company is terminated by the Company or by Executive for any or no reason other than as a Covered Termination during a Change in Control Period,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0" w:lineRule="exact"/>
        <w:rPr>
          <w:rFonts w:ascii="Times New Roman" w:cs="Times New Roman" w:eastAsia="Times New Roman" w:hAnsi="Times New Roman"/>
          <w:sz w:val="18"/>
          <w:szCs w:val="18"/>
          <w:color w:val="auto"/>
        </w:rPr>
      </w:pPr>
    </w:p>
    <w:p>
      <w:pPr>
        <w:ind w:right="500" w:firstLine="464"/>
        <w:spacing w:after="0" w:line="276" w:lineRule="auto"/>
        <w:tabs>
          <w:tab w:leader="none" w:pos="636" w:val="left"/>
        </w:tabs>
        <w:numPr>
          <w:ilvl w:val="1"/>
          <w:numId w:val="8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Payments</w:t>
      </w:r>
      <w:r>
        <w:rPr>
          <w:rFonts w:ascii="Times New Roman" w:cs="Times New Roman" w:eastAsia="Times New Roman" w:hAnsi="Times New Roman"/>
          <w:sz w:val="17"/>
          <w:szCs w:val="17"/>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would (a) constitute a “parachute payment” within the meaning of Section 280G of the Code, and</w:t>
      </w:r>
    </w:p>
    <w:p>
      <w:pPr>
        <w:ind w:left="260" w:hanging="252"/>
        <w:spacing w:after="0"/>
        <w:tabs>
          <w:tab w:leader="none" w:pos="260"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either be (i) delivered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20"/>
          </w:cols>
          <w:pgMar w:left="240" w:top="271" w:right="239" w:bottom="1440" w:gutter="0" w:footer="0" w:header="0"/>
        </w:sectPr>
      </w:pPr>
    </w:p>
    <w:bookmarkStart w:id="666" w:name="page667"/>
    <w:bookmarkEnd w:id="66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40" w:hanging="176"/>
        <w:spacing w:after="0"/>
        <w:tabs>
          <w:tab w:leader="none" w:pos="640" w:val="left"/>
        </w:tabs>
        <w:numPr>
          <w:ilvl w:val="1"/>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 meanings: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theft, dishonesty or falsification of any employment or Company records that is non-trivial in nature;</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malicious or reckless disclosure of the Company’s confidential or proprietary information or any material breach by Executive of his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w:t>
      </w:r>
    </w:p>
    <w:p>
      <w:pPr>
        <w:spacing w:after="0" w:line="2"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2"/>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 events: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w:t>
      </w:r>
    </w:p>
    <w:p>
      <w:pPr>
        <w:sectPr>
          <w:pgSz w:w="11900" w:h="16838" w:orient="portrait"/>
          <w:cols w:equalWidth="0" w:num="1">
            <w:col w:w="11420"/>
          </w:cols>
          <w:pgMar w:left="240" w:top="270" w:right="239" w:bottom="1440" w:gutter="0" w:footer="0" w:header="0"/>
        </w:sectPr>
      </w:pPr>
    </w:p>
    <w:bookmarkStart w:id="667" w:name="page668"/>
    <w:bookmarkEnd w:id="66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controlling surviving entity outstanding immediately after such business combination;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8" w:lineRule="exact"/>
        <w:rPr>
          <w:sz w:val="20"/>
          <w:szCs w:val="20"/>
          <w:color w:val="auto"/>
        </w:rPr>
      </w:pPr>
    </w:p>
    <w:p>
      <w:pPr>
        <w:ind w:left="1160" w:hanging="239"/>
        <w:spacing w:after="0"/>
        <w:tabs>
          <w:tab w:leader="none" w:pos="1160"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twelve (12) month period of time commencing upon a Change in Control.</w:t>
      </w:r>
    </w:p>
    <w:p>
      <w:pPr>
        <w:spacing w:after="0" w:line="225"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an Involuntary Termination Without Cause or (b) a Voluntary Resignation for Good Reason, provided that such termination or resignation constitutes a Separation from Service.</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 a material diminution in Executive’s authority, duties, or responsibilities which substantially reduces the nature or character of Executive’s position with the Company; (ii) a material reduction by the Company of Executive’s base salary as in effect immediately prior to such reduction; (iii)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90" w:lineRule="exact"/>
        <w:rPr>
          <w:rFonts w:ascii="Times New Roman" w:cs="Times New Roman" w:eastAsia="Times New Roman" w:hAnsi="Times New Roman"/>
          <w:sz w:val="18"/>
          <w:szCs w:val="18"/>
          <w:color w:val="auto"/>
        </w:rPr>
      </w:pPr>
    </w:p>
    <w:p>
      <w:pPr>
        <w:ind w:firstLine="921"/>
        <w:spacing w:after="0" w:line="266" w:lineRule="auto"/>
        <w:tabs>
          <w:tab w:leader="none" w:pos="113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 Treasury Regulation Section 1.409A-1(h).</w:t>
      </w:r>
    </w:p>
    <w:p>
      <w:pPr>
        <w:spacing w:after="0" w:line="161" w:lineRule="exact"/>
        <w:rPr>
          <w:rFonts w:ascii="Times New Roman" w:cs="Times New Roman" w:eastAsia="Times New Roman" w:hAnsi="Times New Roman"/>
          <w:sz w:val="18"/>
          <w:szCs w:val="18"/>
          <w:color w:val="auto"/>
        </w:rPr>
      </w:pPr>
    </w:p>
    <w:p>
      <w:pPr>
        <w:ind w:right="240" w:firstLine="921"/>
        <w:spacing w:after="0" w:line="258" w:lineRule="auto"/>
        <w:tabs>
          <w:tab w:leader="none" w:pos="116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means Executive’s resignation as a result of a Good Reason Condition in accordance with this subsection (h).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w:t>
      </w:r>
    </w:p>
    <w:p>
      <w:pPr>
        <w:sectPr>
          <w:pgSz w:w="11900" w:h="16838" w:orient="portrait"/>
          <w:cols w:equalWidth="0" w:num="1">
            <w:col w:w="11420"/>
          </w:cols>
          <w:pgMar w:left="240" w:top="270" w:right="239" w:bottom="1440" w:gutter="0" w:footer="0" w:header="0"/>
        </w:sectPr>
      </w:pPr>
    </w:p>
    <w:bookmarkStart w:id="668" w:name="page669"/>
    <w:bookmarkEnd w:id="66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Section 3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76" w:lineRule="exact"/>
        <w:rPr>
          <w:sz w:val="20"/>
          <w:szCs w:val="20"/>
          <w:color w:val="auto"/>
        </w:rPr>
      </w:pPr>
    </w:p>
    <w:p>
      <w:pPr>
        <w:ind w:left="640" w:hanging="176"/>
        <w:spacing w:after="0"/>
        <w:tabs>
          <w:tab w:leader="none" w:pos="64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21"/>
        <w:spacing w:after="0" w:line="256" w:lineRule="auto"/>
        <w:tabs>
          <w:tab w:leader="none" w:pos="1157"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jc w:val="both"/>
        <w:ind w:right="140" w:firstLine="464"/>
        <w:spacing w:after="0" w:line="261" w:lineRule="auto"/>
        <w:tabs>
          <w:tab w:leader="none" w:pos="636"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of Finance and Operations.</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provided, however,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disclosed to Executive or known by Executive as a consequence of or through his or</w:t>
      </w:r>
    </w:p>
    <w:p>
      <w:pPr>
        <w:sectPr>
          <w:pgSz w:w="11900" w:h="16838" w:orient="portrait"/>
          <w:cols w:equalWidth="0" w:num="1">
            <w:col w:w="11420"/>
          </w:cols>
          <w:pgMar w:left="240" w:top="271" w:right="239" w:bottom="1440" w:gutter="0" w:footer="0" w:header="0"/>
        </w:sectPr>
      </w:pPr>
    </w:p>
    <w:bookmarkStart w:id="669" w:name="page670"/>
    <w:bookmarkEnd w:id="66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21"/>
        <w:spacing w:after="0" w:line="255" w:lineRule="auto"/>
        <w:tabs>
          <w:tab w:leader="none" w:pos="1168"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In addition to each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general advertisement to which an employee of the Company responds shall in no event be deemed to result in a breach of this Section 10(b). Executive also agrees not to harass or disparage the Company or its employees, clients, directors or agents or divert or attempt to divert any actual or potential business of the Company.</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0" w:lineRule="exact"/>
        <w:rPr>
          <w:rFonts w:ascii="Times New Roman" w:cs="Times New Roman" w:eastAsia="Times New Roman" w:hAnsi="Times New Roman"/>
          <w:sz w:val="18"/>
          <w:szCs w:val="18"/>
          <w:color w:val="auto"/>
        </w:rPr>
      </w:pPr>
    </w:p>
    <w:p>
      <w:pPr>
        <w:ind w:right="20" w:firstLine="464"/>
        <w:spacing w:after="0" w:line="253" w:lineRule="auto"/>
        <w:tabs>
          <w:tab w:leader="none" w:pos="726"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under the applicable JAMS employment rules. </w:t>
      </w:r>
      <w:r>
        <w:rPr>
          <w:rFonts w:ascii="Times New Roman" w:cs="Times New Roman" w:eastAsia="Times New Roman" w:hAnsi="Times New Roman"/>
          <w:sz w:val="18"/>
          <w:szCs w:val="18"/>
          <w:b w:val="1"/>
          <w:bCs w:val="1"/>
          <w:color w:val="auto"/>
        </w:rPr>
        <w:t>By agreeing to this arbitration procedure, both Executive and the Company waive the right to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such dispute through a trial by jury or judge or administrative proceeding. </w:t>
      </w:r>
      <w:r>
        <w:rPr>
          <w:rFonts w:ascii="Times New Roman" w:cs="Times New Roman" w:eastAsia="Times New Roman" w:hAnsi="Times New Roman"/>
          <w:sz w:val="18"/>
          <w:szCs w:val="18"/>
          <w:color w:val="auto"/>
        </w:rPr>
        <w:t>The arbitrator shall: (i) have the authority to compel adequate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ectPr>
          <w:pgSz w:w="11900" w:h="16838" w:orient="portrait"/>
          <w:cols w:equalWidth="0" w:num="1">
            <w:col w:w="11400"/>
          </w:cols>
          <w:pgMar w:left="240" w:top="270" w:right="259" w:bottom="1440" w:gutter="0" w:footer="0" w:header="0"/>
        </w:sectPr>
      </w:pPr>
    </w:p>
    <w:bookmarkStart w:id="670" w:name="page671"/>
    <w:bookmarkEnd w:id="670"/>
    <w:p>
      <w:pPr>
        <w:ind w:left="720" w:hanging="256"/>
        <w:spacing w:after="0"/>
        <w:tabs>
          <w:tab w:leader="none" w:pos="720" w:val="left"/>
        </w:tabs>
        <w:numPr>
          <w:ilvl w:val="1"/>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3"/>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except as provided under Section 12(a)(ii)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p>
    <w:p>
      <w:pPr>
        <w:spacing w:after="0" w:line="185" w:lineRule="exact"/>
        <w:rPr>
          <w:rFonts w:ascii="Times New Roman" w:cs="Times New Roman" w:eastAsia="Times New Roman" w:hAnsi="Times New Roman"/>
          <w:sz w:val="18"/>
          <w:szCs w:val="18"/>
          <w:color w:val="auto"/>
        </w:rPr>
      </w:pPr>
    </w:p>
    <w:p>
      <w:pPr>
        <w:jc w:val="both"/>
        <w:ind w:right="40" w:firstLine="1492"/>
        <w:spacing w:after="0" w:line="257" w:lineRule="auto"/>
        <w:tabs>
          <w:tab w:leader="none" w:pos="1748" w:val="left"/>
        </w:tabs>
        <w:numPr>
          <w:ilvl w:val="3"/>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Times New Roman" w:cs="Times New Roman" w:eastAsia="Times New Roman" w:hAnsi="Times New Roman"/>
          <w:sz w:val="18"/>
          <w:szCs w:val="18"/>
          <w:color w:val="auto"/>
        </w:rPr>
      </w:pPr>
    </w:p>
    <w:p>
      <w:pPr>
        <w:ind w:right="60" w:firstLine="8"/>
        <w:spacing w:after="0" w:line="254" w:lineRule="auto"/>
        <w:tabs>
          <w:tab w:leader="none" w:pos="215"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spacing w:after="0" w:line="185"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3"/>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3"/>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Installments</w:t>
      </w:r>
      <w:r>
        <w:rPr>
          <w:rFonts w:ascii="Times New Roman" w:cs="Times New Roman" w:eastAsia="Times New Roman" w:hAnsi="Times New Roman"/>
          <w:sz w:val="18"/>
          <w:szCs w:val="18"/>
          <w:color w:val="auto"/>
        </w:rPr>
        <w:t>. For purposes of Section 409A of the Code (including, without limitation, for purposes of Treasury Regulation</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0" w:lineRule="exact"/>
        <w:rPr>
          <w:sz w:val="20"/>
          <w:szCs w:val="20"/>
          <w:color w:val="auto"/>
        </w:rPr>
      </w:pPr>
    </w:p>
    <w:p>
      <w:pPr>
        <w:ind w:right="120" w:firstLine="921"/>
        <w:spacing w:after="0" w:line="282" w:lineRule="auto"/>
        <w:tabs>
          <w:tab w:leader="none" w:pos="11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Executive and by an authorized officer of the Company (other than Executive). No waiver by</w:t>
      </w:r>
    </w:p>
    <w:p>
      <w:pPr>
        <w:sectPr>
          <w:pgSz w:w="11900" w:h="16838" w:orient="portrait"/>
          <w:cols w:equalWidth="0" w:num="1">
            <w:col w:w="11400"/>
          </w:cols>
          <w:pgMar w:left="240" w:top="270" w:right="259" w:bottom="1440" w:gutter="0" w:footer="0" w:header="0"/>
        </w:sectPr>
      </w:pPr>
    </w:p>
    <w:bookmarkStart w:id="671" w:name="page672"/>
    <w:bookmarkEnd w:id="67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of any breach of, or of compliance with, any condition or provision of this Agreement by the other party shall be considered a waiver of any other condition or provision or of the same condition or provision at another time.</w:t>
      </w:r>
    </w:p>
    <w:p>
      <w:pPr>
        <w:spacing w:after="0" w:line="162" w:lineRule="exact"/>
        <w:rPr>
          <w:sz w:val="20"/>
          <w:szCs w:val="20"/>
          <w:color w:val="auto"/>
        </w:rPr>
      </w:pPr>
    </w:p>
    <w:p>
      <w:pPr>
        <w:ind w:right="40" w:firstLine="921"/>
        <w:spacing w:after="0" w:line="266" w:lineRule="auto"/>
        <w:tabs>
          <w:tab w:leader="none" w:pos="1157"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any accelerated vesting provisions of Executive’s offer letter agreement, employment agreement and/or stock option agreement.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57"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38"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69" w:right="279" w:bottom="1440" w:gutter="0" w:footer="0" w:header="0"/>
        </w:sectPr>
      </w:pPr>
    </w:p>
    <w:bookmarkStart w:id="672" w:name="page673"/>
    <w:bookmarkEnd w:id="672"/>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4/15/10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Jeffrey W.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Jeffrey W. Jacobs, Ph.D.</w:t>
      </w:r>
    </w:p>
    <w:p>
      <w:pPr>
        <w:spacing w:after="0" w:line="1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4/15/10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673" w:name="page674"/>
    <w:bookmarkEnd w:id="67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22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This Change in Control Severance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George T. Jue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the latest date set forth by the signatures of the parties hereto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Certain capitalized terms used in this Agreement are defined in Section 7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right="280" w:firstLine="464"/>
        <w:spacing w:after="0" w:line="282" w:lineRule="auto"/>
        <w:tabs>
          <w:tab w:leader="none" w:pos="636"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become effective as of the Effective Date and terminate upon the date that all obligations of the parties hereto with respect to this Agreement have been satisfied.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 During a Change in Control Period</w:t>
      </w:r>
      <w:r>
        <w:rPr>
          <w:rFonts w:ascii="Times New Roman" w:cs="Times New Roman" w:eastAsia="Times New Roman" w:hAnsi="Times New Roman"/>
          <w:sz w:val="18"/>
          <w:szCs w:val="18"/>
          <w:color w:val="auto"/>
        </w:rPr>
        <w:t>. If Executive experiences a Covered Termination during a Change in Control Period, and if Executive executes and fails to revoke during any applicable revocation period a general release of claims against the Company and its affiliates in a form acceptable to the Company (a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within fifty (50) days, or such shorter period of time specified by the Company,</w:t>
      </w:r>
    </w:p>
    <w:p>
      <w:pPr>
        <w:sectPr>
          <w:pgSz w:w="11900" w:h="16838" w:orient="portrait"/>
          <w:cols w:equalWidth="0" w:num="1">
            <w:col w:w="11420"/>
          </w:cols>
          <w:pgMar w:left="240" w:top="118" w:right="239" w:bottom="1440" w:gutter="0" w:footer="0" w:header="0"/>
        </w:sectPr>
      </w:pPr>
    </w:p>
    <w:bookmarkStart w:id="674" w:name="page675"/>
    <w:bookmarkEnd w:id="674"/>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such Covered Termination, then in addition to any accrued but unpaid salary, bonus, vacation and expense reimbursement payable in accordance with applicable law, the Company shall provide Executive with the following:</w:t>
      </w:r>
    </w:p>
    <w:p>
      <w:pPr>
        <w:spacing w:after="0" w:line="162" w:lineRule="exact"/>
        <w:rPr>
          <w:sz w:val="20"/>
          <w:szCs w:val="20"/>
          <w:color w:val="auto"/>
        </w:rPr>
      </w:pPr>
    </w:p>
    <w:p>
      <w:pPr>
        <w:ind w:right="20" w:firstLine="921"/>
        <w:spacing w:after="0" w:line="289" w:lineRule="auto"/>
        <w:tabs>
          <w:tab w:leader="none" w:pos="1157" w:val="left"/>
        </w:tabs>
        <w:numPr>
          <w:ilvl w:val="2"/>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w:t>
      </w:r>
      <w:r>
        <w:rPr>
          <w:rFonts w:ascii="Times New Roman" w:cs="Times New Roman" w:eastAsia="Times New Roman" w:hAnsi="Times New Roman"/>
          <w:sz w:val="17"/>
          <w:szCs w:val="17"/>
          <w:color w:val="auto"/>
        </w:rPr>
        <w:t>. Executive shall be entitled to receive an amount equal to six (6) months of Executive’s base salary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58" w:lineRule="exact"/>
        <w:rPr>
          <w:rFonts w:ascii="Times New Roman" w:cs="Times New Roman" w:eastAsia="Times New Roman" w:hAnsi="Times New Roman"/>
          <w:sz w:val="17"/>
          <w:szCs w:val="17"/>
          <w:color w:val="auto"/>
        </w:rPr>
      </w:pPr>
    </w:p>
    <w:p>
      <w:pPr>
        <w:ind w:firstLine="921"/>
        <w:spacing w:after="0" w:line="255" w:lineRule="auto"/>
        <w:tabs>
          <w:tab w:leader="none" w:pos="1168" w:val="left"/>
        </w:tabs>
        <w:numPr>
          <w:ilvl w:val="2"/>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fifty percent (50%) of the then unvested shares subject thereto at the time of the Change in Control.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 Executive acknowledges that upon the execution of this Agreement, each unexercised “incentive stock option” within the meaning of Section 422 of the of the Internal Revenue Code of 1986, as amended (the “Code”), shall be deemed modified for the purposes of Section 424 of the Code and, to the extent the exercise price thereof is lower than the fair market value of the Company’s common stock as of the Effective Date, such option shall no longer qualify as an incentive stock option.</w:t>
      </w:r>
    </w:p>
    <w:p>
      <w:pPr>
        <w:spacing w:after="0" w:line="185" w:lineRule="exact"/>
        <w:rPr>
          <w:rFonts w:ascii="Times New Roman" w:cs="Times New Roman" w:eastAsia="Times New Roman" w:hAnsi="Times New Roman"/>
          <w:sz w:val="18"/>
          <w:szCs w:val="18"/>
          <w:color w:val="auto"/>
        </w:rPr>
      </w:pPr>
    </w:p>
    <w:p>
      <w:pPr>
        <w:ind w:right="80" w:firstLine="921"/>
        <w:spacing w:after="0" w:line="256" w:lineRule="auto"/>
        <w:tabs>
          <w:tab w:leader="none" w:pos="1157" w:val="left"/>
        </w:tabs>
        <w:numPr>
          <w:ilvl w:val="2"/>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Healthcare</w:t>
      </w:r>
      <w:r>
        <w:rPr>
          <w:rFonts w:ascii="Times New Roman" w:cs="Times New Roman" w:eastAsia="Times New Roman" w:hAnsi="Times New Roman"/>
          <w:sz w:val="18"/>
          <w:szCs w:val="18"/>
          <w:color w:val="auto"/>
        </w:rPr>
        <w:t>. If Executive elects to receive continued healthcare coverage pursuant to the provisions of the Consolidated Omnibus Budget Reconciliation Act of 1985, as amended (“COBRA”), the Company shall directly pay, or reimburse Executive for, the premium for Executive and Executive’s covered dependents through the earlier of (i) the six (6) month anniversary of the date of Executive’s termination of employment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the provisions of COBRA.</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During a Change in Control Period</w:t>
      </w:r>
      <w:r>
        <w:rPr>
          <w:rFonts w:ascii="Times New Roman" w:cs="Times New Roman" w:eastAsia="Times New Roman" w:hAnsi="Times New Roman"/>
          <w:sz w:val="18"/>
          <w:szCs w:val="18"/>
          <w:color w:val="auto"/>
        </w:rPr>
        <w:t>. If Executive’s service with the Company is terminated by the Company or by Executive for any or no reason other than as a Covered Termination during a Change in Control Period,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0" w:lineRule="exact"/>
        <w:rPr>
          <w:rFonts w:ascii="Times New Roman" w:cs="Times New Roman" w:eastAsia="Times New Roman" w:hAnsi="Times New Roman"/>
          <w:sz w:val="18"/>
          <w:szCs w:val="18"/>
          <w:color w:val="auto"/>
        </w:rPr>
      </w:pPr>
    </w:p>
    <w:p>
      <w:pPr>
        <w:ind w:right="500" w:firstLine="464"/>
        <w:spacing w:after="0" w:line="276" w:lineRule="auto"/>
        <w:tabs>
          <w:tab w:leader="none" w:pos="636" w:val="left"/>
        </w:tabs>
        <w:numPr>
          <w:ilvl w:val="1"/>
          <w:numId w:val="8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Payments</w:t>
      </w:r>
      <w:r>
        <w:rPr>
          <w:rFonts w:ascii="Times New Roman" w:cs="Times New Roman" w:eastAsia="Times New Roman" w:hAnsi="Times New Roman"/>
          <w:sz w:val="17"/>
          <w:szCs w:val="17"/>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would (a) constitute a “parachute payment” within the meaning of Section 280G of the Code, and</w:t>
      </w:r>
    </w:p>
    <w:p>
      <w:pPr>
        <w:ind w:left="260" w:hanging="252"/>
        <w:spacing w:after="0"/>
        <w:tabs>
          <w:tab w:leader="none" w:pos="260"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either be (i) delivered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20"/>
          </w:cols>
          <w:pgMar w:left="240" w:top="270" w:right="239" w:bottom="1440" w:gutter="0" w:footer="0" w:header="0"/>
        </w:sectPr>
      </w:pPr>
    </w:p>
    <w:bookmarkStart w:id="675" w:name="page676"/>
    <w:bookmarkEnd w:id="67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40" w:hanging="176"/>
        <w:spacing w:after="0"/>
        <w:tabs>
          <w:tab w:leader="none" w:pos="640" w:val="left"/>
        </w:tabs>
        <w:numPr>
          <w:ilvl w:val="1"/>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 meanings: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theft, dishonesty or falsification of any employment or Company records that is non-trivial in nature;</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malicious or reckless disclosure of the Company’s confidential or proprietary information or any material breach by Executive of his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w:t>
      </w:r>
    </w:p>
    <w:p>
      <w:pPr>
        <w:spacing w:after="0" w:line="2"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2"/>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 events: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w:t>
      </w:r>
    </w:p>
    <w:p>
      <w:pPr>
        <w:sectPr>
          <w:pgSz w:w="11900" w:h="16838" w:orient="portrait"/>
          <w:cols w:equalWidth="0" w:num="1">
            <w:col w:w="11420"/>
          </w:cols>
          <w:pgMar w:left="240" w:top="271" w:right="239" w:bottom="1440" w:gutter="0" w:footer="0" w:header="0"/>
        </w:sectPr>
      </w:pPr>
    </w:p>
    <w:bookmarkStart w:id="676" w:name="page677"/>
    <w:bookmarkEnd w:id="67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controlling surviving entity outstanding immediately after such business combination;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8" w:lineRule="exact"/>
        <w:rPr>
          <w:sz w:val="20"/>
          <w:szCs w:val="20"/>
          <w:color w:val="auto"/>
        </w:rPr>
      </w:pPr>
    </w:p>
    <w:p>
      <w:pPr>
        <w:ind w:left="1160" w:hanging="239"/>
        <w:spacing w:after="0"/>
        <w:tabs>
          <w:tab w:leader="none" w:pos="1160"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twelve (12) month period of time commencing upon a Change in Control.</w:t>
      </w:r>
    </w:p>
    <w:p>
      <w:pPr>
        <w:spacing w:after="0" w:line="225"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an Involuntary Termination Without Cause or (b) a Voluntary Resignation for Good Reason, provided that such termination or resignation constitutes a Separation from Service.</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 a material diminution in Executive’s authority, duties, or responsibilities which substantially reduces the nature or character of Executive’s position with the Company; (ii) a material reduction by the Company of Executive’s base salary as in effect immediately prior to such reduction; (iii)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90" w:lineRule="exact"/>
        <w:rPr>
          <w:rFonts w:ascii="Times New Roman" w:cs="Times New Roman" w:eastAsia="Times New Roman" w:hAnsi="Times New Roman"/>
          <w:sz w:val="18"/>
          <w:szCs w:val="18"/>
          <w:color w:val="auto"/>
        </w:rPr>
      </w:pPr>
    </w:p>
    <w:p>
      <w:pPr>
        <w:ind w:firstLine="921"/>
        <w:spacing w:after="0" w:line="266" w:lineRule="auto"/>
        <w:tabs>
          <w:tab w:leader="none" w:pos="1138"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 Treasury Regulation Section 1.409A-1(h).</w:t>
      </w:r>
    </w:p>
    <w:p>
      <w:pPr>
        <w:spacing w:after="0" w:line="161" w:lineRule="exact"/>
        <w:rPr>
          <w:rFonts w:ascii="Times New Roman" w:cs="Times New Roman" w:eastAsia="Times New Roman" w:hAnsi="Times New Roman"/>
          <w:sz w:val="18"/>
          <w:szCs w:val="18"/>
          <w:color w:val="auto"/>
        </w:rPr>
      </w:pPr>
    </w:p>
    <w:p>
      <w:pPr>
        <w:ind w:right="240" w:firstLine="921"/>
        <w:spacing w:after="0" w:line="258" w:lineRule="auto"/>
        <w:tabs>
          <w:tab w:leader="none" w:pos="1168"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means Executive’s resignation as a result of a Good Reason Condition in accordance with this subsection (h).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w:t>
      </w:r>
    </w:p>
    <w:p>
      <w:pPr>
        <w:sectPr>
          <w:pgSz w:w="11900" w:h="16838" w:orient="portrait"/>
          <w:cols w:equalWidth="0" w:num="1">
            <w:col w:w="11420"/>
          </w:cols>
          <w:pgMar w:left="240" w:top="270" w:right="239" w:bottom="1440" w:gutter="0" w:footer="0" w:header="0"/>
        </w:sectPr>
      </w:pPr>
    </w:p>
    <w:bookmarkStart w:id="677" w:name="page678"/>
    <w:bookmarkEnd w:id="67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Section 3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76" w:lineRule="exact"/>
        <w:rPr>
          <w:sz w:val="20"/>
          <w:szCs w:val="20"/>
          <w:color w:val="auto"/>
        </w:rPr>
      </w:pPr>
    </w:p>
    <w:p>
      <w:pPr>
        <w:ind w:left="640" w:hanging="176"/>
        <w:spacing w:after="0"/>
        <w:tabs>
          <w:tab w:leader="none" w:pos="64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21"/>
        <w:spacing w:after="0" w:line="256" w:lineRule="auto"/>
        <w:tabs>
          <w:tab w:leader="none" w:pos="1157"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jc w:val="both"/>
        <w:ind w:right="140" w:firstLine="464"/>
        <w:spacing w:after="0" w:line="261" w:lineRule="auto"/>
        <w:tabs>
          <w:tab w:leader="none" w:pos="636"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of Finance and Operations.</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provided, however,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disclosed to Executive or known by Executive as a consequence of or through his or</w:t>
      </w:r>
    </w:p>
    <w:p>
      <w:pPr>
        <w:sectPr>
          <w:pgSz w:w="11900" w:h="16838" w:orient="portrait"/>
          <w:cols w:equalWidth="0" w:num="1">
            <w:col w:w="11420"/>
          </w:cols>
          <w:pgMar w:left="240" w:top="270" w:right="239" w:bottom="1440" w:gutter="0" w:footer="0" w:header="0"/>
        </w:sectPr>
      </w:pPr>
    </w:p>
    <w:bookmarkStart w:id="678" w:name="page679"/>
    <w:bookmarkEnd w:id="67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21"/>
        <w:spacing w:after="0" w:line="255" w:lineRule="auto"/>
        <w:tabs>
          <w:tab w:leader="none" w:pos="1168"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In addition to each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general advertisement to which an employee of the Company responds shall in no event be deemed to result in a breach of this Section 10(b). Executive also agrees not to harass or disparage the Company or its employees, clients, directors or agents or divert or attempt to divert any actual or potential business of the Company.</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0" w:lineRule="exact"/>
        <w:rPr>
          <w:rFonts w:ascii="Times New Roman" w:cs="Times New Roman" w:eastAsia="Times New Roman" w:hAnsi="Times New Roman"/>
          <w:sz w:val="18"/>
          <w:szCs w:val="18"/>
          <w:color w:val="auto"/>
        </w:rPr>
      </w:pPr>
    </w:p>
    <w:p>
      <w:pPr>
        <w:ind w:right="20" w:firstLine="464"/>
        <w:spacing w:after="0" w:line="253" w:lineRule="auto"/>
        <w:tabs>
          <w:tab w:leader="none" w:pos="726"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under the applicable JAMS employment rules. </w:t>
      </w:r>
      <w:r>
        <w:rPr>
          <w:rFonts w:ascii="Times New Roman" w:cs="Times New Roman" w:eastAsia="Times New Roman" w:hAnsi="Times New Roman"/>
          <w:sz w:val="18"/>
          <w:szCs w:val="18"/>
          <w:b w:val="1"/>
          <w:bCs w:val="1"/>
          <w:color w:val="auto"/>
        </w:rPr>
        <w:t>By agreeing to this arbitration procedure, both Executive and the Company waive the right to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such dispute through a trial by jury or judge or administrative proceeding. </w:t>
      </w:r>
      <w:r>
        <w:rPr>
          <w:rFonts w:ascii="Times New Roman" w:cs="Times New Roman" w:eastAsia="Times New Roman" w:hAnsi="Times New Roman"/>
          <w:sz w:val="18"/>
          <w:szCs w:val="18"/>
          <w:color w:val="auto"/>
        </w:rPr>
        <w:t>The arbitrator shall: (i) have the authority to compel adequate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ectPr>
          <w:pgSz w:w="11900" w:h="16838" w:orient="portrait"/>
          <w:cols w:equalWidth="0" w:num="1">
            <w:col w:w="11400"/>
          </w:cols>
          <w:pgMar w:left="240" w:top="271" w:right="259" w:bottom="1440" w:gutter="0" w:footer="0" w:header="0"/>
        </w:sectPr>
      </w:pPr>
    </w:p>
    <w:bookmarkStart w:id="679" w:name="page680"/>
    <w:bookmarkEnd w:id="679"/>
    <w:p>
      <w:pPr>
        <w:ind w:left="720" w:hanging="256"/>
        <w:spacing w:after="0"/>
        <w:tabs>
          <w:tab w:leader="none" w:pos="720" w:val="left"/>
        </w:tabs>
        <w:numPr>
          <w:ilvl w:val="1"/>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3"/>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except as provided under Section 12(a)(ii)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p>
    <w:p>
      <w:pPr>
        <w:spacing w:after="0" w:line="185" w:lineRule="exact"/>
        <w:rPr>
          <w:rFonts w:ascii="Times New Roman" w:cs="Times New Roman" w:eastAsia="Times New Roman" w:hAnsi="Times New Roman"/>
          <w:sz w:val="18"/>
          <w:szCs w:val="18"/>
          <w:color w:val="auto"/>
        </w:rPr>
      </w:pPr>
    </w:p>
    <w:p>
      <w:pPr>
        <w:jc w:val="both"/>
        <w:ind w:right="40" w:firstLine="1492"/>
        <w:spacing w:after="0" w:line="257" w:lineRule="auto"/>
        <w:tabs>
          <w:tab w:leader="none" w:pos="1748" w:val="left"/>
        </w:tabs>
        <w:numPr>
          <w:ilvl w:val="3"/>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Times New Roman" w:cs="Times New Roman" w:eastAsia="Times New Roman" w:hAnsi="Times New Roman"/>
          <w:sz w:val="18"/>
          <w:szCs w:val="18"/>
          <w:color w:val="auto"/>
        </w:rPr>
      </w:pPr>
    </w:p>
    <w:p>
      <w:pPr>
        <w:ind w:right="60" w:firstLine="8"/>
        <w:spacing w:after="0" w:line="254" w:lineRule="auto"/>
        <w:tabs>
          <w:tab w:leader="none" w:pos="215"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spacing w:after="0" w:line="185"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3"/>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3"/>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Installments</w:t>
      </w:r>
      <w:r>
        <w:rPr>
          <w:rFonts w:ascii="Times New Roman" w:cs="Times New Roman" w:eastAsia="Times New Roman" w:hAnsi="Times New Roman"/>
          <w:sz w:val="18"/>
          <w:szCs w:val="18"/>
          <w:color w:val="auto"/>
        </w:rPr>
        <w:t>. For purposes of Section 409A of the Code (including, without limitation, for purposes of Treasury Regulation</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0" w:lineRule="exact"/>
        <w:rPr>
          <w:sz w:val="20"/>
          <w:szCs w:val="20"/>
          <w:color w:val="auto"/>
        </w:rPr>
      </w:pPr>
    </w:p>
    <w:p>
      <w:pPr>
        <w:ind w:right="120" w:firstLine="921"/>
        <w:spacing w:after="0" w:line="282" w:lineRule="auto"/>
        <w:tabs>
          <w:tab w:leader="none" w:pos="1168"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Executive and by an authorized officer of the Company (other than Executive). No waiver by</w:t>
      </w:r>
    </w:p>
    <w:p>
      <w:pPr>
        <w:sectPr>
          <w:pgSz w:w="11900" w:h="16838" w:orient="portrait"/>
          <w:cols w:equalWidth="0" w:num="1">
            <w:col w:w="11400"/>
          </w:cols>
          <w:pgMar w:left="240" w:top="270" w:right="259" w:bottom="1440" w:gutter="0" w:footer="0" w:header="0"/>
        </w:sectPr>
      </w:pPr>
    </w:p>
    <w:bookmarkStart w:id="680" w:name="page681"/>
    <w:bookmarkEnd w:id="68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party of any breach of, or of compliance with, any condition or provision of this Agreement by the other party shall be considered a waiver of any other condition or provision or of the same condition or provision at another time.</w:t>
      </w:r>
    </w:p>
    <w:p>
      <w:pPr>
        <w:spacing w:after="0" w:line="162" w:lineRule="exact"/>
        <w:rPr>
          <w:sz w:val="20"/>
          <w:szCs w:val="20"/>
          <w:color w:val="auto"/>
        </w:rPr>
      </w:pPr>
    </w:p>
    <w:p>
      <w:pPr>
        <w:ind w:right="40" w:firstLine="921"/>
        <w:spacing w:after="0" w:line="266" w:lineRule="auto"/>
        <w:tabs>
          <w:tab w:leader="none" w:pos="1157"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any accelerated vesting provisions of Executive’s offer letter agreement, employment agreement and/or stock option agreement.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57"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38"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70" w:right="279" w:bottom="1440" w:gutter="0" w:footer="0" w:header="0"/>
        </w:sectPr>
      </w:pPr>
    </w:p>
    <w:bookmarkStart w:id="681" w:name="page682"/>
    <w:bookmarkEnd w:id="681"/>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4/15/10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George Jue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George T. Jue</w:t>
      </w:r>
    </w:p>
    <w:p>
      <w:pPr>
        <w:spacing w:after="0" w:line="1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4/15/2010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400"/>
          </w:cols>
          <w:pgMar w:left="240" w:top="269" w:right="259" w:bottom="1440" w:gutter="0" w:footer="0" w:header="0"/>
        </w:sectPr>
      </w:pPr>
    </w:p>
    <w:bookmarkStart w:id="682" w:name="page683"/>
    <w:bookmarkEnd w:id="68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SEVERANCE AGREEMENT</w:t>
      </w:r>
    </w:p>
    <w:p>
      <w:pPr>
        <w:spacing w:after="0" w:line="22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This Change in Control Severance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David Rosenbaum, Ph.D.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Ardelyx,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the latest date set forth by the signatures of the parties hereto below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Certain capitalized terms used in this Agreement are defined in Section 7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ind w:right="280" w:firstLine="464"/>
        <w:spacing w:after="0" w:line="282" w:lineRule="auto"/>
        <w:tabs>
          <w:tab w:leader="none" w:pos="636"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become effective as of the Effective Date and terminate upon the date that all obligations of the parties hereto with respect to this Agreement have been satisfied.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66" w:lineRule="auto"/>
        <w:tabs>
          <w:tab w:leader="none" w:pos="636"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 During a Change in Control Period</w:t>
      </w:r>
      <w:r>
        <w:rPr>
          <w:rFonts w:ascii="Times New Roman" w:cs="Times New Roman" w:eastAsia="Times New Roman" w:hAnsi="Times New Roman"/>
          <w:sz w:val="18"/>
          <w:szCs w:val="18"/>
          <w:color w:val="auto"/>
        </w:rPr>
        <w:t>. If Executive experiences a Covered Termination during a Change in Control Period, and if Executive executes and fails to revoke during any applicable revocation period a general release of claims against the Company and its affiliates in a form acceptable to the Company (a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within fifty (50) days, or such shorter period of time specified by the Company,</w:t>
      </w:r>
    </w:p>
    <w:p>
      <w:pPr>
        <w:sectPr>
          <w:pgSz w:w="11900" w:h="16838" w:orient="portrait"/>
          <w:cols w:equalWidth="0" w:num="1">
            <w:col w:w="11420"/>
          </w:cols>
          <w:pgMar w:left="240" w:top="118" w:right="239" w:bottom="1440" w:gutter="0" w:footer="0" w:header="0"/>
        </w:sectPr>
      </w:pPr>
    </w:p>
    <w:bookmarkStart w:id="683" w:name="page684"/>
    <w:bookmarkEnd w:id="683"/>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such Covered Termination, then in addition to any accrued but unpaid salary, bonus, vacation and expense reimbursement payable in accordance with applicable law, the Company shall provide Executive with the following:</w:t>
      </w:r>
    </w:p>
    <w:p>
      <w:pPr>
        <w:spacing w:after="0" w:line="162" w:lineRule="exact"/>
        <w:rPr>
          <w:sz w:val="20"/>
          <w:szCs w:val="20"/>
          <w:color w:val="auto"/>
        </w:rPr>
      </w:pPr>
    </w:p>
    <w:p>
      <w:pPr>
        <w:ind w:right="20" w:firstLine="921"/>
        <w:spacing w:after="0" w:line="289" w:lineRule="auto"/>
        <w:tabs>
          <w:tab w:leader="none" w:pos="1157" w:val="left"/>
        </w:tabs>
        <w:numPr>
          <w:ilvl w:val="2"/>
          <w:numId w:val="8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w:t>
      </w:r>
      <w:r>
        <w:rPr>
          <w:rFonts w:ascii="Times New Roman" w:cs="Times New Roman" w:eastAsia="Times New Roman" w:hAnsi="Times New Roman"/>
          <w:sz w:val="17"/>
          <w:szCs w:val="17"/>
          <w:color w:val="auto"/>
        </w:rPr>
        <w:t>. Executive shall be entitled to receive an amount equal to six (6) months of Executive’s base salary at the rate in effect immediately prior to Executive’s termination of employment payable in a cash lump sum, less applicable withholdings, as soon as administratively practicable following the date the Release of Claims is not subject to revocation and, in any event, within sixty (60) days following the date of the Covered Termination.</w:t>
      </w:r>
    </w:p>
    <w:p>
      <w:pPr>
        <w:spacing w:after="0" w:line="158" w:lineRule="exact"/>
        <w:rPr>
          <w:rFonts w:ascii="Times New Roman" w:cs="Times New Roman" w:eastAsia="Times New Roman" w:hAnsi="Times New Roman"/>
          <w:sz w:val="17"/>
          <w:szCs w:val="17"/>
          <w:color w:val="auto"/>
        </w:rPr>
      </w:pPr>
    </w:p>
    <w:p>
      <w:pPr>
        <w:ind w:firstLine="921"/>
        <w:spacing w:after="0" w:line="255" w:lineRule="auto"/>
        <w:tabs>
          <w:tab w:leader="none" w:pos="1168" w:val="left"/>
        </w:tabs>
        <w:numPr>
          <w:ilvl w:val="2"/>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fifty percent (50%) of the then unvested shares subject thereto at the time of the Change in Control. To the extent vested after giving effect to the acceleration provided in the preceding sentence, each stock option held by Executive shall remain exercisable until the earlier of the original expiration date for such stock option or the first anniversary of Executive’s Covered Termination. Executive acknowledges that upon the execution of this Agreement, each unexercised “incentive stock option” within the meaning of Section 422 of the of the Internal Revenue Code of 1986, as amended (the “Code”), shall be deemed modified for the purposes of Section 424 of the Code and, to the extent the exercise price thereof is lower than the fair market value of the Company’s common stock as of the Effective Date, such option shall no longer qualify as an incentive stock option.</w:t>
      </w:r>
    </w:p>
    <w:p>
      <w:pPr>
        <w:spacing w:after="0" w:line="185" w:lineRule="exact"/>
        <w:rPr>
          <w:rFonts w:ascii="Times New Roman" w:cs="Times New Roman" w:eastAsia="Times New Roman" w:hAnsi="Times New Roman"/>
          <w:sz w:val="18"/>
          <w:szCs w:val="18"/>
          <w:color w:val="auto"/>
        </w:rPr>
      </w:pPr>
    </w:p>
    <w:p>
      <w:pPr>
        <w:ind w:right="80" w:firstLine="921"/>
        <w:spacing w:after="0" w:line="256" w:lineRule="auto"/>
        <w:tabs>
          <w:tab w:leader="none" w:pos="1157" w:val="left"/>
        </w:tabs>
        <w:numPr>
          <w:ilvl w:val="2"/>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Healthcare</w:t>
      </w:r>
      <w:r>
        <w:rPr>
          <w:rFonts w:ascii="Times New Roman" w:cs="Times New Roman" w:eastAsia="Times New Roman" w:hAnsi="Times New Roman"/>
          <w:sz w:val="18"/>
          <w:szCs w:val="18"/>
          <w:color w:val="auto"/>
        </w:rPr>
        <w:t>. If Executive elects to receive continued healthcare coverage pursuant to the provisions of the Consolidated Omnibus Budget Reconciliation Act of 1985, as amended (“COBRA”), the Company shall directly pay, or reimburse Executive for, the premium for Executive and Executive’s covered dependents through the earlier of (i) the six (6) month anniversary of the date of Executive’s termination of employment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the provisions of COBRA.</w:t>
      </w:r>
    </w:p>
    <w:p>
      <w:pPr>
        <w:spacing w:after="0" w:line="187" w:lineRule="exact"/>
        <w:rPr>
          <w:rFonts w:ascii="Times New Roman" w:cs="Times New Roman" w:eastAsia="Times New Roman" w:hAnsi="Times New Roman"/>
          <w:sz w:val="18"/>
          <w:szCs w:val="18"/>
          <w:color w:val="auto"/>
        </w:rPr>
      </w:pPr>
    </w:p>
    <w:p>
      <w:pPr>
        <w:ind w:right="40" w:firstLine="464"/>
        <w:spacing w:after="0" w:line="261" w:lineRule="auto"/>
        <w:tabs>
          <w:tab w:leader="none" w:pos="636" w:val="left"/>
        </w:tabs>
        <w:numPr>
          <w:ilvl w:val="1"/>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During a Change in Control Period</w:t>
      </w:r>
      <w:r>
        <w:rPr>
          <w:rFonts w:ascii="Times New Roman" w:cs="Times New Roman" w:eastAsia="Times New Roman" w:hAnsi="Times New Roman"/>
          <w:sz w:val="18"/>
          <w:szCs w:val="18"/>
          <w:color w:val="auto"/>
        </w:rPr>
        <w:t>. If Executive’s service with the Company is terminated by the Company or by Executive for any or no reason other than as a Covered Termination during a Change in Control Period, then Executive shall not be entitled to any benefits hereunder other than accrued but unpaid salary, bonus, vacation and expense reimbursement in accordance with applicable law and to elect any continued healthcare coverage as may be required under COBRA or similar state law.</w:t>
      </w:r>
    </w:p>
    <w:p>
      <w:pPr>
        <w:spacing w:after="0" w:line="180" w:lineRule="exact"/>
        <w:rPr>
          <w:rFonts w:ascii="Times New Roman" w:cs="Times New Roman" w:eastAsia="Times New Roman" w:hAnsi="Times New Roman"/>
          <w:sz w:val="18"/>
          <w:szCs w:val="18"/>
          <w:color w:val="auto"/>
        </w:rPr>
      </w:pPr>
    </w:p>
    <w:p>
      <w:pPr>
        <w:ind w:right="500" w:firstLine="464"/>
        <w:spacing w:after="0" w:line="276" w:lineRule="auto"/>
        <w:tabs>
          <w:tab w:leader="none" w:pos="636" w:val="left"/>
        </w:tabs>
        <w:numPr>
          <w:ilvl w:val="1"/>
          <w:numId w:val="8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Payments</w:t>
      </w:r>
      <w:r>
        <w:rPr>
          <w:rFonts w:ascii="Times New Roman" w:cs="Times New Roman" w:eastAsia="Times New Roman" w:hAnsi="Times New Roman"/>
          <w:sz w:val="17"/>
          <w:szCs w:val="17"/>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would (a) constitute a “parachute payment” within the meaning of Section 280G of the Code, and</w:t>
      </w:r>
    </w:p>
    <w:p>
      <w:pPr>
        <w:ind w:left="260" w:hanging="252"/>
        <w:spacing w:after="0"/>
        <w:tabs>
          <w:tab w:leader="none" w:pos="260"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such Payment shall either be (i) delivered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1420"/>
          </w:cols>
          <w:pgMar w:left="240" w:top="270" w:right="239" w:bottom="1440" w:gutter="0" w:footer="0" w:header="0"/>
        </w:sectPr>
      </w:pPr>
    </w:p>
    <w:bookmarkStart w:id="684" w:name="page685"/>
    <w:bookmarkEnd w:id="68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40" w:hanging="176"/>
        <w:spacing w:after="0"/>
        <w:tabs>
          <w:tab w:leader="none" w:pos="640" w:val="left"/>
        </w:tabs>
        <w:numPr>
          <w:ilvl w:val="1"/>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 meanings:</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theft, dishonesty or falsification of any employment or Company records that is non-trivial in nature;</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5"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malicious or reckless disclosure of the Company’s confidential or proprietary information or any material breach by Executive of his obligations under the Confidential Information Agreement (as defined below); (iii) 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w:t>
      </w:r>
    </w:p>
    <w:p>
      <w:pPr>
        <w:spacing w:after="0" w:line="2"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significantly and detrimentally affected the business or reputation of the Company or any of its subsidiaries; and/or (iv) 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spacing w:after="0" w:line="187" w:lineRule="exact"/>
        <w:rPr>
          <w:rFonts w:ascii="Times New Roman" w:cs="Times New Roman" w:eastAsia="Times New Roman" w:hAnsi="Times New Roman"/>
          <w:sz w:val="18"/>
          <w:szCs w:val="18"/>
          <w:color w:val="auto"/>
        </w:rPr>
      </w:pPr>
    </w:p>
    <w:p>
      <w:pPr>
        <w:ind w:right="20" w:firstLine="921"/>
        <w:spacing w:after="0" w:line="258" w:lineRule="auto"/>
        <w:tabs>
          <w:tab w:leader="none" w:pos="1168" w:val="left"/>
        </w:tabs>
        <w:numPr>
          <w:ilvl w:val="2"/>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 events: (i) the closing of a business combination (such as a merger or consolidation) of the Company with any other corporation or other type of business entity (such as a limited liability company), other than a business combination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w:t>
      </w:r>
    </w:p>
    <w:p>
      <w:pPr>
        <w:sectPr>
          <w:pgSz w:w="11900" w:h="16838" w:orient="portrait"/>
          <w:cols w:equalWidth="0" w:num="1">
            <w:col w:w="11420"/>
          </w:cols>
          <w:pgMar w:left="240" w:top="269" w:right="239" w:bottom="1440" w:gutter="0" w:footer="0" w:header="0"/>
        </w:sectPr>
      </w:pPr>
    </w:p>
    <w:bookmarkStart w:id="685" w:name="page686"/>
    <w:bookmarkEnd w:id="685"/>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controlling surviving entity outstanding immediately after such business combination; or (ii) the sale, lease, exchange or other transfer or disposition by the Company of all or substantially all (more than seventy percent (70%)) of the Company’s assets by value; or (iii) an acquisition of any voting securities of the Company by any “person” (as the term “person” is used for purposes of Section 13(d) or Section 14(d) of the Securities Exchange Act of 1934, as amended (the “</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immediately after which such person has “beneficial ownership” (within the meaning of Rule 13d-3 promulgated under the 1934 Act) of fifty percent (50%) or more of the combined voting power of the Company’s then outstanding voting securities, excluding any acquisition resulting from a transaction in which the primary purpose is for the Company to obtain financing from new or existing investors.</w:t>
      </w:r>
    </w:p>
    <w:p>
      <w:pPr>
        <w:spacing w:after="0" w:line="188" w:lineRule="exact"/>
        <w:rPr>
          <w:sz w:val="20"/>
          <w:szCs w:val="20"/>
          <w:color w:val="auto"/>
        </w:rPr>
      </w:pPr>
    </w:p>
    <w:p>
      <w:pPr>
        <w:ind w:left="1160" w:hanging="239"/>
        <w:spacing w:after="0"/>
        <w:tabs>
          <w:tab w:leader="none" w:pos="116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means the twelve (12) month period of time commencing upon a Change in Control.</w:t>
      </w:r>
    </w:p>
    <w:p>
      <w:pPr>
        <w:spacing w:after="0" w:line="225"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Covered Termination</w:t>
      </w:r>
      <w:r>
        <w:rPr>
          <w:rFonts w:ascii="Times New Roman" w:cs="Times New Roman" w:eastAsia="Times New Roman" w:hAnsi="Times New Roman"/>
          <w:sz w:val="18"/>
          <w:szCs w:val="18"/>
          <w:color w:val="auto"/>
        </w:rPr>
        <w:t>” means (a) an Involuntary Termination Without Cause or (b) a Voluntary Resignation for Good Reason, provided that such termination or resignation constitutes a Separation from Service.</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 Condition</w:t>
      </w:r>
      <w:r>
        <w:rPr>
          <w:rFonts w:ascii="Times New Roman" w:cs="Times New Roman" w:eastAsia="Times New Roman" w:hAnsi="Times New Roman"/>
          <w:sz w:val="18"/>
          <w:szCs w:val="18"/>
          <w:color w:val="auto"/>
        </w:rPr>
        <w:t>” means that any of the following are undertaken without Executive’s express written</w:t>
      </w:r>
    </w:p>
    <w:p>
      <w:pPr>
        <w:spacing w:after="0" w:line="27"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(i) a material diminution in Executive’s authority, duties, or responsibilities which substantially reduces the nature or character of Executive’s position with the Company; (ii) a material reduction by the Company of Executive’s base salary as in effect immediately prior to such reduction; (iii) a relocation of Executive’s principal office to a location more than fifty (50) miles from the location of Executive’s principal office as of immediately prior to such relocation, except for required travel by Executive on the Company’s business; or (iv) any material breach by the Company of any provision of Executive’s employment agreement or offer letter agreement which the Company does not cure within 30 days following written notice thereof from Executive.</w:t>
      </w:r>
    </w:p>
    <w:p>
      <w:pPr>
        <w:spacing w:after="0" w:line="190" w:lineRule="exact"/>
        <w:rPr>
          <w:rFonts w:ascii="Times New Roman" w:cs="Times New Roman" w:eastAsia="Times New Roman" w:hAnsi="Times New Roman"/>
          <w:sz w:val="18"/>
          <w:szCs w:val="18"/>
          <w:color w:val="auto"/>
        </w:rPr>
      </w:pPr>
    </w:p>
    <w:p>
      <w:pPr>
        <w:ind w:firstLine="921"/>
        <w:spacing w:after="0" w:line="266" w:lineRule="auto"/>
        <w:tabs>
          <w:tab w:leader="none" w:pos="1138"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68"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termination of employment or service constitutes a “separation from service” within the meaning of Treasury Regulation Section 1.409A-1(h).</w:t>
      </w:r>
    </w:p>
    <w:p>
      <w:pPr>
        <w:spacing w:after="0" w:line="161" w:lineRule="exact"/>
        <w:rPr>
          <w:rFonts w:ascii="Times New Roman" w:cs="Times New Roman" w:eastAsia="Times New Roman" w:hAnsi="Times New Roman"/>
          <w:sz w:val="18"/>
          <w:szCs w:val="18"/>
          <w:color w:val="auto"/>
        </w:rPr>
      </w:pPr>
    </w:p>
    <w:p>
      <w:pPr>
        <w:ind w:right="240" w:firstLine="921"/>
        <w:spacing w:after="0" w:line="258" w:lineRule="auto"/>
        <w:tabs>
          <w:tab w:leader="none" w:pos="1168"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Voluntary Resignation for Good Reason</w:t>
      </w:r>
      <w:r>
        <w:rPr>
          <w:rFonts w:ascii="Times New Roman" w:cs="Times New Roman" w:eastAsia="Times New Roman" w:hAnsi="Times New Roman"/>
          <w:sz w:val="18"/>
          <w:szCs w:val="18"/>
          <w:color w:val="auto"/>
        </w:rPr>
        <w:t>” means Executive’s resignation as a result of a Good Reason Condition in accordance with this subsection (h).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w:t>
      </w:r>
    </w:p>
    <w:p>
      <w:pPr>
        <w:sectPr>
          <w:pgSz w:w="11900" w:h="16838" w:orient="portrait"/>
          <w:cols w:equalWidth="0" w:num="1">
            <w:col w:w="11420"/>
          </w:cols>
          <w:pgMar w:left="240" w:top="271" w:right="239" w:bottom="1440" w:gutter="0" w:footer="0" w:header="0"/>
        </w:sectPr>
      </w:pPr>
    </w:p>
    <w:bookmarkStart w:id="686" w:name="page687"/>
    <w:bookmarkEnd w:id="68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Section 3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spacing w:after="0" w:line="176" w:lineRule="exact"/>
        <w:rPr>
          <w:sz w:val="20"/>
          <w:szCs w:val="20"/>
          <w:color w:val="auto"/>
        </w:rPr>
      </w:pPr>
    </w:p>
    <w:p>
      <w:pPr>
        <w:ind w:left="640" w:hanging="176"/>
        <w:spacing w:after="0"/>
        <w:tabs>
          <w:tab w:leader="none" w:pos="640"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21"/>
        <w:spacing w:after="0" w:line="256" w:lineRule="auto"/>
        <w:tabs>
          <w:tab w:leader="none" w:pos="1157"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jc w:val="both"/>
        <w:ind w:right="140" w:firstLine="464"/>
        <w:spacing w:after="0" w:line="261" w:lineRule="auto"/>
        <w:tabs>
          <w:tab w:leader="none" w:pos="636"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Vice President of Finance and Operations.</w:t>
      </w:r>
    </w:p>
    <w:p>
      <w:pPr>
        <w:spacing w:after="0" w:line="180"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21"/>
        <w:spacing w:after="0" w:line="254" w:lineRule="auto"/>
        <w:tabs>
          <w:tab w:leader="none" w:pos="1157"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provided, however,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disclosed to Executive or known by Executive as a consequence of or through his or</w:t>
      </w:r>
    </w:p>
    <w:p>
      <w:pPr>
        <w:sectPr>
          <w:pgSz w:w="11900" w:h="16838" w:orient="portrait"/>
          <w:cols w:equalWidth="0" w:num="1">
            <w:col w:w="11420"/>
          </w:cols>
          <w:pgMar w:left="240" w:top="270" w:right="239" w:bottom="1440" w:gutter="0" w:footer="0" w:header="0"/>
        </w:sectPr>
      </w:pPr>
    </w:p>
    <w:bookmarkStart w:id="687" w:name="page688"/>
    <w:bookmarkEnd w:id="68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21"/>
        <w:spacing w:after="0" w:line="255" w:lineRule="auto"/>
        <w:tabs>
          <w:tab w:leader="none" w:pos="1168" w:val="left"/>
        </w:tabs>
        <w:numPr>
          <w:ilvl w:val="1"/>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In addition to each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general advertisement to which an employee of the Company responds shall in no event be deemed to result in a breach of this Section 10(b). Executive also agrees not to harass or disparage the Company or its employees, clients, directors or agents or divert or attempt to divert any actual or potential business of the Company.</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1"/>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80" w:lineRule="exact"/>
        <w:rPr>
          <w:rFonts w:ascii="Times New Roman" w:cs="Times New Roman" w:eastAsia="Times New Roman" w:hAnsi="Times New Roman"/>
          <w:sz w:val="18"/>
          <w:szCs w:val="18"/>
          <w:color w:val="auto"/>
        </w:rPr>
      </w:pPr>
    </w:p>
    <w:p>
      <w:pPr>
        <w:ind w:right="20" w:firstLine="464"/>
        <w:spacing w:after="0" w:line="253" w:lineRule="auto"/>
        <w:tabs>
          <w:tab w:leader="none" w:pos="726" w:val="left"/>
        </w:tabs>
        <w:numPr>
          <w:ilvl w:val="0"/>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18"/>
          <w:szCs w:val="18"/>
          <w:u w:val="single" w:color="auto"/>
          <w:color w:val="auto"/>
        </w:rPr>
        <w:t>JAMS</w:t>
      </w:r>
      <w:r>
        <w:rPr>
          <w:rFonts w:ascii="Times New Roman" w:cs="Times New Roman" w:eastAsia="Times New Roman" w:hAnsi="Times New Roman"/>
          <w:sz w:val="18"/>
          <w:szCs w:val="18"/>
          <w:color w:val="auto"/>
        </w:rPr>
        <w:t xml:space="preserve">”) under the applicable JAMS employment rules. </w:t>
      </w:r>
      <w:r>
        <w:rPr>
          <w:rFonts w:ascii="Times New Roman" w:cs="Times New Roman" w:eastAsia="Times New Roman" w:hAnsi="Times New Roman"/>
          <w:sz w:val="18"/>
          <w:szCs w:val="18"/>
          <w:b w:val="1"/>
          <w:bCs w:val="1"/>
          <w:color w:val="auto"/>
        </w:rPr>
        <w:t>By agreeing to this arbitration procedure, both Executive and the Company waive the right to resolve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any such dispute through a trial by jury or judge or administrative proceeding. </w:t>
      </w:r>
      <w:r>
        <w:rPr>
          <w:rFonts w:ascii="Times New Roman" w:cs="Times New Roman" w:eastAsia="Times New Roman" w:hAnsi="Times New Roman"/>
          <w:sz w:val="18"/>
          <w:szCs w:val="18"/>
          <w:color w:val="auto"/>
        </w:rPr>
        <w:t>The arbitrator shall: (i) have the authority to compel adequate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sectPr>
          <w:pgSz w:w="11900" w:h="16838" w:orient="portrait"/>
          <w:cols w:equalWidth="0" w:num="1">
            <w:col w:w="11400"/>
          </w:cols>
          <w:pgMar w:left="240" w:top="270" w:right="259" w:bottom="1440" w:gutter="0" w:footer="0" w:header="0"/>
        </w:sectPr>
      </w:pPr>
    </w:p>
    <w:bookmarkStart w:id="688" w:name="page689"/>
    <w:bookmarkEnd w:id="688"/>
    <w:p>
      <w:pPr>
        <w:ind w:left="720" w:hanging="256"/>
        <w:spacing w:after="0"/>
        <w:tabs>
          <w:tab w:leader="none" w:pos="720"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92"/>
        <w:spacing w:after="0" w:line="255" w:lineRule="auto"/>
        <w:tabs>
          <w:tab w:leader="none" w:pos="1698" w:val="left"/>
        </w:tabs>
        <w:numPr>
          <w:ilvl w:val="3"/>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Notwithstanding any provision to the contrary in this Agreement, no amount deemed deferred compensation subject to Section 409A of the Code shall be payable pursuant to Section 3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and, except as provided under Section 12(a)(ii)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p>
    <w:p>
      <w:pPr>
        <w:spacing w:after="0" w:line="185" w:lineRule="exact"/>
        <w:rPr>
          <w:rFonts w:ascii="Times New Roman" w:cs="Times New Roman" w:eastAsia="Times New Roman" w:hAnsi="Times New Roman"/>
          <w:sz w:val="18"/>
          <w:szCs w:val="18"/>
          <w:color w:val="auto"/>
        </w:rPr>
      </w:pPr>
    </w:p>
    <w:p>
      <w:pPr>
        <w:jc w:val="both"/>
        <w:ind w:right="40" w:firstLine="1492"/>
        <w:spacing w:after="0" w:line="257" w:lineRule="auto"/>
        <w:tabs>
          <w:tab w:leader="none" w:pos="1748" w:val="left"/>
        </w:tabs>
        <w:numPr>
          <w:ilvl w:val="3"/>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Times New Roman" w:cs="Times New Roman" w:eastAsia="Times New Roman" w:hAnsi="Times New Roman"/>
          <w:sz w:val="18"/>
          <w:szCs w:val="18"/>
          <w:color w:val="auto"/>
        </w:rPr>
      </w:pPr>
    </w:p>
    <w:p>
      <w:pPr>
        <w:ind w:right="60" w:firstLine="8"/>
        <w:spacing w:after="0" w:line="254" w:lineRule="auto"/>
        <w:tabs>
          <w:tab w:leader="none" w:pos="215"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spacing w:after="0" w:line="185" w:lineRule="exact"/>
        <w:rPr>
          <w:rFonts w:ascii="Times New Roman" w:cs="Times New Roman" w:eastAsia="Times New Roman" w:hAnsi="Times New Roman"/>
          <w:sz w:val="18"/>
          <w:szCs w:val="18"/>
          <w:color w:val="auto"/>
        </w:rPr>
      </w:pPr>
    </w:p>
    <w:p>
      <w:pPr>
        <w:ind w:firstLine="1492"/>
        <w:spacing w:after="0" w:line="258" w:lineRule="auto"/>
        <w:tabs>
          <w:tab w:leader="none" w:pos="1798" w:val="left"/>
        </w:tabs>
        <w:numPr>
          <w:ilvl w:val="3"/>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3"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3"/>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Installments</w:t>
      </w:r>
      <w:r>
        <w:rPr>
          <w:rFonts w:ascii="Times New Roman" w:cs="Times New Roman" w:eastAsia="Times New Roman" w:hAnsi="Times New Roman"/>
          <w:sz w:val="18"/>
          <w:szCs w:val="18"/>
          <w:color w:val="auto"/>
        </w:rPr>
        <w:t>. For purposes of Section 409A of the Code (including, without limitation, for purposes of Treasury Regulation</w:t>
      </w:r>
    </w:p>
    <w:p>
      <w:pPr>
        <w:spacing w:after="0" w:line="2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0" w:lineRule="exact"/>
        <w:rPr>
          <w:sz w:val="20"/>
          <w:szCs w:val="20"/>
          <w:color w:val="auto"/>
        </w:rPr>
      </w:pPr>
    </w:p>
    <w:p>
      <w:pPr>
        <w:ind w:right="120" w:firstLine="921"/>
        <w:spacing w:after="0" w:line="282" w:lineRule="auto"/>
        <w:tabs>
          <w:tab w:leader="none" w:pos="1168"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shall be modified, waived or discharged unless the modification, waiver or discharge is agreed to in writing and signed by Executive and by an authorized officer of the Company (other than Executive). No waiver by</w:t>
      </w:r>
    </w:p>
    <w:p>
      <w:pPr>
        <w:sectPr>
          <w:pgSz w:w="11900" w:h="16838" w:orient="portrait"/>
          <w:cols w:equalWidth="0" w:num="1">
            <w:col w:w="11400"/>
          </w:cols>
          <w:pgMar w:left="240" w:top="271" w:right="259" w:bottom="1440" w:gutter="0" w:footer="0" w:header="0"/>
        </w:sectPr>
      </w:pPr>
    </w:p>
    <w:bookmarkStart w:id="689" w:name="page690"/>
    <w:bookmarkEnd w:id="68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party of any breach of, or of compliance with, any condition or provision of this Agreement by the other party shall be considered a waiver of any other condition or provision or of the same condition or provision at another time.</w:t>
      </w:r>
    </w:p>
    <w:p>
      <w:pPr>
        <w:spacing w:after="0" w:line="162" w:lineRule="exact"/>
        <w:rPr>
          <w:sz w:val="20"/>
          <w:szCs w:val="20"/>
          <w:color w:val="auto"/>
        </w:rPr>
      </w:pPr>
    </w:p>
    <w:p>
      <w:pPr>
        <w:ind w:right="40" w:firstLine="921"/>
        <w:spacing w:after="0" w:line="266" w:lineRule="auto"/>
        <w:tabs>
          <w:tab w:leader="none" w:pos="1157"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any accelerated vesting provisions of Executive’s offer letter agreement, employment agreement and/or stock option agreement.</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6" w:lineRule="exact"/>
        <w:rPr>
          <w:rFonts w:ascii="Times New Roman" w:cs="Times New Roman" w:eastAsia="Times New Roman" w:hAnsi="Times New Roman"/>
          <w:sz w:val="18"/>
          <w:szCs w:val="18"/>
          <w:color w:val="auto"/>
        </w:rPr>
      </w:pPr>
    </w:p>
    <w:p>
      <w:pPr>
        <w:ind w:right="60" w:firstLine="921"/>
        <w:spacing w:after="0" w:line="282" w:lineRule="auto"/>
        <w:tabs>
          <w:tab w:leader="none" w:pos="1157"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Times New Roman" w:cs="Times New Roman" w:eastAsia="Times New Roman" w:hAnsi="Times New Roman"/>
          <w:sz w:val="18"/>
          <w:szCs w:val="18"/>
          <w:color w:val="auto"/>
        </w:rPr>
      </w:pPr>
    </w:p>
    <w:p>
      <w:pPr>
        <w:ind w:right="360" w:firstLine="921"/>
        <w:spacing w:after="0" w:line="282" w:lineRule="auto"/>
        <w:tabs>
          <w:tab w:leader="none" w:pos="1138"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70" w:right="279" w:bottom="1440" w:gutter="0" w:footer="0" w:header="0"/>
        </w:sectPr>
      </w:pPr>
    </w:p>
    <w:bookmarkStart w:id="690" w:name="page691"/>
    <w:bookmarkEnd w:id="690"/>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set forth below.</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4/15/10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David Rosenbaum Ph.D.</w:t>
      </w:r>
    </w:p>
    <w:p>
      <w:pPr>
        <w:spacing w:after="0" w:line="1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15 Apr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93C8F9"/>
    <w:multiLevelType w:val="hybridMultilevel"/>
    <w:lvl w:ilvl="0">
      <w:lvlJc w:val="left"/>
      <w:lvlText w:val="(%1)"/>
      <w:numFmt w:val="decimal"/>
      <w:start w:val="1"/>
    </w:lvl>
  </w:abstractNum>
  <w:abstractNum w:abstractNumId="1">
    <w:nsid w:val="5FA6C6DC"/>
    <w:multiLevelType w:val="hybridMultilevel"/>
    <w:lvl w:ilvl="0">
      <w:lvlJc w:val="left"/>
      <w:lvlText w:val="•"/>
      <w:numFmt w:val="bullet"/>
      <w:start w:val="1"/>
    </w:lvl>
  </w:abstractNum>
  <w:abstractNum w:abstractNumId="2">
    <w:nsid w:val="77933F62"/>
    <w:multiLevelType w:val="hybridMultilevel"/>
    <w:lvl w:ilvl="0">
      <w:lvlJc w:val="left"/>
      <w:lvlText w:val="•"/>
      <w:numFmt w:val="bullet"/>
      <w:start w:val="1"/>
    </w:lvl>
  </w:abstractNum>
  <w:abstractNum w:abstractNumId="3">
    <w:nsid w:val="6CB4EE9C"/>
    <w:multiLevelType w:val="hybridMultilevel"/>
    <w:lvl w:ilvl="0">
      <w:lvlJc w:val="left"/>
      <w:lvlText w:val="•"/>
      <w:numFmt w:val="bullet"/>
      <w:start w:val="1"/>
    </w:lvl>
  </w:abstractNum>
  <w:abstractNum w:abstractNumId="4">
    <w:nsid w:val="6A6D56D7"/>
    <w:multiLevelType w:val="hybridMultilevel"/>
    <w:lvl w:ilvl="0">
      <w:lvlJc w:val="left"/>
      <w:lvlText w:val="•"/>
      <w:numFmt w:val="bullet"/>
      <w:start w:val="1"/>
    </w:lvl>
  </w:abstractNum>
  <w:abstractNum w:abstractNumId="5">
    <w:nsid w:val="5B727F19"/>
    <w:multiLevelType w:val="hybridMultilevel"/>
    <w:lvl w:ilvl="0">
      <w:lvlJc w:val="left"/>
      <w:lvlText w:val="•"/>
      <w:numFmt w:val="bullet"/>
      <w:start w:val="1"/>
    </w:lvl>
  </w:abstractNum>
  <w:abstractNum w:abstractNumId="6">
    <w:nsid w:val="514E5CB0"/>
    <w:multiLevelType w:val="hybridMultilevel"/>
    <w:lvl w:ilvl="0">
      <w:lvlJc w:val="left"/>
      <w:lvlText w:val="•"/>
      <w:numFmt w:val="bullet"/>
      <w:start w:val="1"/>
    </w:lvl>
  </w:abstractNum>
  <w:abstractNum w:abstractNumId="7">
    <w:nsid w:val="4210D41E"/>
    <w:multiLevelType w:val="hybridMultilevel"/>
    <w:lvl w:ilvl="0">
      <w:lvlJc w:val="left"/>
      <w:lvlText w:val="•"/>
      <w:numFmt w:val="bullet"/>
      <w:start w:val="1"/>
    </w:lvl>
  </w:abstractNum>
  <w:abstractNum w:abstractNumId="8">
    <w:nsid w:val="4FF4CC6D"/>
    <w:multiLevelType w:val="hybridMultilevel"/>
    <w:lvl w:ilvl="0">
      <w:lvlJc w:val="left"/>
      <w:lvlText w:val="•"/>
      <w:numFmt w:val="bullet"/>
      <w:start w:val="1"/>
    </w:lvl>
  </w:abstractNum>
  <w:abstractNum w:abstractNumId="9">
    <w:nsid w:val="404EAF4A"/>
    <w:multiLevelType w:val="hybridMultilevel"/>
    <w:lvl w:ilvl="0">
      <w:lvlJc w:val="left"/>
      <w:lvlText w:val="(%1)"/>
      <w:numFmt w:val="decimal"/>
      <w:start w:val="2"/>
    </w:lvl>
  </w:abstractNum>
  <w:abstractNum w:abstractNumId="10">
    <w:nsid w:val="4A16874F"/>
    <w:multiLevelType w:val="hybridMultilevel"/>
    <w:lvl w:ilvl="0">
      <w:lvlJc w:val="left"/>
      <w:lvlText w:val="•"/>
      <w:numFmt w:val="bullet"/>
      <w:start w:val="1"/>
    </w:lvl>
    <w:lvl w:ilvl="1">
      <w:lvlJc w:val="left"/>
      <w:lvlText w:val="•"/>
      <w:numFmt w:val="bullet"/>
      <w:start w:val="1"/>
    </w:lvl>
  </w:abstractNum>
  <w:abstractNum w:abstractNumId="11">
    <w:nsid w:val="55FEE0D1"/>
    <w:multiLevelType w:val="hybridMultilevel"/>
    <w:lvl w:ilvl="0">
      <w:lvlJc w:val="left"/>
      <w:lvlText w:val="•"/>
      <w:numFmt w:val="bullet"/>
      <w:start w:val="1"/>
    </w:lvl>
  </w:abstractNum>
  <w:abstractNum w:abstractNumId="12">
    <w:nsid w:val="3C5E07C"/>
    <w:multiLevelType w:val="hybridMultilevel"/>
    <w:lvl w:ilvl="0">
      <w:lvlJc w:val="left"/>
      <w:lvlText w:val="•"/>
      <w:numFmt w:val="bullet"/>
      <w:start w:val="1"/>
    </w:lvl>
  </w:abstractNum>
  <w:abstractNum w:abstractNumId="13">
    <w:nsid w:val="60C2D273"/>
    <w:multiLevelType w:val="hybridMultilevel"/>
    <w:lvl w:ilvl="0">
      <w:lvlJc w:val="left"/>
      <w:lvlText w:val="•"/>
      <w:numFmt w:val="bullet"/>
      <w:start w:val="1"/>
    </w:lvl>
  </w:abstractNum>
  <w:abstractNum w:abstractNumId="14">
    <w:nsid w:val="4CC32F1F"/>
    <w:multiLevelType w:val="hybridMultilevel"/>
    <w:lvl w:ilvl="0">
      <w:lvlJc w:val="left"/>
      <w:lvlText w:val="•"/>
      <w:numFmt w:val="bullet"/>
      <w:start w:val="1"/>
    </w:lvl>
  </w:abstractNum>
  <w:abstractNum w:abstractNumId="15">
    <w:nsid w:val="11CAC74A"/>
    <w:multiLevelType w:val="hybridMultilevel"/>
    <w:lvl w:ilvl="0">
      <w:lvlJc w:val="left"/>
      <w:lvlText w:val="•"/>
      <w:numFmt w:val="bullet"/>
      <w:start w:val="1"/>
    </w:lvl>
  </w:abstractNum>
  <w:abstractNum w:abstractNumId="16">
    <w:nsid w:val="126CADE9"/>
    <w:multiLevelType w:val="hybridMultilevel"/>
    <w:lvl w:ilvl="0">
      <w:lvlJc w:val="left"/>
      <w:lvlText w:val="•"/>
      <w:numFmt w:val="bullet"/>
      <w:start w:val="1"/>
    </w:lvl>
  </w:abstractNum>
  <w:abstractNum w:abstractNumId="17">
    <w:nsid w:val="19132E7B"/>
    <w:multiLevelType w:val="hybridMultilevel"/>
    <w:lvl w:ilvl="0">
      <w:lvlJc w:val="left"/>
      <w:lvlText w:val="•"/>
      <w:numFmt w:val="bullet"/>
      <w:start w:val="1"/>
    </w:lvl>
  </w:abstractNum>
  <w:abstractNum w:abstractNumId="18">
    <w:nsid w:val="63822DC0"/>
    <w:multiLevelType w:val="hybridMultilevel"/>
    <w:lvl w:ilvl="0">
      <w:lvlJc w:val="left"/>
      <w:lvlText w:val="•"/>
      <w:numFmt w:val="bullet"/>
      <w:start w:val="1"/>
    </w:lvl>
  </w:abstractNum>
  <w:abstractNum w:abstractNumId="19">
    <w:nsid w:val="6C11685A"/>
    <w:multiLevelType w:val="hybridMultilevel"/>
    <w:lvl w:ilvl="0">
      <w:lvlJc w:val="left"/>
      <w:lvlText w:val="•"/>
      <w:numFmt w:val="bullet"/>
      <w:start w:val="1"/>
    </w:lvl>
  </w:abstractNum>
  <w:abstractNum w:abstractNumId="20">
    <w:nsid w:val="5E1EAE31"/>
    <w:multiLevelType w:val="hybridMultilevel"/>
    <w:lvl w:ilvl="0">
      <w:lvlJc w:val="left"/>
      <w:lvlText w:val="•"/>
      <w:numFmt w:val="bullet"/>
      <w:start w:val="1"/>
    </w:lvl>
  </w:abstractNum>
  <w:abstractNum w:abstractNumId="21">
    <w:nsid w:val="178E240D"/>
    <w:multiLevelType w:val="hybridMultilevel"/>
    <w:lvl w:ilvl="0">
      <w:lvlJc w:val="left"/>
      <w:lvlText w:val="•"/>
      <w:numFmt w:val="bullet"/>
      <w:start w:val="1"/>
    </w:lvl>
  </w:abstractNum>
  <w:abstractNum w:abstractNumId="22">
    <w:nsid w:val="5556A87B"/>
    <w:multiLevelType w:val="hybridMultilevel"/>
    <w:lvl w:ilvl="0">
      <w:lvlJc w:val="left"/>
      <w:lvlText w:val="•"/>
      <w:numFmt w:val="bullet"/>
      <w:start w:val="1"/>
    </w:lvl>
  </w:abstractNum>
  <w:abstractNum w:abstractNumId="23">
    <w:nsid w:val="28100A9C"/>
    <w:multiLevelType w:val="hybridMultilevel"/>
    <w:lvl w:ilvl="0">
      <w:lvlJc w:val="left"/>
      <w:lvlText w:val="•"/>
      <w:numFmt w:val="bullet"/>
      <w:start w:val="1"/>
    </w:lvl>
  </w:abstractNum>
  <w:abstractNum w:abstractNumId="24">
    <w:nsid w:val="D838636"/>
    <w:multiLevelType w:val="hybridMultilevel"/>
    <w:lvl w:ilvl="0">
      <w:lvlJc w:val="left"/>
      <w:lvlText w:val="(%1)"/>
      <w:numFmt w:val="decimal"/>
      <w:start w:val="3"/>
    </w:lvl>
  </w:abstractNum>
  <w:abstractNum w:abstractNumId="25">
    <w:nsid w:val="71B82AED"/>
    <w:multiLevelType w:val="hybridMultilevel"/>
    <w:lvl w:ilvl="0">
      <w:lvlJc w:val="left"/>
      <w:lvlText w:val="•"/>
      <w:numFmt w:val="bullet"/>
      <w:start w:val="1"/>
    </w:lvl>
  </w:abstractNum>
  <w:abstractNum w:abstractNumId="26">
    <w:nsid w:val="D15FACA"/>
    <w:multiLevelType w:val="hybridMultilevel"/>
    <w:lvl w:ilvl="0">
      <w:lvlJc w:val="left"/>
      <w:lvlText w:val="•"/>
      <w:numFmt w:val="bullet"/>
      <w:start w:val="1"/>
    </w:lvl>
  </w:abstractNum>
  <w:abstractNum w:abstractNumId="27">
    <w:nsid w:val="3D69565B"/>
    <w:multiLevelType w:val="hybridMultilevel"/>
    <w:lvl w:ilvl="0">
      <w:lvlJc w:val="left"/>
      <w:lvlText w:val="•"/>
      <w:numFmt w:val="bullet"/>
      <w:start w:val="1"/>
    </w:lvl>
  </w:abstractNum>
  <w:abstractNum w:abstractNumId="28">
    <w:nsid w:val="2299DCBC"/>
    <w:multiLevelType w:val="hybridMultilevel"/>
    <w:lvl w:ilvl="0">
      <w:lvlJc w:val="left"/>
      <w:lvlText w:val="•"/>
      <w:numFmt w:val="bullet"/>
      <w:start w:val="1"/>
    </w:lvl>
  </w:abstractNum>
  <w:abstractNum w:abstractNumId="29">
    <w:nsid w:val="19908D02"/>
    <w:multiLevelType w:val="hybridMultilevel"/>
    <w:lvl w:ilvl="0">
      <w:lvlJc w:val="left"/>
      <w:lvlText w:val="•"/>
      <w:numFmt w:val="bullet"/>
      <w:start w:val="1"/>
    </w:lvl>
  </w:abstractNum>
  <w:abstractNum w:abstractNumId="30">
    <w:nsid w:val="24D48BDB"/>
    <w:multiLevelType w:val="hybridMultilevel"/>
    <w:lvl w:ilvl="0">
      <w:lvlJc w:val="left"/>
      <w:lvlText w:val="•"/>
      <w:numFmt w:val="bullet"/>
      <w:start w:val="1"/>
    </w:lvl>
  </w:abstractNum>
  <w:abstractNum w:abstractNumId="31">
    <w:nsid w:val="542DA5B5"/>
    <w:multiLevelType w:val="hybridMultilevel"/>
    <w:lvl w:ilvl="0">
      <w:lvlJc w:val="left"/>
      <w:lvlText w:val="(%1)"/>
      <w:numFmt w:val="decimal"/>
      <w:start w:val="2"/>
    </w:lvl>
  </w:abstractNum>
  <w:abstractNum w:abstractNumId="32">
    <w:nsid w:val="793753DE"/>
    <w:multiLevelType w:val="hybridMultilevel"/>
    <w:lvl w:ilvl="0">
      <w:lvlJc w:val="left"/>
      <w:lvlText w:val="•"/>
      <w:numFmt w:val="bullet"/>
      <w:start w:val="1"/>
    </w:lvl>
  </w:abstractNum>
  <w:abstractNum w:abstractNumId="33">
    <w:nsid w:val="1C67CB3D"/>
    <w:multiLevelType w:val="hybridMultilevel"/>
    <w:lvl w:ilvl="0">
      <w:lvlJc w:val="left"/>
      <w:lvlText w:val="•"/>
      <w:numFmt w:val="bullet"/>
      <w:start w:val="1"/>
    </w:lvl>
  </w:abstractNum>
  <w:abstractNum w:abstractNumId="34">
    <w:nsid w:val="40E29452"/>
    <w:multiLevelType w:val="hybridMultilevel"/>
    <w:lvl w:ilvl="0">
      <w:lvlJc w:val="left"/>
      <w:lvlText w:val="•"/>
      <w:numFmt w:val="bullet"/>
      <w:start w:val="1"/>
    </w:lvl>
  </w:abstractNum>
  <w:abstractNum w:abstractNumId="35">
    <w:nsid w:val="63A4AAB6"/>
    <w:multiLevelType w:val="hybridMultilevel"/>
    <w:lvl w:ilvl="0">
      <w:lvlJc w:val="left"/>
      <w:lvlText w:val="•"/>
      <w:numFmt w:val="bullet"/>
      <w:start w:val="1"/>
    </w:lvl>
  </w:abstractNum>
  <w:abstractNum w:abstractNumId="36">
    <w:nsid w:val="77DA4A57"/>
    <w:multiLevelType w:val="hybridMultilevel"/>
    <w:lvl w:ilvl="0">
      <w:lvlJc w:val="left"/>
      <w:lvlText w:val="•"/>
      <w:numFmt w:val="bullet"/>
      <w:start w:val="1"/>
    </w:lvl>
  </w:abstractNum>
  <w:abstractNum w:abstractNumId="37">
    <w:nsid w:val="1230F102"/>
    <w:multiLevelType w:val="hybridMultilevel"/>
    <w:lvl w:ilvl="0">
      <w:lvlJc w:val="left"/>
      <w:lvlText w:val="•"/>
      <w:numFmt w:val="bullet"/>
      <w:start w:val="1"/>
    </w:lvl>
  </w:abstractNum>
  <w:abstractNum w:abstractNumId="38">
    <w:nsid w:val="25B57ED4"/>
    <w:multiLevelType w:val="hybridMultilevel"/>
    <w:lvl w:ilvl="0">
      <w:lvlJc w:val="left"/>
      <w:lvlText w:val="•"/>
      <w:numFmt w:val="bullet"/>
      <w:start w:val="1"/>
    </w:lvl>
  </w:abstractNum>
  <w:abstractNum w:abstractNumId="39">
    <w:nsid w:val="47CF16C4"/>
    <w:multiLevelType w:val="hybridMultilevel"/>
    <w:lvl w:ilvl="0">
      <w:lvlJc w:val="left"/>
      <w:lvlText w:val="•"/>
      <w:numFmt w:val="bullet"/>
      <w:start w:val="1"/>
    </w:lvl>
  </w:abstractNum>
  <w:abstractNum w:abstractNumId="40">
    <w:nsid w:val="527FA04C"/>
    <w:multiLevelType w:val="hybridMultilevel"/>
    <w:lvl w:ilvl="0">
      <w:lvlJc w:val="left"/>
      <w:lvlText w:val="•"/>
      <w:numFmt w:val="bullet"/>
      <w:start w:val="1"/>
    </w:lvl>
  </w:abstractNum>
  <w:abstractNum w:abstractNumId="41">
    <w:nsid w:val="6FCC0624"/>
    <w:multiLevelType w:val="hybridMultilevel"/>
    <w:lvl w:ilvl="0">
      <w:lvlJc w:val="left"/>
      <w:lvlText w:val="•"/>
      <w:numFmt w:val="bullet"/>
      <w:start w:val="1"/>
    </w:lvl>
    <w:lvl w:ilvl="1">
      <w:lvlJc w:val="left"/>
      <w:lvlText w:val="•"/>
      <w:numFmt w:val="bullet"/>
      <w:start w:val="1"/>
    </w:lvl>
  </w:abstractNum>
  <w:abstractNum w:abstractNumId="42">
    <w:nsid w:val="1DCDF795"/>
    <w:multiLevelType w:val="hybridMultilevel"/>
    <w:lvl w:ilvl="0">
      <w:lvlJc w:val="left"/>
      <w:lvlText w:val="•"/>
      <w:numFmt w:val="bullet"/>
      <w:start w:val="1"/>
    </w:lvl>
  </w:abstractNum>
  <w:abstractNum w:abstractNumId="43">
    <w:nsid w:val="564580C8"/>
    <w:multiLevelType w:val="hybridMultilevel"/>
    <w:lvl w:ilvl="0">
      <w:lvlJc w:val="left"/>
      <w:lvlText w:val="•"/>
      <w:numFmt w:val="bullet"/>
      <w:start w:val="1"/>
    </w:lvl>
  </w:abstractNum>
  <w:abstractNum w:abstractNumId="44">
    <w:nsid w:val="508ED897"/>
    <w:multiLevelType w:val="hybridMultilevel"/>
    <w:lvl w:ilvl="0">
      <w:lvlJc w:val="left"/>
      <w:lvlText w:val="•"/>
      <w:numFmt w:val="bullet"/>
      <w:start w:val="1"/>
    </w:lvl>
  </w:abstractNum>
  <w:abstractNum w:abstractNumId="45">
    <w:nsid w:val="6A9126B5"/>
    <w:multiLevelType w:val="hybridMultilevel"/>
    <w:lvl w:ilvl="0">
      <w:lvlJc w:val="left"/>
      <w:lvlText w:val="•"/>
      <w:numFmt w:val="bullet"/>
      <w:start w:val="1"/>
    </w:lvl>
  </w:abstractNum>
  <w:abstractNum w:abstractNumId="46">
    <w:nsid w:val="68104812"/>
    <w:multiLevelType w:val="hybridMultilevel"/>
    <w:lvl w:ilvl="0">
      <w:lvlJc w:val="left"/>
      <w:lvlText w:val="$"/>
      <w:numFmt w:val="bullet"/>
      <w:start w:val="1"/>
    </w:lvl>
  </w:abstractNum>
  <w:abstractNum w:abstractNumId="47">
    <w:nsid w:val="62FB8680"/>
    <w:multiLevelType w:val="hybridMultilevel"/>
    <w:lvl w:ilvl="0">
      <w:lvlJc w:val="left"/>
      <w:lvlText w:val="•"/>
      <w:numFmt w:val="bullet"/>
      <w:start w:val="1"/>
    </w:lvl>
  </w:abstractNum>
  <w:abstractNum w:abstractNumId="48">
    <w:nsid w:val="3A45530"/>
    <w:multiLevelType w:val="hybridMultilevel"/>
    <w:lvl w:ilvl="0">
      <w:lvlJc w:val="left"/>
      <w:lvlText w:val="(%1)"/>
      <w:numFmt w:val="decimal"/>
      <w:start w:val="2"/>
    </w:lvl>
  </w:abstractNum>
  <w:abstractNum w:abstractNumId="49">
    <w:nsid w:val="4B9275D2"/>
    <w:multiLevelType w:val="hybridMultilevel"/>
    <w:lvl w:ilvl="0">
      <w:lvlJc w:val="left"/>
      <w:lvlText w:val="•"/>
      <w:numFmt w:val="bullet"/>
      <w:start w:val="1"/>
    </w:lvl>
  </w:abstractNum>
  <w:abstractNum w:abstractNumId="50">
    <w:nsid w:val="4F0CEEDB"/>
    <w:multiLevelType w:val="hybridMultilevel"/>
    <w:lvl w:ilvl="0">
      <w:lvlJc w:val="left"/>
      <w:lvlText w:val="$"/>
      <w:numFmt w:val="bullet"/>
      <w:start w:val="1"/>
    </w:lvl>
  </w:abstractNum>
  <w:abstractNum w:abstractNumId="51">
    <w:nsid w:val="61C30361"/>
    <w:multiLevelType w:val="hybridMultilevel"/>
    <w:lvl w:ilvl="0">
      <w:lvlJc w:val="left"/>
      <w:lvlText w:val="•"/>
      <w:numFmt w:val="bullet"/>
      <w:start w:val="1"/>
    </w:lvl>
  </w:abstractNum>
  <w:abstractNum w:abstractNumId="52">
    <w:nsid w:val="632099E0"/>
    <w:multiLevelType w:val="hybridMultilevel"/>
    <w:lvl w:ilvl="0">
      <w:lvlJc w:val="left"/>
      <w:lvlText w:val="•"/>
      <w:numFmt w:val="bullet"/>
      <w:start w:val="1"/>
    </w:lvl>
  </w:abstractNum>
  <w:abstractNum w:abstractNumId="53">
    <w:nsid w:val="24639756"/>
    <w:multiLevelType w:val="hybridMultilevel"/>
    <w:lvl w:ilvl="0">
      <w:lvlJc w:val="left"/>
      <w:lvlText w:val="(%1)"/>
      <w:numFmt w:val="decimal"/>
      <w:start w:val="1"/>
    </w:lvl>
  </w:abstractNum>
  <w:abstractNum w:abstractNumId="54">
    <w:nsid w:val="9D30DFD"/>
    <w:multiLevelType w:val="hybridMultilevel"/>
    <w:lvl w:ilvl="0">
      <w:lvlJc w:val="left"/>
      <w:lvlText w:val="•"/>
      <w:numFmt w:val="bullet"/>
      <w:start w:val="1"/>
    </w:lvl>
  </w:abstractNum>
  <w:abstractNum w:abstractNumId="55">
    <w:nsid w:val="70A42016"/>
    <w:multiLevelType w:val="hybridMultilevel"/>
    <w:lvl w:ilvl="0">
      <w:lvlJc w:val="left"/>
      <w:lvlText w:val="•"/>
      <w:numFmt w:val="bullet"/>
      <w:start w:val="1"/>
    </w:lvl>
  </w:abstractNum>
  <w:abstractNum w:abstractNumId="56">
    <w:nsid w:val="161BC243"/>
    <w:multiLevelType w:val="hybridMultilevel"/>
    <w:lvl w:ilvl="0">
      <w:lvlJc w:val="left"/>
      <w:lvlText w:val="•"/>
      <w:numFmt w:val="bullet"/>
      <w:start w:val="1"/>
    </w:lvl>
  </w:abstractNum>
  <w:abstractNum w:abstractNumId="57">
    <w:nsid w:val="16E908C8"/>
    <w:multiLevelType w:val="hybridMultilevel"/>
    <w:lvl w:ilvl="0">
      <w:lvlJc w:val="left"/>
      <w:lvlText w:val="•"/>
      <w:numFmt w:val="bullet"/>
      <w:start w:val="1"/>
    </w:lvl>
  </w:abstractNum>
  <w:abstractNum w:abstractNumId="58">
    <w:nsid w:val="2E0D7671"/>
    <w:multiLevelType w:val="hybridMultilevel"/>
    <w:lvl w:ilvl="0">
      <w:lvlJc w:val="left"/>
      <w:lvlText w:val="•"/>
      <w:numFmt w:val="bullet"/>
      <w:start w:val="1"/>
    </w:lvl>
  </w:abstractNum>
  <w:abstractNum w:abstractNumId="59">
    <w:nsid w:val="38B59EFF"/>
    <w:multiLevelType w:val="hybridMultilevel"/>
    <w:lvl w:ilvl="0">
      <w:lvlJc w:val="left"/>
      <w:lvlText w:val="•"/>
      <w:numFmt w:val="bullet"/>
      <w:start w:val="1"/>
    </w:lvl>
  </w:abstractNum>
  <w:abstractNum w:abstractNumId="60">
    <w:nsid w:val="307995CA"/>
    <w:multiLevelType w:val="hybridMultilevel"/>
    <w:lvl w:ilvl="0">
      <w:lvlJc w:val="left"/>
      <w:lvlText w:val="(%1)"/>
      <w:numFmt w:val="decimal"/>
      <w:start w:val="1"/>
    </w:lvl>
  </w:abstractNum>
  <w:abstractNum w:abstractNumId="61">
    <w:nsid w:val="52E2024D"/>
    <w:multiLevelType w:val="hybridMultilevel"/>
    <w:lvl w:ilvl="0">
      <w:lvlJc w:val="left"/>
      <w:lvlText w:val="•"/>
      <w:numFmt w:val="bullet"/>
      <w:start w:val="1"/>
    </w:lvl>
  </w:abstractNum>
  <w:abstractNum w:abstractNumId="62">
    <w:nsid w:val="CE344B5"/>
    <w:multiLevelType w:val="hybridMultilevel"/>
    <w:lvl w:ilvl="0">
      <w:lvlJc w:val="left"/>
      <w:lvlText w:val="•"/>
      <w:numFmt w:val="bullet"/>
      <w:start w:val="1"/>
    </w:lvl>
  </w:abstractNum>
  <w:abstractNum w:abstractNumId="63">
    <w:nsid w:val="29B0E9A8"/>
    <w:multiLevelType w:val="hybridMultilevel"/>
    <w:lvl w:ilvl="0">
      <w:lvlJc w:val="left"/>
      <w:lvlText w:val="•"/>
      <w:numFmt w:val="bullet"/>
      <w:start w:val="1"/>
    </w:lvl>
  </w:abstractNum>
  <w:abstractNum w:abstractNumId="64">
    <w:nsid w:val="6F49CD8A"/>
    <w:multiLevelType w:val="hybridMultilevel"/>
    <w:lvl w:ilvl="0">
      <w:lvlJc w:val="left"/>
      <w:lvlText w:val="•"/>
      <w:numFmt w:val="bullet"/>
      <w:start w:val="1"/>
    </w:lvl>
  </w:abstractNum>
  <w:abstractNum w:abstractNumId="65">
    <w:nsid w:val="4DC5D907"/>
    <w:multiLevelType w:val="hybridMultilevel"/>
    <w:lvl w:ilvl="0">
      <w:lvlJc w:val="left"/>
      <w:lvlText w:val="•"/>
      <w:numFmt w:val="bullet"/>
      <w:start w:val="1"/>
    </w:lvl>
  </w:abstractNum>
  <w:abstractNum w:abstractNumId="66">
    <w:nsid w:val="D55945E"/>
    <w:multiLevelType w:val="hybridMultilevel"/>
    <w:lvl w:ilvl="0">
      <w:lvlJc w:val="left"/>
      <w:lvlText w:val="•"/>
      <w:numFmt w:val="bullet"/>
      <w:start w:val="1"/>
    </w:lvl>
  </w:abstractNum>
  <w:abstractNum w:abstractNumId="67">
    <w:nsid w:val="672417E1"/>
    <w:multiLevelType w:val="hybridMultilevel"/>
    <w:lvl w:ilvl="0">
      <w:lvlJc w:val="left"/>
      <w:lvlText w:val="•"/>
      <w:numFmt w:val="bullet"/>
      <w:start w:val="1"/>
    </w:lvl>
  </w:abstractNum>
  <w:abstractNum w:abstractNumId="68">
    <w:nsid w:val="5FF6CA09"/>
    <w:multiLevelType w:val="hybridMultilevel"/>
    <w:lvl w:ilvl="0">
      <w:lvlJc w:val="left"/>
      <w:lvlText w:val="•"/>
      <w:numFmt w:val="bullet"/>
      <w:start w:val="1"/>
    </w:lvl>
  </w:abstractNum>
  <w:abstractNum w:abstractNumId="69">
    <w:nsid w:val="330B1333"/>
    <w:multiLevelType w:val="hybridMultilevel"/>
    <w:lvl w:ilvl="0">
      <w:lvlJc w:val="left"/>
      <w:lvlText w:val="•"/>
      <w:numFmt w:val="bullet"/>
      <w:start w:val="1"/>
    </w:lvl>
  </w:abstractNum>
  <w:abstractNum w:abstractNumId="70">
    <w:nsid w:val="2EF32EA6"/>
    <w:multiLevelType w:val="hybridMultilevel"/>
    <w:lvl w:ilvl="0">
      <w:lvlJc w:val="left"/>
      <w:lvlText w:val="•"/>
      <w:numFmt w:val="bullet"/>
      <w:start w:val="1"/>
    </w:lvl>
  </w:abstractNum>
  <w:abstractNum w:abstractNumId="71">
    <w:nsid w:val="32766A55"/>
    <w:multiLevelType w:val="hybridMultilevel"/>
    <w:lvl w:ilvl="0">
      <w:lvlJc w:val="left"/>
      <w:lvlText w:val="•"/>
      <w:numFmt w:val="bullet"/>
      <w:start w:val="1"/>
    </w:lvl>
  </w:abstractNum>
  <w:abstractNum w:abstractNumId="72">
    <w:nsid w:val="22D71957"/>
    <w:multiLevelType w:val="hybridMultilevel"/>
    <w:lvl w:ilvl="0">
      <w:lvlJc w:val="left"/>
      <w:lvlText w:val="•"/>
      <w:numFmt w:val="bullet"/>
      <w:start w:val="1"/>
    </w:lvl>
    <w:lvl w:ilvl="1">
      <w:lvlJc w:val="left"/>
      <w:lvlText w:val="•"/>
      <w:numFmt w:val="bullet"/>
      <w:start w:val="1"/>
    </w:lvl>
  </w:abstractNum>
  <w:abstractNum w:abstractNumId="73">
    <w:nsid w:val="4CC1263B"/>
    <w:multiLevelType w:val="hybridMultilevel"/>
    <w:lvl w:ilvl="0">
      <w:lvlJc w:val="left"/>
      <w:lvlText w:val="•"/>
      <w:numFmt w:val="bullet"/>
      <w:start w:val="1"/>
    </w:lvl>
  </w:abstractNum>
  <w:abstractNum w:abstractNumId="74">
    <w:nsid w:val="8BBEB1D"/>
    <w:multiLevelType w:val="hybridMultilevel"/>
    <w:lvl w:ilvl="0">
      <w:lvlJc w:val="left"/>
      <w:lvlText w:val="•"/>
      <w:numFmt w:val="bullet"/>
      <w:start w:val="1"/>
    </w:lvl>
  </w:abstractNum>
  <w:abstractNum w:abstractNumId="75">
    <w:nsid w:val="7365F1EE"/>
    <w:multiLevelType w:val="hybridMultilevel"/>
    <w:lvl w:ilvl="0">
      <w:lvlJc w:val="left"/>
      <w:lvlText w:val="•"/>
      <w:numFmt w:val="bullet"/>
      <w:start w:val="1"/>
    </w:lvl>
  </w:abstractNum>
  <w:abstractNum w:abstractNumId="76">
    <w:nsid w:val="37524CF0"/>
    <w:multiLevelType w:val="hybridMultilevel"/>
    <w:lvl w:ilvl="0">
      <w:lvlJc w:val="left"/>
      <w:lvlText w:val="•"/>
      <w:numFmt w:val="bullet"/>
      <w:start w:val="1"/>
    </w:lvl>
  </w:abstractNum>
  <w:abstractNum w:abstractNumId="77">
    <w:nsid w:val="70CC332F"/>
    <w:multiLevelType w:val="hybridMultilevel"/>
    <w:lvl w:ilvl="0">
      <w:lvlJc w:val="left"/>
      <w:lvlText w:val="•"/>
      <w:numFmt w:val="bullet"/>
      <w:start w:val="1"/>
    </w:lvl>
  </w:abstractNum>
  <w:abstractNum w:abstractNumId="78">
    <w:nsid w:val="5661786E"/>
    <w:multiLevelType w:val="hybridMultilevel"/>
    <w:lvl w:ilvl="0">
      <w:lvlJc w:val="left"/>
      <w:lvlText w:val="(%1)"/>
      <w:numFmt w:val="decimal"/>
      <w:start w:val="1"/>
    </w:lvl>
  </w:abstractNum>
  <w:abstractNum w:abstractNumId="79">
    <w:nsid w:val="3AF6A220"/>
    <w:multiLevelType w:val="hybridMultilevel"/>
    <w:lvl w:ilvl="0">
      <w:lvlJc w:val="left"/>
      <w:lvlText w:val="(%1)"/>
      <w:numFmt w:val="decimal"/>
      <w:start w:val="1"/>
    </w:lvl>
  </w:abstractNum>
  <w:abstractNum w:abstractNumId="80">
    <w:nsid w:val="3C5EA902"/>
    <w:multiLevelType w:val="hybridMultilevel"/>
    <w:lvl w:ilvl="0">
      <w:lvlJc w:val="left"/>
      <w:lvlText w:val="(%1)"/>
      <w:numFmt w:val="lowerRoman"/>
      <w:start w:val="3"/>
    </w:lvl>
  </w:abstractNum>
  <w:abstractNum w:abstractNumId="81">
    <w:nsid w:val="256E6749"/>
    <w:multiLevelType w:val="hybridMultilevel"/>
    <w:lvl w:ilvl="0">
      <w:lvlJc w:val="left"/>
      <w:lvlText w:val="(%1)"/>
      <w:numFmt w:val="lowerRoman"/>
      <w:start w:val="2"/>
    </w:lvl>
  </w:abstractNum>
  <w:abstractNum w:abstractNumId="82">
    <w:nsid w:val="1CB9A581"/>
    <w:multiLevelType w:val="hybridMultilevel"/>
    <w:lvl w:ilvl="0">
      <w:lvlJc w:val="left"/>
      <w:lvlText w:val="(%1)"/>
      <w:numFmt w:val="lowerRoman"/>
      <w:start w:val="2"/>
    </w:lvl>
  </w:abstractNum>
  <w:abstractNum w:abstractNumId="83">
    <w:nsid w:val="1F7F42E2"/>
    <w:multiLevelType w:val="hybridMultilevel"/>
    <w:lvl w:ilvl="0">
      <w:lvlJc w:val="left"/>
      <w:lvlText w:val="•"/>
      <w:numFmt w:val="bullet"/>
      <w:start w:val="1"/>
    </w:lvl>
  </w:abstractNum>
  <w:abstractNum w:abstractNumId="84">
    <w:nsid w:val="49D1FEA0"/>
    <w:multiLevelType w:val="hybridMultilevel"/>
    <w:lvl w:ilvl="0">
      <w:lvlJc w:val="left"/>
      <w:lvlText w:val="•"/>
      <w:numFmt w:val="bullet"/>
      <w:start w:val="1"/>
    </w:lvl>
  </w:abstractNum>
  <w:abstractNum w:abstractNumId="85">
    <w:nsid w:val="268CB37F"/>
    <w:multiLevelType w:val="hybridMultilevel"/>
    <w:lvl w:ilvl="0">
      <w:lvlJc w:val="left"/>
      <w:lvlText w:val="•"/>
      <w:numFmt w:val="bullet"/>
      <w:start w:val="1"/>
    </w:lvl>
  </w:abstractNum>
  <w:abstractNum w:abstractNumId="86">
    <w:nsid w:val="102362F8"/>
    <w:multiLevelType w:val="hybridMultilevel"/>
    <w:lvl w:ilvl="0">
      <w:lvlJc w:val="left"/>
      <w:lvlText w:val="•"/>
      <w:numFmt w:val="bullet"/>
      <w:start w:val="1"/>
    </w:lvl>
  </w:abstractNum>
  <w:abstractNum w:abstractNumId="87">
    <w:nsid w:val="5FEDC0E3"/>
    <w:multiLevelType w:val="hybridMultilevel"/>
    <w:lvl w:ilvl="0">
      <w:lvlJc w:val="left"/>
      <w:lvlText w:val="•"/>
      <w:numFmt w:val="bullet"/>
      <w:start w:val="1"/>
    </w:lvl>
  </w:abstractNum>
  <w:abstractNum w:abstractNumId="88">
    <w:nsid w:val="3D75BC47"/>
    <w:multiLevelType w:val="hybridMultilevel"/>
    <w:lvl w:ilvl="0">
      <w:lvlJc w:val="left"/>
      <w:lvlText w:val="•"/>
      <w:numFmt w:val="bullet"/>
      <w:start w:val="1"/>
    </w:lvl>
  </w:abstractNum>
  <w:abstractNum w:abstractNumId="89">
    <w:nsid w:val="3E30D969"/>
    <w:multiLevelType w:val="hybridMultilevel"/>
    <w:lvl w:ilvl="0">
      <w:lvlJc w:val="left"/>
      <w:lvlText w:val="•"/>
      <w:numFmt w:val="bullet"/>
      <w:start w:val="1"/>
    </w:lvl>
  </w:abstractNum>
  <w:abstractNum w:abstractNumId="90">
    <w:nsid w:val="18A35FE3"/>
    <w:multiLevelType w:val="hybridMultilevel"/>
    <w:lvl w:ilvl="0">
      <w:lvlJc w:val="left"/>
      <w:lvlText w:val="•"/>
      <w:numFmt w:val="bullet"/>
      <w:start w:val="1"/>
    </w:lvl>
  </w:abstractNum>
  <w:abstractNum w:abstractNumId="91">
    <w:nsid w:val="6DEF5211"/>
    <w:multiLevelType w:val="hybridMultilevel"/>
    <w:lvl w:ilvl="0">
      <w:lvlJc w:val="left"/>
      <w:lvlText w:val="•"/>
      <w:numFmt w:val="bullet"/>
      <w:start w:val="1"/>
    </w:lvl>
  </w:abstractNum>
  <w:abstractNum w:abstractNumId="92">
    <w:nsid w:val="1112DBB6"/>
    <w:multiLevelType w:val="hybridMultilevel"/>
    <w:lvl w:ilvl="0">
      <w:lvlJc w:val="left"/>
      <w:lvlText w:val="(%1)"/>
      <w:numFmt w:val="decimal"/>
      <w:start w:val="1"/>
    </w:lvl>
  </w:abstractNum>
  <w:abstractNum w:abstractNumId="93">
    <w:nsid w:val="2586A498"/>
    <w:multiLevelType w:val="hybridMultilevel"/>
    <w:lvl w:ilvl="0">
      <w:lvlJc w:val="left"/>
      <w:lvlText w:val="•"/>
      <w:numFmt w:val="bullet"/>
      <w:start w:val="1"/>
    </w:lvl>
  </w:abstractNum>
  <w:abstractNum w:abstractNumId="94">
    <w:nsid w:val="17A03BB9"/>
    <w:multiLevelType w:val="hybridMultilevel"/>
    <w:lvl w:ilvl="0">
      <w:lvlJc w:val="left"/>
      <w:lvlText w:val="*"/>
      <w:numFmt w:val="bullet"/>
      <w:start w:val="1"/>
    </w:lvl>
  </w:abstractNum>
  <w:abstractNum w:abstractNumId="95">
    <w:nsid w:val="5CA941"/>
    <w:multiLevelType w:val="hybridMultilevel"/>
    <w:lvl w:ilvl="0">
      <w:lvlJc w:val="left"/>
      <w:lvlText w:val="(%1)"/>
      <w:numFmt w:val="decimal"/>
      <w:start w:val="1"/>
    </w:lvl>
  </w:abstractNum>
  <w:abstractNum w:abstractNumId="96">
    <w:nsid w:val="734C7D9F"/>
    <w:multiLevelType w:val="hybridMultilevel"/>
    <w:lvl w:ilvl="0">
      <w:lvlJc w:val="left"/>
      <w:lvlText w:val="%1"/>
      <w:numFmt w:val="decimal"/>
      <w:start w:val="1"/>
    </w:lvl>
    <w:lvl w:ilvl="1">
      <w:lvlJc w:val="left"/>
      <w:lvlText w:val="(%2)"/>
      <w:numFmt w:val="lowerLetter"/>
      <w:start w:val="2"/>
    </w:lvl>
  </w:abstractNum>
  <w:abstractNum w:abstractNumId="97">
    <w:nsid w:val="24F5D018"/>
    <w:multiLevelType w:val="hybridMultilevel"/>
    <w:lvl w:ilvl="0">
      <w:lvlJc w:val="left"/>
      <w:lvlText w:val="(%1)"/>
      <w:numFmt w:val="decimal"/>
      <w:start w:val="2"/>
    </w:lvl>
    <w:lvl w:ilvl="1">
      <w:lvlJc w:val="left"/>
      <w:lvlText w:val="(%2)"/>
      <w:numFmt w:val="lowerLetter"/>
      <w:start w:val="61"/>
    </w:lvl>
  </w:abstractNum>
  <w:abstractNum w:abstractNumId="98">
    <w:nsid w:val="6780C122"/>
    <w:multiLevelType w:val="hybridMultilevel"/>
    <w:lvl w:ilvl="0">
      <w:lvlJc w:val="left"/>
      <w:lvlText w:val="•"/>
      <w:numFmt w:val="bullet"/>
      <w:start w:val="1"/>
    </w:lvl>
  </w:abstractNum>
  <w:abstractNum w:abstractNumId="99">
    <w:nsid w:val="534347A8"/>
    <w:multiLevelType w:val="hybridMultilevel"/>
    <w:lvl w:ilvl="0">
      <w:lvlJc w:val="left"/>
      <w:lvlText w:val="•"/>
      <w:numFmt w:val="bullet"/>
      <w:start w:val="1"/>
    </w:lvl>
  </w:abstractNum>
  <w:abstractNum w:abstractNumId="100">
    <w:nsid w:val="5800E34B"/>
    <w:multiLevelType w:val="hybridMultilevel"/>
    <w:lvl w:ilvl="0">
      <w:lvlJc w:val="left"/>
      <w:lvlText w:val="•"/>
      <w:numFmt w:val="bullet"/>
      <w:start w:val="1"/>
    </w:lvl>
  </w:abstractNum>
  <w:abstractNum w:abstractNumId="101">
    <w:nsid w:val="1673EFC8"/>
    <w:multiLevelType w:val="hybridMultilevel"/>
    <w:lvl w:ilvl="0">
      <w:lvlJc w:val="left"/>
      <w:lvlText w:val="•"/>
      <w:numFmt w:val="bullet"/>
      <w:start w:val="1"/>
    </w:lvl>
  </w:abstractNum>
  <w:abstractNum w:abstractNumId="102">
    <w:nsid w:val="5B9B1FD"/>
    <w:multiLevelType w:val="hybridMultilevel"/>
    <w:lvl w:ilvl="0">
      <w:lvlJc w:val="left"/>
      <w:lvlText w:val="•"/>
      <w:numFmt w:val="bullet"/>
      <w:start w:val="1"/>
    </w:lvl>
  </w:abstractNum>
  <w:abstractNum w:abstractNumId="103">
    <w:nsid w:val="7AD7FCA2"/>
    <w:multiLevelType w:val="hybridMultilevel"/>
    <w:lvl w:ilvl="0">
      <w:lvlJc w:val="left"/>
      <w:lvlText w:val="(%1)"/>
      <w:numFmt w:val="decimal"/>
      <w:start w:val="2"/>
    </w:lvl>
  </w:abstractNum>
  <w:abstractNum w:abstractNumId="104">
    <w:nsid w:val="63351604"/>
    <w:multiLevelType w:val="hybridMultilevel"/>
    <w:lvl w:ilvl="0">
      <w:lvlJc w:val="left"/>
      <w:lvlText w:val="•"/>
      <w:numFmt w:val="bullet"/>
      <w:start w:val="1"/>
    </w:lvl>
    <w:lvl w:ilvl="1">
      <w:lvlJc w:val="left"/>
      <w:lvlText w:val="•"/>
      <w:numFmt w:val="bullet"/>
      <w:start w:val="1"/>
    </w:lvl>
  </w:abstractNum>
  <w:abstractNum w:abstractNumId="105">
    <w:nsid w:val="E759D1A"/>
    <w:multiLevelType w:val="hybridMultilevel"/>
    <w:lvl w:ilvl="0">
      <w:lvlJc w:val="left"/>
      <w:lvlText w:val="•"/>
      <w:numFmt w:val="bullet"/>
      <w:start w:val="1"/>
    </w:lvl>
  </w:abstractNum>
  <w:abstractNum w:abstractNumId="106">
    <w:nsid w:val="6E3DEE90"/>
    <w:multiLevelType w:val="hybridMultilevel"/>
    <w:lvl w:ilvl="0">
      <w:lvlJc w:val="left"/>
      <w:lvlText w:val="•"/>
      <w:numFmt w:val="bullet"/>
      <w:start w:val="1"/>
    </w:lvl>
  </w:abstractNum>
  <w:abstractNum w:abstractNumId="107">
    <w:nsid w:val="1A8762F4"/>
    <w:multiLevelType w:val="hybridMultilevel"/>
    <w:lvl w:ilvl="0">
      <w:lvlJc w:val="left"/>
      <w:lvlText w:val="•"/>
      <w:numFmt w:val="bullet"/>
      <w:start w:val="1"/>
    </w:lvl>
  </w:abstractNum>
  <w:abstractNum w:abstractNumId="108">
    <w:nsid w:val="7F41D049"/>
    <w:multiLevelType w:val="hybridMultilevel"/>
    <w:lvl w:ilvl="0">
      <w:lvlJc w:val="left"/>
      <w:lvlText w:val="%1)"/>
      <w:numFmt w:val="lowerLetter"/>
      <w:start w:val="1"/>
    </w:lvl>
    <w:lvl w:ilvl="1">
      <w:lvlJc w:val="left"/>
      <w:lvlText w:val="%2)"/>
      <w:numFmt w:val="lowerRoman"/>
      <w:start w:val="1"/>
    </w:lvl>
  </w:abstractNum>
  <w:abstractNum w:abstractNumId="109">
    <w:nsid w:val="449F66FE"/>
    <w:multiLevelType w:val="hybridMultilevel"/>
    <w:lvl w:ilvl="0">
      <w:lvlJc w:val="left"/>
      <w:lvlText w:val="•"/>
      <w:numFmt w:val="bullet"/>
      <w:start w:val="1"/>
    </w:lvl>
  </w:abstractNum>
  <w:abstractNum w:abstractNumId="110">
    <w:nsid w:val="557E0515"/>
    <w:multiLevelType w:val="hybridMultilevel"/>
    <w:lvl w:ilvl="0">
      <w:lvlJc w:val="left"/>
      <w:lvlText w:val="•"/>
      <w:numFmt w:val="bullet"/>
      <w:start w:val="1"/>
    </w:lvl>
  </w:abstractNum>
  <w:abstractNum w:abstractNumId="111">
    <w:nsid w:val="3BA0794B"/>
    <w:multiLevelType w:val="hybridMultilevel"/>
    <w:lvl w:ilvl="0">
      <w:lvlJc w:val="left"/>
      <w:lvlText w:val="%1."/>
      <w:numFmt w:val="decimal"/>
      <w:start w:val="1"/>
    </w:lvl>
  </w:abstractNum>
  <w:abstractNum w:abstractNumId="112">
    <w:nsid w:val="6A0DCE48"/>
    <w:multiLevelType w:val="hybridMultilevel"/>
    <w:lvl w:ilvl="0">
      <w:lvlJc w:val="left"/>
      <w:lvlText w:val="%1."/>
      <w:numFmt w:val="decimal"/>
      <w:start w:val="2"/>
    </w:lvl>
  </w:abstractNum>
  <w:abstractNum w:abstractNumId="113">
    <w:nsid w:val="7237AA96"/>
    <w:multiLevelType w:val="hybridMultilevel"/>
    <w:lvl w:ilvl="0">
      <w:lvlJc w:val="left"/>
      <w:lvlText w:val="%1."/>
      <w:numFmt w:val="decimal"/>
      <w:start w:val="3"/>
    </w:lvl>
  </w:abstractNum>
  <w:abstractNum w:abstractNumId="114">
    <w:nsid w:val="5B1FBC2D"/>
    <w:multiLevelType w:val="hybridMultilevel"/>
    <w:lvl w:ilvl="0">
      <w:lvlJc w:val="left"/>
      <w:lvlText w:val="%1."/>
      <w:numFmt w:val="decimal"/>
      <w:start w:val="5"/>
    </w:lvl>
  </w:abstractNum>
  <w:abstractNum w:abstractNumId="115">
    <w:nsid w:val="33DFCCE8"/>
    <w:multiLevelType w:val="hybridMultilevel"/>
    <w:lvl w:ilvl="0">
      <w:lvlJc w:val="left"/>
      <w:lvlText w:val="%1."/>
      <w:numFmt w:val="decimal"/>
      <w:start w:val="6"/>
    </w:lvl>
  </w:abstractNum>
  <w:abstractNum w:abstractNumId="116">
    <w:nsid w:val="18C45E15"/>
    <w:multiLevelType w:val="hybridMultilevel"/>
    <w:lvl w:ilvl="0">
      <w:lvlJc w:val="left"/>
      <w:lvlText w:val="%1."/>
      <w:numFmt w:val="decimal"/>
      <w:start w:val="7"/>
    </w:lvl>
  </w:abstractNum>
  <w:abstractNum w:abstractNumId="117">
    <w:nsid w:val="6B431F25"/>
    <w:multiLevelType w:val="hybridMultilevel"/>
    <w:lvl w:ilvl="0">
      <w:lvlJc w:val="left"/>
      <w:lvlText w:val="(%1)"/>
      <w:numFmt w:val="lowerRoman"/>
      <w:start w:val="2"/>
    </w:lvl>
  </w:abstractNum>
  <w:abstractNum w:abstractNumId="118">
    <w:nsid w:val="13CD8DCB"/>
    <w:multiLevelType w:val="hybridMultilevel"/>
    <w:lvl w:ilvl="0">
      <w:lvlJc w:val="left"/>
      <w:lvlText w:val="%1."/>
      <w:numFmt w:val="decimal"/>
      <w:start w:val="8"/>
    </w:lvl>
  </w:abstractNum>
  <w:abstractNum w:abstractNumId="119">
    <w:nsid w:val="563A1A5C"/>
    <w:multiLevelType w:val="hybridMultilevel"/>
    <w:lvl w:ilvl="0">
      <w:lvlJc w:val="left"/>
      <w:lvlText w:val="%1."/>
      <w:numFmt w:val="decimal"/>
      <w:start w:val="9"/>
    </w:lvl>
  </w:abstractNum>
  <w:abstractNum w:abstractNumId="120">
    <w:nsid w:val="2973F88F"/>
    <w:multiLevelType w:val="hybridMultilevel"/>
    <w:lvl w:ilvl="0">
      <w:lvlJc w:val="left"/>
      <w:lvlText w:val="%1."/>
      <w:numFmt w:val="decimal"/>
      <w:start w:val="10"/>
    </w:lvl>
  </w:abstractNum>
  <w:abstractNum w:abstractNumId="121">
    <w:nsid w:val="2C70EDAE"/>
    <w:multiLevelType w:val="hybridMultilevel"/>
    <w:lvl w:ilvl="0">
      <w:lvlJc w:val="left"/>
      <w:lvlText w:val="%1."/>
      <w:numFmt w:val="decimal"/>
      <w:start w:val="11"/>
    </w:lvl>
  </w:abstractNum>
  <w:abstractNum w:abstractNumId="122">
    <w:nsid w:val="44296C6D"/>
    <w:multiLevelType w:val="hybridMultilevel"/>
    <w:lvl w:ilvl="0">
      <w:lvlJc w:val="left"/>
      <w:lvlText w:val="%1."/>
      <w:numFmt w:val="decimal"/>
      <w:start w:val="12"/>
    </w:lvl>
  </w:abstractNum>
  <w:abstractNum w:abstractNumId="123">
    <w:nsid w:val="3A86D445"/>
    <w:multiLevelType w:val="hybridMultilevel"/>
    <w:lvl w:ilvl="0">
      <w:lvlJc w:val="left"/>
      <w:lvlText w:val="%1."/>
      <w:numFmt w:val="decimal"/>
      <w:start w:val="13"/>
    </w:lvl>
  </w:abstractNum>
  <w:abstractNum w:abstractNumId="124">
    <w:nsid w:val="51F79246"/>
    <w:multiLevelType w:val="hybridMultilevel"/>
    <w:lvl w:ilvl="0">
      <w:lvlJc w:val="left"/>
      <w:lvlText w:val="%1."/>
      <w:numFmt w:val="decimal"/>
      <w:start w:val="14"/>
    </w:lvl>
  </w:abstractNum>
  <w:abstractNum w:abstractNumId="125">
    <w:nsid w:val="5BC9A827"/>
    <w:multiLevelType w:val="hybridMultilevel"/>
    <w:lvl w:ilvl="0">
      <w:lvlJc w:val="left"/>
      <w:lvlText w:val="•"/>
      <w:numFmt w:val="bullet"/>
      <w:start w:val="1"/>
    </w:lvl>
  </w:abstractNum>
  <w:abstractNum w:abstractNumId="126">
    <w:nsid w:val="3AE37D86"/>
    <w:multiLevelType w:val="hybridMultilevel"/>
    <w:lvl w:ilvl="0">
      <w:lvlJc w:val="left"/>
      <w:lvlText w:val="•"/>
      <w:numFmt w:val="bullet"/>
      <w:start w:val="1"/>
    </w:lvl>
  </w:abstractNum>
  <w:abstractNum w:abstractNumId="127">
    <w:nsid w:val="45440FE5"/>
    <w:multiLevelType w:val="hybridMultilevel"/>
    <w:lvl w:ilvl="0">
      <w:lvlJc w:val="left"/>
      <w:lvlText w:val="•"/>
      <w:numFmt w:val="bullet"/>
      <w:start w:val="1"/>
    </w:lvl>
  </w:abstractNum>
  <w:abstractNum w:abstractNumId="128">
    <w:nsid w:val="BF783F"/>
    <w:multiLevelType w:val="hybridMultilevel"/>
    <w:lvl w:ilvl="0">
      <w:lvlJc w:val="left"/>
      <w:lvlText w:val="%1."/>
      <w:numFmt w:val="decimal"/>
      <w:start w:val="1"/>
    </w:lvl>
  </w:abstractNum>
  <w:abstractNum w:abstractNumId="129">
    <w:nsid w:val="22643EA9"/>
    <w:multiLevelType w:val="hybridMultilevel"/>
    <w:lvl w:ilvl="0">
      <w:lvlJc w:val="left"/>
      <w:lvlText w:val="(%1)"/>
      <w:numFmt w:val="lowerLetter"/>
      <w:start w:val="1"/>
    </w:lvl>
  </w:abstractNum>
  <w:abstractNum w:abstractNumId="130">
    <w:nsid w:val="1887578D"/>
    <w:multiLevelType w:val="hybridMultilevel"/>
    <w:lvl w:ilvl="0">
      <w:lvlJc w:val="left"/>
      <w:lvlText w:val="%1."/>
      <w:numFmt w:val="decimal"/>
      <w:start w:val="1"/>
    </w:lvl>
  </w:abstractNum>
  <w:abstractNum w:abstractNumId="131">
    <w:nsid w:val="58C05B8A"/>
    <w:multiLevelType w:val="hybridMultilevel"/>
    <w:lvl w:ilvl="0">
      <w:lvlJc w:val="left"/>
      <w:lvlText w:val="*"/>
      <w:numFmt w:val="bullet"/>
      <w:start w:val="1"/>
    </w:lvl>
  </w:abstractNum>
  <w:abstractNum w:abstractNumId="132">
    <w:nsid w:val="38D82E71"/>
    <w:multiLevelType w:val="hybridMultilevel"/>
    <w:lvl w:ilvl="0">
      <w:lvlJc w:val="left"/>
      <w:lvlText w:val="†"/>
      <w:numFmt w:val="bullet"/>
      <w:start w:val="1"/>
    </w:lvl>
  </w:abstractNum>
  <w:abstractNum w:abstractNumId="133">
    <w:nsid w:val="1E41098A"/>
    <w:multiLevelType w:val="hybridMultilevel"/>
    <w:lvl w:ilvl="0">
      <w:lvlJc w:val="left"/>
      <w:lvlText w:val="#"/>
      <w:numFmt w:val="bullet"/>
      <w:start w:val="1"/>
    </w:lvl>
  </w:abstractNum>
  <w:abstractNum w:abstractNumId="134">
    <w:nsid w:val="5398582C"/>
    <w:multiLevelType w:val="hybridMultilevel"/>
    <w:lvl w:ilvl="0">
      <w:lvlJc w:val="left"/>
      <w:lvlText w:val="(%1)"/>
      <w:numFmt w:val="lowerLetter"/>
      <w:start w:val="2"/>
    </w:lvl>
  </w:abstractNum>
  <w:abstractNum w:abstractNumId="135">
    <w:nsid w:val="1C0D4475"/>
    <w:multiLevelType w:val="hybridMultilevel"/>
    <w:lvl w:ilvl="0">
      <w:lvlJc w:val="left"/>
      <w:lvlText w:val="(%1)"/>
      <w:numFmt w:val="lowerLetter"/>
      <w:start w:val="1"/>
    </w:lvl>
  </w:abstractNum>
  <w:abstractNum w:abstractNumId="136">
    <w:nsid w:val="2CB6A6A4"/>
    <w:multiLevelType w:val="hybridMultilevel"/>
    <w:lvl w:ilvl="0">
      <w:lvlJc w:val="left"/>
      <w:lvlText w:val="%1."/>
      <w:numFmt w:val="decimal"/>
      <w:start w:val="1"/>
    </w:lvl>
  </w:abstractNum>
  <w:abstractNum w:abstractNumId="137">
    <w:nsid w:val="41D646BC"/>
    <w:multiLevelType w:val="hybridMultilevel"/>
    <w:lvl w:ilvl="0">
      <w:lvlJc w:val="left"/>
      <w:lvlText w:val="(%1)"/>
      <w:numFmt w:val="lowerLetter"/>
      <w:start w:val="1"/>
    </w:lvl>
  </w:abstractNum>
  <w:abstractNum w:abstractNumId="138">
    <w:nsid w:val="3694A76A"/>
    <w:multiLevelType w:val="hybridMultilevel"/>
    <w:lvl w:ilvl="0">
      <w:lvlJc w:val="left"/>
      <w:lvlText w:val="(%1)"/>
      <w:numFmt w:val="lowerLetter"/>
      <w:start w:val="3"/>
    </w:lvl>
    <w:lvl w:ilvl="1">
      <w:lvlJc w:val="left"/>
      <w:lvlText w:val="(%2)"/>
      <w:numFmt w:val="lowerRoman"/>
      <w:start w:val="1"/>
    </w:lvl>
  </w:abstractNum>
  <w:abstractNum w:abstractNumId="139">
    <w:nsid w:val="2BF876EE"/>
    <w:multiLevelType w:val="hybridMultilevel"/>
    <w:lvl w:ilvl="0">
      <w:lvlJc w:val="left"/>
      <w:lvlText w:val="(%1)"/>
      <w:numFmt w:val="lowerRoman"/>
      <w:start w:val="6"/>
    </w:lvl>
  </w:abstractNum>
  <w:abstractNum w:abstractNumId="140">
    <w:nsid w:val="675ADBA"/>
    <w:multiLevelType w:val="hybridMultilevel"/>
    <w:lvl w:ilvl="0">
      <w:lvlJc w:val="left"/>
      <w:lvlText w:val="(%1)"/>
      <w:numFmt w:val="lowerLetter"/>
      <w:start w:val="6"/>
    </w:lvl>
  </w:abstractNum>
  <w:abstractNum w:abstractNumId="141">
    <w:nsid w:val="C12AC7F"/>
    <w:multiLevelType w:val="hybridMultilevel"/>
    <w:lvl w:ilvl="0">
      <w:lvlJc w:val="left"/>
      <w:lvlText w:val="(%1)"/>
      <w:numFmt w:val="lowerLetter"/>
      <w:start w:val="10"/>
    </w:lvl>
  </w:abstractNum>
  <w:abstractNum w:abstractNumId="142">
    <w:nsid w:val="6798F039"/>
    <w:multiLevelType w:val="hybridMultilevel"/>
    <w:lvl w:ilvl="0">
      <w:lvlJc w:val="left"/>
      <w:lvlText w:val="%1."/>
      <w:numFmt w:val="decimal"/>
      <w:start w:val="1"/>
    </w:lvl>
  </w:abstractNum>
  <w:abstractNum w:abstractNumId="143">
    <w:nsid w:val="70837C02"/>
    <w:multiLevelType w:val="hybridMultilevel"/>
    <w:lvl w:ilvl="0">
      <w:lvlJc w:val="left"/>
      <w:lvlText w:val="[***]"/>
      <w:numFmt w:val="bullet"/>
      <w:start w:val="1"/>
    </w:lvl>
  </w:abstractNum>
  <w:abstractNum w:abstractNumId="144">
    <w:nsid w:val="7E4A5715"/>
    <w:multiLevelType w:val="hybridMultilevel"/>
    <w:lvl w:ilvl="0">
      <w:lvlJc w:val="left"/>
      <w:lvlText w:val="[***]"/>
      <w:numFmt w:val="bullet"/>
      <w:start w:val="1"/>
    </w:lvl>
  </w:abstractNum>
  <w:abstractNum w:abstractNumId="145">
    <w:nsid w:val="42B8AC67"/>
    <w:multiLevelType w:val="hybridMultilevel"/>
    <w:lvl w:ilvl="0">
      <w:lvlJc w:val="left"/>
      <w:lvlText w:val="[***]"/>
      <w:numFmt w:val="bullet"/>
      <w:start w:val="1"/>
    </w:lvl>
  </w:abstractNum>
  <w:abstractNum w:abstractNumId="146">
    <w:nsid w:val="246348EA"/>
    <w:multiLevelType w:val="hybridMultilevel"/>
    <w:lvl w:ilvl="0">
      <w:lvlJc w:val="left"/>
      <w:lvlText w:val="[***]"/>
      <w:numFmt w:val="bullet"/>
      <w:start w:val="1"/>
    </w:lvl>
  </w:abstractNum>
  <w:abstractNum w:abstractNumId="147">
    <w:nsid w:val="170EB52B"/>
    <w:multiLevelType w:val="hybridMultilevel"/>
    <w:lvl w:ilvl="0">
      <w:lvlJc w:val="left"/>
      <w:lvlText w:val="[***]"/>
      <w:numFmt w:val="bullet"/>
      <w:start w:val="1"/>
    </w:lvl>
  </w:abstractNum>
  <w:abstractNum w:abstractNumId="148">
    <w:nsid w:val="2DFBCB8C"/>
    <w:multiLevelType w:val="hybridMultilevel"/>
    <w:lvl w:ilvl="0">
      <w:lvlJc w:val="left"/>
      <w:lvlText w:val="(%1)"/>
      <w:numFmt w:val="lowerLetter"/>
      <w:start w:val="1"/>
    </w:lvl>
  </w:abstractNum>
  <w:abstractNum w:abstractNumId="149">
    <w:nsid w:val="3830D6B6"/>
    <w:multiLevelType w:val="hybridMultilevel"/>
    <w:lvl w:ilvl="0">
      <w:lvlJc w:val="left"/>
      <w:lvlText w:val="[***]"/>
      <w:numFmt w:val="bullet"/>
      <w:start w:val="1"/>
    </w:lvl>
  </w:abstractNum>
  <w:abstractNum w:abstractNumId="150">
    <w:nsid w:val="6D48CF87"/>
    <w:multiLevelType w:val="hybridMultilevel"/>
    <w:lvl w:ilvl="0">
      <w:lvlJc w:val="left"/>
      <w:lvlText w:val="[***]"/>
      <w:numFmt w:val="bullet"/>
      <w:start w:val="1"/>
    </w:lvl>
  </w:abstractNum>
  <w:abstractNum w:abstractNumId="151">
    <w:nsid w:val="576FC41B"/>
    <w:multiLevelType w:val="hybridMultilevel"/>
    <w:lvl w:ilvl="0">
      <w:lvlJc w:val="left"/>
      <w:lvlText w:val="(%1)"/>
      <w:numFmt w:val="lowerRoman"/>
      <w:start w:val="1"/>
    </w:lvl>
  </w:abstractNum>
  <w:abstractNum w:abstractNumId="152">
    <w:nsid w:val="64A1C464"/>
    <w:multiLevelType w:val="hybridMultilevel"/>
    <w:lvl w:ilvl="0">
      <w:lvlJc w:val="left"/>
      <w:lvlText w:val="[***]"/>
      <w:numFmt w:val="bullet"/>
      <w:start w:val="1"/>
    </w:lvl>
  </w:abstractNum>
  <w:abstractNum w:abstractNumId="153">
    <w:nsid w:val="31723BF5"/>
    <w:multiLevelType w:val="hybridMultilevel"/>
    <w:lvl w:ilvl="0">
      <w:lvlJc w:val="left"/>
      <w:lvlText w:val="[***]"/>
      <w:numFmt w:val="bullet"/>
      <w:start w:val="1"/>
    </w:lvl>
  </w:abstractNum>
  <w:abstractNum w:abstractNumId="154">
    <w:nsid w:val="11F69861"/>
    <w:multiLevelType w:val="hybridMultilevel"/>
    <w:lvl w:ilvl="0">
      <w:lvlJc w:val="left"/>
      <w:lvlText w:val="(%1)"/>
      <w:numFmt w:val="lowerLetter"/>
      <w:start w:val="1"/>
    </w:lvl>
  </w:abstractNum>
  <w:abstractNum w:abstractNumId="155">
    <w:nsid w:val="369956AB"/>
    <w:multiLevelType w:val="hybridMultilevel"/>
    <w:lvl w:ilvl="0">
      <w:lvlJc w:val="left"/>
      <w:lvlText w:val="[***]"/>
      <w:numFmt w:val="bullet"/>
      <w:start w:val="1"/>
    </w:lvl>
  </w:abstractNum>
  <w:abstractNum w:abstractNumId="156">
    <w:nsid w:val="D3BE41C"/>
    <w:multiLevelType w:val="hybridMultilevel"/>
    <w:lvl w:ilvl="0">
      <w:lvlJc w:val="left"/>
      <w:lvlText w:val="[***]"/>
      <w:numFmt w:val="bullet"/>
      <w:start w:val="1"/>
    </w:lvl>
  </w:abstractNum>
  <w:abstractNum w:abstractNumId="157">
    <w:nsid w:val="4CDA15E7"/>
    <w:multiLevelType w:val="hybridMultilevel"/>
    <w:lvl w:ilvl="0">
      <w:lvlJc w:val="left"/>
      <w:lvlText w:val="(%1)"/>
      <w:numFmt w:val="lowerRoman"/>
      <w:start w:val="2"/>
    </w:lvl>
  </w:abstractNum>
  <w:abstractNum w:abstractNumId="158">
    <w:nsid w:val="7BDD6690"/>
    <w:multiLevelType w:val="hybridMultilevel"/>
    <w:lvl w:ilvl="0">
      <w:lvlJc w:val="left"/>
      <w:lvlText w:val="[***]"/>
      <w:numFmt w:val="bullet"/>
      <w:start w:val="1"/>
    </w:lvl>
  </w:abstractNum>
  <w:abstractNum w:abstractNumId="159">
    <w:nsid w:val="DFB5C5B"/>
    <w:multiLevelType w:val="hybridMultilevel"/>
    <w:lvl w:ilvl="0">
      <w:lvlJc w:val="left"/>
      <w:lvlText w:val="[***]"/>
      <w:numFmt w:val="bullet"/>
      <w:start w:val="1"/>
    </w:lvl>
    <w:lvl w:ilvl="1">
      <w:lvlJc w:val="left"/>
      <w:lvlText w:val="(%2)"/>
      <w:numFmt w:val="lowerLetter"/>
      <w:start w:val="1"/>
    </w:lvl>
  </w:abstractNum>
  <w:abstractNum w:abstractNumId="160">
    <w:nsid w:val="6F3E5490"/>
    <w:multiLevelType w:val="hybridMultilevel"/>
    <w:lvl w:ilvl="0">
      <w:lvlJc w:val="left"/>
      <w:lvlText w:val="(%1)"/>
      <w:numFmt w:val="lowerLetter"/>
      <w:start w:val="2"/>
    </w:lvl>
  </w:abstractNum>
  <w:abstractNum w:abstractNumId="161">
    <w:nsid w:val="1464BE1E"/>
    <w:multiLevelType w:val="hybridMultilevel"/>
    <w:lvl w:ilvl="0">
      <w:lvlJc w:val="left"/>
      <w:lvlText w:val="[***]"/>
      <w:numFmt w:val="bullet"/>
      <w:start w:val="1"/>
    </w:lvl>
  </w:abstractNum>
  <w:abstractNum w:abstractNumId="162">
    <w:nsid w:val="66BBB7E5"/>
    <w:multiLevelType w:val="hybridMultilevel"/>
    <w:lvl w:ilvl="0">
      <w:lvlJc w:val="left"/>
      <w:lvlText w:val="[***]"/>
      <w:numFmt w:val="bullet"/>
      <w:start w:val="1"/>
    </w:lvl>
  </w:abstractNum>
  <w:abstractNum w:abstractNumId="163">
    <w:nsid w:val="28168302"/>
    <w:multiLevelType w:val="hybridMultilevel"/>
    <w:lvl w:ilvl="0">
      <w:lvlJc w:val="left"/>
      <w:lvlText w:val="[***]"/>
      <w:numFmt w:val="bullet"/>
      <w:start w:val="1"/>
    </w:lvl>
    <w:lvl w:ilvl="1">
      <w:lvlJc w:val="left"/>
      <w:lvlText w:val="(%2)"/>
      <w:numFmt w:val="lowerLetter"/>
      <w:start w:val="1"/>
    </w:lvl>
  </w:abstractNum>
  <w:abstractNum w:abstractNumId="164">
    <w:nsid w:val="32A5C7A8"/>
    <w:multiLevelType w:val="hybridMultilevel"/>
    <w:lvl w:ilvl="0">
      <w:lvlJc w:val="left"/>
      <w:lvlText w:val="[***]"/>
      <w:numFmt w:val="bullet"/>
      <w:start w:val="1"/>
    </w:lvl>
    <w:lvl w:ilvl="1">
      <w:lvlJc w:val="left"/>
      <w:lvlText w:val="(%2)"/>
      <w:numFmt w:val="lowerLetter"/>
      <w:start w:val="4"/>
    </w:lvl>
  </w:abstractNum>
  <w:abstractNum w:abstractNumId="165">
    <w:nsid w:val="3A541011"/>
    <w:multiLevelType w:val="hybridMultilevel"/>
    <w:lvl w:ilvl="0">
      <w:lvlJc w:val="left"/>
      <w:lvlText w:val="(%1)"/>
      <w:numFmt w:val="lowerLetter"/>
      <w:start w:val="5"/>
    </w:lvl>
  </w:abstractNum>
  <w:abstractNum w:abstractNumId="166">
    <w:nsid w:val="4423C777"/>
    <w:multiLevelType w:val="hybridMultilevel"/>
    <w:lvl w:ilvl="0">
      <w:lvlJc w:val="left"/>
      <w:lvlText w:val="[***]"/>
      <w:numFmt w:val="bullet"/>
      <w:start w:val="1"/>
    </w:lvl>
  </w:abstractNum>
  <w:abstractNum w:abstractNumId="167">
    <w:nsid w:val="5F5C6E4D"/>
    <w:multiLevelType w:val="hybridMultilevel"/>
    <w:lvl w:ilvl="0">
      <w:lvlJc w:val="left"/>
      <w:lvlText w:val="[***]"/>
      <w:numFmt w:val="bullet"/>
      <w:start w:val="1"/>
    </w:lvl>
  </w:abstractNum>
  <w:abstractNum w:abstractNumId="168">
    <w:nsid w:val="7C2A56CD"/>
    <w:multiLevelType w:val="hybridMultilevel"/>
    <w:lvl w:ilvl="0">
      <w:lvlJc w:val="left"/>
      <w:lvlText w:val="[***]"/>
      <w:numFmt w:val="bullet"/>
      <w:start w:val="1"/>
    </w:lvl>
  </w:abstractNum>
  <w:abstractNum w:abstractNumId="169">
    <w:nsid w:val="7AB86EE1"/>
    <w:multiLevelType w:val="hybridMultilevel"/>
    <w:lvl w:ilvl="0">
      <w:lvlJc w:val="left"/>
      <w:lvlText w:val="(%1)"/>
      <w:numFmt w:val="lowerRoman"/>
      <w:start w:val="8"/>
    </w:lvl>
  </w:abstractNum>
  <w:abstractNum w:abstractNumId="170">
    <w:nsid w:val="B54E53B"/>
    <w:multiLevelType w:val="hybridMultilevel"/>
    <w:lvl w:ilvl="0">
      <w:lvlJc w:val="left"/>
      <w:lvlText w:val="[***]"/>
      <w:numFmt w:val="bullet"/>
      <w:start w:val="1"/>
    </w:lvl>
  </w:abstractNum>
  <w:abstractNum w:abstractNumId="171">
    <w:nsid w:val="2A00487"/>
    <w:multiLevelType w:val="hybridMultilevel"/>
    <w:lvl w:ilvl="0">
      <w:lvlJc w:val="left"/>
      <w:lvlText w:val="[***]"/>
      <w:numFmt w:val="bullet"/>
      <w:start w:val="1"/>
    </w:lvl>
  </w:abstractNum>
  <w:abstractNum w:abstractNumId="172">
    <w:nsid w:val="6CB1B60"/>
    <w:multiLevelType w:val="hybridMultilevel"/>
    <w:lvl w:ilvl="0">
      <w:lvlJc w:val="left"/>
      <w:lvlText w:val="[***]"/>
      <w:numFmt w:val="bullet"/>
      <w:start w:val="1"/>
    </w:lvl>
    <w:lvl w:ilvl="1">
      <w:lvlJc w:val="left"/>
      <w:lvlText w:val="(%2)"/>
      <w:numFmt w:val="lowerLetter"/>
      <w:start w:val="1"/>
    </w:lvl>
  </w:abstractNum>
  <w:abstractNum w:abstractNumId="173">
    <w:nsid w:val="72EDD574"/>
    <w:multiLevelType w:val="hybridMultilevel"/>
    <w:lvl w:ilvl="0">
      <w:lvlJc w:val="left"/>
      <w:lvlText w:val="[***]"/>
      <w:numFmt w:val="bullet"/>
      <w:start w:val="1"/>
    </w:lvl>
  </w:abstractNum>
  <w:abstractNum w:abstractNumId="174">
    <w:nsid w:val="7323808A"/>
    <w:multiLevelType w:val="hybridMultilevel"/>
    <w:lvl w:ilvl="0">
      <w:lvlJc w:val="left"/>
      <w:lvlText w:val="[***]"/>
      <w:numFmt w:val="bullet"/>
      <w:start w:val="1"/>
    </w:lvl>
    <w:lvl w:ilvl="1">
      <w:lvlJc w:val="left"/>
      <w:lvlText w:val="(%2)"/>
      <w:numFmt w:val="lowerLetter"/>
      <w:start w:val="1"/>
    </w:lvl>
  </w:abstractNum>
  <w:abstractNum w:abstractNumId="175">
    <w:nsid w:val="5157276"/>
    <w:multiLevelType w:val="hybridMultilevel"/>
    <w:lvl w:ilvl="0">
      <w:lvlJc w:val="left"/>
      <w:lvlText w:val="(%1)"/>
      <w:numFmt w:val="lowerLetter"/>
      <w:start w:val="2"/>
    </w:lvl>
  </w:abstractNum>
  <w:abstractNum w:abstractNumId="176">
    <w:nsid w:val="35A681DB"/>
    <w:multiLevelType w:val="hybridMultilevel"/>
    <w:lvl w:ilvl="0">
      <w:lvlJc w:val="left"/>
      <w:lvlText w:val="(%1)"/>
      <w:numFmt w:val="lowerRoman"/>
      <w:start w:val="2"/>
    </w:lvl>
  </w:abstractNum>
  <w:abstractNum w:abstractNumId="177">
    <w:nsid w:val="1786C974"/>
    <w:multiLevelType w:val="hybridMultilevel"/>
    <w:lvl w:ilvl="0">
      <w:lvlJc w:val="left"/>
      <w:lvlText w:val="(%1)"/>
      <w:numFmt w:val="lowerLetter"/>
      <w:start w:val="1"/>
    </w:lvl>
  </w:abstractNum>
  <w:abstractNum w:abstractNumId="178">
    <w:nsid w:val="1C2427A1"/>
    <w:multiLevelType w:val="hybridMultilevel"/>
    <w:lvl w:ilvl="0">
      <w:lvlJc w:val="left"/>
      <w:lvlText w:val="[***]"/>
      <w:numFmt w:val="bullet"/>
      <w:start w:val="1"/>
    </w:lvl>
    <w:lvl w:ilvl="1">
      <w:lvlJc w:val="left"/>
      <w:lvlText w:val="(%2)"/>
      <w:numFmt w:val="lowerLetter"/>
      <w:start w:val="4"/>
    </w:lvl>
  </w:abstractNum>
  <w:abstractNum w:abstractNumId="179">
    <w:nsid w:val="63A24D68"/>
    <w:multiLevelType w:val="hybridMultilevel"/>
    <w:lvl w:ilvl="0">
      <w:lvlJc w:val="left"/>
      <w:lvlText w:val="(%1)"/>
      <w:numFmt w:val="lowerLetter"/>
      <w:start w:val="6"/>
    </w:lvl>
  </w:abstractNum>
  <w:abstractNum w:abstractNumId="180">
    <w:nsid w:val="4FB7A02A"/>
    <w:multiLevelType w:val="hybridMultilevel"/>
    <w:lvl w:ilvl="0">
      <w:lvlJc w:val="left"/>
      <w:lvlText w:val="(%1)"/>
      <w:numFmt w:val="lowerLetter"/>
      <w:start w:val="1"/>
    </w:lvl>
  </w:abstractNum>
  <w:abstractNum w:abstractNumId="181">
    <w:nsid w:val="96CF728"/>
    <w:multiLevelType w:val="hybridMultilevel"/>
    <w:lvl w:ilvl="0">
      <w:lvlJc w:val="left"/>
      <w:lvlText w:val="[***]"/>
      <w:numFmt w:val="bullet"/>
      <w:start w:val="1"/>
    </w:lvl>
    <w:lvl w:ilvl="1">
      <w:lvlJc w:val="left"/>
      <w:lvlText w:val="(%2)"/>
      <w:numFmt w:val="lowerLetter"/>
      <w:start w:val="1"/>
    </w:lvl>
  </w:abstractNum>
  <w:abstractNum w:abstractNumId="182">
    <w:nsid w:val="3B121183"/>
    <w:multiLevelType w:val="hybridMultilevel"/>
    <w:lvl w:ilvl="0">
      <w:lvlJc w:val="left"/>
      <w:lvlText w:val="(%1)"/>
      <w:numFmt w:val="lowerLetter"/>
      <w:start w:val="2"/>
    </w:lvl>
  </w:abstractNum>
  <w:abstractNum w:abstractNumId="183">
    <w:nsid w:val="3459648F"/>
    <w:multiLevelType w:val="hybridMultilevel"/>
    <w:lvl w:ilvl="0">
      <w:lvlJc w:val="left"/>
      <w:lvlText w:val="(%1)"/>
      <w:numFmt w:val="lowerLetter"/>
      <w:start w:val="1"/>
    </w:lvl>
  </w:abstractNum>
  <w:abstractNum w:abstractNumId="184">
    <w:nsid w:val="3ADF331D"/>
    <w:multiLevelType w:val="hybridMultilevel"/>
    <w:lvl w:ilvl="0">
      <w:lvlJc w:val="left"/>
      <w:lvlText w:val="[***]"/>
      <w:numFmt w:val="bullet"/>
      <w:start w:val="1"/>
    </w:lvl>
    <w:lvl w:ilvl="1">
      <w:lvlJc w:val="left"/>
      <w:lvlText w:val="(%2)"/>
      <w:numFmt w:val="lowerLetter"/>
      <w:start w:val="4"/>
    </w:lvl>
  </w:abstractNum>
  <w:abstractNum w:abstractNumId="185">
    <w:nsid w:val="4D08A9E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6">
    <w:nsid w:val="6AF2BB3A"/>
    <w:multiLevelType w:val="hybridMultilevel"/>
    <w:lvl w:ilvl="0">
      <w:lvlJc w:val="left"/>
      <w:lvlText w:val="[***]"/>
      <w:numFmt w:val="bullet"/>
      <w:start w:val="1"/>
    </w:lvl>
    <w:lvl w:ilvl="1">
      <w:lvlJc w:val="left"/>
      <w:lvlText w:val="(%2)"/>
      <w:numFmt w:val="lowerLetter"/>
      <w:start w:val="35"/>
    </w:lvl>
    <w:lvl w:ilvl="2">
      <w:lvlJc w:val="left"/>
      <w:lvlText w:val="(%3)"/>
      <w:numFmt w:val="lowerRoman"/>
      <w:start w:val="2"/>
    </w:lvl>
  </w:abstractNum>
  <w:abstractNum w:abstractNumId="187">
    <w:nsid w:val="481B173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88">
    <w:nsid w:val="19E2BFCC"/>
    <w:multiLevelType w:val="hybridMultilevel"/>
    <w:lvl w:ilvl="0">
      <w:lvlJc w:val="left"/>
      <w:lvlText w:val="\endash "/>
      <w:numFmt w:val="bullet"/>
      <w:start w:val="1"/>
    </w:lvl>
    <w:lvl w:ilvl="1">
      <w:lvlJc w:val="left"/>
      <w:lvlText w:val="(%2)"/>
      <w:numFmt w:val="lowerLetter"/>
      <w:start w:val="1"/>
    </w:lvl>
  </w:abstractNum>
  <w:abstractNum w:abstractNumId="189">
    <w:nsid w:val="66D021CA"/>
    <w:multiLevelType w:val="hybridMultilevel"/>
    <w:lvl w:ilvl="0">
      <w:lvlJc w:val="left"/>
      <w:lvlText w:val="[***]"/>
      <w:numFmt w:val="bullet"/>
      <w:start w:val="1"/>
    </w:lvl>
  </w:abstractNum>
  <w:abstractNum w:abstractNumId="190">
    <w:nsid w:val="56167394"/>
    <w:multiLevelType w:val="hybridMultilevel"/>
    <w:lvl w:ilvl="0">
      <w:lvlJc w:val="left"/>
      <w:lvlText w:val="[***]"/>
      <w:numFmt w:val="bullet"/>
      <w:start w:val="1"/>
    </w:lvl>
  </w:abstractNum>
  <w:abstractNum w:abstractNumId="191">
    <w:nsid w:val="921145C"/>
    <w:multiLevelType w:val="hybridMultilevel"/>
    <w:lvl w:ilvl="0">
      <w:lvlJc w:val="left"/>
      <w:lvlText w:val="[***]"/>
      <w:numFmt w:val="bullet"/>
      <w:start w:val="1"/>
    </w:lvl>
    <w:lvl w:ilvl="1">
      <w:lvlJc w:val="left"/>
      <w:lvlText w:val="(%2)"/>
      <w:numFmt w:val="lowerLetter"/>
      <w:start w:val="1"/>
    </w:lvl>
  </w:abstractNum>
  <w:abstractNum w:abstractNumId="192">
    <w:nsid w:val="7B34DFE8"/>
    <w:multiLevelType w:val="hybridMultilevel"/>
    <w:lvl w:ilvl="0">
      <w:lvlJc w:val="left"/>
      <w:lvlText w:val="[***]"/>
      <w:numFmt w:val="bullet"/>
      <w:start w:val="1"/>
    </w:lvl>
  </w:abstractNum>
  <w:abstractNum w:abstractNumId="193">
    <w:nsid w:val="3CD22B79"/>
    <w:multiLevelType w:val="hybridMultilevel"/>
    <w:lvl w:ilvl="0">
      <w:lvlJc w:val="left"/>
      <w:lvlText w:val="[***]"/>
      <w:numFmt w:val="bullet"/>
      <w:start w:val="1"/>
    </w:lvl>
    <w:lvl w:ilvl="1">
      <w:lvlJc w:val="left"/>
      <w:lvlText w:val="(%2)"/>
      <w:numFmt w:val="lowerLetter"/>
      <w:start w:val="1"/>
    </w:lvl>
  </w:abstractNum>
  <w:abstractNum w:abstractNumId="194">
    <w:nsid w:val="3137975E"/>
    <w:multiLevelType w:val="hybridMultilevel"/>
    <w:lvl w:ilvl="0">
      <w:lvlJc w:val="left"/>
      <w:lvlText w:val="(%1)"/>
      <w:numFmt w:val="lowerLetter"/>
      <w:start w:val="3"/>
    </w:lvl>
  </w:abstractNum>
  <w:abstractNum w:abstractNumId="195">
    <w:nsid w:val="2DDAA791"/>
    <w:multiLevelType w:val="hybridMultilevel"/>
    <w:lvl w:ilvl="0">
      <w:lvlJc w:val="left"/>
      <w:lvlText w:val="[***]"/>
      <w:numFmt w:val="bullet"/>
      <w:start w:val="1"/>
    </w:lvl>
    <w:lvl w:ilvl="1">
      <w:lvlJc w:val="left"/>
      <w:lvlText w:val="(%2)"/>
      <w:numFmt w:val="lowerLetter"/>
      <w:start w:val="1"/>
    </w:lvl>
  </w:abstractNum>
  <w:abstractNum w:abstractNumId="196">
    <w:nsid w:val="77263B8A"/>
    <w:multiLevelType w:val="hybridMultilevel"/>
    <w:lvl w:ilvl="0">
      <w:lvlJc w:val="left"/>
      <w:lvlText w:val="[***]"/>
      <w:numFmt w:val="bullet"/>
      <w:start w:val="1"/>
    </w:lvl>
    <w:lvl w:ilvl="1">
      <w:lvlJc w:val="left"/>
      <w:lvlText w:val="(%2)"/>
      <w:numFmt w:val="lowerLetter"/>
      <w:start w:val="2"/>
    </w:lvl>
  </w:abstractNum>
  <w:abstractNum w:abstractNumId="197">
    <w:nsid w:val="755B5ED6"/>
    <w:multiLevelType w:val="hybridMultilevel"/>
    <w:lvl w:ilvl="0">
      <w:lvlJc w:val="left"/>
      <w:lvlText w:val="[***]"/>
      <w:numFmt w:val="bullet"/>
      <w:start w:val="1"/>
    </w:lvl>
  </w:abstractNum>
  <w:abstractNum w:abstractNumId="198">
    <w:nsid w:val="D3715DE"/>
    <w:multiLevelType w:val="hybridMultilevel"/>
    <w:lvl w:ilvl="0">
      <w:lvlJc w:val="left"/>
      <w:lvlText w:val="[***]"/>
      <w:numFmt w:val="bullet"/>
      <w:start w:val="1"/>
    </w:lvl>
  </w:abstractNum>
  <w:abstractNum w:abstractNumId="199">
    <w:nsid w:val="73509257"/>
    <w:multiLevelType w:val="hybridMultilevel"/>
    <w:lvl w:ilvl="0">
      <w:lvlJc w:val="left"/>
      <w:lvlText w:val="(%1)"/>
      <w:numFmt w:val="lowerLetter"/>
      <w:start w:val="1"/>
    </w:lvl>
    <w:lvl w:ilvl="1">
      <w:lvlJc w:val="left"/>
      <w:lvlText w:val="(%2)"/>
      <w:numFmt w:val="lowerRoman"/>
      <w:start w:val="1"/>
    </w:lvl>
  </w:abstractNum>
  <w:abstractNum w:abstractNumId="200">
    <w:nsid w:val="7013CDB7"/>
    <w:multiLevelType w:val="hybridMultilevel"/>
    <w:lvl w:ilvl="0">
      <w:lvlJc w:val="left"/>
      <w:lvlText w:val="[***]"/>
      <w:numFmt w:val="bullet"/>
      <w:start w:val="1"/>
    </w:lvl>
  </w:abstractNum>
  <w:abstractNum w:abstractNumId="201">
    <w:nsid w:val="188BFB19"/>
    <w:multiLevelType w:val="hybridMultilevel"/>
    <w:lvl w:ilvl="0">
      <w:lvlJc w:val="left"/>
      <w:lvlText w:val="(%1)"/>
      <w:numFmt w:val="lowerLetter"/>
      <w:start w:val="1"/>
    </w:lvl>
  </w:abstractNum>
  <w:abstractNum w:abstractNumId="202">
    <w:nsid w:val="75F096DF"/>
    <w:multiLevelType w:val="hybridMultilevel"/>
    <w:lvl w:ilvl="0">
      <w:lvlJc w:val="left"/>
      <w:lvlText w:val="[***]"/>
      <w:numFmt w:val="bullet"/>
      <w:start w:val="1"/>
    </w:lvl>
  </w:abstractNum>
  <w:abstractNum w:abstractNumId="203">
    <w:nsid w:val="76DEE918"/>
    <w:multiLevelType w:val="hybridMultilevel"/>
    <w:lvl w:ilvl="0">
      <w:lvlJc w:val="left"/>
      <w:lvlText w:val="[***]"/>
      <w:numFmt w:val="bullet"/>
      <w:start w:val="1"/>
    </w:lvl>
    <w:lvl w:ilvl="1">
      <w:lvlJc w:val="left"/>
      <w:lvlText w:val="(%2)"/>
      <w:numFmt w:val="lowerLetter"/>
      <w:start w:val="2"/>
    </w:lvl>
  </w:abstractNum>
  <w:abstractNum w:abstractNumId="204">
    <w:nsid w:val="B79D08D"/>
    <w:multiLevelType w:val="hybridMultilevel"/>
    <w:lvl w:ilvl="0">
      <w:lvlJc w:val="left"/>
      <w:lvlText w:val="(%1)"/>
      <w:numFmt w:val="lowerLetter"/>
      <w:start w:val="1"/>
    </w:lvl>
  </w:abstractNum>
  <w:abstractNum w:abstractNumId="205">
    <w:nsid w:val="69141769"/>
    <w:multiLevelType w:val="hybridMultilevel"/>
    <w:lvl w:ilvl="0">
      <w:lvlJc w:val="left"/>
      <w:lvlText w:val="[***]"/>
      <w:numFmt w:val="bullet"/>
      <w:start w:val="1"/>
    </w:lvl>
    <w:lvl w:ilvl="1">
      <w:lvlJc w:val="left"/>
      <w:lvlText w:val="(%2)"/>
      <w:numFmt w:val="lowerLetter"/>
      <w:start w:val="2"/>
    </w:lvl>
  </w:abstractNum>
  <w:abstractNum w:abstractNumId="206">
    <w:nsid w:val="7BF45B8E"/>
    <w:multiLevelType w:val="hybridMultilevel"/>
    <w:lvl w:ilvl="0">
      <w:lvlJc w:val="left"/>
      <w:lvlText w:val="(%1)"/>
      <w:numFmt w:val="lowerLetter"/>
      <w:start w:val="1"/>
    </w:lvl>
  </w:abstractNum>
  <w:abstractNum w:abstractNumId="207">
    <w:nsid w:val="41205269"/>
    <w:multiLevelType w:val="hybridMultilevel"/>
    <w:lvl w:ilvl="0">
      <w:lvlJc w:val="left"/>
      <w:lvlText w:val="(%1)"/>
      <w:numFmt w:val="lowerLetter"/>
      <w:start w:val="2"/>
    </w:lvl>
  </w:abstractNum>
  <w:abstractNum w:abstractNumId="208">
    <w:nsid w:val="9AE0DD"/>
    <w:multiLevelType w:val="hybridMultilevel"/>
    <w:lvl w:ilvl="0">
      <w:lvlJc w:val="left"/>
      <w:lvlText w:val="[***]"/>
      <w:numFmt w:val="bullet"/>
      <w:start w:val="1"/>
    </w:lvl>
  </w:abstractNum>
  <w:abstractNum w:abstractNumId="209">
    <w:nsid w:val="1818832F"/>
    <w:multiLevelType w:val="hybridMultilevel"/>
    <w:lvl w:ilvl="0">
      <w:lvlJc w:val="left"/>
      <w:lvlText w:val="[***]"/>
      <w:numFmt w:val="bullet"/>
      <w:start w:val="1"/>
    </w:lvl>
    <w:lvl w:ilvl="1">
      <w:lvlJc w:val="left"/>
      <w:lvlText w:val="(%2)"/>
      <w:numFmt w:val="lowerLetter"/>
      <w:start w:val="5"/>
    </w:lvl>
  </w:abstractNum>
  <w:abstractNum w:abstractNumId="210">
    <w:nsid w:val="24C29FD1"/>
    <w:multiLevelType w:val="hybridMultilevel"/>
    <w:lvl w:ilvl="0">
      <w:lvlJc w:val="left"/>
      <w:lvlText w:val="(%1)"/>
      <w:numFmt w:val="lowerLetter"/>
      <w:start w:val="8"/>
    </w:lvl>
  </w:abstractNum>
  <w:abstractNum w:abstractNumId="211">
    <w:nsid w:val="50528108"/>
    <w:multiLevelType w:val="hybridMultilevel"/>
    <w:lvl w:ilvl="0">
      <w:lvlJc w:val="left"/>
      <w:lvlText w:val="[***]"/>
      <w:numFmt w:val="bullet"/>
      <w:start w:val="1"/>
    </w:lvl>
  </w:abstractNum>
  <w:abstractNum w:abstractNumId="212">
    <w:nsid w:val="21857A57"/>
    <w:multiLevelType w:val="hybridMultilevel"/>
    <w:lvl w:ilvl="0">
      <w:lvlJc w:val="left"/>
      <w:lvlText w:val="[***]"/>
      <w:numFmt w:val="bullet"/>
      <w:start w:val="1"/>
    </w:lvl>
  </w:abstractNum>
  <w:abstractNum w:abstractNumId="213">
    <w:nsid w:val="5FD4B154"/>
    <w:multiLevelType w:val="hybridMultilevel"/>
    <w:lvl w:ilvl="0">
      <w:lvlJc w:val="left"/>
      <w:lvlText w:val="[***]"/>
      <w:numFmt w:val="bullet"/>
      <w:start w:val="1"/>
    </w:lvl>
    <w:lvl w:ilvl="1">
      <w:lvlJc w:val="left"/>
      <w:lvlText w:val="(%2)"/>
      <w:numFmt w:val="lowerLetter"/>
      <w:start w:val="1"/>
    </w:lvl>
  </w:abstractNum>
  <w:abstractNum w:abstractNumId="214">
    <w:nsid w:val="4ABE597"/>
    <w:multiLevelType w:val="hybridMultilevel"/>
    <w:lvl w:ilvl="0">
      <w:lvlJc w:val="left"/>
      <w:lvlText w:val="(%1)"/>
      <w:numFmt w:val="lowerLetter"/>
      <w:start w:val="1"/>
    </w:lvl>
  </w:abstractNum>
  <w:abstractNum w:abstractNumId="215">
    <w:nsid w:val="5C64AD75"/>
    <w:multiLevelType w:val="hybridMultilevel"/>
    <w:lvl w:ilvl="0">
      <w:lvlJc w:val="left"/>
      <w:lvlText w:val="(%1)"/>
      <w:numFmt w:val="lowerLetter"/>
      <w:start w:val="3"/>
    </w:lvl>
  </w:abstractNum>
  <w:abstractNum w:abstractNumId="216">
    <w:nsid w:val="2CDD5B39"/>
    <w:multiLevelType w:val="hybridMultilevel"/>
    <w:lvl w:ilvl="0">
      <w:lvlJc w:val="left"/>
      <w:lvlText w:val="(%1)"/>
      <w:numFmt w:val="lowerLetter"/>
      <w:start w:val="2"/>
    </w:lvl>
  </w:abstractNum>
  <w:abstractNum w:abstractNumId="217">
    <w:nsid w:val="6F9EA0D1"/>
    <w:multiLevelType w:val="hybridMultilevel"/>
    <w:lvl w:ilvl="0">
      <w:lvlJc w:val="left"/>
      <w:lvlText w:val="[***]"/>
      <w:numFmt w:val="bullet"/>
      <w:start w:val="1"/>
    </w:lvl>
  </w:abstractNum>
  <w:abstractNum w:abstractNumId="218">
    <w:nsid w:val="247FC4AE"/>
    <w:multiLevelType w:val="hybridMultilevel"/>
    <w:lvl w:ilvl="0">
      <w:lvlJc w:val="left"/>
      <w:lvlText w:val="(%1)"/>
      <w:numFmt w:val="lowerLetter"/>
      <w:start w:val="1"/>
    </w:lvl>
  </w:abstractNum>
  <w:abstractNum w:abstractNumId="219">
    <w:nsid w:val="46C01B05"/>
    <w:multiLevelType w:val="hybridMultilevel"/>
    <w:lvl w:ilvl="0">
      <w:lvlJc w:val="left"/>
      <w:lvlText w:val="[***]"/>
      <w:numFmt w:val="bullet"/>
      <w:start w:val="1"/>
    </w:lvl>
  </w:abstractNum>
  <w:abstractNum w:abstractNumId="220">
    <w:nsid w:val="566EC29B"/>
    <w:multiLevelType w:val="hybridMultilevel"/>
    <w:lvl w:ilvl="0">
      <w:lvlJc w:val="left"/>
      <w:lvlText w:val="[***]"/>
      <w:numFmt w:val="bullet"/>
      <w:start w:val="1"/>
    </w:lvl>
    <w:lvl w:ilvl="1">
      <w:lvlJc w:val="left"/>
      <w:lvlText w:val="(%2)"/>
      <w:numFmt w:val="lowerLetter"/>
      <w:start w:val="1"/>
    </w:lvl>
  </w:abstractNum>
  <w:abstractNum w:abstractNumId="221">
    <w:nsid w:val="7A963843"/>
    <w:multiLevelType w:val="hybridMultilevel"/>
    <w:lvl w:ilvl="0">
      <w:lvlJc w:val="left"/>
      <w:lvlText w:val="[***]"/>
      <w:numFmt w:val="bullet"/>
      <w:start w:val="1"/>
    </w:lvl>
    <w:lvl w:ilvl="1">
      <w:lvlJc w:val="left"/>
      <w:lvlText w:val="(%2)"/>
      <w:numFmt w:val="lowerLetter"/>
      <w:start w:val="4"/>
    </w:lvl>
  </w:abstractNum>
  <w:abstractNum w:abstractNumId="222">
    <w:nsid w:val="4FE12F61"/>
    <w:multiLevelType w:val="hybridMultilevel"/>
    <w:lvl w:ilvl="0">
      <w:lvlJc w:val="left"/>
      <w:lvlText w:val="(%1)"/>
      <w:numFmt w:val="lowerRoman"/>
      <w:start w:val="1"/>
    </w:lvl>
  </w:abstractNum>
  <w:abstractNum w:abstractNumId="223">
    <w:nsid w:val="51A3A28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24">
    <w:nsid w:val="376863BC"/>
    <w:multiLevelType w:val="hybridMultilevel"/>
    <w:lvl w:ilvl="0">
      <w:lvlJc w:val="left"/>
      <w:lvlText w:val="[***]"/>
      <w:numFmt w:val="bullet"/>
      <w:start w:val="1"/>
    </w:lvl>
    <w:lvl w:ilvl="1">
      <w:lvlJc w:val="left"/>
      <w:lvlText w:val="(%2)"/>
      <w:numFmt w:val="lowerRoman"/>
      <w:start w:val="3"/>
    </w:lvl>
  </w:abstractNum>
  <w:abstractNum w:abstractNumId="225">
    <w:nsid w:val="118C6C0"/>
    <w:multiLevelType w:val="hybridMultilevel"/>
    <w:lvl w:ilvl="0">
      <w:lvlJc w:val="left"/>
      <w:lvlText w:val="(%1)"/>
      <w:numFmt w:val="lowerLetter"/>
      <w:start w:val="2"/>
    </w:lvl>
  </w:abstractNum>
  <w:abstractNum w:abstractNumId="226">
    <w:nsid w:val="7F7E4A15"/>
    <w:multiLevelType w:val="hybridMultilevel"/>
    <w:lvl w:ilvl="0">
      <w:lvlJc w:val="left"/>
      <w:lvlText w:val="(%1)"/>
      <w:numFmt w:val="lowerLetter"/>
      <w:start w:val="7"/>
    </w:lvl>
  </w:abstractNum>
  <w:abstractNum w:abstractNumId="227">
    <w:nsid w:val="2E8E9F47"/>
    <w:multiLevelType w:val="hybridMultilevel"/>
    <w:lvl w:ilvl="0">
      <w:lvlJc w:val="left"/>
      <w:lvlText w:val="[***]"/>
      <w:numFmt w:val="bullet"/>
      <w:start w:val="1"/>
    </w:lvl>
    <w:lvl w:ilvl="1">
      <w:lvlJc w:val="left"/>
      <w:lvlText w:val="(%2)"/>
      <w:numFmt w:val="lowerLetter"/>
      <w:start w:val="1"/>
    </w:lvl>
  </w:abstractNum>
  <w:abstractNum w:abstractNumId="228">
    <w:nsid w:val="76742596"/>
    <w:multiLevelType w:val="hybridMultilevel"/>
    <w:lvl w:ilvl="0">
      <w:lvlJc w:val="left"/>
      <w:lvlText w:val="(%1)"/>
      <w:numFmt w:val="lowerLetter"/>
      <w:start w:val="1"/>
    </w:lvl>
    <w:lvl w:ilvl="1">
      <w:lvlJc w:val="left"/>
      <w:lvlText w:val="(%2)"/>
      <w:numFmt w:val="lowerRoman"/>
      <w:start w:val="1"/>
    </w:lvl>
  </w:abstractNum>
  <w:abstractNum w:abstractNumId="229">
    <w:nsid w:val="CB55FF3"/>
    <w:multiLevelType w:val="hybridMultilevel"/>
    <w:lvl w:ilvl="0">
      <w:lvlJc w:val="left"/>
      <w:lvlText w:val="[***]"/>
      <w:numFmt w:val="bullet"/>
      <w:start w:val="1"/>
    </w:lvl>
    <w:lvl w:ilvl="1">
      <w:lvlJc w:val="left"/>
      <w:lvlText w:val="(%2)"/>
      <w:numFmt w:val="lowerLetter"/>
      <w:start w:val="2"/>
    </w:lvl>
  </w:abstractNum>
  <w:abstractNum w:abstractNumId="230">
    <w:nsid w:val="21DF319E"/>
    <w:multiLevelType w:val="hybridMultilevel"/>
    <w:lvl w:ilvl="0">
      <w:lvlJc w:val="left"/>
      <w:lvlText w:val="(%1)"/>
      <w:numFmt w:val="lowerRoman"/>
      <w:start w:val="2"/>
    </w:lvl>
  </w:abstractNum>
  <w:abstractNum w:abstractNumId="231">
    <w:nsid w:val="6687F34D"/>
    <w:multiLevelType w:val="hybridMultilevel"/>
    <w:lvl w:ilvl="0">
      <w:lvlJc w:val="left"/>
      <w:lvlText w:val="(%1)"/>
      <w:numFmt w:val="lowerRoman"/>
      <w:start w:val="7"/>
    </w:lvl>
  </w:abstractNum>
  <w:abstractNum w:abstractNumId="232">
    <w:nsid w:val="25415B0C"/>
    <w:multiLevelType w:val="hybridMultilevel"/>
    <w:lvl w:ilvl="0">
      <w:lvlJc w:val="left"/>
      <w:lvlText w:val="%1"/>
      <w:numFmt w:val="lowerLetter"/>
      <w:start w:val="1"/>
    </w:lvl>
    <w:lvl w:ilvl="1">
      <w:lvlJc w:val="left"/>
      <w:lvlText w:val="(%2)"/>
      <w:numFmt w:val="lowerRoman"/>
      <w:start w:val="13"/>
    </w:lvl>
  </w:abstractNum>
  <w:abstractNum w:abstractNumId="233">
    <w:nsid w:val="17CFC87D"/>
    <w:multiLevelType w:val="hybridMultilevel"/>
    <w:lvl w:ilvl="0">
      <w:lvlJc w:val="left"/>
      <w:lvlText w:val="(%1)"/>
      <w:numFmt w:val="lowerLetter"/>
      <w:start w:val="3"/>
    </w:lvl>
    <w:lvl w:ilvl="1">
      <w:lvlJc w:val="left"/>
      <w:lvlText w:val="(%2)"/>
      <w:numFmt w:val="lowerRoman"/>
      <w:start w:val="1"/>
    </w:lvl>
  </w:abstractNum>
  <w:abstractNum w:abstractNumId="234">
    <w:nsid w:val="5D66DC65"/>
    <w:multiLevelType w:val="hybridMultilevel"/>
    <w:lvl w:ilvl="0">
      <w:lvlJc w:val="left"/>
      <w:lvlText w:val="(%1)"/>
      <w:numFmt w:val="lowerRoman"/>
      <w:start w:val="3"/>
    </w:lvl>
  </w:abstractNum>
  <w:abstractNum w:abstractNumId="235">
    <w:nsid w:val="30BB2B9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36">
    <w:nsid w:val="E3DFE6"/>
    <w:multiLevelType w:val="hybridMultilevel"/>
    <w:lvl w:ilvl="0">
      <w:lvlJc w:val="left"/>
      <w:lvlText w:val="(%1)"/>
      <w:numFmt w:val="lowerLetter"/>
      <w:start w:val="6"/>
    </w:lvl>
  </w:abstractNum>
  <w:abstractNum w:abstractNumId="237">
    <w:nsid w:val="595B37F3"/>
    <w:multiLevelType w:val="hybridMultilevel"/>
    <w:lvl w:ilvl="0">
      <w:lvlJc w:val="left"/>
      <w:lvlText w:val="(%1)"/>
      <w:numFmt w:val="lowerLetter"/>
      <w:start w:val="1"/>
    </w:lvl>
  </w:abstractNum>
  <w:abstractNum w:abstractNumId="238">
    <w:nsid w:val="71DB7E02"/>
    <w:multiLevelType w:val="hybridMultilevel"/>
    <w:lvl w:ilvl="0">
      <w:lvlJc w:val="left"/>
      <w:lvlText w:val="%1"/>
      <w:numFmt w:val="decimal"/>
      <w:start w:val="1"/>
    </w:lvl>
    <w:lvl w:ilvl="1">
      <w:lvlJc w:val="left"/>
      <w:lvlText w:val="(%2)"/>
      <w:numFmt w:val="lowerLetter"/>
      <w:start w:val="1"/>
    </w:lvl>
  </w:abstractNum>
  <w:abstractNum w:abstractNumId="239">
    <w:nsid w:val="17EC0C4"/>
    <w:multiLevelType w:val="hybridMultilevel"/>
    <w:lvl w:ilvl="0">
      <w:lvlJc w:val="left"/>
      <w:lvlText w:val="(%1)"/>
      <w:numFmt w:val="decimal"/>
      <w:start w:val="60"/>
    </w:lvl>
    <w:lvl w:ilvl="1">
      <w:lvlJc w:val="left"/>
      <w:lvlText w:val="%2"/>
      <w:numFmt w:val="lowerLetter"/>
      <w:start w:val="1"/>
    </w:lvl>
  </w:abstractNum>
  <w:abstractNum w:abstractNumId="240">
    <w:nsid w:val="7173BB2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41">
    <w:nsid w:val="169E1DD3"/>
    <w:multiLevelType w:val="hybridMultilevel"/>
    <w:lvl w:ilvl="0">
      <w:lvlJc w:val="left"/>
      <w:lvlText w:val="[***]"/>
      <w:numFmt w:val="bullet"/>
      <w:start w:val="1"/>
    </w:lvl>
    <w:lvl w:ilvl="1">
      <w:lvlJc w:val="left"/>
      <w:lvlText w:val="(%2)"/>
      <w:numFmt w:val="lowerLetter"/>
      <w:start w:val="3"/>
    </w:lvl>
  </w:abstractNum>
  <w:abstractNum w:abstractNumId="242">
    <w:nsid w:val="51D141CC"/>
    <w:multiLevelType w:val="hybridMultilevel"/>
    <w:lvl w:ilvl="0">
      <w:lvlJc w:val="left"/>
      <w:lvlText w:val="(%1)"/>
      <w:numFmt w:val="lowerLetter"/>
      <w:start w:val="1"/>
    </w:lvl>
  </w:abstractNum>
  <w:abstractNum w:abstractNumId="243">
    <w:nsid w:val="12F9357A"/>
    <w:multiLevelType w:val="hybridMultilevel"/>
    <w:lvl w:ilvl="0">
      <w:lvlJc w:val="left"/>
      <w:lvlText w:val="[***]"/>
      <w:numFmt w:val="bullet"/>
      <w:start w:val="1"/>
    </w:lvl>
    <w:lvl w:ilvl="1">
      <w:lvlJc w:val="left"/>
      <w:lvlText w:val="(%2)"/>
      <w:numFmt w:val="lowerLetter"/>
      <w:start w:val="3"/>
    </w:lvl>
  </w:abstractNum>
  <w:abstractNum w:abstractNumId="244">
    <w:nsid w:val="7672CF28"/>
    <w:multiLevelType w:val="hybridMultilevel"/>
    <w:lvl w:ilvl="0">
      <w:lvlJc w:val="left"/>
      <w:lvlText w:val="(%1)"/>
      <w:numFmt w:val="lowerLetter"/>
      <w:start w:val="7"/>
    </w:lvl>
  </w:abstractNum>
  <w:abstractNum w:abstractNumId="245">
    <w:nsid w:val="567D2763"/>
    <w:multiLevelType w:val="hybridMultilevel"/>
    <w:lvl w:ilvl="0">
      <w:lvlJc w:val="left"/>
      <w:lvlText w:val="[***]"/>
      <w:numFmt w:val="bullet"/>
      <w:start w:val="1"/>
    </w:lvl>
    <w:lvl w:ilvl="1">
      <w:lvlJc w:val="left"/>
      <w:lvlText w:val="(%2)"/>
      <w:numFmt w:val="lowerLetter"/>
      <w:start w:val="11"/>
    </w:lvl>
  </w:abstractNum>
  <w:abstractNum w:abstractNumId="246">
    <w:nsid w:val="6F5DE2EF"/>
    <w:multiLevelType w:val="hybridMultilevel"/>
    <w:lvl w:ilvl="0">
      <w:lvlJc w:val="left"/>
      <w:lvlText w:val="(%1)"/>
      <w:numFmt w:val="lowerLetter"/>
      <w:start w:val="15"/>
    </w:lvl>
  </w:abstractNum>
  <w:abstractNum w:abstractNumId="247">
    <w:nsid w:val="23502A61"/>
    <w:multiLevelType w:val="hybridMultilevel"/>
    <w:lvl w:ilvl="0">
      <w:lvlJc w:val="left"/>
      <w:lvlText w:val="[***]"/>
      <w:numFmt w:val="bullet"/>
      <w:start w:val="1"/>
    </w:lvl>
    <w:lvl w:ilvl="1">
      <w:lvlJc w:val="left"/>
      <w:lvlText w:val="(%2)"/>
      <w:numFmt w:val="lowerLetter"/>
      <w:start w:val="1"/>
    </w:lvl>
  </w:abstractNum>
  <w:abstractNum w:abstractNumId="248">
    <w:nsid w:val="461BC834"/>
    <w:multiLevelType w:val="hybridMultilevel"/>
    <w:lvl w:ilvl="0">
      <w:lvlJc w:val="left"/>
      <w:lvlText w:val="[***]"/>
      <w:numFmt w:val="bullet"/>
      <w:start w:val="1"/>
    </w:lvl>
  </w:abstractNum>
  <w:abstractNum w:abstractNumId="249">
    <w:nsid w:val="13DDA79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50">
    <w:nsid w:val="6A104566"/>
    <w:multiLevelType w:val="hybridMultilevel"/>
    <w:lvl w:ilvl="0">
      <w:lvlJc w:val="left"/>
      <w:lvlText w:val="[***]"/>
      <w:numFmt w:val="bullet"/>
      <w:start w:val="1"/>
    </w:lvl>
  </w:abstractNum>
  <w:abstractNum w:abstractNumId="251">
    <w:nsid w:val="1C8A8ACF"/>
    <w:multiLevelType w:val="hybridMultilevel"/>
    <w:lvl w:ilvl="0">
      <w:lvlJc w:val="left"/>
      <w:lvlText w:val="(%1)"/>
      <w:numFmt w:val="lowerLetter"/>
      <w:start w:val="3"/>
    </w:lvl>
  </w:abstractNum>
  <w:abstractNum w:abstractNumId="252">
    <w:nsid w:val="E73DFE0"/>
    <w:multiLevelType w:val="hybridMultilevel"/>
    <w:lvl w:ilvl="0">
      <w:lvlJc w:val="left"/>
      <w:lvlText w:val="[***]"/>
      <w:numFmt w:val="bullet"/>
      <w:start w:val="1"/>
    </w:lvl>
    <w:lvl w:ilvl="1">
      <w:lvlJc w:val="left"/>
      <w:lvlText w:val="(%2)"/>
      <w:numFmt w:val="lowerLetter"/>
      <w:start w:val="1"/>
    </w:lvl>
  </w:abstractNum>
  <w:abstractNum w:abstractNumId="253">
    <w:nsid w:val="39F174C7"/>
    <w:multiLevelType w:val="hybridMultilevel"/>
    <w:lvl w:ilvl="0">
      <w:lvlJc w:val="left"/>
      <w:lvlText w:val="(%1)"/>
      <w:numFmt w:val="lowerLetter"/>
      <w:start w:val="4"/>
    </w:lvl>
  </w:abstractNum>
  <w:abstractNum w:abstractNumId="254">
    <w:nsid w:val="6E2E2D53"/>
    <w:multiLevelType w:val="hybridMultilevel"/>
    <w:lvl w:ilvl="0">
      <w:lvlJc w:val="left"/>
      <w:lvlText w:val="[***]"/>
      <w:numFmt w:val="bullet"/>
      <w:start w:val="1"/>
    </w:lvl>
  </w:abstractNum>
  <w:abstractNum w:abstractNumId="255">
    <w:nsid w:val="45DC439D"/>
    <w:multiLevelType w:val="hybridMultilevel"/>
    <w:lvl w:ilvl="0">
      <w:lvlJc w:val="left"/>
      <w:lvlText w:val="(%1)"/>
      <w:numFmt w:val="lowerLetter"/>
      <w:start w:val="1"/>
    </w:lvl>
  </w:abstractNum>
  <w:abstractNum w:abstractNumId="256">
    <w:nsid w:val="3B0A3B87"/>
    <w:multiLevelType w:val="hybridMultilevel"/>
    <w:lvl w:ilvl="0">
      <w:lvlJc w:val="left"/>
      <w:lvlText w:val="(%1)"/>
      <w:numFmt w:val="lowerLetter"/>
      <w:start w:val="1"/>
    </w:lvl>
  </w:abstractNum>
  <w:abstractNum w:abstractNumId="257">
    <w:nsid w:val="6DAC7768"/>
    <w:multiLevelType w:val="hybridMultilevel"/>
    <w:lvl w:ilvl="0">
      <w:lvlJc w:val="left"/>
      <w:lvlText w:val="[***]"/>
      <w:numFmt w:val="bullet"/>
      <w:start w:val="1"/>
    </w:lvl>
    <w:lvl w:ilvl="1">
      <w:lvlJc w:val="left"/>
      <w:lvlText w:val="(%2)"/>
      <w:numFmt w:val="lowerLetter"/>
      <w:start w:val="1"/>
    </w:lvl>
  </w:abstractNum>
  <w:abstractNum w:abstractNumId="258">
    <w:nsid w:val="746AE2E4"/>
    <w:multiLevelType w:val="hybridMultilevel"/>
    <w:lvl w:ilvl="0">
      <w:lvlJc w:val="left"/>
      <w:lvlText w:val="[***]"/>
      <w:numFmt w:val="bullet"/>
      <w:start w:val="1"/>
    </w:lvl>
    <w:lvl w:ilvl="1">
      <w:lvlJc w:val="left"/>
      <w:lvlText w:val="(%2)"/>
      <w:numFmt w:val="lowerLetter"/>
      <w:start w:val="1"/>
    </w:lvl>
  </w:abstractNum>
  <w:abstractNum w:abstractNumId="259">
    <w:nsid w:val="317E611D"/>
    <w:multiLevelType w:val="hybridMultilevel"/>
    <w:lvl w:ilvl="0">
      <w:lvlJc w:val="left"/>
      <w:lvlText w:val="(%1)"/>
      <w:numFmt w:val="lowerLetter"/>
      <w:start w:val="2"/>
    </w:lvl>
  </w:abstractNum>
  <w:abstractNum w:abstractNumId="260">
    <w:nsid w:val="7A61D75B"/>
    <w:multiLevelType w:val="hybridMultilevel"/>
    <w:lvl w:ilvl="0">
      <w:lvlJc w:val="left"/>
      <w:lvlText w:val="(%1)"/>
      <w:numFmt w:val="lowerLetter"/>
      <w:start w:val="3"/>
    </w:lvl>
  </w:abstractNum>
  <w:abstractNum w:abstractNumId="261">
    <w:nsid w:val="164A1482"/>
    <w:multiLevelType w:val="hybridMultilevel"/>
    <w:lvl w:ilvl="0">
      <w:lvlJc w:val="left"/>
      <w:lvlText w:val="[***]"/>
      <w:numFmt w:val="bullet"/>
      <w:start w:val="1"/>
    </w:lvl>
  </w:abstractNum>
  <w:abstractNum w:abstractNumId="262">
    <w:nsid w:val="1806546B"/>
    <w:multiLevelType w:val="hybridMultilevel"/>
    <w:lvl w:ilvl="0">
      <w:lvlJc w:val="left"/>
      <w:lvlText w:val="[***]"/>
      <w:numFmt w:val="bullet"/>
      <w:start w:val="1"/>
    </w:lvl>
  </w:abstractNum>
  <w:abstractNum w:abstractNumId="263">
    <w:nsid w:val="1FA33267"/>
    <w:multiLevelType w:val="hybridMultilevel"/>
    <w:lvl w:ilvl="0">
      <w:lvlJc w:val="left"/>
      <w:lvlText w:val="[***]"/>
      <w:numFmt w:val="bullet"/>
      <w:start w:val="1"/>
    </w:lvl>
  </w:abstractNum>
  <w:abstractNum w:abstractNumId="264">
    <w:nsid w:val="2E19DD00"/>
    <w:multiLevelType w:val="hybridMultilevel"/>
    <w:lvl w:ilvl="0">
      <w:lvlJc w:val="left"/>
      <w:lvlText w:val="[***]"/>
      <w:numFmt w:val="bullet"/>
      <w:start w:val="1"/>
    </w:lvl>
  </w:abstractNum>
  <w:abstractNum w:abstractNumId="265">
    <w:nsid w:val="756D30D0"/>
    <w:multiLevelType w:val="hybridMultilevel"/>
    <w:lvl w:ilvl="0">
      <w:lvlJc w:val="left"/>
      <w:lvlText w:val="%1."/>
      <w:numFmt w:val="decimal"/>
      <w:start w:val="1"/>
    </w:lvl>
  </w:abstractNum>
  <w:abstractNum w:abstractNumId="266">
    <w:nsid w:val="505E5E01"/>
    <w:multiLevelType w:val="hybridMultilevel"/>
    <w:lvl w:ilvl="0">
      <w:lvlJc w:val="left"/>
      <w:lvlText w:val="[***]"/>
      <w:numFmt w:val="bullet"/>
      <w:start w:val="1"/>
    </w:lvl>
  </w:abstractNum>
  <w:abstractNum w:abstractNumId="267">
    <w:nsid w:val="2EFDBCE6"/>
    <w:multiLevelType w:val="hybridMultilevel"/>
    <w:lvl w:ilvl="0">
      <w:lvlJc w:val="left"/>
      <w:lvlText w:val="[***]"/>
      <w:numFmt w:val="bullet"/>
      <w:start w:val="1"/>
    </w:lvl>
  </w:abstractNum>
  <w:abstractNum w:abstractNumId="268">
    <w:nsid w:val="4EC868C4"/>
    <w:multiLevelType w:val="hybridMultilevel"/>
    <w:lvl w:ilvl="0">
      <w:lvlJc w:val="left"/>
      <w:lvlText w:val="[***]"/>
      <w:numFmt w:val="bullet"/>
      <w:start w:val="1"/>
    </w:lvl>
  </w:abstractNum>
  <w:abstractNum w:abstractNumId="269">
    <w:nsid w:val="4239DC03"/>
    <w:multiLevelType w:val="hybridMultilevel"/>
    <w:lvl w:ilvl="0">
      <w:lvlJc w:val="left"/>
      <w:lvlText w:val="[***]"/>
      <w:numFmt w:val="bullet"/>
      <w:start w:val="1"/>
    </w:lvl>
  </w:abstractNum>
  <w:abstractNum w:abstractNumId="270">
    <w:nsid w:val="307C7DAA"/>
    <w:multiLevelType w:val="hybridMultilevel"/>
    <w:lvl w:ilvl="0">
      <w:lvlJc w:val="left"/>
      <w:lvlText w:val="•"/>
      <w:numFmt w:val="bullet"/>
      <w:start w:val="1"/>
    </w:lvl>
  </w:abstractNum>
  <w:abstractNum w:abstractNumId="271">
    <w:nsid w:val="403C23E6"/>
    <w:multiLevelType w:val="hybridMultilevel"/>
    <w:lvl w:ilvl="0">
      <w:lvlJc w:val="left"/>
      <w:lvlText w:val="•"/>
      <w:numFmt w:val="bullet"/>
      <w:start w:val="1"/>
    </w:lvl>
  </w:abstractNum>
  <w:abstractNum w:abstractNumId="272">
    <w:nsid w:val="58D7F9D7"/>
    <w:multiLevelType w:val="hybridMultilevel"/>
    <w:lvl w:ilvl="0">
      <w:lvlJc w:val="left"/>
      <w:lvlText w:val="•"/>
      <w:numFmt w:val="bullet"/>
      <w:start w:val="1"/>
    </w:lvl>
  </w:abstractNum>
  <w:abstractNum w:abstractNumId="273">
    <w:nsid w:val="24DBF76"/>
    <w:multiLevelType w:val="hybridMultilevel"/>
    <w:lvl w:ilvl="0">
      <w:lvlJc w:val="left"/>
      <w:lvlText w:val="(%1)"/>
      <w:numFmt w:val="lowerRoman"/>
      <w:start w:val="1"/>
    </w:lvl>
  </w:abstractNum>
  <w:abstractNum w:abstractNumId="274">
    <w:nsid w:val="53355960"/>
    <w:multiLevelType w:val="hybridMultilevel"/>
    <w:lvl w:ilvl="0">
      <w:lvlJc w:val="left"/>
      <w:lvlText w:val="(%1)"/>
      <w:numFmt w:val="lowerRoman"/>
      <w:start w:val="7"/>
    </w:lvl>
  </w:abstractNum>
  <w:abstractNum w:abstractNumId="275">
    <w:nsid w:val="4F4AC8FF"/>
    <w:multiLevelType w:val="hybridMultilevel"/>
    <w:lvl w:ilvl="0">
      <w:lvlJc w:val="left"/>
      <w:lvlText w:val="[***]"/>
      <w:numFmt w:val="bullet"/>
      <w:start w:val="1"/>
    </w:lvl>
    <w:lvl w:ilvl="1">
      <w:lvlJc w:val="left"/>
      <w:lvlText w:val="%2."/>
      <w:numFmt w:val="lowerLetter"/>
      <w:start w:val="1"/>
    </w:lvl>
  </w:abstractNum>
  <w:abstractNum w:abstractNumId="276">
    <w:nsid w:val="58CAE6D9"/>
    <w:multiLevelType w:val="hybridMultilevel"/>
    <w:lvl w:ilvl="0">
      <w:lvlJc w:val="left"/>
      <w:lvlText w:val="%1."/>
      <w:numFmt w:val="lowerLetter"/>
      <w:start w:val="6"/>
    </w:lvl>
  </w:abstractNum>
  <w:abstractNum w:abstractNumId="277">
    <w:nsid w:val="42933C4F"/>
    <w:multiLevelType w:val="hybridMultilevel"/>
    <w:lvl w:ilvl="0">
      <w:lvlJc w:val="left"/>
      <w:lvlText w:val="[***]"/>
      <w:numFmt w:val="bullet"/>
      <w:start w:val="1"/>
    </w:lvl>
  </w:abstractNum>
  <w:abstractNum w:abstractNumId="278">
    <w:nsid w:val="729AF360"/>
    <w:multiLevelType w:val="hybridMultilevel"/>
    <w:lvl w:ilvl="0">
      <w:lvlJc w:val="left"/>
      <w:lvlText w:val="A"/>
      <w:numFmt w:val="bullet"/>
      <w:start w:val="1"/>
    </w:lvl>
    <w:lvl w:ilvl="1">
      <w:lvlJc w:val="left"/>
      <w:lvlText w:val="%2."/>
      <w:numFmt w:val="decimal"/>
      <w:start w:val="1"/>
    </w:lvl>
  </w:abstractNum>
  <w:abstractNum w:abstractNumId="279">
    <w:nsid w:val="1EE6AF0D"/>
    <w:multiLevelType w:val="hybridMultilevel"/>
    <w:lvl w:ilvl="0">
      <w:lvlJc w:val="left"/>
      <w:lvlText w:val="B"/>
      <w:numFmt w:val="bullet"/>
      <w:start w:val="1"/>
    </w:lvl>
    <w:lvl w:ilvl="1">
      <w:lvlJc w:val="left"/>
      <w:lvlText w:val="%2."/>
      <w:numFmt w:val="decimal"/>
      <w:start w:val="1"/>
    </w:lvl>
  </w:abstractNum>
  <w:abstractNum w:abstractNumId="280">
    <w:nsid w:val="5670E3ED"/>
    <w:multiLevelType w:val="hybridMultilevel"/>
    <w:lvl w:ilvl="0">
      <w:lvlJc w:val="left"/>
      <w:lvlText w:val="C"/>
      <w:numFmt w:val="bullet"/>
      <w:start w:val="1"/>
    </w:lvl>
  </w:abstractNum>
  <w:abstractNum w:abstractNumId="281">
    <w:nsid w:val="5CAB38C6"/>
    <w:multiLevelType w:val="hybridMultilevel"/>
    <w:lvl w:ilvl="0">
      <w:lvlJc w:val="left"/>
      <w:lvlText w:val="D"/>
      <w:numFmt w:val="bullet"/>
      <w:start w:val="1"/>
    </w:lvl>
  </w:abstractNum>
  <w:abstractNum w:abstractNumId="282">
    <w:nsid w:val="3B7139DD"/>
    <w:multiLevelType w:val="hybridMultilevel"/>
    <w:lvl w:ilvl="0">
      <w:lvlJc w:val="left"/>
      <w:lvlText w:val="E"/>
      <w:numFmt w:val="bullet"/>
      <w:start w:val="1"/>
    </w:lvl>
  </w:abstractNum>
  <w:abstractNum w:abstractNumId="283">
    <w:nsid w:val="64E4C3CD"/>
    <w:multiLevelType w:val="hybridMultilevel"/>
    <w:lvl w:ilvl="0">
      <w:lvlJc w:val="left"/>
      <w:lvlText w:val="F"/>
      <w:numFmt w:val="bullet"/>
      <w:start w:val="1"/>
    </w:lvl>
  </w:abstractNum>
  <w:abstractNum w:abstractNumId="284">
    <w:nsid w:val="169CAD8D"/>
    <w:multiLevelType w:val="hybridMultilevel"/>
    <w:lvl w:ilvl="0">
      <w:lvlJc w:val="left"/>
      <w:lvlText w:val="G"/>
      <w:numFmt w:val="bullet"/>
      <w:start w:val="1"/>
    </w:lvl>
  </w:abstractNum>
  <w:abstractNum w:abstractNumId="285">
    <w:nsid w:val="299F6730"/>
    <w:multiLevelType w:val="hybridMultilevel"/>
    <w:lvl w:ilvl="0">
      <w:lvlJc w:val="left"/>
      <w:lvlText w:val="H"/>
      <w:numFmt w:val="bullet"/>
      <w:start w:val="1"/>
    </w:lvl>
  </w:abstractNum>
  <w:abstractNum w:abstractNumId="286">
    <w:nsid w:val="2AC1076A"/>
    <w:multiLevelType w:val="hybridMultilevel"/>
    <w:lvl w:ilvl="0">
      <w:lvlJc w:val="left"/>
      <w:lvlText w:val="I"/>
      <w:numFmt w:val="bullet"/>
      <w:start w:val="1"/>
    </w:lvl>
    <w:lvl w:ilvl="1">
      <w:lvlJc w:val="left"/>
      <w:lvlText w:val="%2."/>
      <w:numFmt w:val="decimal"/>
      <w:start w:val="1"/>
    </w:lvl>
    <w:lvl w:ilvl="2">
      <w:lvlJc w:val="left"/>
      <w:lvlText w:val="(%3)"/>
      <w:numFmt w:val="lowerLetter"/>
      <w:start w:val="1"/>
    </w:lvl>
  </w:abstractNum>
  <w:abstractNum w:abstractNumId="287">
    <w:nsid w:val="51A6E915"/>
    <w:multiLevelType w:val="hybridMultilevel"/>
    <w:lvl w:ilvl="0">
      <w:lvlJc w:val="left"/>
      <w:lvlText w:val="J"/>
      <w:numFmt w:val="bullet"/>
      <w:start w:val="1"/>
    </w:lvl>
  </w:abstractNum>
  <w:abstractNum w:abstractNumId="288">
    <w:nsid w:val="174BDE99"/>
    <w:multiLevelType w:val="hybridMultilevel"/>
    <w:lvl w:ilvl="0">
      <w:lvlJc w:val="left"/>
      <w:lvlText w:val="K"/>
      <w:numFmt w:val="bullet"/>
      <w:start w:val="1"/>
    </w:lvl>
  </w:abstractNum>
  <w:abstractNum w:abstractNumId="289">
    <w:nsid w:val="1F2BEA4E"/>
    <w:multiLevelType w:val="hybridMultilevel"/>
    <w:lvl w:ilvl="0">
      <w:lvlJc w:val="left"/>
      <w:lvlText w:val="%1."/>
      <w:numFmt w:val="lowerLetter"/>
      <w:start w:val="1"/>
    </w:lvl>
  </w:abstractNum>
  <w:abstractNum w:abstractNumId="290">
    <w:nsid w:val="3254A32"/>
    <w:multiLevelType w:val="hybridMultilevel"/>
    <w:lvl w:ilvl="0">
      <w:lvlJc w:val="left"/>
      <w:lvlText w:val="[***]"/>
      <w:numFmt w:val="bullet"/>
      <w:start w:val="1"/>
    </w:lvl>
  </w:abstractNum>
  <w:abstractNum w:abstractNumId="291">
    <w:nsid w:val="11ADB5F4"/>
    <w:multiLevelType w:val="hybridMultilevel"/>
    <w:lvl w:ilvl="0">
      <w:lvlJc w:val="left"/>
      <w:lvlText w:val="•"/>
      <w:numFmt w:val="bullet"/>
      <w:start w:val="1"/>
    </w:lvl>
  </w:abstractNum>
  <w:abstractNum w:abstractNumId="292">
    <w:nsid w:val="3575FED1"/>
    <w:multiLevelType w:val="hybridMultilevel"/>
    <w:lvl w:ilvl="0">
      <w:lvlJc w:val="left"/>
      <w:lvlText w:val="%1."/>
      <w:numFmt w:val="decimal"/>
      <w:start w:val="3"/>
    </w:lvl>
  </w:abstractNum>
  <w:abstractNum w:abstractNumId="293">
    <w:nsid w:val="1B2B9E9D"/>
    <w:multiLevelType w:val="hybridMultilevel"/>
    <w:lvl w:ilvl="0">
      <w:lvlJc w:val="left"/>
      <w:lvlText w:val="[***]"/>
      <w:numFmt w:val="bullet"/>
      <w:start w:val="1"/>
    </w:lvl>
    <w:lvl w:ilvl="1">
      <w:lvlJc w:val="left"/>
      <w:lvlText w:val="•"/>
      <w:numFmt w:val="bullet"/>
      <w:start w:val="1"/>
    </w:lvl>
  </w:abstractNum>
  <w:abstractNum w:abstractNumId="294">
    <w:nsid w:val="3150E85C"/>
    <w:multiLevelType w:val="hybridMultilevel"/>
    <w:lvl w:ilvl="0">
      <w:lvlJc w:val="left"/>
      <w:lvlText w:val="[***]"/>
      <w:numFmt w:val="bullet"/>
      <w:start w:val="1"/>
    </w:lvl>
  </w:abstractNum>
  <w:abstractNum w:abstractNumId="295">
    <w:nsid w:val="638FDBD1"/>
    <w:multiLevelType w:val="hybridMultilevel"/>
    <w:lvl w:ilvl="0">
      <w:lvlJc w:val="left"/>
      <w:lvlText w:val="(%1)"/>
      <w:numFmt w:val="lowerRoman"/>
      <w:start w:val="3"/>
    </w:lvl>
  </w:abstractNum>
  <w:abstractNum w:abstractNumId="296">
    <w:nsid w:val="1098CF6E"/>
    <w:multiLevelType w:val="hybridMultilevel"/>
    <w:lvl w:ilvl="0">
      <w:lvlJc w:val="left"/>
      <w:lvlText w:val="[***]"/>
      <w:numFmt w:val="bullet"/>
      <w:start w:val="1"/>
    </w:lvl>
  </w:abstractNum>
  <w:abstractNum w:abstractNumId="297">
    <w:nsid w:val="1AF465D"/>
    <w:multiLevelType w:val="hybridMultilevel"/>
    <w:lvl w:ilvl="0">
      <w:lvlJc w:val="left"/>
      <w:lvlText w:val="[***]"/>
      <w:numFmt w:val="bullet"/>
      <w:start w:val="1"/>
    </w:lvl>
    <w:lvl w:ilvl="1">
      <w:lvlJc w:val="left"/>
      <w:lvlText w:val="(%2)"/>
      <w:numFmt w:val="lowerLetter"/>
      <w:start w:val="1"/>
    </w:lvl>
  </w:abstractNum>
  <w:abstractNum w:abstractNumId="298">
    <w:nsid w:val="128D98B7"/>
    <w:multiLevelType w:val="hybridMultilevel"/>
    <w:lvl w:ilvl="0">
      <w:lvlJc w:val="left"/>
      <w:lvlText w:val="[***]"/>
      <w:numFmt w:val="bullet"/>
      <w:start w:val="1"/>
    </w:lvl>
    <w:lvl w:ilvl="1">
      <w:lvlJc w:val="left"/>
      <w:lvlText w:val="(%2)"/>
      <w:numFmt w:val="lowerRoman"/>
      <w:start w:val="1"/>
    </w:lvl>
  </w:abstractNum>
  <w:abstractNum w:abstractNumId="299">
    <w:nsid w:val="5F613832"/>
    <w:multiLevelType w:val="hybridMultilevel"/>
    <w:lvl w:ilvl="0">
      <w:lvlJc w:val="left"/>
      <w:lvlText w:val="[***]"/>
      <w:numFmt w:val="bullet"/>
      <w:start w:val="1"/>
    </w:lvl>
    <w:lvl w:ilvl="1">
      <w:lvlJc w:val="left"/>
      <w:lvlText w:val="(%2)"/>
      <w:numFmt w:val="lowerRoman"/>
      <w:start w:val="4"/>
    </w:lvl>
  </w:abstractNum>
  <w:abstractNum w:abstractNumId="300">
    <w:nsid w:val="43E92260"/>
    <w:multiLevelType w:val="hybridMultilevel"/>
    <w:lvl w:ilvl="0">
      <w:lvlJc w:val="left"/>
      <w:lvlText w:val="[***]"/>
      <w:numFmt w:val="bullet"/>
      <w:start w:val="1"/>
    </w:lvl>
    <w:lvl w:ilvl="1">
      <w:lvlJc w:val="left"/>
      <w:lvlText w:val="(%2)"/>
      <w:numFmt w:val="lowerLetter"/>
      <w:start w:val="2"/>
    </w:lvl>
  </w:abstractNum>
  <w:abstractNum w:abstractNumId="301">
    <w:nsid w:val="430A1662"/>
    <w:multiLevelType w:val="hybridMultilevel"/>
    <w:lvl w:ilvl="0">
      <w:lvlJc w:val="left"/>
      <w:lvlText w:val="[***]"/>
      <w:numFmt w:val="bullet"/>
      <w:start w:val="1"/>
    </w:lvl>
    <w:lvl w:ilvl="1">
      <w:lvlJc w:val="left"/>
      <w:lvlText w:val="(%2)"/>
      <w:numFmt w:val="lowerLetter"/>
      <w:start w:val="1"/>
    </w:lvl>
  </w:abstractNum>
  <w:abstractNum w:abstractNumId="302">
    <w:nsid w:val="1F9D5C18"/>
    <w:multiLevelType w:val="hybridMultilevel"/>
    <w:lvl w:ilvl="0">
      <w:lvlJc w:val="left"/>
      <w:lvlText w:val="[***]"/>
      <w:numFmt w:val="bullet"/>
      <w:start w:val="1"/>
    </w:lvl>
  </w:abstractNum>
  <w:abstractNum w:abstractNumId="303">
    <w:nsid w:val="1CC11C37"/>
    <w:multiLevelType w:val="hybridMultilevel"/>
    <w:lvl w:ilvl="0">
      <w:lvlJc w:val="left"/>
      <w:lvlText w:val="[***]"/>
      <w:numFmt w:val="bullet"/>
      <w:start w:val="1"/>
    </w:lvl>
  </w:abstractNum>
  <w:abstractNum w:abstractNumId="304">
    <w:nsid w:val="4557D5D8"/>
    <w:multiLevelType w:val="hybridMultilevel"/>
    <w:lvl w:ilvl="0">
      <w:lvlJc w:val="left"/>
      <w:lvlText w:val="[***]"/>
      <w:numFmt w:val="bullet"/>
      <w:start w:val="1"/>
    </w:lvl>
  </w:abstractNum>
  <w:abstractNum w:abstractNumId="305">
    <w:nsid w:val="72D2B579"/>
    <w:multiLevelType w:val="hybridMultilevel"/>
    <w:lvl w:ilvl="0">
      <w:lvlJc w:val="left"/>
      <w:lvlText w:val="(%1)"/>
      <w:numFmt w:val="lowerRoman"/>
      <w:start w:val="1"/>
    </w:lvl>
  </w:abstractNum>
  <w:abstractNum w:abstractNumId="306">
    <w:nsid w:val="6C0BE536"/>
    <w:multiLevelType w:val="hybridMultilevel"/>
    <w:lvl w:ilvl="0">
      <w:lvlJc w:val="left"/>
      <w:lvlText w:val="[***]"/>
      <w:numFmt w:val="bullet"/>
      <w:start w:val="1"/>
    </w:lvl>
  </w:abstractNum>
  <w:abstractNum w:abstractNumId="307">
    <w:nsid w:val="1E22BCB2"/>
    <w:multiLevelType w:val="hybridMultilevel"/>
    <w:lvl w:ilvl="0">
      <w:lvlJc w:val="left"/>
      <w:lvlText w:val="[***]"/>
      <w:numFmt w:val="bullet"/>
      <w:start w:val="1"/>
    </w:lvl>
  </w:abstractNum>
  <w:abstractNum w:abstractNumId="308">
    <w:nsid w:val="3565F1C8"/>
    <w:multiLevelType w:val="hybridMultilevel"/>
    <w:lvl w:ilvl="0">
      <w:lvlJc w:val="left"/>
      <w:lvlText w:val="[***]"/>
      <w:numFmt w:val="bullet"/>
      <w:start w:val="1"/>
    </w:lvl>
  </w:abstractNum>
  <w:abstractNum w:abstractNumId="309">
    <w:nsid w:val="5EA6D896"/>
    <w:multiLevelType w:val="hybridMultilevel"/>
    <w:lvl w:ilvl="0">
      <w:lvlJc w:val="left"/>
      <w:lvlText w:val="(%1)"/>
      <w:numFmt w:val="lowerRoman"/>
      <w:start w:val="6"/>
    </w:lvl>
  </w:abstractNum>
  <w:abstractNum w:abstractNumId="310">
    <w:nsid w:val="3D096BBF"/>
    <w:multiLevelType w:val="hybridMultilevel"/>
    <w:lvl w:ilvl="0">
      <w:lvlJc w:val="left"/>
      <w:lvlText w:val="[***]"/>
      <w:numFmt w:val="bullet"/>
      <w:start w:val="1"/>
    </w:lvl>
  </w:abstractNum>
  <w:abstractNum w:abstractNumId="311">
    <w:nsid w:val="BD6D5B5"/>
    <w:multiLevelType w:val="hybridMultilevel"/>
    <w:lvl w:ilvl="0">
      <w:lvlJc w:val="left"/>
      <w:lvlText w:val="(%1)"/>
      <w:numFmt w:val="lowerLetter"/>
      <w:start w:val="1"/>
    </w:lvl>
  </w:abstractNum>
  <w:abstractNum w:abstractNumId="312">
    <w:nsid w:val="3B52115C"/>
    <w:multiLevelType w:val="hybridMultilevel"/>
    <w:lvl w:ilvl="0">
      <w:lvlJc w:val="left"/>
      <w:lvlText w:val="[***]"/>
      <w:numFmt w:val="bullet"/>
      <w:start w:val="1"/>
    </w:lvl>
  </w:abstractNum>
  <w:abstractNum w:abstractNumId="313">
    <w:nsid w:val="787AA59C"/>
    <w:multiLevelType w:val="hybridMultilevel"/>
    <w:lvl w:ilvl="0">
      <w:lvlJc w:val="left"/>
      <w:lvlText w:val="[***]"/>
      <w:numFmt w:val="bullet"/>
      <w:start w:val="1"/>
    </w:lvl>
  </w:abstractNum>
  <w:abstractNum w:abstractNumId="314">
    <w:nsid w:val="70BB9983"/>
    <w:multiLevelType w:val="hybridMultilevel"/>
    <w:lvl w:ilvl="0">
      <w:lvlJc w:val="left"/>
      <w:lvlText w:val="(%1)"/>
      <w:numFmt w:val="lowerRoman"/>
      <w:start w:val="1"/>
    </w:lvl>
  </w:abstractNum>
  <w:abstractNum w:abstractNumId="315">
    <w:nsid w:val="51EEBEEA"/>
    <w:multiLevelType w:val="hybridMultilevel"/>
    <w:lvl w:ilvl="0">
      <w:lvlJc w:val="left"/>
      <w:lvlText w:val="[***]"/>
      <w:numFmt w:val="bullet"/>
      <w:start w:val="1"/>
    </w:lvl>
  </w:abstractNum>
  <w:abstractNum w:abstractNumId="316">
    <w:nsid w:val="221A0CCD"/>
    <w:multiLevelType w:val="hybridMultilevel"/>
    <w:lvl w:ilvl="0">
      <w:lvlJc w:val="left"/>
      <w:lvlText w:val="(%1)"/>
      <w:numFmt w:val="lowerLetter"/>
      <w:start w:val="2"/>
    </w:lvl>
  </w:abstractNum>
  <w:abstractNum w:abstractNumId="317">
    <w:nsid w:val="1B7CA0ED"/>
    <w:multiLevelType w:val="hybridMultilevel"/>
    <w:lvl w:ilvl="0">
      <w:lvlJc w:val="left"/>
      <w:lvlText w:val="[***]"/>
      <w:numFmt w:val="bullet"/>
      <w:start w:val="1"/>
    </w:lvl>
    <w:lvl w:ilvl="1">
      <w:lvlJc w:val="left"/>
      <w:lvlText w:val="(%2)"/>
      <w:numFmt w:val="lowerLetter"/>
      <w:start w:val="1"/>
    </w:lvl>
  </w:abstractNum>
  <w:abstractNum w:abstractNumId="318">
    <w:nsid w:val="2395A7F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319">
    <w:nsid w:val="3965EB66"/>
    <w:multiLevelType w:val="hybridMultilevel"/>
    <w:lvl w:ilvl="0">
      <w:lvlJc w:val="left"/>
      <w:lvlText w:val="(%1)"/>
      <w:numFmt w:val="lowerRoman"/>
      <w:start w:val="2"/>
    </w:lvl>
  </w:abstractNum>
  <w:abstractNum w:abstractNumId="320">
    <w:nsid w:val="3AA88B3C"/>
    <w:multiLevelType w:val="hybridMultilevel"/>
    <w:lvl w:ilvl="0">
      <w:lvlJc w:val="left"/>
      <w:lvlText w:val="[***]"/>
      <w:numFmt w:val="bullet"/>
      <w:start w:val="1"/>
    </w:lvl>
    <w:lvl w:ilvl="1">
      <w:lvlJc w:val="left"/>
      <w:lvlText w:val="(%2)"/>
      <w:numFmt w:val="lowerLetter"/>
      <w:start w:val="5"/>
    </w:lvl>
  </w:abstractNum>
  <w:abstractNum w:abstractNumId="321">
    <w:nsid w:val="26BAF231"/>
    <w:multiLevelType w:val="hybridMultilevel"/>
    <w:lvl w:ilvl="0">
      <w:lvlJc w:val="left"/>
      <w:lvlText w:val="[***]"/>
      <w:numFmt w:val="bullet"/>
      <w:start w:val="1"/>
    </w:lvl>
  </w:abstractNum>
  <w:abstractNum w:abstractNumId="322">
    <w:nsid w:val="4B13A15A"/>
    <w:multiLevelType w:val="hybridMultilevel"/>
    <w:lvl w:ilvl="0">
      <w:lvlJc w:val="left"/>
      <w:lvlText w:val="[***]"/>
      <w:numFmt w:val="bullet"/>
      <w:start w:val="1"/>
    </w:lvl>
    <w:lvl w:ilvl="1">
      <w:lvlJc w:val="left"/>
      <w:lvlText w:val="(%2)"/>
      <w:numFmt w:val="lowerLetter"/>
      <w:start w:val="1"/>
    </w:lvl>
  </w:abstractNum>
  <w:abstractNum w:abstractNumId="323">
    <w:nsid w:val="701E8A0D"/>
    <w:multiLevelType w:val="hybridMultilevel"/>
    <w:lvl w:ilvl="0">
      <w:lvlJc w:val="left"/>
      <w:lvlText w:val="[***]"/>
      <w:numFmt w:val="bullet"/>
      <w:start w:val="1"/>
    </w:lvl>
    <w:lvl w:ilvl="1">
      <w:lvlJc w:val="left"/>
      <w:lvlText w:val="(%2)"/>
      <w:numFmt w:val="lowerLetter"/>
      <w:start w:val="1"/>
    </w:lvl>
  </w:abstractNum>
  <w:abstractNum w:abstractNumId="324">
    <w:nsid w:val="41E690CF"/>
    <w:multiLevelType w:val="hybridMultilevel"/>
    <w:lvl w:ilvl="0">
      <w:lvlJc w:val="left"/>
      <w:lvlText w:val="(%1)"/>
      <w:numFmt w:val="lowerLetter"/>
      <w:start w:val="3"/>
    </w:lvl>
  </w:abstractNum>
  <w:abstractNum w:abstractNumId="325">
    <w:nsid w:val="7C6489B6"/>
    <w:multiLevelType w:val="hybridMultilevel"/>
    <w:lvl w:ilvl="0">
      <w:lvlJc w:val="left"/>
      <w:lvlText w:val="%1"/>
      <w:numFmt w:val="decimal"/>
      <w:start w:val="1"/>
    </w:lvl>
    <w:lvl w:ilvl="1">
      <w:lvlJc w:val="left"/>
      <w:lvlText w:val="(%2)"/>
      <w:numFmt w:val="lowerLetter"/>
      <w:start w:val="1"/>
    </w:lvl>
  </w:abstractNum>
  <w:abstractNum w:abstractNumId="326">
    <w:nsid w:val="53AE65DE"/>
    <w:multiLevelType w:val="hybridMultilevel"/>
    <w:lvl w:ilvl="0">
      <w:lvlJc w:val="left"/>
      <w:lvlText w:val="(%1)"/>
      <w:numFmt w:val="decimal"/>
      <w:start w:val="1"/>
    </w:lvl>
    <w:lvl w:ilvl="1">
      <w:lvlJc w:val="left"/>
      <w:lvlText w:val="%2"/>
      <w:numFmt w:val="lowerLetter"/>
      <w:start w:val="1"/>
    </w:lvl>
  </w:abstractNum>
  <w:abstractNum w:abstractNumId="327">
    <w:nsid w:val="527F603D"/>
    <w:multiLevelType w:val="hybridMultilevel"/>
    <w:lvl w:ilvl="0">
      <w:lvlJc w:val="left"/>
      <w:lvlText w:val="[***]"/>
      <w:numFmt w:val="bullet"/>
      <w:start w:val="1"/>
    </w:lvl>
  </w:abstractNum>
  <w:abstractNum w:abstractNumId="328">
    <w:nsid w:val="7E13D013"/>
    <w:multiLevelType w:val="hybridMultilevel"/>
    <w:lvl w:ilvl="0">
      <w:lvlJc w:val="left"/>
      <w:lvlText w:val="(%1)"/>
      <w:numFmt w:val="lowerLetter"/>
      <w:start w:val="2"/>
    </w:lvl>
  </w:abstractNum>
  <w:abstractNum w:abstractNumId="329">
    <w:nsid w:val="663BFE95"/>
    <w:multiLevelType w:val="hybridMultilevel"/>
    <w:lvl w:ilvl="0">
      <w:lvlJc w:val="left"/>
      <w:lvlText w:val="[***]"/>
      <w:numFmt w:val="bullet"/>
      <w:start w:val="1"/>
    </w:lvl>
    <w:lvl w:ilvl="1">
      <w:lvlJc w:val="left"/>
      <w:lvlText w:val="(%2)"/>
      <w:numFmt w:val="lowerLetter"/>
      <w:start w:val="1"/>
    </w:lvl>
  </w:abstractNum>
  <w:abstractNum w:abstractNumId="330">
    <w:nsid w:val="31E0986F"/>
    <w:multiLevelType w:val="hybridMultilevel"/>
    <w:lvl w:ilvl="0">
      <w:lvlJc w:val="left"/>
      <w:lvlText w:val="(%1)"/>
      <w:numFmt w:val="lowerLetter"/>
      <w:start w:val="4"/>
    </w:lvl>
  </w:abstractNum>
  <w:abstractNum w:abstractNumId="331">
    <w:nsid w:val="41FCF274"/>
    <w:multiLevelType w:val="hybridMultilevel"/>
    <w:lvl w:ilvl="0">
      <w:lvlJc w:val="left"/>
      <w:lvlText w:val="[***]"/>
      <w:numFmt w:val="bullet"/>
      <w:start w:val="1"/>
    </w:lvl>
  </w:abstractNum>
  <w:abstractNum w:abstractNumId="332">
    <w:nsid w:val="294614F7"/>
    <w:multiLevelType w:val="hybridMultilevel"/>
    <w:lvl w:ilvl="0">
      <w:lvlJc w:val="left"/>
      <w:lvlText w:val="(%1)"/>
      <w:numFmt w:val="lowerLetter"/>
      <w:start w:val="1"/>
    </w:lvl>
  </w:abstractNum>
  <w:abstractNum w:abstractNumId="333">
    <w:nsid w:val="517DF487"/>
    <w:multiLevelType w:val="hybridMultilevel"/>
    <w:lvl w:ilvl="0">
      <w:lvlJc w:val="left"/>
      <w:lvlText w:val="[***]"/>
      <w:numFmt w:val="bullet"/>
      <w:start w:val="1"/>
    </w:lvl>
    <w:lvl w:ilvl="1">
      <w:lvlJc w:val="left"/>
      <w:lvlText w:val="(%2)"/>
      <w:numFmt w:val="lowerLetter"/>
      <w:start w:val="1"/>
    </w:lvl>
  </w:abstractNum>
  <w:abstractNum w:abstractNumId="334">
    <w:nsid w:val="5EBE0EAB"/>
    <w:multiLevelType w:val="hybridMultilevel"/>
    <w:lvl w:ilvl="0">
      <w:lvlJc w:val="left"/>
      <w:lvlText w:val="(%1)"/>
      <w:numFmt w:val="lowerLetter"/>
      <w:start w:val="3"/>
    </w:lvl>
  </w:abstractNum>
  <w:abstractNum w:abstractNumId="335">
    <w:nsid w:val="6E9DEAD0"/>
    <w:multiLevelType w:val="hybridMultilevel"/>
    <w:lvl w:ilvl="0">
      <w:lvlJc w:val="left"/>
      <w:lvlText w:val="[***]"/>
      <w:numFmt w:val="bullet"/>
      <w:start w:val="1"/>
    </w:lvl>
  </w:abstractNum>
  <w:abstractNum w:abstractNumId="336">
    <w:nsid w:val="4450AA00"/>
    <w:multiLevelType w:val="hybridMultilevel"/>
    <w:lvl w:ilvl="0">
      <w:lvlJc w:val="left"/>
      <w:lvlText w:val="(%1)"/>
      <w:numFmt w:val="lowerRoman"/>
      <w:start w:val="4"/>
    </w:lvl>
  </w:abstractNum>
  <w:abstractNum w:abstractNumId="337">
    <w:nsid w:val="4AC9F3E2"/>
    <w:multiLevelType w:val="hybridMultilevel"/>
    <w:lvl w:ilvl="0">
      <w:lvlJc w:val="left"/>
      <w:lvlText w:val="(%1)"/>
      <w:numFmt w:val="decimal"/>
      <w:start w:val="30"/>
    </w:lvl>
  </w:abstractNum>
  <w:abstractNum w:abstractNumId="338">
    <w:nsid w:val="CC0A782"/>
    <w:multiLevelType w:val="hybridMultilevel"/>
    <w:lvl w:ilvl="0">
      <w:lvlJc w:val="left"/>
      <w:lvlText w:val="[***]"/>
      <w:numFmt w:val="bullet"/>
      <w:start w:val="1"/>
    </w:lvl>
    <w:lvl w:ilvl="1">
      <w:lvlJc w:val="left"/>
      <w:lvlText w:val="(%2)"/>
      <w:numFmt w:val="lowerLetter"/>
      <w:start w:val="1"/>
    </w:lvl>
  </w:abstractNum>
  <w:abstractNum w:abstractNumId="339">
    <w:nsid w:val="79B69BC9"/>
    <w:multiLevelType w:val="hybridMultilevel"/>
    <w:lvl w:ilvl="0">
      <w:lvlJc w:val="left"/>
      <w:lvlText w:val="(%1)"/>
      <w:numFmt w:val="lowerLetter"/>
      <w:start w:val="3"/>
    </w:lvl>
  </w:abstractNum>
  <w:abstractNum w:abstractNumId="340">
    <w:nsid w:val="2970CC78"/>
    <w:multiLevelType w:val="hybridMultilevel"/>
    <w:lvl w:ilvl="0">
      <w:lvlJc w:val="left"/>
      <w:lvlText w:val="[***]"/>
      <w:numFmt w:val="bullet"/>
      <w:start w:val="1"/>
    </w:lvl>
  </w:abstractNum>
  <w:abstractNum w:abstractNumId="341">
    <w:nsid w:val="49CA1341"/>
    <w:multiLevelType w:val="hybridMultilevel"/>
    <w:lvl w:ilvl="0">
      <w:lvlJc w:val="left"/>
      <w:lvlText w:val="(%1)"/>
      <w:numFmt w:val="lowerLetter"/>
      <w:start w:val="1"/>
    </w:lvl>
  </w:abstractNum>
  <w:abstractNum w:abstractNumId="342">
    <w:nsid w:val="58D717E"/>
    <w:multiLevelType w:val="hybridMultilevel"/>
    <w:lvl w:ilvl="0">
      <w:lvlJc w:val="left"/>
      <w:lvlText w:val="[***]"/>
      <w:numFmt w:val="bullet"/>
      <w:start w:val="1"/>
    </w:lvl>
    <w:lvl w:ilvl="1">
      <w:lvlJc w:val="left"/>
      <w:lvlText w:val="(%2)"/>
      <w:numFmt w:val="lowerLetter"/>
      <w:start w:val="2"/>
    </w:lvl>
  </w:abstractNum>
  <w:abstractNum w:abstractNumId="343">
    <w:nsid w:val="64C2DDD5"/>
    <w:multiLevelType w:val="hybridMultilevel"/>
    <w:lvl w:ilvl="0">
      <w:lvlJc w:val="left"/>
      <w:lvlText w:val="(%1)"/>
      <w:numFmt w:val="lowerLetter"/>
      <w:start w:val="1"/>
    </w:lvl>
  </w:abstractNum>
  <w:abstractNum w:abstractNumId="344">
    <w:nsid w:val="4244B8DE"/>
    <w:multiLevelType w:val="hybridMultilevel"/>
    <w:lvl w:ilvl="0">
      <w:lvlJc w:val="left"/>
      <w:lvlText w:val="%1"/>
      <w:numFmt w:val="lowerLetter"/>
      <w:start w:val="1"/>
    </w:lvl>
    <w:lvl w:ilvl="1">
      <w:lvlJc w:val="left"/>
      <w:lvlText w:val="(%2)"/>
      <w:numFmt w:val="lowerLetter"/>
      <w:start w:val="2"/>
    </w:lvl>
  </w:abstractNum>
  <w:abstractNum w:abstractNumId="345">
    <w:nsid w:val="76490B01"/>
    <w:multiLevelType w:val="hybridMultilevel"/>
    <w:lvl w:ilvl="0">
      <w:lvlJc w:val="left"/>
      <w:lvlText w:val="(%1)"/>
      <w:numFmt w:val="lowerLetter"/>
      <w:start w:val="61"/>
    </w:lvl>
    <w:lvl w:ilvl="1">
      <w:lvlJc w:val="left"/>
      <w:lvlText w:val="(%2)"/>
      <w:numFmt w:val="lowerLetter"/>
      <w:start w:val="5"/>
    </w:lvl>
  </w:abstractNum>
  <w:abstractNum w:abstractNumId="346">
    <w:nsid w:val="36B19CBF"/>
    <w:multiLevelType w:val="hybridMultilevel"/>
    <w:lvl w:ilvl="0">
      <w:lvlJc w:val="left"/>
      <w:lvlText w:val="[***]"/>
      <w:numFmt w:val="bullet"/>
      <w:start w:val="1"/>
    </w:lvl>
  </w:abstractNum>
  <w:abstractNum w:abstractNumId="347">
    <w:nsid w:val="645EC5AB"/>
    <w:multiLevelType w:val="hybridMultilevel"/>
    <w:lvl w:ilvl="0">
      <w:lvlJc w:val="left"/>
      <w:lvlText w:val="[***]"/>
      <w:numFmt w:val="bullet"/>
      <w:start w:val="1"/>
    </w:lvl>
    <w:lvl w:ilvl="1">
      <w:lvlJc w:val="left"/>
      <w:lvlText w:val="(%2)"/>
      <w:numFmt w:val="lowerLetter"/>
      <w:start w:val="6"/>
    </w:lvl>
  </w:abstractNum>
  <w:abstractNum w:abstractNumId="348">
    <w:nsid w:val="11C5ABEF"/>
    <w:multiLevelType w:val="hybridMultilevel"/>
    <w:lvl w:ilvl="0">
      <w:lvlJc w:val="left"/>
      <w:lvlText w:val="(%1)"/>
      <w:numFmt w:val="lowerLetter"/>
      <w:start w:val="9"/>
    </w:lvl>
  </w:abstractNum>
  <w:abstractNum w:abstractNumId="349">
    <w:nsid w:val="5A4744BE"/>
    <w:multiLevelType w:val="hybridMultilevel"/>
    <w:lvl w:ilvl="0">
      <w:lvlJc w:val="left"/>
      <w:lvlText w:val="[***]"/>
      <w:numFmt w:val="bullet"/>
      <w:start w:val="1"/>
    </w:lvl>
  </w:abstractNum>
  <w:abstractNum w:abstractNumId="350">
    <w:nsid w:val="1DC4B111"/>
    <w:multiLevelType w:val="hybridMultilevel"/>
    <w:lvl w:ilvl="0">
      <w:lvlJc w:val="left"/>
      <w:lvlText w:val="[***]"/>
      <w:numFmt w:val="bullet"/>
      <w:start w:val="1"/>
    </w:lvl>
    <w:lvl w:ilvl="1">
      <w:lvlJc w:val="left"/>
      <w:lvlText w:val="(%2)"/>
      <w:numFmt w:val="lowerLetter"/>
      <w:start w:val="1"/>
    </w:lvl>
  </w:abstractNum>
  <w:abstractNum w:abstractNumId="351">
    <w:nsid w:val="4C6E372B"/>
    <w:multiLevelType w:val="hybridMultilevel"/>
    <w:lvl w:ilvl="0">
      <w:lvlJc w:val="left"/>
      <w:lvlText w:val="(%1)"/>
      <w:numFmt w:val="lowerLetter"/>
      <w:start w:val="3"/>
    </w:lvl>
  </w:abstractNum>
  <w:abstractNum w:abstractNumId="352">
    <w:nsid w:val="10236EF"/>
    <w:multiLevelType w:val="hybridMultilevel"/>
    <w:lvl w:ilvl="0">
      <w:lvlJc w:val="left"/>
      <w:lvlText w:val="(%1)"/>
      <w:numFmt w:val="lowerLetter"/>
      <w:start w:val="1"/>
    </w:lvl>
  </w:abstractNum>
  <w:abstractNum w:abstractNumId="353">
    <w:nsid w:val="68D8526B"/>
    <w:multiLevelType w:val="hybridMultilevel"/>
    <w:lvl w:ilvl="0">
      <w:lvlJc w:val="left"/>
      <w:lvlText w:val="(%1)"/>
      <w:numFmt w:val="lowerLetter"/>
      <w:start w:val="2"/>
    </w:lvl>
  </w:abstractNum>
  <w:abstractNum w:abstractNumId="354">
    <w:nsid w:val="3C8CC138"/>
    <w:multiLevelType w:val="hybridMultilevel"/>
    <w:lvl w:ilvl="0">
      <w:lvlJc w:val="left"/>
      <w:lvlText w:val="(%1)"/>
      <w:numFmt w:val="lowerLetter"/>
      <w:start w:val="2"/>
    </w:lvl>
  </w:abstractNum>
  <w:abstractNum w:abstractNumId="355">
    <w:nsid w:val="42E8C7BE"/>
    <w:multiLevelType w:val="hybridMultilevel"/>
    <w:lvl w:ilvl="0">
      <w:lvlJc w:val="left"/>
      <w:lvlText w:val="(%1)"/>
      <w:numFmt w:val="lowerLetter"/>
      <w:start w:val="1"/>
    </w:lvl>
  </w:abstractNum>
  <w:abstractNum w:abstractNumId="356">
    <w:nsid w:val="653CDC22"/>
    <w:multiLevelType w:val="hybridMultilevel"/>
    <w:lvl w:ilvl="0">
      <w:lvlJc w:val="left"/>
      <w:lvlText w:val="(%1)"/>
      <w:numFmt w:val="lowerLetter"/>
      <w:start w:val="3"/>
    </w:lvl>
  </w:abstractNum>
  <w:abstractNum w:abstractNumId="357">
    <w:nsid w:val="103B2716"/>
    <w:multiLevelType w:val="hybridMultilevel"/>
    <w:lvl w:ilvl="0">
      <w:lvlJc w:val="left"/>
      <w:lvlText w:val="[***]"/>
      <w:numFmt w:val="bullet"/>
      <w:start w:val="1"/>
    </w:lvl>
  </w:abstractNum>
  <w:abstractNum w:abstractNumId="358">
    <w:nsid w:val="156827FB"/>
    <w:multiLevelType w:val="hybridMultilevel"/>
    <w:lvl w:ilvl="0">
      <w:lvlJc w:val="left"/>
      <w:lvlText w:val="(%1)"/>
      <w:numFmt w:val="lowerLetter"/>
      <w:start w:val="2"/>
    </w:lvl>
  </w:abstractNum>
  <w:abstractNum w:abstractNumId="359">
    <w:nsid w:val="6350AC35"/>
    <w:multiLevelType w:val="hybridMultilevel"/>
    <w:lvl w:ilvl="0">
      <w:lvlJc w:val="left"/>
      <w:lvlText w:val="[***]"/>
      <w:numFmt w:val="bullet"/>
      <w:start w:val="1"/>
    </w:lvl>
  </w:abstractNum>
  <w:abstractNum w:abstractNumId="360">
    <w:nsid w:val="767725AB"/>
    <w:multiLevelType w:val="hybridMultilevel"/>
    <w:lvl w:ilvl="0">
      <w:lvlJc w:val="left"/>
      <w:lvlText w:val="[***]"/>
      <w:numFmt w:val="bullet"/>
      <w:start w:val="1"/>
    </w:lvl>
    <w:lvl w:ilvl="1">
      <w:lvlJc w:val="left"/>
      <w:lvlText w:val="(%2)"/>
      <w:numFmt w:val="lowerLetter"/>
      <w:start w:val="1"/>
    </w:lvl>
  </w:abstractNum>
  <w:abstractNum w:abstractNumId="361">
    <w:nsid w:val="4748C06A"/>
    <w:multiLevelType w:val="hybridMultilevel"/>
    <w:lvl w:ilvl="0">
      <w:lvlJc w:val="left"/>
      <w:lvlText w:val="[***]"/>
      <w:numFmt w:val="bullet"/>
      <w:start w:val="1"/>
    </w:lvl>
    <w:lvl w:ilvl="1">
      <w:lvlJc w:val="left"/>
      <w:lvlText w:val="(%2)"/>
      <w:numFmt w:val="lowerLetter"/>
      <w:start w:val="3"/>
    </w:lvl>
  </w:abstractNum>
  <w:abstractNum w:abstractNumId="362">
    <w:nsid w:val="254D9EA9"/>
    <w:multiLevelType w:val="hybridMultilevel"/>
    <w:lvl w:ilvl="0">
      <w:lvlJc w:val="left"/>
      <w:lvlText w:val="(%1)"/>
      <w:numFmt w:val="lowerLetter"/>
      <w:start w:val="8"/>
    </w:lvl>
  </w:abstractNum>
  <w:abstractNum w:abstractNumId="363">
    <w:nsid w:val="1FBD3AA3"/>
    <w:multiLevelType w:val="hybridMultilevel"/>
    <w:lvl w:ilvl="0">
      <w:lvlJc w:val="left"/>
      <w:lvlText w:val="(%1)"/>
      <w:numFmt w:val="lowerLetter"/>
      <w:start w:val="1"/>
    </w:lvl>
    <w:lvl w:ilvl="1">
      <w:lvlJc w:val="left"/>
      <w:lvlText w:val="(%2)"/>
      <w:numFmt w:val="lowerRoman"/>
      <w:start w:val="1"/>
    </w:lvl>
  </w:abstractNum>
  <w:abstractNum w:abstractNumId="364">
    <w:nsid w:val="18C6B4F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365">
    <w:nsid w:val="40BAD5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66">
    <w:nsid w:val="E5B2573"/>
    <w:multiLevelType w:val="hybridMultilevel"/>
    <w:lvl w:ilvl="0">
      <w:lvlJc w:val="left"/>
      <w:lvlText w:val="(%1)"/>
      <w:numFmt w:val="lowerLetter"/>
      <w:start w:val="4"/>
    </w:lvl>
  </w:abstractNum>
  <w:abstractNum w:abstractNumId="367">
    <w:nsid w:val="5D175EF2"/>
    <w:multiLevelType w:val="hybridMultilevel"/>
    <w:lvl w:ilvl="0">
      <w:lvlJc w:val="left"/>
      <w:lvlText w:val="(%1)"/>
      <w:numFmt w:val="lowerLetter"/>
      <w:start w:val="1"/>
    </w:lvl>
  </w:abstractNum>
  <w:abstractNum w:abstractNumId="368">
    <w:nsid w:val="4ED5A137"/>
    <w:multiLevelType w:val="hybridMultilevel"/>
    <w:lvl w:ilvl="0">
      <w:lvlJc w:val="left"/>
      <w:lvlText w:val="(%1)"/>
      <w:numFmt w:val="lowerLetter"/>
      <w:start w:val="6"/>
    </w:lvl>
  </w:abstractNum>
  <w:abstractNum w:abstractNumId="369">
    <w:nsid w:val="1B1BCCF5"/>
    <w:multiLevelType w:val="hybridMultilevel"/>
    <w:lvl w:ilvl="0">
      <w:lvlJc w:val="left"/>
      <w:lvlText w:val="(%1)"/>
      <w:numFmt w:val="lowerLetter"/>
      <w:start w:val="1"/>
    </w:lvl>
    <w:lvl w:ilvl="1">
      <w:lvlJc w:val="left"/>
      <w:lvlText w:val="(%2)"/>
      <w:numFmt w:val="lowerRoman"/>
      <w:start w:val="1"/>
    </w:lvl>
  </w:abstractNum>
  <w:abstractNum w:abstractNumId="370">
    <w:nsid w:val="56CDFABB"/>
    <w:multiLevelType w:val="hybridMultilevel"/>
    <w:lvl w:ilvl="0">
      <w:lvlJc w:val="left"/>
      <w:lvlText w:val="(%1)"/>
      <w:numFmt w:val="lowerLetter"/>
      <w:start w:val="2"/>
    </w:lvl>
    <w:lvl w:ilvl="1">
      <w:lvlJc w:val="left"/>
      <w:lvlText w:val="(%2)"/>
      <w:numFmt w:val="lowerRoman"/>
      <w:start w:val="1"/>
    </w:lvl>
  </w:abstractNum>
  <w:abstractNum w:abstractNumId="371">
    <w:nsid w:val="78466DAF"/>
    <w:multiLevelType w:val="hybridMultilevel"/>
    <w:lvl w:ilvl="0">
      <w:lvlJc w:val="left"/>
      <w:lvlText w:val="(%1)"/>
      <w:numFmt w:val="lowerRoman"/>
      <w:start w:val="6"/>
    </w:lvl>
  </w:abstractNum>
  <w:abstractNum w:abstractNumId="372">
    <w:nsid w:val="64E5E036"/>
    <w:multiLevelType w:val="hybridMultilevel"/>
    <w:lvl w:ilvl="0">
      <w:lvlJc w:val="left"/>
      <w:lvlText w:val="%1"/>
      <w:numFmt w:val="lowerLetter"/>
      <w:start w:val="1"/>
    </w:lvl>
    <w:lvl w:ilvl="1">
      <w:lvlJc w:val="left"/>
      <w:lvlText w:val="(%2)"/>
      <w:numFmt w:val="lowerRoman"/>
      <w:start w:val="11"/>
    </w:lvl>
  </w:abstractNum>
  <w:abstractNum w:abstractNumId="373">
    <w:nsid w:val="5C5B6C3A"/>
    <w:multiLevelType w:val="hybridMultilevel"/>
    <w:lvl w:ilvl="0">
      <w:lvlJc w:val="left"/>
      <w:lvlText w:val="(%1)"/>
      <w:numFmt w:val="lowerLetter"/>
      <w:start w:val="3"/>
    </w:lvl>
    <w:lvl w:ilvl="1">
      <w:lvlJc w:val="left"/>
      <w:lvlText w:val="(%2)"/>
      <w:numFmt w:val="lowerRoman"/>
      <w:start w:val="1"/>
    </w:lvl>
  </w:abstractNum>
  <w:abstractNum w:abstractNumId="374">
    <w:nsid w:val="5D094B8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75">
    <w:nsid w:val="272A9914"/>
    <w:multiLevelType w:val="hybridMultilevel"/>
    <w:lvl w:ilvl="0">
      <w:lvlJc w:val="left"/>
      <w:lvlText w:val="(%1)"/>
      <w:numFmt w:val="lowerLetter"/>
      <w:start w:val="5"/>
    </w:lvl>
  </w:abstractNum>
  <w:abstractNum w:abstractNumId="376">
    <w:nsid w:val="52A4773B"/>
    <w:multiLevelType w:val="hybridMultilevel"/>
    <w:lvl w:ilvl="0">
      <w:lvlJc w:val="left"/>
      <w:lvlText w:val="[***]"/>
      <w:numFmt w:val="bullet"/>
      <w:start w:val="1"/>
    </w:lvl>
    <w:lvl w:ilvl="1">
      <w:lvlJc w:val="left"/>
      <w:lvlText w:val="(%2)"/>
      <w:numFmt w:val="lowerLetter"/>
      <w:start w:val="1"/>
    </w:lvl>
  </w:abstractNum>
  <w:abstractNum w:abstractNumId="377">
    <w:nsid w:val="13BAE843"/>
    <w:multiLevelType w:val="hybridMultilevel"/>
    <w:lvl w:ilvl="0">
      <w:lvlJc w:val="left"/>
      <w:lvlText w:val="(%1)"/>
      <w:numFmt w:val="lowerLetter"/>
      <w:start w:val="2"/>
    </w:lvl>
  </w:abstractNum>
  <w:abstractNum w:abstractNumId="378">
    <w:nsid w:val="B895EBF"/>
    <w:multiLevelType w:val="hybridMultilevel"/>
    <w:lvl w:ilvl="0">
      <w:lvlJc w:val="left"/>
      <w:lvlText w:val="[***]"/>
      <w:numFmt w:val="bullet"/>
      <w:start w:val="1"/>
    </w:lvl>
  </w:abstractNum>
  <w:abstractNum w:abstractNumId="379">
    <w:nsid w:val="646A232A"/>
    <w:multiLevelType w:val="hybridMultilevel"/>
    <w:lvl w:ilvl="0">
      <w:lvlJc w:val="left"/>
      <w:lvlText w:val="(%1)"/>
      <w:numFmt w:val="lowerLetter"/>
      <w:start w:val="1"/>
    </w:lvl>
  </w:abstractNum>
  <w:abstractNum w:abstractNumId="380">
    <w:nsid w:val="6E022D01"/>
    <w:multiLevelType w:val="hybridMultilevel"/>
    <w:lvl w:ilvl="0">
      <w:lvlJc w:val="left"/>
      <w:lvlText w:val="[***]"/>
      <w:numFmt w:val="bullet"/>
      <w:start w:val="1"/>
    </w:lvl>
  </w:abstractNum>
  <w:abstractNum w:abstractNumId="381">
    <w:nsid w:val="294E0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2">
    <w:nsid w:val="30D85A55"/>
    <w:multiLevelType w:val="hybridMultilevel"/>
    <w:lvl w:ilvl="0">
      <w:lvlJc w:val="left"/>
      <w:lvlText w:val="(%1)"/>
      <w:numFmt w:val="decimal"/>
      <w:start w:val="90"/>
    </w:lvl>
    <w:lvl w:ilvl="1">
      <w:lvlJc w:val="left"/>
      <w:lvlText w:val="(%2)"/>
      <w:numFmt w:val="lowerLetter"/>
      <w:start w:val="2"/>
    </w:lvl>
    <w:lvl w:ilvl="2">
      <w:lvlJc w:val="left"/>
      <w:lvlText w:val="(%3)"/>
      <w:numFmt w:val="lowerRoman"/>
      <w:start w:val="1"/>
    </w:lvl>
  </w:abstractNum>
  <w:abstractNum w:abstractNumId="383">
    <w:nsid w:val="6F0463F1"/>
    <w:multiLevelType w:val="hybridMultilevel"/>
    <w:lvl w:ilvl="0">
      <w:lvlJc w:val="left"/>
      <w:lvlText w:val="[***]"/>
      <w:numFmt w:val="bullet"/>
      <w:start w:val="1"/>
    </w:lvl>
  </w:abstractNum>
  <w:abstractNum w:abstractNumId="384">
    <w:nsid w:val="122662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385">
    <w:nsid w:val="6D651B8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86">
    <w:nsid w:val="31ED2BAF"/>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387">
    <w:nsid w:val="77633E5E"/>
    <w:multiLevelType w:val="hybridMultilevel"/>
    <w:lvl w:ilvl="0">
      <w:lvlJc w:val="left"/>
      <w:lvlText w:val="[***]"/>
      <w:numFmt w:val="bullet"/>
      <w:start w:val="1"/>
    </w:lvl>
  </w:abstractNum>
  <w:abstractNum w:abstractNumId="388">
    <w:nsid w:val="7DA042A3"/>
    <w:multiLevelType w:val="hybridMultilevel"/>
    <w:lvl w:ilvl="0">
      <w:lvlJc w:val="left"/>
      <w:lvlText w:val="%1"/>
      <w:numFmt w:val="lowerLetter"/>
      <w:start w:val="1"/>
    </w:lvl>
    <w:lvl w:ilvl="1">
      <w:lvlJc w:val="left"/>
      <w:lvlText w:val="(%2)"/>
      <w:numFmt w:val="lowerLetter"/>
      <w:start w:val="1"/>
    </w:lvl>
  </w:abstractNum>
  <w:abstractNum w:abstractNumId="389">
    <w:nsid w:val="475553AB"/>
    <w:multiLevelType w:val="hybridMultilevel"/>
    <w:lvl w:ilvl="0">
      <w:lvlJc w:val="left"/>
      <w:lvlText w:val="(%1)"/>
      <w:numFmt w:val="lowerLetter"/>
      <w:start w:val="35"/>
    </w:lvl>
    <w:lvl w:ilvl="1">
      <w:lvlJc w:val="left"/>
      <w:lvlText w:val="%2"/>
      <w:numFmt w:val="lowerLetter"/>
      <w:start w:val="1"/>
    </w:lvl>
  </w:abstractNum>
  <w:abstractNum w:abstractNumId="390">
    <w:nsid w:val="5AB3EA93"/>
    <w:multiLevelType w:val="hybridMultilevel"/>
    <w:lvl w:ilvl="0">
      <w:lvlJc w:val="left"/>
      <w:lvlText w:val="[***]"/>
      <w:numFmt w:val="bullet"/>
      <w:start w:val="1"/>
    </w:lvl>
  </w:abstractNum>
  <w:abstractNum w:abstractNumId="391">
    <w:nsid w:val="7417684F"/>
    <w:multiLevelType w:val="hybridMultilevel"/>
    <w:lvl w:ilvl="0">
      <w:lvlJc w:val="left"/>
      <w:lvlText w:val="[***]"/>
      <w:numFmt w:val="bullet"/>
      <w:start w:val="1"/>
    </w:lvl>
    <w:lvl w:ilvl="1">
      <w:lvlJc w:val="left"/>
      <w:lvlText w:val="(%2)"/>
      <w:numFmt w:val="lowerLetter"/>
      <w:start w:val="4"/>
    </w:lvl>
  </w:abstractNum>
  <w:abstractNum w:abstractNumId="392">
    <w:nsid w:val="E9E1415"/>
    <w:multiLevelType w:val="hybridMultilevel"/>
    <w:lvl w:ilvl="0">
      <w:lvlJc w:val="left"/>
      <w:lvlText w:val="[***]"/>
      <w:numFmt w:val="bullet"/>
      <w:start w:val="1"/>
    </w:lvl>
    <w:lvl w:ilvl="1">
      <w:lvlJc w:val="left"/>
      <w:lvlText w:val="(%2)"/>
      <w:numFmt w:val="lowerLetter"/>
      <w:start w:val="7"/>
    </w:lvl>
  </w:abstractNum>
  <w:abstractNum w:abstractNumId="393">
    <w:nsid w:val="1893D"/>
    <w:multiLevelType w:val="hybridMultilevel"/>
    <w:lvl w:ilvl="0">
      <w:lvlJc w:val="left"/>
      <w:lvlText w:val="[***]"/>
      <w:numFmt w:val="bullet"/>
      <w:start w:val="1"/>
    </w:lvl>
    <w:lvl w:ilvl="1">
      <w:lvlJc w:val="left"/>
      <w:lvlText w:val="(%2)"/>
      <w:numFmt w:val="lowerLetter"/>
      <w:start w:val="11"/>
    </w:lvl>
  </w:abstractNum>
  <w:abstractNum w:abstractNumId="394">
    <w:nsid w:val="13D4A2F2"/>
    <w:multiLevelType w:val="hybridMultilevel"/>
    <w:lvl w:ilvl="0">
      <w:lvlJc w:val="left"/>
      <w:lvlText w:val="(%1)"/>
      <w:numFmt w:val="lowerLetter"/>
      <w:start w:val="13"/>
    </w:lvl>
  </w:abstractNum>
  <w:abstractNum w:abstractNumId="395">
    <w:nsid w:val="2764C907"/>
    <w:multiLevelType w:val="hybridMultilevel"/>
    <w:lvl w:ilvl="0">
      <w:lvlJc w:val="left"/>
      <w:lvlText w:val="[***]"/>
      <w:numFmt w:val="bullet"/>
      <w:start w:val="1"/>
    </w:lvl>
  </w:abstractNum>
  <w:abstractNum w:abstractNumId="396">
    <w:nsid w:val="40D3692"/>
    <w:multiLevelType w:val="hybridMultilevel"/>
    <w:lvl w:ilvl="0">
      <w:lvlJc w:val="left"/>
      <w:lvlText w:val="(%1)"/>
      <w:numFmt w:val="lowerRoman"/>
      <w:start w:val="2"/>
    </w:lvl>
  </w:abstractNum>
  <w:abstractNum w:abstractNumId="397">
    <w:nsid w:val="222FC865"/>
    <w:multiLevelType w:val="hybridMultilevel"/>
    <w:lvl w:ilvl="0">
      <w:lvlJc w:val="left"/>
      <w:lvlText w:val="(%1)"/>
      <w:numFmt w:val="lowerLetter"/>
      <w:start w:val="1"/>
    </w:lvl>
  </w:abstractNum>
  <w:abstractNum w:abstractNumId="398">
    <w:nsid w:val="47C27FA"/>
    <w:multiLevelType w:val="hybridMultilevel"/>
    <w:lvl w:ilvl="0">
      <w:lvlJc w:val="left"/>
      <w:lvlText w:val="[***]"/>
      <w:numFmt w:val="bullet"/>
      <w:start w:val="1"/>
    </w:lvl>
  </w:abstractNum>
  <w:abstractNum w:abstractNumId="399">
    <w:nsid w:val="52E2D7C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00">
    <w:nsid w:val="3D4B955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01">
    <w:nsid w:val="5B4A22B5"/>
    <w:multiLevelType w:val="hybridMultilevel"/>
    <w:lvl w:ilvl="0">
      <w:lvlJc w:val="left"/>
      <w:lvlText w:val="[***]"/>
      <w:numFmt w:val="bullet"/>
      <w:start w:val="1"/>
    </w:lvl>
  </w:abstractNum>
  <w:abstractNum w:abstractNumId="402">
    <w:nsid w:val="4B294578"/>
    <w:multiLevelType w:val="hybridMultilevel"/>
    <w:lvl w:ilvl="0">
      <w:lvlJc w:val="left"/>
      <w:lvlText w:val="(%1)"/>
      <w:numFmt w:val="lowerLetter"/>
      <w:start w:val="1"/>
    </w:lvl>
  </w:abstractNum>
  <w:abstractNum w:abstractNumId="403">
    <w:nsid w:val="22317590"/>
    <w:multiLevelType w:val="hybridMultilevel"/>
    <w:lvl w:ilvl="0">
      <w:lvlJc w:val="left"/>
      <w:lvlText w:val="(%1)"/>
      <w:numFmt w:val="lowerLetter"/>
      <w:start w:val="3"/>
    </w:lvl>
    <w:lvl w:ilvl="1">
      <w:lvlJc w:val="left"/>
      <w:lvlText w:val="(%2)"/>
      <w:numFmt w:val="lowerRoman"/>
      <w:start w:val="1"/>
    </w:lvl>
  </w:abstractNum>
  <w:abstractNum w:abstractNumId="404">
    <w:nsid w:val="37A58EEF"/>
    <w:multiLevelType w:val="hybridMultilevel"/>
    <w:lvl w:ilvl="0">
      <w:lvlJc w:val="left"/>
      <w:lvlText w:val="[***]"/>
      <w:numFmt w:val="bullet"/>
      <w:start w:val="1"/>
    </w:lvl>
    <w:lvl w:ilvl="1">
      <w:lvlJc w:val="left"/>
      <w:lvlText w:val="(%2)"/>
      <w:numFmt w:val="lowerLetter"/>
      <w:start w:val="1"/>
    </w:lvl>
  </w:abstractNum>
  <w:abstractNum w:abstractNumId="405">
    <w:nsid w:val="283290FD"/>
    <w:multiLevelType w:val="hybridMultilevel"/>
    <w:lvl w:ilvl="0">
      <w:lvlJc w:val="left"/>
      <w:lvlText w:val="(%1)"/>
      <w:numFmt w:val="lowerLetter"/>
      <w:start w:val="2"/>
    </w:lvl>
  </w:abstractNum>
  <w:abstractNum w:abstractNumId="406">
    <w:nsid w:val="495C0EA5"/>
    <w:multiLevelType w:val="hybridMultilevel"/>
    <w:lvl w:ilvl="0">
      <w:lvlJc w:val="left"/>
      <w:lvlText w:val="(%1)"/>
      <w:numFmt w:val="lowerLetter"/>
      <w:start w:val="1"/>
    </w:lvl>
  </w:abstractNum>
  <w:abstractNum w:abstractNumId="407">
    <w:nsid w:val="A4A062B"/>
    <w:multiLevelType w:val="hybridMultilevel"/>
    <w:lvl w:ilvl="0">
      <w:lvlJc w:val="left"/>
      <w:lvlText w:val="(%1)"/>
      <w:numFmt w:val="lowerLetter"/>
      <w:start w:val="2"/>
    </w:lvl>
  </w:abstractNum>
  <w:abstractNum w:abstractNumId="408">
    <w:nsid w:val="3BED7940"/>
    <w:multiLevelType w:val="hybridMultilevel"/>
    <w:lvl w:ilvl="0">
      <w:lvlJc w:val="left"/>
      <w:lvlText w:val="[***]"/>
      <w:numFmt w:val="bullet"/>
      <w:start w:val="1"/>
    </w:lvl>
    <w:lvl w:ilvl="1">
      <w:lvlJc w:val="left"/>
      <w:lvlText w:val="(%2)"/>
      <w:numFmt w:val="lowerLetter"/>
      <w:start w:val="1"/>
    </w:lvl>
  </w:abstractNum>
  <w:abstractNum w:abstractNumId="409">
    <w:nsid w:val="54E56D64"/>
    <w:multiLevelType w:val="hybridMultilevel"/>
    <w:lvl w:ilvl="0">
      <w:lvlJc w:val="left"/>
      <w:lvlText w:val="(%1)"/>
      <w:numFmt w:val="lowerLetter"/>
      <w:start w:val="2"/>
    </w:lvl>
  </w:abstractNum>
  <w:abstractNum w:abstractNumId="410">
    <w:nsid w:val="6EB42955"/>
    <w:multiLevelType w:val="hybridMultilevel"/>
    <w:lvl w:ilvl="0">
      <w:lvlJc w:val="left"/>
      <w:lvlText w:val="(%1)"/>
      <w:numFmt w:val="lowerLetter"/>
      <w:start w:val="1"/>
    </w:lvl>
  </w:abstractNum>
  <w:abstractNum w:abstractNumId="411">
    <w:nsid w:val="29EFA642"/>
    <w:multiLevelType w:val="hybridMultilevel"/>
    <w:lvl w:ilvl="0">
      <w:lvlJc w:val="left"/>
      <w:lvlText w:val="[***]"/>
      <w:numFmt w:val="bullet"/>
      <w:start w:val="1"/>
    </w:lvl>
  </w:abstractNum>
  <w:abstractNum w:abstractNumId="412">
    <w:nsid w:val="7E337D35"/>
    <w:multiLevelType w:val="hybridMultilevel"/>
    <w:lvl w:ilvl="0">
      <w:lvlJc w:val="left"/>
      <w:lvlText w:val="[***]"/>
      <w:numFmt w:val="bullet"/>
      <w:start w:val="1"/>
    </w:lvl>
  </w:abstractNum>
  <w:abstractNum w:abstractNumId="413">
    <w:nsid w:val="1F8C83AB"/>
    <w:multiLevelType w:val="hybridMultilevel"/>
    <w:lvl w:ilvl="0">
      <w:lvlJc w:val="left"/>
      <w:lvlText w:val="[***]"/>
      <w:numFmt w:val="bullet"/>
      <w:start w:val="1"/>
    </w:lvl>
  </w:abstractNum>
  <w:abstractNum w:abstractNumId="414">
    <w:nsid w:val="18F40A33"/>
    <w:multiLevelType w:val="hybridMultilevel"/>
    <w:lvl w:ilvl="0">
      <w:lvlJc w:val="left"/>
      <w:lvlText w:val="[***]"/>
      <w:numFmt w:val="bullet"/>
      <w:start w:val="1"/>
    </w:lvl>
  </w:abstractNum>
  <w:abstractNum w:abstractNumId="415">
    <w:nsid w:val="1059DF71"/>
    <w:multiLevelType w:val="hybridMultilevel"/>
    <w:lvl w:ilvl="0">
      <w:lvlJc w:val="left"/>
      <w:lvlText w:val="%1"/>
      <w:numFmt w:val="upperLetter"/>
      <w:start w:val="35"/>
    </w:lvl>
  </w:abstractNum>
  <w:abstractNum w:abstractNumId="416">
    <w:nsid w:val="CF19F38"/>
    <w:multiLevelType w:val="hybridMultilevel"/>
    <w:lvl w:ilvl="0">
      <w:lvlJc w:val="left"/>
      <w:lvlText w:val="[***]"/>
      <w:numFmt w:val="bullet"/>
      <w:start w:val="1"/>
    </w:lvl>
  </w:abstractNum>
  <w:abstractNum w:abstractNumId="417">
    <w:nsid w:val="4AE135E2"/>
    <w:multiLevelType w:val="hybridMultilevel"/>
    <w:lvl w:ilvl="0">
      <w:lvlJc w:val="left"/>
      <w:lvlText w:val="[***]"/>
      <w:numFmt w:val="bullet"/>
      <w:start w:val="1"/>
    </w:lvl>
  </w:abstractNum>
  <w:abstractNum w:abstractNumId="418">
    <w:nsid w:val="7BD1DCF"/>
    <w:multiLevelType w:val="hybridMultilevel"/>
    <w:lvl w:ilvl="0">
      <w:lvlJc w:val="left"/>
      <w:lvlText w:val="(%1)"/>
      <w:numFmt w:val="lowerLetter"/>
      <w:start w:val="1"/>
    </w:lvl>
  </w:abstractNum>
  <w:abstractNum w:abstractNumId="419">
    <w:nsid w:val="A91E1DC"/>
    <w:multiLevelType w:val="hybridMultilevel"/>
    <w:lvl w:ilvl="0">
      <w:lvlJc w:val="left"/>
      <w:lvlText w:val="(%1)"/>
      <w:numFmt w:val="lowerLetter"/>
      <w:start w:val="3"/>
    </w:lvl>
  </w:abstractNum>
  <w:abstractNum w:abstractNumId="420">
    <w:nsid w:val="1236898D"/>
    <w:multiLevelType w:val="hybridMultilevel"/>
    <w:lvl w:ilvl="0">
      <w:lvlJc w:val="left"/>
      <w:lvlText w:val="(%1)"/>
      <w:numFmt w:val="lowerLetter"/>
      <w:start w:val="11"/>
    </w:lvl>
  </w:abstractNum>
  <w:abstractNum w:abstractNumId="421">
    <w:nsid w:val="62710862"/>
    <w:multiLevelType w:val="hybridMultilevel"/>
    <w:lvl w:ilvl="0">
      <w:lvlJc w:val="left"/>
      <w:lvlText w:val="(%1)"/>
      <w:numFmt w:val="lowerLetter"/>
      <w:start w:val="1"/>
    </w:lvl>
  </w:abstractNum>
  <w:abstractNum w:abstractNumId="422">
    <w:nsid w:val="7EA94A2B"/>
    <w:multiLevelType w:val="hybridMultilevel"/>
    <w:lvl w:ilvl="0">
      <w:lvlJc w:val="left"/>
      <w:lvlText w:val="(%1)"/>
      <w:numFmt w:val="lowerLetter"/>
      <w:start w:val="3"/>
    </w:lvl>
    <w:lvl w:ilvl="1">
      <w:lvlJc w:val="left"/>
      <w:lvlText w:val="(%2)"/>
      <w:numFmt w:val="lowerLetter"/>
      <w:start w:val="9"/>
    </w:lvl>
  </w:abstractNum>
  <w:abstractNum w:abstractNumId="423">
    <w:nsid w:val="20D49DA3"/>
    <w:multiLevelType w:val="hybridMultilevel"/>
    <w:lvl w:ilvl="0">
      <w:lvlJc w:val="left"/>
      <w:lvlText w:val="(%1)"/>
      <w:numFmt w:val="lowerRoman"/>
      <w:start w:val="2"/>
    </w:lvl>
  </w:abstractNum>
  <w:abstractNum w:abstractNumId="424">
    <w:nsid w:val="6272919F"/>
    <w:multiLevelType w:val="hybridMultilevel"/>
    <w:lvl w:ilvl="0">
      <w:lvlJc w:val="left"/>
      <w:lvlText w:val="(%1)"/>
      <w:numFmt w:val="lowerRoman"/>
      <w:start w:val="5"/>
    </w:lvl>
  </w:abstractNum>
  <w:abstractNum w:abstractNumId="425">
    <w:nsid w:val="127DED1D"/>
    <w:multiLevelType w:val="hybridMultilevel"/>
    <w:lvl w:ilvl="0">
      <w:lvlJc w:val="left"/>
      <w:lvlText w:val="(%1)"/>
      <w:numFmt w:val="lowerLetter"/>
      <w:start w:val="1"/>
    </w:lvl>
  </w:abstractNum>
  <w:abstractNum w:abstractNumId="426">
    <w:nsid w:val="483966AA"/>
    <w:multiLevelType w:val="hybridMultilevel"/>
    <w:lvl w:ilvl="0">
      <w:lvlJc w:val="left"/>
      <w:lvlText w:val="(%1)"/>
      <w:numFmt w:val="lowerLetter"/>
      <w:start w:val="2"/>
    </w:lvl>
  </w:abstractNum>
  <w:abstractNum w:abstractNumId="427">
    <w:nsid w:val="667FC831"/>
    <w:multiLevelType w:val="hybridMultilevel"/>
    <w:lvl w:ilvl="0">
      <w:lvlJc w:val="left"/>
      <w:lvlText w:val="(%1)"/>
      <w:numFmt w:val="lowerLetter"/>
      <w:start w:val="1"/>
    </w:lvl>
    <w:lvl w:ilvl="1">
      <w:lvlJc w:val="left"/>
      <w:lvlText w:val="(%2)"/>
      <w:numFmt w:val="lowerRoman"/>
      <w:start w:val="1"/>
    </w:lvl>
  </w:abstractNum>
  <w:abstractNum w:abstractNumId="428">
    <w:nsid w:val="34ADB582"/>
    <w:multiLevelType w:val="hybridMultilevel"/>
    <w:lvl w:ilvl="0">
      <w:lvlJc w:val="left"/>
      <w:lvlText w:val="%1"/>
      <w:numFmt w:val="lowerLetter"/>
      <w:start w:val="1"/>
    </w:lvl>
    <w:lvl w:ilvl="1">
      <w:lvlJc w:val="left"/>
      <w:lvlText w:val="(%2)"/>
      <w:numFmt w:val="lowerRoman"/>
      <w:start w:val="4"/>
    </w:lvl>
  </w:abstractNum>
  <w:abstractNum w:abstractNumId="429">
    <w:nsid w:val="4CB58EA4"/>
    <w:multiLevelType w:val="hybridMultilevel"/>
    <w:lvl w:ilvl="0">
      <w:lvlJc w:val="left"/>
      <w:lvlText w:val="(%1)"/>
      <w:numFmt w:val="lowerLetter"/>
      <w:start w:val="3"/>
    </w:lvl>
    <w:lvl w:ilvl="1">
      <w:lvlJc w:val="left"/>
      <w:lvlText w:val="%2"/>
      <w:numFmt w:val="lowerRoman"/>
      <w:start w:val="1"/>
    </w:lvl>
  </w:abstractNum>
  <w:abstractNum w:abstractNumId="430">
    <w:nsid w:val="39629FFA"/>
    <w:multiLevelType w:val="hybridMultilevel"/>
    <w:lvl w:ilvl="0">
      <w:lvlJc w:val="left"/>
      <w:lvlText w:val="%1"/>
      <w:numFmt w:val="decimal"/>
      <w:start w:val="1"/>
    </w:lvl>
    <w:lvl w:ilvl="1">
      <w:lvlJc w:val="left"/>
      <w:lvlText w:val="(%2)"/>
      <w:numFmt w:val="lowerLetter"/>
      <w:start w:val="1"/>
    </w:lvl>
  </w:abstractNum>
  <w:abstractNum w:abstractNumId="431">
    <w:nsid w:val="71F94ADC"/>
    <w:multiLevelType w:val="hybridMultilevel"/>
    <w:lvl w:ilvl="0">
      <w:lvlJc w:val="left"/>
      <w:lvlText w:val="(%1)"/>
      <w:numFmt w:val="decimal"/>
      <w:start w:val="120"/>
    </w:lvl>
    <w:lvl w:ilvl="1">
      <w:lvlJc w:val="left"/>
      <w:lvlText w:val="(%2)"/>
      <w:numFmt w:val="lowerLetter"/>
      <w:start w:val="2"/>
    </w:lvl>
  </w:abstractNum>
  <w:abstractNum w:abstractNumId="432">
    <w:nsid w:val="27FFB15A"/>
    <w:multiLevelType w:val="hybridMultilevel"/>
    <w:lvl w:ilvl="0">
      <w:lvlJc w:val="left"/>
      <w:lvlText w:val="(%1)"/>
      <w:numFmt w:val="lowerLetter"/>
      <w:start w:val="5"/>
    </w:lvl>
  </w:abstractNum>
  <w:abstractNum w:abstractNumId="433">
    <w:nsid w:val="48BE573"/>
    <w:multiLevelType w:val="hybridMultilevel"/>
    <w:lvl w:ilvl="0">
      <w:lvlJc w:val="left"/>
      <w:lvlText w:val="%1"/>
      <w:numFmt w:val="upperLetter"/>
      <w:start w:val="1"/>
    </w:lvl>
    <w:lvl w:ilvl="1">
      <w:lvlJc w:val="left"/>
      <w:lvlText w:val="(%2)"/>
      <w:numFmt w:val="lowerLetter"/>
      <w:start w:val="8"/>
    </w:lvl>
  </w:abstractNum>
  <w:abstractNum w:abstractNumId="434">
    <w:nsid w:val="142AC06C"/>
    <w:multiLevelType w:val="hybridMultilevel"/>
    <w:lvl w:ilvl="0">
      <w:lvlJc w:val="left"/>
      <w:lvlText w:val="(%1)"/>
      <w:numFmt w:val="upperLetter"/>
      <w:start w:val="2"/>
    </w:lvl>
    <w:lvl w:ilvl="1">
      <w:lvlJc w:val="left"/>
      <w:lvlText w:val="%2"/>
      <w:numFmt w:val="lowerLetter"/>
      <w:start w:val="1"/>
    </w:lvl>
  </w:abstractNum>
  <w:abstractNum w:abstractNumId="435">
    <w:nsid w:val="5FA54049"/>
    <w:multiLevelType w:val="hybridMultilevel"/>
    <w:lvl w:ilvl="0">
      <w:lvlJc w:val="left"/>
      <w:lvlText w:val="(%1)"/>
      <w:numFmt w:val="lowerLetter"/>
      <w:start w:val="1"/>
    </w:lvl>
  </w:abstractNum>
  <w:abstractNum w:abstractNumId="436">
    <w:nsid w:val="2CBE7670"/>
    <w:multiLevelType w:val="hybridMultilevel"/>
    <w:lvl w:ilvl="0">
      <w:lvlJc w:val="left"/>
      <w:lvlText w:val="(%1)"/>
      <w:numFmt w:val="lowerLetter"/>
      <w:start w:val="1"/>
    </w:lvl>
  </w:abstractNum>
  <w:abstractNum w:abstractNumId="437">
    <w:nsid w:val="5D86CF11"/>
    <w:multiLevelType w:val="hybridMultilevel"/>
    <w:lvl w:ilvl="0">
      <w:lvlJc w:val="left"/>
      <w:lvlText w:val="(%1)"/>
      <w:numFmt w:val="lowerLetter"/>
      <w:start w:val="2"/>
    </w:lvl>
  </w:abstractNum>
  <w:abstractNum w:abstractNumId="438">
    <w:nsid w:val="69EF4674"/>
    <w:multiLevelType w:val="hybridMultilevel"/>
    <w:lvl w:ilvl="0">
      <w:lvlJc w:val="left"/>
      <w:lvlText w:val="(%1)"/>
      <w:numFmt w:val="lowerLetter"/>
      <w:start w:val="4"/>
    </w:lvl>
  </w:abstractNum>
  <w:abstractNum w:abstractNumId="439">
    <w:nsid w:val="68ABEFB0"/>
    <w:multiLevelType w:val="hybridMultilevel"/>
    <w:lvl w:ilvl="0">
      <w:lvlJc w:val="left"/>
      <w:lvlText w:val="%1"/>
      <w:numFmt w:val="decimal"/>
      <w:start w:val="1"/>
    </w:lvl>
    <w:lvl w:ilvl="1">
      <w:lvlJc w:val="left"/>
      <w:lvlText w:val="(%2)"/>
      <w:numFmt w:val="lowerLetter"/>
      <w:start w:val="1"/>
    </w:lvl>
  </w:abstractNum>
  <w:abstractNum w:abstractNumId="440">
    <w:nsid w:val="326C3C76"/>
    <w:multiLevelType w:val="hybridMultilevel"/>
    <w:lvl w:ilvl="0">
      <w:lvlJc w:val="left"/>
      <w:lvlText w:val="(%1)"/>
      <w:numFmt w:val="decimal"/>
      <w:start w:val="90"/>
    </w:lvl>
    <w:lvl w:ilvl="1">
      <w:lvlJc w:val="left"/>
      <w:lvlText w:val="%2"/>
      <w:numFmt w:val="lowerLetter"/>
      <w:start w:val="1"/>
    </w:lvl>
  </w:abstractNum>
  <w:abstractNum w:abstractNumId="441">
    <w:nsid w:val="58A36FCA"/>
    <w:multiLevelType w:val="hybridMultilevel"/>
    <w:lvl w:ilvl="0">
      <w:lvlJc w:val="left"/>
      <w:lvlText w:val="(%1)"/>
      <w:numFmt w:val="lowerLetter"/>
      <w:start w:val="2"/>
    </w:lvl>
  </w:abstractNum>
  <w:abstractNum w:abstractNumId="442">
    <w:nsid w:val="129B95F2"/>
    <w:multiLevelType w:val="hybridMultilevel"/>
    <w:lvl w:ilvl="0">
      <w:lvlJc w:val="left"/>
      <w:lvlText w:val="%1."/>
      <w:numFmt w:val="decimal"/>
      <w:start w:val="2"/>
    </w:lvl>
  </w:abstractNum>
  <w:abstractNum w:abstractNumId="443">
    <w:nsid w:val="309FB9AB"/>
    <w:multiLevelType w:val="hybridMultilevel"/>
    <w:lvl w:ilvl="0">
      <w:lvlJc w:val="left"/>
      <w:lvlText w:val="(%1)"/>
      <w:numFmt w:val="lowerLetter"/>
      <w:start w:val="1"/>
    </w:lvl>
  </w:abstractNum>
  <w:abstractNum w:abstractNumId="444">
    <w:nsid w:val="782FF375"/>
    <w:multiLevelType w:val="hybridMultilevel"/>
    <w:lvl w:ilvl="0">
      <w:lvlJc w:val="left"/>
      <w:lvlText w:val="(%1)"/>
      <w:numFmt w:val="lowerLetter"/>
      <w:start w:val="1"/>
    </w:lvl>
  </w:abstractNum>
  <w:abstractNum w:abstractNumId="445">
    <w:nsid w:val="2B8FA025"/>
    <w:multiLevelType w:val="hybridMultilevel"/>
    <w:lvl w:ilvl="0">
      <w:lvlJc w:val="left"/>
      <w:lvlText w:val="(%1)"/>
      <w:numFmt w:val="lowerLetter"/>
      <w:start w:val="3"/>
    </w:lvl>
    <w:lvl w:ilvl="1">
      <w:lvlJc w:val="left"/>
      <w:lvlText w:val="(%2)"/>
      <w:numFmt w:val="lowerRoman"/>
      <w:start w:val="1"/>
    </w:lvl>
  </w:abstractNum>
  <w:abstractNum w:abstractNumId="446">
    <w:nsid w:val="40F9991C"/>
    <w:multiLevelType w:val="hybridMultilevel"/>
    <w:lvl w:ilvl="0">
      <w:lvlJc w:val="left"/>
      <w:lvlText w:val="(%1)"/>
      <w:numFmt w:val="lowerRoman"/>
      <w:start w:val="8"/>
    </w:lvl>
  </w:abstractNum>
  <w:abstractNum w:abstractNumId="447">
    <w:nsid w:val="52192AD"/>
    <w:multiLevelType w:val="hybridMultilevel"/>
    <w:lvl w:ilvl="0">
      <w:lvlJc w:val="left"/>
      <w:lvlText w:val="(%1)"/>
      <w:numFmt w:val="lowerLetter"/>
      <w:start w:val="5"/>
    </w:lvl>
  </w:abstractNum>
  <w:abstractNum w:abstractNumId="448">
    <w:nsid w:val="7670D608"/>
    <w:multiLevelType w:val="hybridMultilevel"/>
    <w:lvl w:ilvl="0">
      <w:lvlJc w:val="left"/>
      <w:lvlText w:val="%1."/>
      <w:numFmt w:val="decimal"/>
      <w:start w:val="3"/>
    </w:lvl>
  </w:abstractNum>
  <w:abstractNum w:abstractNumId="449">
    <w:nsid w:val="48B6B6EB"/>
    <w:multiLevelType w:val="hybridMultilevel"/>
    <w:lvl w:ilvl="0">
      <w:lvlJc w:val="left"/>
      <w:lvlText w:val="(%1)"/>
      <w:numFmt w:val="lowerLetter"/>
      <w:start w:val="2"/>
    </w:lvl>
  </w:abstractNum>
  <w:abstractNum w:abstractNumId="450">
    <w:nsid w:val="FB37489"/>
    <w:multiLevelType w:val="hybridMultilevel"/>
    <w:lvl w:ilvl="0">
      <w:lvlJc w:val="left"/>
      <w:lvlText w:val="%1."/>
      <w:numFmt w:val="decimal"/>
      <w:start w:val="1"/>
    </w:lvl>
  </w:abstractNum>
  <w:abstractNum w:abstractNumId="451">
    <w:nsid w:val="8A75F95"/>
    <w:multiLevelType w:val="hybridMultilevel"/>
    <w:lvl w:ilvl="0">
      <w:lvlJc w:val="left"/>
      <w:lvlText w:val="(%1)"/>
      <w:numFmt w:val="lowerLetter"/>
      <w:start w:val="2"/>
    </w:lvl>
  </w:abstractNum>
  <w:abstractNum w:abstractNumId="452">
    <w:nsid w:val="2B27BF4D"/>
    <w:multiLevelType w:val="hybridMultilevel"/>
    <w:lvl w:ilvl="0">
      <w:lvlJc w:val="left"/>
      <w:lvlText w:val="%1."/>
      <w:numFmt w:val="decimal"/>
      <w:start w:val="3"/>
    </w:lvl>
  </w:abstractNum>
  <w:abstractNum w:abstractNumId="453">
    <w:nsid w:val="E5CBEB4"/>
    <w:multiLevelType w:val="hybridMultilevel"/>
    <w:lvl w:ilvl="0">
      <w:lvlJc w:val="left"/>
      <w:lvlText w:val="%1."/>
      <w:numFmt w:val="decimal"/>
      <w:start w:val="4"/>
    </w:lvl>
  </w:abstractNum>
  <w:abstractNum w:abstractNumId="454">
    <w:nsid w:val="297BFD38"/>
    <w:multiLevelType w:val="hybridMultilevel"/>
    <w:lvl w:ilvl="0">
      <w:lvlJc w:val="left"/>
      <w:lvlText w:val="(%1)"/>
      <w:numFmt w:val="lowerRoman"/>
      <w:start w:val="10"/>
    </w:lvl>
  </w:abstractNum>
  <w:abstractNum w:abstractNumId="455">
    <w:nsid w:val="D9A50ED"/>
    <w:multiLevelType w:val="hybridMultilevel"/>
    <w:lvl w:ilvl="0">
      <w:lvlJc w:val="left"/>
      <w:lvlText w:val="(%1)"/>
      <w:numFmt w:val="lowerLetter"/>
      <w:start w:val="17"/>
    </w:lvl>
  </w:abstractNum>
  <w:abstractNum w:abstractNumId="456">
    <w:nsid w:val="20DAABD1"/>
    <w:multiLevelType w:val="hybridMultilevel"/>
    <w:lvl w:ilvl="0">
      <w:lvlJc w:val="left"/>
      <w:lvlText w:val="%1."/>
      <w:numFmt w:val="decimal"/>
      <w:start w:val="5"/>
    </w:lvl>
  </w:abstractNum>
  <w:abstractNum w:abstractNumId="457">
    <w:nsid w:val="71B563E3"/>
    <w:multiLevelType w:val="hybridMultilevel"/>
    <w:lvl w:ilvl="0">
      <w:lvlJc w:val="left"/>
      <w:lvlText w:val="%1."/>
      <w:numFmt w:val="decimal"/>
      <w:start w:val="6"/>
    </w:lvl>
  </w:abstractNum>
  <w:abstractNum w:abstractNumId="458">
    <w:nsid w:val="741A191E"/>
    <w:multiLevelType w:val="hybridMultilevel"/>
    <w:lvl w:ilvl="0">
      <w:lvlJc w:val="left"/>
      <w:lvlText w:val="%1."/>
      <w:numFmt w:val="decimal"/>
      <w:start w:val="8"/>
    </w:lvl>
  </w:abstractNum>
  <w:abstractNum w:abstractNumId="459">
    <w:nsid w:val="55886153"/>
    <w:multiLevelType w:val="hybridMultilevel"/>
    <w:lvl w:ilvl="0">
      <w:lvlJc w:val="left"/>
      <w:lvlText w:val="(%1)"/>
      <w:numFmt w:val="lowerLetter"/>
      <w:start w:val="1"/>
    </w:lvl>
  </w:abstractNum>
  <w:abstractNum w:abstractNumId="460">
    <w:nsid w:val="3E6AF287"/>
    <w:multiLevelType w:val="hybridMultilevel"/>
    <w:lvl w:ilvl="0">
      <w:lvlJc w:val="left"/>
      <w:lvlText w:val="%1."/>
      <w:numFmt w:val="decimal"/>
      <w:start w:val="9"/>
    </w:lvl>
  </w:abstractNum>
  <w:abstractNum w:abstractNumId="461">
    <w:nsid w:val="2D7CB919"/>
    <w:multiLevelType w:val="hybridMultilevel"/>
    <w:lvl w:ilvl="0">
      <w:lvlJc w:val="left"/>
      <w:lvlText w:val="%1"/>
      <w:numFmt w:val="lowerLetter"/>
      <w:start w:val="1"/>
    </w:lvl>
    <w:lvl w:ilvl="1">
      <w:lvlJc w:val="left"/>
      <w:lvlText w:val="(%2)"/>
      <w:numFmt w:val="lowerLetter"/>
      <w:start w:val="1"/>
    </w:lvl>
  </w:abstractNum>
  <w:abstractNum w:abstractNumId="462">
    <w:nsid w:val="4781AC2F"/>
    <w:multiLevelType w:val="hybridMultilevel"/>
    <w:lvl w:ilvl="0">
      <w:lvlJc w:val="left"/>
      <w:lvlText w:val="(%1)"/>
      <w:numFmt w:val="lowerLetter"/>
      <w:start w:val="61"/>
    </w:lvl>
    <w:lvl w:ilvl="1">
      <w:lvlJc w:val="left"/>
      <w:lvlText w:val="(%2)"/>
      <w:numFmt w:val="lowerLetter"/>
      <w:start w:val="2"/>
    </w:lvl>
  </w:abstractNum>
  <w:abstractNum w:abstractNumId="463">
    <w:nsid w:val="666AA3E1"/>
    <w:multiLevelType w:val="hybridMultilevel"/>
    <w:lvl w:ilvl="0">
      <w:lvlJc w:val="left"/>
      <w:lvlText w:val="(%1)"/>
      <w:numFmt w:val="lowerLetter"/>
      <w:start w:val="24"/>
    </w:lvl>
  </w:abstractNum>
  <w:abstractNum w:abstractNumId="464">
    <w:nsid w:val="32089E8C"/>
    <w:multiLevelType w:val="hybridMultilevel"/>
    <w:lvl w:ilvl="0">
      <w:lvlJc w:val="left"/>
      <w:lvlText w:val="(%1)"/>
      <w:numFmt w:val="decimal"/>
      <w:start w:val="30"/>
    </w:lvl>
  </w:abstractNum>
  <w:abstractNum w:abstractNumId="465">
    <w:nsid w:val="5BAC6C9C"/>
    <w:multiLevelType w:val="hybridMultilevel"/>
    <w:lvl w:ilvl="0">
      <w:lvlJc w:val="left"/>
      <w:lvlText w:val="(%1)"/>
      <w:numFmt w:val="lowerLetter"/>
      <w:start w:val="2"/>
    </w:lvl>
  </w:abstractNum>
  <w:abstractNum w:abstractNumId="466">
    <w:nsid w:val="460FE42B"/>
    <w:multiLevelType w:val="hybridMultilevel"/>
    <w:lvl w:ilvl="0">
      <w:lvlJc w:val="left"/>
      <w:lvlText w:val="%1."/>
      <w:numFmt w:val="decimal"/>
      <w:start w:val="12"/>
    </w:lvl>
  </w:abstractNum>
  <w:abstractNum w:abstractNumId="467">
    <w:nsid w:val="5EC714FC"/>
    <w:multiLevelType w:val="hybridMultilevel"/>
    <w:lvl w:ilvl="0">
      <w:lvlJc w:val="left"/>
      <w:lvlText w:val="%1"/>
      <w:numFmt w:val="decimal"/>
      <w:start w:val="1"/>
    </w:lvl>
    <w:lvl w:ilvl="1">
      <w:lvlJc w:val="left"/>
      <w:lvlText w:val="(%2)"/>
      <w:numFmt w:val="lowerLetter"/>
      <w:start w:val="1"/>
    </w:lvl>
  </w:abstractNum>
  <w:abstractNum w:abstractNumId="468">
    <w:nsid w:val="39333BAD"/>
    <w:multiLevelType w:val="hybridMultilevel"/>
    <w:lvl w:ilvl="0">
      <w:lvlJc w:val="left"/>
      <w:lvlText w:val="(%1)"/>
      <w:numFmt w:val="decimal"/>
      <w:start w:val="90"/>
    </w:lvl>
    <w:lvl w:ilvl="1">
      <w:lvlJc w:val="left"/>
      <w:lvlText w:val="%2"/>
      <w:numFmt w:val="lowerLetter"/>
      <w:start w:val="1"/>
    </w:lvl>
  </w:abstractNum>
  <w:abstractNum w:abstractNumId="469">
    <w:nsid w:val="2FFF2A9F"/>
    <w:multiLevelType w:val="hybridMultilevel"/>
    <w:lvl w:ilvl="0">
      <w:lvlJc w:val="left"/>
      <w:lvlText w:val="%1"/>
      <w:numFmt w:val="decimal"/>
      <w:start w:val="1"/>
    </w:lvl>
    <w:lvl w:ilvl="1">
      <w:lvlJc w:val="left"/>
      <w:lvlText w:val="(%2)"/>
      <w:numFmt w:val="lowerLetter"/>
      <w:start w:val="2"/>
    </w:lvl>
  </w:abstractNum>
  <w:abstractNum w:abstractNumId="470">
    <w:nsid w:val="477304AC"/>
    <w:multiLevelType w:val="hybridMultilevel"/>
    <w:lvl w:ilvl="0">
      <w:lvlJc w:val="left"/>
      <w:lvlText w:val="%1."/>
      <w:numFmt w:val="decimal"/>
      <w:start w:val="13"/>
    </w:lvl>
    <w:lvl w:ilvl="1">
      <w:lvlJc w:val="left"/>
      <w:lvlText w:val="%2"/>
      <w:numFmt w:val="lowerLetter"/>
      <w:start w:val="1"/>
    </w:lvl>
  </w:abstractNum>
  <w:abstractNum w:abstractNumId="471">
    <w:nsid w:val="6B9F7823"/>
    <w:multiLevelType w:val="hybridMultilevel"/>
    <w:lvl w:ilvl="0">
      <w:lvlJc w:val="left"/>
      <w:lvlText w:val="%1."/>
      <w:numFmt w:val="decimal"/>
      <w:start w:val="14"/>
    </w:lvl>
  </w:abstractNum>
  <w:abstractNum w:abstractNumId="472">
    <w:nsid w:val="8A29A69"/>
    <w:multiLevelType w:val="hybridMultilevel"/>
    <w:lvl w:ilvl="0">
      <w:lvlJc w:val="left"/>
      <w:lvlText w:val="%1."/>
      <w:numFmt w:val="decimal"/>
      <w:start w:val="15"/>
    </w:lvl>
  </w:abstractNum>
  <w:abstractNum w:abstractNumId="473">
    <w:nsid w:val="5A0E9A9F"/>
    <w:multiLevelType w:val="hybridMultilevel"/>
    <w:lvl w:ilvl="0">
      <w:lvlJc w:val="left"/>
      <w:lvlText w:val="(%1)"/>
      <w:numFmt w:val="decimal"/>
      <w:start w:val="1"/>
    </w:lvl>
  </w:abstractNum>
  <w:abstractNum w:abstractNumId="474">
    <w:nsid w:val="1C3F31CE"/>
    <w:multiLevelType w:val="hybridMultilevel"/>
    <w:lvl w:ilvl="0">
      <w:lvlJc w:val="left"/>
      <w:lvlText w:val="%1."/>
      <w:numFmt w:val="decimal"/>
      <w:start w:val="16"/>
    </w:lvl>
  </w:abstractNum>
  <w:abstractNum w:abstractNumId="475">
    <w:nsid w:val="D28DDE"/>
    <w:multiLevelType w:val="hybridMultilevel"/>
    <w:lvl w:ilvl="0">
      <w:lvlJc w:val="left"/>
      <w:lvlText w:val="(%1)"/>
      <w:numFmt w:val="decimal"/>
      <w:start w:val="30"/>
    </w:lvl>
  </w:abstractNum>
  <w:abstractNum w:abstractNumId="476">
    <w:nsid w:val="59E3AC4"/>
    <w:multiLevelType w:val="hybridMultilevel"/>
    <w:lvl w:ilvl="0">
      <w:lvlJc w:val="left"/>
      <w:lvlText w:val="%1."/>
      <w:numFmt w:val="decimal"/>
      <w:start w:val="18"/>
    </w:lvl>
  </w:abstractNum>
  <w:abstractNum w:abstractNumId="477">
    <w:nsid w:val="5D38CAEA"/>
    <w:multiLevelType w:val="hybridMultilevel"/>
    <w:lvl w:ilvl="0">
      <w:lvlJc w:val="left"/>
      <w:lvlText w:val="%1."/>
      <w:numFmt w:val="decimal"/>
      <w:start w:val="19"/>
    </w:lvl>
  </w:abstractNum>
  <w:abstractNum w:abstractNumId="478">
    <w:nsid w:val="5F4208C"/>
    <w:multiLevelType w:val="hybridMultilevel"/>
    <w:lvl w:ilvl="0">
      <w:lvlJc w:val="left"/>
      <w:lvlText w:val="%1."/>
      <w:numFmt w:val="decimal"/>
      <w:start w:val="20"/>
    </w:lvl>
  </w:abstractNum>
  <w:abstractNum w:abstractNumId="479">
    <w:nsid w:val="7C0F10CC"/>
    <w:multiLevelType w:val="hybridMultilevel"/>
    <w:lvl w:ilvl="0">
      <w:lvlJc w:val="left"/>
      <w:lvlText w:val="%1."/>
      <w:numFmt w:val="decimal"/>
      <w:start w:val="21"/>
    </w:lvl>
  </w:abstractNum>
  <w:abstractNum w:abstractNumId="480">
    <w:nsid w:val="25EF81D5"/>
    <w:multiLevelType w:val="hybridMultilevel"/>
    <w:lvl w:ilvl="0">
      <w:lvlJc w:val="left"/>
      <w:lvlText w:val="%1."/>
      <w:numFmt w:val="decimal"/>
      <w:start w:val="23"/>
    </w:lvl>
  </w:abstractNum>
  <w:abstractNum w:abstractNumId="481">
    <w:nsid w:val="15A79515"/>
    <w:multiLevelType w:val="hybridMultilevel"/>
    <w:lvl w:ilvl="0">
      <w:lvlJc w:val="left"/>
      <w:lvlText w:val="%1."/>
      <w:numFmt w:val="decimal"/>
      <w:start w:val="24"/>
    </w:lvl>
  </w:abstractNum>
  <w:abstractNum w:abstractNumId="482">
    <w:nsid w:val="4B67062"/>
    <w:multiLevelType w:val="hybridMultilevel"/>
    <w:lvl w:ilvl="0">
      <w:lvlJc w:val="left"/>
      <w:lvlText w:val="(%1)"/>
      <w:numFmt w:val="decimal"/>
      <w:start w:val="30"/>
    </w:lvl>
  </w:abstractNum>
  <w:abstractNum w:abstractNumId="483">
    <w:nsid w:val="51174123"/>
    <w:multiLevelType w:val="hybridMultilevel"/>
    <w:lvl w:ilvl="0">
      <w:lvlJc w:val="left"/>
      <w:lvlText w:val="%1."/>
      <w:numFmt w:val="decimal"/>
      <w:start w:val="25"/>
    </w:lvl>
  </w:abstractNum>
  <w:abstractNum w:abstractNumId="484">
    <w:nsid w:val="240453CA"/>
    <w:multiLevelType w:val="hybridMultilevel"/>
    <w:lvl w:ilvl="0">
      <w:lvlJc w:val="left"/>
      <w:lvlText w:val="%1."/>
      <w:numFmt w:val="decimal"/>
      <w:start w:val="26"/>
    </w:lvl>
  </w:abstractNum>
  <w:abstractNum w:abstractNumId="485">
    <w:nsid w:val="2E326D9A"/>
    <w:multiLevelType w:val="hybridMultilevel"/>
    <w:lvl w:ilvl="0">
      <w:lvlJc w:val="left"/>
      <w:lvlText w:val="%1."/>
      <w:numFmt w:val="decimal"/>
      <w:start w:val="27"/>
    </w:lvl>
  </w:abstractNum>
  <w:abstractNum w:abstractNumId="486">
    <w:nsid w:val="5EB19210"/>
    <w:multiLevelType w:val="hybridMultilevel"/>
    <w:lvl w:ilvl="0">
      <w:lvlJc w:val="left"/>
      <w:lvlText w:val="%1."/>
      <w:numFmt w:val="decimal"/>
      <w:start w:val="28"/>
    </w:lvl>
  </w:abstractNum>
  <w:abstractNum w:abstractNumId="487">
    <w:nsid w:val="44DEFF9B"/>
    <w:multiLevelType w:val="hybridMultilevel"/>
    <w:lvl w:ilvl="0">
      <w:lvlJc w:val="left"/>
      <w:lvlText w:val="%1."/>
      <w:numFmt w:val="decimal"/>
      <w:start w:val="29"/>
    </w:lvl>
  </w:abstractNum>
  <w:abstractNum w:abstractNumId="488">
    <w:nsid w:val="1FE7D17D"/>
    <w:multiLevelType w:val="hybridMultilevel"/>
    <w:lvl w:ilvl="0">
      <w:lvlJc w:val="left"/>
      <w:lvlText w:val="%1."/>
      <w:numFmt w:val="decimal"/>
      <w:start w:val="30"/>
    </w:lvl>
  </w:abstractNum>
  <w:abstractNum w:abstractNumId="489">
    <w:nsid w:val="52CBAB2E"/>
    <w:multiLevelType w:val="hybridMultilevel"/>
    <w:lvl w:ilvl="0">
      <w:lvlJc w:val="left"/>
      <w:lvlText w:val="(%1)"/>
      <w:numFmt w:val="decimal"/>
      <w:start w:val="14"/>
    </w:lvl>
  </w:abstractNum>
  <w:abstractNum w:abstractNumId="490">
    <w:nsid w:val="1A6760EF"/>
    <w:multiLevelType w:val="hybridMultilevel"/>
    <w:lvl w:ilvl="0">
      <w:lvlJc w:val="left"/>
      <w:lvlText w:val="(%1)"/>
      <w:numFmt w:val="lowerLetter"/>
      <w:start w:val="1"/>
    </w:lvl>
  </w:abstractNum>
  <w:abstractNum w:abstractNumId="491">
    <w:nsid w:val="5E52C405"/>
    <w:multiLevelType w:val="hybridMultilevel"/>
    <w:lvl w:ilvl="0">
      <w:lvlJc w:val="left"/>
      <w:lvlText w:val="(%1)"/>
      <w:numFmt w:val="lowerLetter"/>
      <w:start w:val="5"/>
    </w:lvl>
  </w:abstractNum>
  <w:abstractNum w:abstractNumId="492">
    <w:nsid w:val="486447"/>
    <w:multiLevelType w:val="hybridMultilevel"/>
    <w:lvl w:ilvl="0">
      <w:lvlJc w:val="left"/>
      <w:lvlText w:val="%1."/>
      <w:numFmt w:val="decimal"/>
      <w:start w:val="31"/>
    </w:lvl>
  </w:abstractNum>
  <w:abstractNum w:abstractNumId="493">
    <w:nsid w:val="61E90D1E"/>
    <w:multiLevelType w:val="hybridMultilevel"/>
    <w:lvl w:ilvl="0">
      <w:lvlJc w:val="left"/>
      <w:lvlText w:val="%1."/>
      <w:numFmt w:val="decimal"/>
      <w:start w:val="32"/>
    </w:lvl>
  </w:abstractNum>
  <w:abstractNum w:abstractNumId="494">
    <w:nsid w:val="44BD67E6"/>
    <w:multiLevelType w:val="hybridMultilevel"/>
    <w:lvl w:ilvl="0">
      <w:lvlJc w:val="left"/>
      <w:lvlText w:val="%1"/>
      <w:numFmt w:val="decimal"/>
      <w:start w:val="1"/>
    </w:lvl>
    <w:lvl w:ilvl="1">
      <w:lvlJc w:val="left"/>
      <w:lvlText w:val="(%2)"/>
      <w:numFmt w:val="lowerLetter"/>
      <w:start w:val="2"/>
    </w:lvl>
  </w:abstractNum>
  <w:abstractNum w:abstractNumId="495">
    <w:nsid w:val="325102D3"/>
    <w:multiLevelType w:val="hybridMultilevel"/>
    <w:lvl w:ilvl="0">
      <w:lvlJc w:val="left"/>
      <w:lvlText w:val="(%1)"/>
      <w:numFmt w:val="decimal"/>
      <w:start w:val="120"/>
    </w:lvl>
    <w:lvl w:ilvl="1">
      <w:lvlJc w:val="left"/>
      <w:lvlText w:val="(%2)"/>
      <w:numFmt w:val="lowerLetter"/>
      <w:start w:val="8"/>
    </w:lvl>
  </w:abstractNum>
  <w:abstractNum w:abstractNumId="496">
    <w:nsid w:val="3D9579BA"/>
    <w:multiLevelType w:val="hybridMultilevel"/>
    <w:lvl w:ilvl="0">
      <w:lvlJc w:val="left"/>
      <w:lvlText w:val="(%1)"/>
      <w:numFmt w:val="lowerLetter"/>
      <w:start w:val="1"/>
    </w:lvl>
  </w:abstractNum>
  <w:abstractNum w:abstractNumId="497">
    <w:nsid w:val="ACD4C11"/>
    <w:multiLevelType w:val="hybridMultilevel"/>
    <w:lvl w:ilvl="0">
      <w:lvlJc w:val="left"/>
      <w:lvlText w:val="(%1)"/>
      <w:numFmt w:val="lowerLetter"/>
      <w:start w:val="1"/>
    </w:lvl>
  </w:abstractNum>
  <w:abstractNum w:abstractNumId="498">
    <w:nsid w:val="111817CF"/>
    <w:multiLevelType w:val="hybridMultilevel"/>
    <w:lvl w:ilvl="0">
      <w:lvlJc w:val="left"/>
      <w:lvlText w:val="(%1)"/>
      <w:numFmt w:val="lowerLetter"/>
      <w:start w:val="1"/>
    </w:lvl>
  </w:abstractNum>
  <w:abstractNum w:abstractNumId="499">
    <w:nsid w:val="76C8B568"/>
    <w:multiLevelType w:val="hybridMultilevel"/>
    <w:lvl w:ilvl="0">
      <w:lvlJc w:val="left"/>
      <w:lvlText w:val="(%1)"/>
      <w:numFmt w:val="lowerLetter"/>
      <w:start w:val="2"/>
    </w:lvl>
  </w:abstractNum>
  <w:abstractNum w:abstractNumId="500">
    <w:nsid w:val="3ACC76B1"/>
    <w:multiLevelType w:val="hybridMultilevel"/>
    <w:lvl w:ilvl="0">
      <w:lvlJc w:val="left"/>
      <w:lvlText w:val="%1."/>
      <w:numFmt w:val="decimal"/>
      <w:start w:val="33"/>
    </w:lvl>
  </w:abstractNum>
  <w:abstractNum w:abstractNumId="501">
    <w:nsid w:val="588B1C7C"/>
    <w:multiLevelType w:val="hybridMultilevel"/>
    <w:lvl w:ilvl="0">
      <w:lvlJc w:val="left"/>
      <w:lvlText w:val="%1."/>
      <w:numFmt w:val="decimal"/>
      <w:start w:val="34"/>
    </w:lvl>
  </w:abstractNum>
  <w:abstractNum w:abstractNumId="502">
    <w:nsid w:val="62682D8B"/>
    <w:multiLevelType w:val="hybridMultilevel"/>
    <w:lvl w:ilvl="0">
      <w:lvlJc w:val="left"/>
      <w:lvlText w:val="%1."/>
      <w:numFmt w:val="decimal"/>
      <w:start w:val="35"/>
    </w:lvl>
  </w:abstractNum>
  <w:abstractNum w:abstractNumId="503">
    <w:nsid w:val="436F111A"/>
    <w:multiLevelType w:val="hybridMultilevel"/>
    <w:lvl w:ilvl="0">
      <w:lvlJc w:val="left"/>
      <w:lvlText w:val="%1."/>
      <w:numFmt w:val="decimal"/>
      <w:start w:val="38"/>
    </w:lvl>
  </w:abstractNum>
  <w:abstractNum w:abstractNumId="504">
    <w:nsid w:val="3299B71B"/>
    <w:multiLevelType w:val="hybridMultilevel"/>
    <w:lvl w:ilvl="0">
      <w:lvlJc w:val="left"/>
      <w:lvlText w:val="%1."/>
      <w:numFmt w:val="decimal"/>
      <w:start w:val="40"/>
    </w:lvl>
  </w:abstractNum>
  <w:abstractNum w:abstractNumId="505">
    <w:nsid w:val="7EA75F5A"/>
    <w:multiLevelType w:val="hybridMultilevel"/>
    <w:lvl w:ilvl="0">
      <w:lvlJc w:val="left"/>
      <w:lvlText w:val="%1."/>
      <w:numFmt w:val="decimal"/>
      <w:start w:val="42"/>
    </w:lvl>
  </w:abstractNum>
  <w:abstractNum w:abstractNumId="506">
    <w:nsid w:val="44419EF9"/>
    <w:multiLevelType w:val="hybridMultilevel"/>
    <w:lvl w:ilvl="0">
      <w:lvlJc w:val="left"/>
      <w:lvlText w:val="(%1)"/>
      <w:numFmt w:val="lowerLetter"/>
      <w:start w:val="1"/>
    </w:lvl>
  </w:abstractNum>
  <w:abstractNum w:abstractNumId="507">
    <w:nsid w:val="3837F1DF"/>
    <w:multiLevelType w:val="hybridMultilevel"/>
    <w:lvl w:ilvl="0">
      <w:lvlJc w:val="left"/>
      <w:lvlText w:val="%1."/>
      <w:numFmt w:val="decimal"/>
      <w:start w:val="43"/>
    </w:lvl>
  </w:abstractNum>
  <w:abstractNum w:abstractNumId="508">
    <w:nsid w:val="5BE02A44"/>
    <w:multiLevelType w:val="hybridMultilevel"/>
    <w:lvl w:ilvl="0">
      <w:lvlJc w:val="left"/>
      <w:lvlText w:val="%1."/>
      <w:numFmt w:val="decimal"/>
      <w:start w:val="44"/>
    </w:lvl>
  </w:abstractNum>
  <w:abstractNum w:abstractNumId="509">
    <w:nsid w:val="4A35BF85"/>
    <w:multiLevelType w:val="hybridMultilevel"/>
    <w:lvl w:ilvl="0">
      <w:lvlJc w:val="left"/>
      <w:lvlText w:val="%1."/>
      <w:numFmt w:val="decimal"/>
      <w:start w:val="1"/>
    </w:lvl>
  </w:abstractNum>
  <w:abstractNum w:abstractNumId="510">
    <w:nsid w:val="344702AC"/>
    <w:multiLevelType w:val="hybridMultilevel"/>
    <w:lvl w:ilvl="0">
      <w:lvlJc w:val="left"/>
      <w:lvlText w:val="%1."/>
      <w:numFmt w:val="decimal"/>
      <w:start w:val="2"/>
    </w:lvl>
  </w:abstractNum>
  <w:abstractNum w:abstractNumId="511">
    <w:nsid w:val="1CFAC1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12">
    <w:nsid w:val="5FDD549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513">
    <w:nsid w:val="38FD730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14">
    <w:nsid w:val="52E6E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15">
    <w:nsid w:val="3E1A86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16">
    <w:nsid w:val="672FE0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17">
    <w:nsid w:val="31987F4D"/>
    <w:multiLevelType w:val="hybridMultilevel"/>
    <w:lvl w:ilvl="0">
      <w:lvlJc w:val="left"/>
      <w:lvlText w:val="**"/>
      <w:numFmt w:val="bullet"/>
      <w:start w:val="1"/>
    </w:lvl>
  </w:abstractNum>
  <w:abstractNum w:abstractNumId="518">
    <w:nsid w:val="48C0A800"/>
    <w:multiLevelType w:val="hybridMultilevel"/>
    <w:lvl w:ilvl="0">
      <w:lvlJc w:val="left"/>
      <w:lvlText w:val="***"/>
      <w:numFmt w:val="bullet"/>
      <w:start w:val="1"/>
    </w:lvl>
  </w:abstractNum>
  <w:abstractNum w:abstractNumId="519">
    <w:nsid w:val="717B226"/>
    <w:multiLevelType w:val="hybridMultilevel"/>
    <w:lvl w:ilvl="0">
      <w:lvlJc w:val="left"/>
      <w:lvlText w:val="****"/>
      <w:numFmt w:val="bullet"/>
      <w:start w:val="1"/>
    </w:lvl>
  </w:abstractNum>
  <w:abstractNum w:abstractNumId="520">
    <w:nsid w:val="4642A7B"/>
    <w:multiLevelType w:val="hybridMultilevel"/>
    <w:lvl w:ilvl="0">
      <w:lvlJc w:val="left"/>
      <w:lvlText w:val="["/>
      <w:numFmt w:val="bullet"/>
      <w:start w:val="1"/>
    </w:lvl>
  </w:abstractNum>
  <w:abstractNum w:abstractNumId="521">
    <w:nsid w:val="632808EF"/>
    <w:multiLevelType w:val="hybridMultilevel"/>
    <w:lvl w:ilvl="0">
      <w:lvlJc w:val="left"/>
      <w:lvlText w:val="%1."/>
      <w:numFmt w:val="decimal"/>
      <w:start w:val="2"/>
    </w:lvl>
  </w:abstractNum>
  <w:abstractNum w:abstractNumId="522">
    <w:nsid w:val="656A762B"/>
    <w:multiLevelType w:val="hybridMultilevel"/>
    <w:lvl w:ilvl="0">
      <w:lvlJc w:val="left"/>
      <w:lvlText w:val="["/>
      <w:numFmt w:val="bullet"/>
      <w:start w:val="1"/>
    </w:lvl>
    <w:lvl w:ilvl="1">
      <w:lvlJc w:val="left"/>
      <w:lvlText w:val="%2."/>
      <w:numFmt w:val="decimal"/>
      <w:start w:val="8"/>
    </w:lvl>
  </w:abstractNum>
  <w:abstractNum w:abstractNumId="523">
    <w:nsid w:val="4AC8EC3"/>
    <w:multiLevelType w:val="hybridMultilevel"/>
    <w:lvl w:ilvl="0">
      <w:lvlJc w:val="left"/>
      <w:lvlText w:val="%1."/>
      <w:numFmt w:val="decimal"/>
      <w:start w:val="10"/>
    </w:lvl>
  </w:abstractNum>
  <w:abstractNum w:abstractNumId="524">
    <w:nsid w:val="4511160D"/>
    <w:multiLevelType w:val="hybridMultilevel"/>
    <w:lvl w:ilvl="0">
      <w:lvlJc w:val="left"/>
      <w:lvlText w:val="%1."/>
      <w:numFmt w:val="decimal"/>
      <w:start w:val="2"/>
    </w:lvl>
  </w:abstractNum>
  <w:abstractNum w:abstractNumId="525">
    <w:nsid w:val="2A27DE11"/>
    <w:multiLevelType w:val="hybridMultilevel"/>
    <w:lvl w:ilvl="0">
      <w:lvlJc w:val="left"/>
      <w:lvlText w:val="["/>
      <w:numFmt w:val="bullet"/>
      <w:start w:val="1"/>
    </w:lvl>
    <w:lvl w:ilvl="1">
      <w:lvlJc w:val="left"/>
      <w:lvlText w:val="%2."/>
      <w:numFmt w:val="decimal"/>
      <w:start w:val="8"/>
    </w:lvl>
  </w:abstractNum>
  <w:abstractNum w:abstractNumId="526">
    <w:nsid w:val="36FD9196"/>
    <w:multiLevelType w:val="hybridMultilevel"/>
    <w:lvl w:ilvl="0">
      <w:lvlJc w:val="left"/>
      <w:lvlText w:val="%1."/>
      <w:numFmt w:val="decimal"/>
      <w:start w:val="10"/>
    </w:lvl>
  </w:abstractNum>
  <w:abstractNum w:abstractNumId="527">
    <w:nsid w:val="2A68FC8"/>
    <w:multiLevelType w:val="hybridMultilevel"/>
    <w:lvl w:ilvl="0">
      <w:lvlJc w:val="left"/>
      <w:lvlText w:val="%1:"/>
      <w:numFmt w:val="lowerLetter"/>
      <w:start w:val="29"/>
    </w:lvl>
  </w:abstractNum>
  <w:abstractNum w:abstractNumId="528">
    <w:nsid w:val="34F52A23"/>
    <w:multiLevelType w:val="hybridMultilevel"/>
    <w:lvl w:ilvl="0">
      <w:lvlJc w:val="left"/>
      <w:lvlText w:val="%1"/>
      <w:numFmt w:val="lowerLetter"/>
      <w:start w:val="1"/>
    </w:lvl>
    <w:lvl w:ilvl="1">
      <w:lvlJc w:val="left"/>
      <w:lvlText w:val="%2."/>
      <w:numFmt w:val="decimal"/>
      <w:start w:val="1"/>
    </w:lvl>
  </w:abstractNum>
  <w:abstractNum w:abstractNumId="529">
    <w:nsid w:val="4815A966"/>
    <w:multiLevelType w:val="hybridMultilevel"/>
    <w:lvl w:ilvl="0">
      <w:lvlJc w:val="left"/>
      <w:lvlText w:val="(%1)"/>
      <w:numFmt w:val="lowerLetter"/>
      <w:start w:val="2"/>
    </w:lvl>
    <w:lvl w:ilvl="1">
      <w:lvlJc w:val="left"/>
      <w:lvlText w:val="%2."/>
      <w:numFmt w:val="decimal"/>
      <w:start w:val="3"/>
    </w:lvl>
  </w:abstractNum>
  <w:abstractNum w:abstractNumId="530">
    <w:nsid w:val="796F4530"/>
    <w:multiLevelType w:val="hybridMultilevel"/>
    <w:lvl w:ilvl="0">
      <w:lvlJc w:val="left"/>
      <w:lvlText w:val="%1"/>
      <w:numFmt w:val="lowerLetter"/>
      <w:start w:val="1"/>
    </w:lvl>
    <w:lvl w:ilvl="1">
      <w:lvlJc w:val="left"/>
      <w:lvlText w:val="%2."/>
      <w:numFmt w:val="decimal"/>
      <w:start w:val="9"/>
    </w:lvl>
  </w:abstractNum>
  <w:abstractNum w:abstractNumId="531">
    <w:nsid w:val="6FC1A0D4"/>
    <w:multiLevelType w:val="hybridMultilevel"/>
    <w:lvl w:ilvl="0">
      <w:lvlJc w:val="left"/>
      <w:lvlText w:val="(%1)"/>
      <w:numFmt w:val="lowerLetter"/>
      <w:start w:val="3"/>
    </w:lvl>
    <w:lvl w:ilvl="1">
      <w:lvlJc w:val="left"/>
      <w:lvlText w:val="%2."/>
      <w:numFmt w:val="decimal"/>
      <w:start w:val="11"/>
    </w:lvl>
  </w:abstractNum>
  <w:abstractNum w:abstractNumId="532">
    <w:nsid w:val="20A0C5E2"/>
    <w:multiLevelType w:val="hybridMultilevel"/>
    <w:lvl w:ilvl="0">
      <w:lvlJc w:val="left"/>
      <w:lvlText w:val="1"/>
      <w:numFmt w:val="bullet"/>
      <w:start w:val="1"/>
    </w:lvl>
  </w:abstractNum>
  <w:abstractNum w:abstractNumId="533">
    <w:nsid w:val="5BD772BB"/>
    <w:multiLevelType w:val="hybridMultilevel"/>
    <w:lvl w:ilvl="0">
      <w:lvlJc w:val="left"/>
      <w:lvlText w:val="1"/>
      <w:numFmt w:val="bullet"/>
      <w:start w:val="1"/>
    </w:lvl>
  </w:abstractNum>
  <w:abstractNum w:abstractNumId="534">
    <w:nsid w:val="3330B1EE"/>
    <w:multiLevelType w:val="hybridMultilevel"/>
    <w:lvl w:ilvl="0">
      <w:lvlJc w:val="left"/>
      <w:lvlText w:val="2"/>
      <w:numFmt w:val="bullet"/>
      <w:start w:val="1"/>
    </w:lvl>
  </w:abstractNum>
  <w:abstractNum w:abstractNumId="535">
    <w:nsid w:val="533A7CFD"/>
    <w:multiLevelType w:val="hybridMultilevel"/>
    <w:lvl w:ilvl="0">
      <w:lvlJc w:val="left"/>
      <w:lvlText w:val="1"/>
      <w:numFmt w:val="bullet"/>
      <w:start w:val="1"/>
    </w:lvl>
  </w:abstractNum>
  <w:abstractNum w:abstractNumId="536">
    <w:nsid w:val="5A7ED215"/>
    <w:multiLevelType w:val="hybridMultilevel"/>
    <w:lvl w:ilvl="0">
      <w:lvlJc w:val="left"/>
      <w:lvlText w:val="1"/>
      <w:numFmt w:val="bullet"/>
      <w:start w:val="1"/>
    </w:lvl>
  </w:abstractNum>
  <w:abstractNum w:abstractNumId="537">
    <w:nsid w:val="777250E7"/>
    <w:multiLevelType w:val="hybridMultilevel"/>
    <w:lvl w:ilvl="0">
      <w:lvlJc w:val="left"/>
      <w:lvlText w:val="1"/>
      <w:numFmt w:val="bullet"/>
      <w:start w:val="1"/>
    </w:lvl>
  </w:abstractNum>
  <w:abstractNum w:abstractNumId="538">
    <w:nsid w:val="B726EDC"/>
    <w:multiLevelType w:val="hybridMultilevel"/>
    <w:lvl w:ilvl="0">
      <w:lvlJc w:val="left"/>
      <w:lvlText w:val="1"/>
      <w:numFmt w:val="bullet"/>
      <w:start w:val="1"/>
    </w:lvl>
  </w:abstractNum>
  <w:abstractNum w:abstractNumId="539">
    <w:nsid w:val="365EFC5A"/>
    <w:multiLevelType w:val="hybridMultilevel"/>
    <w:lvl w:ilvl="0">
      <w:lvlJc w:val="left"/>
      <w:lvlText w:val="1"/>
      <w:numFmt w:val="bullet"/>
      <w:start w:val="1"/>
    </w:lvl>
  </w:abstractNum>
  <w:abstractNum w:abstractNumId="540">
    <w:nsid w:val="41A8106C"/>
    <w:multiLevelType w:val="hybridMultilevel"/>
    <w:lvl w:ilvl="0">
      <w:lvlJc w:val="left"/>
      <w:lvlText w:val="1"/>
      <w:numFmt w:val="bullet"/>
      <w:start w:val="1"/>
    </w:lvl>
  </w:abstractNum>
  <w:abstractNum w:abstractNumId="541">
    <w:nsid w:val="3FB97188"/>
    <w:multiLevelType w:val="hybridMultilevel"/>
    <w:lvl w:ilvl="0">
      <w:lvlJc w:val="left"/>
      <w:lvlText w:val="1"/>
      <w:numFmt w:val="bullet"/>
      <w:start w:val="1"/>
    </w:lvl>
  </w:abstractNum>
  <w:abstractNum w:abstractNumId="542">
    <w:nsid w:val="382EA874"/>
    <w:multiLevelType w:val="hybridMultilevel"/>
    <w:lvl w:ilvl="0">
      <w:lvlJc w:val="left"/>
      <w:lvlText w:val="1"/>
      <w:numFmt w:val="bullet"/>
      <w:start w:val="1"/>
    </w:lvl>
  </w:abstractNum>
  <w:abstractNum w:abstractNumId="543">
    <w:nsid w:val="21856507"/>
    <w:multiLevelType w:val="hybridMultilevel"/>
    <w:lvl w:ilvl="0">
      <w:lvlJc w:val="left"/>
      <w:lvlText w:val="1"/>
      <w:numFmt w:val="bullet"/>
      <w:start w:val="1"/>
    </w:lvl>
  </w:abstractNum>
  <w:abstractNum w:abstractNumId="544">
    <w:nsid w:val="78B6E496"/>
    <w:multiLevelType w:val="hybridMultilevel"/>
    <w:lvl w:ilvl="0">
      <w:lvlJc w:val="left"/>
      <w:lvlText w:val="1"/>
      <w:numFmt w:val="bullet"/>
      <w:start w:val="1"/>
    </w:lvl>
  </w:abstractNum>
  <w:abstractNum w:abstractNumId="545">
    <w:nsid w:val="B1595B1"/>
    <w:multiLevelType w:val="hybridMultilevel"/>
    <w:lvl w:ilvl="0">
      <w:lvlJc w:val="left"/>
      <w:lvlText w:val="2"/>
      <w:numFmt w:val="bullet"/>
      <w:start w:val="1"/>
    </w:lvl>
  </w:abstractNum>
  <w:abstractNum w:abstractNumId="546">
    <w:nsid w:val="25670D6B"/>
    <w:multiLevelType w:val="hybridMultilevel"/>
    <w:lvl w:ilvl="0">
      <w:lvlJc w:val="left"/>
      <w:lvlText w:val="1"/>
      <w:numFmt w:val="bullet"/>
      <w:start w:val="1"/>
    </w:lvl>
  </w:abstractNum>
  <w:abstractNum w:abstractNumId="547">
    <w:nsid w:val="5FE6C53F"/>
    <w:multiLevelType w:val="hybridMultilevel"/>
    <w:lvl w:ilvl="0">
      <w:lvlJc w:val="left"/>
      <w:lvlText w:val="1"/>
      <w:numFmt w:val="bullet"/>
      <w:start w:val="1"/>
    </w:lvl>
  </w:abstractNum>
  <w:abstractNum w:abstractNumId="548">
    <w:nsid w:val="3CAE14FE"/>
    <w:multiLevelType w:val="hybridMultilevel"/>
    <w:lvl w:ilvl="0">
      <w:lvlJc w:val="left"/>
      <w:lvlText w:val="2"/>
      <w:numFmt w:val="bullet"/>
      <w:start w:val="1"/>
    </w:lvl>
  </w:abstractNum>
  <w:abstractNum w:abstractNumId="549">
    <w:nsid w:val="6E27B56B"/>
    <w:multiLevelType w:val="hybridMultilevel"/>
    <w:lvl w:ilvl="0">
      <w:lvlJc w:val="left"/>
      <w:lvlText w:val="1"/>
      <w:numFmt w:val="bullet"/>
      <w:start w:val="1"/>
    </w:lvl>
  </w:abstractNum>
  <w:abstractNum w:abstractNumId="550">
    <w:nsid w:val="66FE7765"/>
    <w:multiLevelType w:val="hybridMultilevel"/>
    <w:lvl w:ilvl="0">
      <w:lvlJc w:val="left"/>
      <w:lvlText w:val="1"/>
      <w:numFmt w:val="bullet"/>
      <w:start w:val="1"/>
    </w:lvl>
  </w:abstractNum>
  <w:abstractNum w:abstractNumId="551">
    <w:nsid w:val="41123F79"/>
    <w:multiLevelType w:val="hybridMultilevel"/>
    <w:lvl w:ilvl="0">
      <w:lvlJc w:val="left"/>
      <w:lvlText w:val="1"/>
      <w:numFmt w:val="bullet"/>
      <w:start w:val="1"/>
    </w:lvl>
  </w:abstractNum>
  <w:abstractNum w:abstractNumId="552">
    <w:nsid w:val="514FBE5A"/>
    <w:multiLevelType w:val="hybridMultilevel"/>
    <w:lvl w:ilvl="0">
      <w:lvlJc w:val="left"/>
      <w:lvlText w:val="1"/>
      <w:numFmt w:val="bullet"/>
      <w:start w:val="1"/>
    </w:lvl>
  </w:abstractNum>
  <w:abstractNum w:abstractNumId="553">
    <w:nsid w:val="4C68ED90"/>
    <w:multiLevelType w:val="hybridMultilevel"/>
    <w:lvl w:ilvl="0">
      <w:lvlJc w:val="left"/>
      <w:lvlText w:val="1"/>
      <w:numFmt w:val="bullet"/>
      <w:start w:val="1"/>
    </w:lvl>
  </w:abstractNum>
  <w:abstractNum w:abstractNumId="554">
    <w:nsid w:val="45BECE3C"/>
    <w:multiLevelType w:val="hybridMultilevel"/>
    <w:lvl w:ilvl="0">
      <w:lvlJc w:val="left"/>
      <w:lvlText w:val="1"/>
      <w:numFmt w:val="bullet"/>
      <w:start w:val="1"/>
    </w:lvl>
  </w:abstractNum>
  <w:abstractNum w:abstractNumId="555">
    <w:nsid w:val="1660D468"/>
    <w:multiLevelType w:val="hybridMultilevel"/>
    <w:lvl w:ilvl="0">
      <w:lvlJc w:val="left"/>
      <w:lvlText w:val="2"/>
      <w:numFmt w:val="bullet"/>
      <w:start w:val="1"/>
    </w:lvl>
  </w:abstractNum>
  <w:abstractNum w:abstractNumId="556">
    <w:nsid w:val="7690CBA1"/>
    <w:multiLevelType w:val="hybridMultilevel"/>
    <w:lvl w:ilvl="0">
      <w:lvlJc w:val="left"/>
      <w:lvlText w:val="1"/>
      <w:numFmt w:val="bullet"/>
      <w:start w:val="1"/>
    </w:lvl>
  </w:abstractNum>
  <w:abstractNum w:abstractNumId="557">
    <w:nsid w:val="7CBC5FD3"/>
    <w:multiLevelType w:val="hybridMultilevel"/>
    <w:lvl w:ilvl="0">
      <w:lvlJc w:val="left"/>
      <w:lvlText w:val="1"/>
      <w:numFmt w:val="bullet"/>
      <w:start w:val="1"/>
    </w:lvl>
  </w:abstractNum>
  <w:abstractNum w:abstractNumId="558">
    <w:nsid w:val="19076430"/>
    <w:multiLevelType w:val="hybridMultilevel"/>
    <w:lvl w:ilvl="0">
      <w:lvlJc w:val="left"/>
      <w:lvlText w:val="3"/>
      <w:numFmt w:val="bullet"/>
      <w:start w:val="1"/>
    </w:lvl>
  </w:abstractNum>
  <w:abstractNum w:abstractNumId="559">
    <w:nsid w:val="2B85F5C4"/>
    <w:multiLevelType w:val="hybridMultilevel"/>
    <w:lvl w:ilvl="0">
      <w:lvlJc w:val="left"/>
      <w:lvlText w:val="4"/>
      <w:numFmt w:val="bullet"/>
      <w:start w:val="1"/>
    </w:lvl>
  </w:abstractNum>
  <w:abstractNum w:abstractNumId="560">
    <w:nsid w:val="44D20939"/>
    <w:multiLevelType w:val="hybridMultilevel"/>
    <w:lvl w:ilvl="0">
      <w:lvlJc w:val="left"/>
      <w:lvlText w:val="5"/>
      <w:numFmt w:val="bullet"/>
      <w:start w:val="1"/>
    </w:lvl>
  </w:abstractNum>
  <w:abstractNum w:abstractNumId="561">
    <w:nsid w:val="1276A960"/>
    <w:multiLevelType w:val="hybridMultilevel"/>
    <w:lvl w:ilvl="0">
      <w:lvlJc w:val="left"/>
      <w:lvlText w:val="1"/>
      <w:numFmt w:val="bullet"/>
      <w:start w:val="1"/>
    </w:lvl>
  </w:abstractNum>
  <w:abstractNum w:abstractNumId="562">
    <w:nsid w:val="1B479698"/>
    <w:multiLevelType w:val="hybridMultilevel"/>
    <w:lvl w:ilvl="0">
      <w:lvlJc w:val="left"/>
      <w:lvlText w:val="1"/>
      <w:numFmt w:val="bullet"/>
      <w:start w:val="1"/>
    </w:lvl>
  </w:abstractNum>
  <w:abstractNum w:abstractNumId="563">
    <w:nsid w:val="6572CF1B"/>
    <w:multiLevelType w:val="hybridMultilevel"/>
    <w:lvl w:ilvl="0">
      <w:lvlJc w:val="left"/>
      <w:lvlText w:val="2"/>
      <w:numFmt w:val="bullet"/>
      <w:start w:val="1"/>
    </w:lvl>
  </w:abstractNum>
  <w:abstractNum w:abstractNumId="564">
    <w:nsid w:val="6E4E1C1B"/>
    <w:multiLevelType w:val="hybridMultilevel"/>
    <w:lvl w:ilvl="0">
      <w:lvlJc w:val="left"/>
      <w:lvlText w:val="1"/>
      <w:numFmt w:val="bullet"/>
      <w:start w:val="1"/>
    </w:lvl>
  </w:abstractNum>
  <w:abstractNum w:abstractNumId="565">
    <w:nsid w:val="4E784887"/>
    <w:multiLevelType w:val="hybridMultilevel"/>
    <w:lvl w:ilvl="0">
      <w:lvlJc w:val="left"/>
      <w:lvlText w:val="1"/>
      <w:numFmt w:val="bullet"/>
      <w:start w:val="1"/>
    </w:lvl>
  </w:abstractNum>
  <w:abstractNum w:abstractNumId="566">
    <w:nsid w:val="38AD4C18"/>
    <w:multiLevelType w:val="hybridMultilevel"/>
    <w:lvl w:ilvl="0">
      <w:lvlJc w:val="left"/>
      <w:lvlText w:val="1"/>
      <w:numFmt w:val="bullet"/>
      <w:start w:val="1"/>
    </w:lvl>
  </w:abstractNum>
  <w:abstractNum w:abstractNumId="567">
    <w:nsid w:val="48CCEE31"/>
    <w:multiLevelType w:val="hybridMultilevel"/>
    <w:lvl w:ilvl="0">
      <w:lvlJc w:val="left"/>
      <w:lvlText w:val="1"/>
      <w:numFmt w:val="bullet"/>
      <w:start w:val="1"/>
    </w:lvl>
  </w:abstractNum>
  <w:abstractNum w:abstractNumId="568">
    <w:nsid w:val="45EA996E"/>
    <w:multiLevelType w:val="hybridMultilevel"/>
    <w:lvl w:ilvl="0">
      <w:lvlJc w:val="left"/>
      <w:lvlText w:val="2"/>
      <w:numFmt w:val="bullet"/>
      <w:start w:val="1"/>
    </w:lvl>
  </w:abstractNum>
  <w:abstractNum w:abstractNumId="569">
    <w:nsid w:val="441FBAF4"/>
    <w:multiLevelType w:val="hybridMultilevel"/>
    <w:lvl w:ilvl="0">
      <w:lvlJc w:val="left"/>
      <w:lvlText w:val="1"/>
      <w:numFmt w:val="bullet"/>
      <w:start w:val="1"/>
    </w:lvl>
  </w:abstractNum>
  <w:abstractNum w:abstractNumId="570">
    <w:nsid w:val="7F2BEA8B"/>
    <w:multiLevelType w:val="hybridMultilevel"/>
    <w:lvl w:ilvl="0">
      <w:lvlJc w:val="left"/>
      <w:lvlText w:val="1"/>
      <w:numFmt w:val="bullet"/>
      <w:start w:val="1"/>
    </w:lvl>
  </w:abstractNum>
  <w:abstractNum w:abstractNumId="571">
    <w:nsid w:val="792A9DB"/>
    <w:multiLevelType w:val="hybridMultilevel"/>
    <w:lvl w:ilvl="0">
      <w:lvlJc w:val="left"/>
      <w:lvlText w:val="2"/>
      <w:numFmt w:val="bullet"/>
      <w:start w:val="1"/>
    </w:lvl>
  </w:abstractNum>
  <w:abstractNum w:abstractNumId="572">
    <w:nsid w:val="3D92C7D"/>
    <w:multiLevelType w:val="hybridMultilevel"/>
    <w:lvl w:ilvl="0">
      <w:lvlJc w:val="left"/>
      <w:lvlText w:val="1"/>
      <w:numFmt w:val="bullet"/>
      <w:start w:val="1"/>
    </w:lvl>
  </w:abstractNum>
  <w:abstractNum w:abstractNumId="573">
    <w:nsid w:val="375A92FF"/>
    <w:multiLevelType w:val="hybridMultilevel"/>
    <w:lvl w:ilvl="0">
      <w:lvlJc w:val="left"/>
      <w:lvlText w:val="1"/>
      <w:numFmt w:val="bullet"/>
      <w:start w:val="1"/>
    </w:lvl>
  </w:abstractNum>
  <w:abstractNum w:abstractNumId="574">
    <w:nsid w:val="29180EE2"/>
    <w:multiLevelType w:val="hybridMultilevel"/>
    <w:lvl w:ilvl="0">
      <w:lvlJc w:val="left"/>
      <w:lvlText w:val="2"/>
      <w:numFmt w:val="bullet"/>
      <w:start w:val="1"/>
    </w:lvl>
  </w:abstractNum>
  <w:abstractNum w:abstractNumId="575">
    <w:nsid w:val="7C901113"/>
    <w:multiLevelType w:val="hybridMultilevel"/>
    <w:lvl w:ilvl="0">
      <w:lvlJc w:val="left"/>
      <w:lvlText w:val="1"/>
      <w:numFmt w:val="bullet"/>
      <w:start w:val="1"/>
    </w:lvl>
  </w:abstractNum>
  <w:abstractNum w:abstractNumId="576">
    <w:nsid w:val="427028B0"/>
    <w:multiLevelType w:val="hybridMultilevel"/>
    <w:lvl w:ilvl="0">
      <w:lvlJc w:val="left"/>
      <w:lvlText w:val="1"/>
      <w:numFmt w:val="bullet"/>
      <w:start w:val="1"/>
    </w:lvl>
  </w:abstractNum>
  <w:abstractNum w:abstractNumId="577">
    <w:nsid w:val="4E7F1C4D"/>
    <w:multiLevelType w:val="hybridMultilevel"/>
    <w:lvl w:ilvl="0">
      <w:lvlJc w:val="left"/>
      <w:lvlText w:val="1"/>
      <w:numFmt w:val="bullet"/>
      <w:start w:val="1"/>
    </w:lvl>
  </w:abstractNum>
  <w:abstractNum w:abstractNumId="578">
    <w:nsid w:val="5C76D652"/>
    <w:multiLevelType w:val="hybridMultilevel"/>
    <w:lvl w:ilvl="0">
      <w:lvlJc w:val="left"/>
      <w:lvlText w:val="1"/>
      <w:numFmt w:val="bullet"/>
      <w:start w:val="1"/>
    </w:lvl>
  </w:abstractNum>
  <w:abstractNum w:abstractNumId="579">
    <w:nsid w:val="7F1E3DAE"/>
    <w:multiLevelType w:val="hybridMultilevel"/>
    <w:lvl w:ilvl="0">
      <w:lvlJc w:val="left"/>
      <w:lvlText w:val="1"/>
      <w:numFmt w:val="bullet"/>
      <w:start w:val="1"/>
    </w:lvl>
  </w:abstractNum>
  <w:abstractNum w:abstractNumId="580">
    <w:nsid w:val="3CA6D1B9"/>
    <w:multiLevelType w:val="hybridMultilevel"/>
    <w:lvl w:ilvl="0">
      <w:lvlJc w:val="left"/>
      <w:lvlText w:val="2"/>
      <w:numFmt w:val="bullet"/>
      <w:start w:val="1"/>
    </w:lvl>
  </w:abstractNum>
  <w:abstractNum w:abstractNumId="581">
    <w:nsid w:val="43754DB7"/>
    <w:multiLevelType w:val="hybridMultilevel"/>
    <w:lvl w:ilvl="0">
      <w:lvlJc w:val="left"/>
      <w:lvlText w:val="1"/>
      <w:numFmt w:val="bullet"/>
      <w:start w:val="1"/>
    </w:lvl>
  </w:abstractNum>
  <w:abstractNum w:abstractNumId="582">
    <w:nsid w:val="40307D27"/>
    <w:multiLevelType w:val="hybridMultilevel"/>
    <w:lvl w:ilvl="0">
      <w:lvlJc w:val="left"/>
      <w:lvlText w:val="1"/>
      <w:numFmt w:val="bullet"/>
      <w:start w:val="1"/>
    </w:lvl>
  </w:abstractNum>
  <w:abstractNum w:abstractNumId="583">
    <w:nsid w:val="DF69013"/>
    <w:multiLevelType w:val="hybridMultilevel"/>
    <w:lvl w:ilvl="0">
      <w:lvlJc w:val="left"/>
      <w:lvlText w:val="2"/>
      <w:numFmt w:val="bullet"/>
      <w:start w:val="1"/>
    </w:lvl>
  </w:abstractNum>
  <w:abstractNum w:abstractNumId="584">
    <w:nsid w:val="FDE3B47"/>
    <w:multiLevelType w:val="hybridMultilevel"/>
    <w:lvl w:ilvl="0">
      <w:lvlJc w:val="left"/>
      <w:lvlText w:val="1"/>
      <w:numFmt w:val="bullet"/>
      <w:start w:val="1"/>
    </w:lvl>
  </w:abstractNum>
  <w:abstractNum w:abstractNumId="585">
    <w:nsid w:val="5EF4B64"/>
    <w:multiLevelType w:val="hybridMultilevel"/>
    <w:lvl w:ilvl="0">
      <w:lvlJc w:val="left"/>
      <w:lvlText w:val="2"/>
      <w:numFmt w:val="bullet"/>
      <w:start w:val="1"/>
    </w:lvl>
  </w:abstractNum>
  <w:abstractNum w:abstractNumId="586">
    <w:nsid w:val="2457647B"/>
    <w:multiLevelType w:val="hybridMultilevel"/>
    <w:lvl w:ilvl="0">
      <w:lvlJc w:val="left"/>
      <w:lvlText w:val="1"/>
      <w:numFmt w:val="bullet"/>
      <w:start w:val="1"/>
    </w:lvl>
  </w:abstractNum>
  <w:abstractNum w:abstractNumId="587">
    <w:nsid w:val="66F06E9"/>
    <w:multiLevelType w:val="hybridMultilevel"/>
    <w:lvl w:ilvl="0">
      <w:lvlJc w:val="left"/>
      <w:lvlText w:val="2"/>
      <w:numFmt w:val="bullet"/>
      <w:start w:val="1"/>
    </w:lvl>
  </w:abstractNum>
  <w:abstractNum w:abstractNumId="588">
    <w:nsid w:val="2ABAB37"/>
    <w:multiLevelType w:val="hybridMultilevel"/>
    <w:lvl w:ilvl="0">
      <w:lvlJc w:val="left"/>
      <w:lvlText w:val="1"/>
      <w:numFmt w:val="bullet"/>
      <w:start w:val="1"/>
    </w:lvl>
  </w:abstractNum>
  <w:abstractNum w:abstractNumId="589">
    <w:nsid w:val="3D5EC8AB"/>
    <w:multiLevelType w:val="hybridMultilevel"/>
    <w:lvl w:ilvl="0">
      <w:lvlJc w:val="left"/>
      <w:lvlText w:val="2"/>
      <w:numFmt w:val="bullet"/>
      <w:start w:val="1"/>
    </w:lvl>
  </w:abstractNum>
  <w:abstractNum w:abstractNumId="590">
    <w:nsid w:val="31F4FCAD"/>
    <w:multiLevelType w:val="hybridMultilevel"/>
    <w:lvl w:ilvl="0">
      <w:lvlJc w:val="left"/>
      <w:lvlText w:val="1"/>
      <w:numFmt w:val="bullet"/>
      <w:start w:val="1"/>
    </w:lvl>
  </w:abstractNum>
  <w:abstractNum w:abstractNumId="591">
    <w:nsid w:val="477DB470"/>
    <w:multiLevelType w:val="hybridMultilevel"/>
    <w:lvl w:ilvl="0">
      <w:lvlJc w:val="left"/>
      <w:lvlText w:val="1"/>
      <w:numFmt w:val="bullet"/>
      <w:start w:val="1"/>
    </w:lvl>
  </w:abstractNum>
  <w:abstractNum w:abstractNumId="592">
    <w:nsid w:val="4FD5720B"/>
    <w:multiLevelType w:val="hybridMultilevel"/>
    <w:lvl w:ilvl="0">
      <w:lvlJc w:val="left"/>
      <w:lvlText w:val="2"/>
      <w:numFmt w:val="bullet"/>
      <w:start w:val="1"/>
    </w:lvl>
  </w:abstractNum>
  <w:abstractNum w:abstractNumId="593">
    <w:nsid w:val="4D3C9346"/>
    <w:multiLevelType w:val="hybridMultilevel"/>
    <w:lvl w:ilvl="0">
      <w:lvlJc w:val="left"/>
      <w:lvlText w:val="3"/>
      <w:numFmt w:val="bullet"/>
      <w:start w:val="1"/>
    </w:lvl>
  </w:abstractNum>
  <w:abstractNum w:abstractNumId="594">
    <w:nsid w:val="2CF0838B"/>
    <w:multiLevelType w:val="hybridMultilevel"/>
    <w:lvl w:ilvl="0">
      <w:lvlJc w:val="left"/>
      <w:lvlText w:val="1"/>
      <w:numFmt w:val="bullet"/>
      <w:start w:val="1"/>
    </w:lvl>
  </w:abstractNum>
  <w:abstractNum w:abstractNumId="595">
    <w:nsid w:val="3E238E27"/>
    <w:multiLevelType w:val="hybridMultilevel"/>
    <w:lvl w:ilvl="0">
      <w:lvlJc w:val="left"/>
      <w:lvlText w:val="2"/>
      <w:numFmt w:val="bullet"/>
      <w:start w:val="1"/>
    </w:lvl>
  </w:abstractNum>
  <w:abstractNum w:abstractNumId="596">
    <w:nsid w:val="1BB4DBCD"/>
    <w:multiLevelType w:val="hybridMultilevel"/>
    <w:lvl w:ilvl="0">
      <w:lvlJc w:val="left"/>
      <w:lvlText w:val="1"/>
      <w:numFmt w:val="bullet"/>
      <w:start w:val="1"/>
    </w:lvl>
  </w:abstractNum>
  <w:abstractNum w:abstractNumId="597">
    <w:nsid w:val="659DCFA3"/>
    <w:multiLevelType w:val="hybridMultilevel"/>
    <w:lvl w:ilvl="0">
      <w:lvlJc w:val="left"/>
      <w:lvlText w:val="1"/>
      <w:numFmt w:val="bullet"/>
      <w:start w:val="1"/>
    </w:lvl>
  </w:abstractNum>
  <w:abstractNum w:abstractNumId="598">
    <w:nsid w:val="6F07C58"/>
    <w:multiLevelType w:val="hybridMultilevel"/>
    <w:lvl w:ilvl="0">
      <w:lvlJc w:val="left"/>
      <w:lvlText w:val="2"/>
      <w:numFmt w:val="bullet"/>
      <w:start w:val="1"/>
    </w:lvl>
  </w:abstractNum>
  <w:abstractNum w:abstractNumId="599">
    <w:nsid w:val="619F753B"/>
    <w:multiLevelType w:val="hybridMultilevel"/>
    <w:lvl w:ilvl="0">
      <w:lvlJc w:val="left"/>
      <w:lvlText w:val="1"/>
      <w:numFmt w:val="bullet"/>
      <w:start w:val="1"/>
    </w:lvl>
  </w:abstractNum>
  <w:abstractNum w:abstractNumId="600">
    <w:nsid w:val="29BD8A97"/>
    <w:multiLevelType w:val="hybridMultilevel"/>
    <w:lvl w:ilvl="0">
      <w:lvlJc w:val="left"/>
      <w:lvlText w:val="1"/>
      <w:numFmt w:val="bullet"/>
      <w:start w:val="1"/>
    </w:lvl>
  </w:abstractNum>
  <w:abstractNum w:abstractNumId="601">
    <w:nsid w:val="61C66E3"/>
    <w:multiLevelType w:val="hybridMultilevel"/>
    <w:lvl w:ilvl="0">
      <w:lvlJc w:val="left"/>
      <w:lvlText w:val="2"/>
      <w:numFmt w:val="bullet"/>
      <w:start w:val="1"/>
    </w:lvl>
  </w:abstractNum>
  <w:abstractNum w:abstractNumId="602">
    <w:nsid w:val="69321F16"/>
    <w:multiLevelType w:val="hybridMultilevel"/>
    <w:lvl w:ilvl="0">
      <w:lvlJc w:val="left"/>
      <w:lvlText w:val="1"/>
      <w:numFmt w:val="bullet"/>
      <w:start w:val="1"/>
    </w:lvl>
  </w:abstractNum>
  <w:abstractNum w:abstractNumId="603">
    <w:nsid w:val="2D96B714"/>
    <w:multiLevelType w:val="hybridMultilevel"/>
    <w:lvl w:ilvl="0">
      <w:lvlJc w:val="left"/>
      <w:lvlText w:val="2"/>
      <w:numFmt w:val="bullet"/>
      <w:start w:val="1"/>
    </w:lvl>
  </w:abstractNum>
  <w:abstractNum w:abstractNumId="604">
    <w:nsid w:val="3D76F9E2"/>
    <w:multiLevelType w:val="hybridMultilevel"/>
    <w:lvl w:ilvl="0">
      <w:lvlJc w:val="left"/>
      <w:lvlText w:val="1"/>
      <w:numFmt w:val="bullet"/>
      <w:start w:val="1"/>
    </w:lvl>
  </w:abstractNum>
  <w:abstractNum w:abstractNumId="605">
    <w:nsid w:val="124A2DF8"/>
    <w:multiLevelType w:val="hybridMultilevel"/>
    <w:lvl w:ilvl="0">
      <w:lvlJc w:val="left"/>
      <w:lvlText w:val="3"/>
      <w:numFmt w:val="bullet"/>
      <w:start w:val="1"/>
    </w:lvl>
  </w:abstractNum>
  <w:abstractNum w:abstractNumId="606">
    <w:nsid w:val="2A26C828"/>
    <w:multiLevelType w:val="hybridMultilevel"/>
    <w:lvl w:ilvl="0">
      <w:lvlJc w:val="left"/>
      <w:lvlText w:val="1"/>
      <w:numFmt w:val="bullet"/>
      <w:start w:val="1"/>
    </w:lvl>
  </w:abstractNum>
  <w:abstractNum w:abstractNumId="607">
    <w:nsid w:val="7FE72292"/>
    <w:multiLevelType w:val="hybridMultilevel"/>
    <w:lvl w:ilvl="0">
      <w:lvlJc w:val="left"/>
      <w:lvlText w:val="1"/>
      <w:numFmt w:val="bullet"/>
      <w:start w:val="1"/>
    </w:lvl>
  </w:abstractNum>
  <w:abstractNum w:abstractNumId="608">
    <w:nsid w:val="60C94A46"/>
    <w:multiLevelType w:val="hybridMultilevel"/>
    <w:lvl w:ilvl="0">
      <w:lvlJc w:val="left"/>
      <w:lvlText w:val="2"/>
      <w:numFmt w:val="bullet"/>
      <w:start w:val="1"/>
    </w:lvl>
  </w:abstractNum>
  <w:abstractNum w:abstractNumId="609">
    <w:nsid w:val="69D9E7A"/>
    <w:multiLevelType w:val="hybridMultilevel"/>
    <w:lvl w:ilvl="0">
      <w:lvlJc w:val="left"/>
      <w:lvlText w:val="1"/>
      <w:numFmt w:val="bullet"/>
      <w:start w:val="1"/>
    </w:lvl>
  </w:abstractNum>
  <w:abstractNum w:abstractNumId="610">
    <w:nsid w:val="7F056040"/>
    <w:multiLevelType w:val="hybridMultilevel"/>
    <w:lvl w:ilvl="0">
      <w:lvlJc w:val="left"/>
      <w:lvlText w:val="1"/>
      <w:numFmt w:val="bullet"/>
      <w:start w:val="1"/>
    </w:lvl>
  </w:abstractNum>
  <w:abstractNum w:abstractNumId="611">
    <w:nsid w:val="1D701BFF"/>
    <w:multiLevelType w:val="hybridMultilevel"/>
    <w:lvl w:ilvl="0">
      <w:lvlJc w:val="left"/>
      <w:lvlText w:val="1"/>
      <w:numFmt w:val="bullet"/>
      <w:start w:val="1"/>
    </w:lvl>
  </w:abstractNum>
  <w:abstractNum w:abstractNumId="612">
    <w:nsid w:val="4A12EC32"/>
    <w:multiLevelType w:val="hybridMultilevel"/>
    <w:lvl w:ilvl="0">
      <w:lvlJc w:val="left"/>
      <w:lvlText w:val="1"/>
      <w:numFmt w:val="bullet"/>
      <w:start w:val="1"/>
    </w:lvl>
  </w:abstractNum>
  <w:abstractNum w:abstractNumId="613">
    <w:nsid w:val="3F35DD67"/>
    <w:multiLevelType w:val="hybridMultilevel"/>
    <w:lvl w:ilvl="0">
      <w:lvlJc w:val="left"/>
      <w:lvlText w:val="1"/>
      <w:numFmt w:val="bullet"/>
      <w:start w:val="1"/>
    </w:lvl>
  </w:abstractNum>
  <w:abstractNum w:abstractNumId="614">
    <w:nsid w:val="2B66AC12"/>
    <w:multiLevelType w:val="hybridMultilevel"/>
    <w:lvl w:ilvl="0">
      <w:lvlJc w:val="left"/>
      <w:lvlText w:val="2"/>
      <w:numFmt w:val="bullet"/>
      <w:start w:val="1"/>
    </w:lvl>
  </w:abstractNum>
  <w:abstractNum w:abstractNumId="615">
    <w:nsid w:val="59F12779"/>
    <w:multiLevelType w:val="hybridMultilevel"/>
    <w:lvl w:ilvl="0">
      <w:lvlJc w:val="left"/>
      <w:lvlText w:val="1"/>
      <w:numFmt w:val="bullet"/>
      <w:start w:val="1"/>
    </w:lvl>
  </w:abstractNum>
  <w:abstractNum w:abstractNumId="616">
    <w:nsid w:val="452528CB"/>
    <w:multiLevelType w:val="hybridMultilevel"/>
    <w:lvl w:ilvl="0">
      <w:lvlJc w:val="left"/>
      <w:lvlText w:val="1"/>
      <w:numFmt w:val="bullet"/>
      <w:start w:val="1"/>
    </w:lvl>
  </w:abstractNum>
  <w:abstractNum w:abstractNumId="617">
    <w:nsid w:val="4FBE108E"/>
    <w:multiLevelType w:val="hybridMultilevel"/>
    <w:lvl w:ilvl="0">
      <w:lvlJc w:val="left"/>
      <w:lvlText w:val="2"/>
      <w:numFmt w:val="bullet"/>
      <w:start w:val="1"/>
    </w:lvl>
  </w:abstractNum>
  <w:abstractNum w:abstractNumId="618">
    <w:nsid w:val="60602E62"/>
    <w:multiLevelType w:val="hybridMultilevel"/>
    <w:lvl w:ilvl="0">
      <w:lvlJc w:val="left"/>
      <w:lvlText w:val="1"/>
      <w:numFmt w:val="bullet"/>
      <w:start w:val="1"/>
    </w:lvl>
  </w:abstractNum>
  <w:abstractNum w:abstractNumId="619">
    <w:nsid w:val="47D0D402"/>
    <w:multiLevelType w:val="hybridMultilevel"/>
    <w:lvl w:ilvl="0">
      <w:lvlJc w:val="left"/>
      <w:lvlText w:val="1"/>
      <w:numFmt w:val="bullet"/>
      <w:start w:val="1"/>
    </w:lvl>
  </w:abstractNum>
  <w:abstractNum w:abstractNumId="620">
    <w:nsid w:val="D1CD939"/>
    <w:multiLevelType w:val="hybridMultilevel"/>
    <w:lvl w:ilvl="0">
      <w:lvlJc w:val="left"/>
      <w:lvlText w:val="1"/>
      <w:numFmt w:val="bullet"/>
      <w:start w:val="1"/>
    </w:lvl>
  </w:abstractNum>
  <w:abstractNum w:abstractNumId="621">
    <w:nsid w:val="12552B10"/>
    <w:multiLevelType w:val="hybridMultilevel"/>
    <w:lvl w:ilvl="0">
      <w:lvlJc w:val="left"/>
      <w:lvlText w:val="1"/>
      <w:numFmt w:val="bullet"/>
      <w:start w:val="1"/>
    </w:lvl>
  </w:abstractNum>
  <w:abstractNum w:abstractNumId="622">
    <w:nsid w:val="F4E8872"/>
    <w:multiLevelType w:val="hybridMultilevel"/>
    <w:lvl w:ilvl="0">
      <w:lvlJc w:val="left"/>
      <w:lvlText w:val="1"/>
      <w:numFmt w:val="bullet"/>
      <w:start w:val="1"/>
    </w:lvl>
  </w:abstractNum>
  <w:abstractNum w:abstractNumId="623">
    <w:nsid w:val="5CF24B45"/>
    <w:multiLevelType w:val="hybridMultilevel"/>
    <w:lvl w:ilvl="0">
      <w:lvlJc w:val="left"/>
      <w:lvlText w:val="1"/>
      <w:numFmt w:val="bullet"/>
      <w:start w:val="1"/>
    </w:lvl>
  </w:abstractNum>
  <w:abstractNum w:abstractNumId="624">
    <w:nsid w:val="5F91BE56"/>
    <w:multiLevelType w:val="hybridMultilevel"/>
    <w:lvl w:ilvl="0">
      <w:lvlJc w:val="left"/>
      <w:lvlText w:val="1"/>
      <w:numFmt w:val="bullet"/>
      <w:start w:val="1"/>
    </w:lvl>
  </w:abstractNum>
  <w:abstractNum w:abstractNumId="625">
    <w:nsid w:val="3C3F0BFD"/>
    <w:multiLevelType w:val="hybridMultilevel"/>
    <w:lvl w:ilvl="0">
      <w:lvlJc w:val="left"/>
      <w:lvlText w:val="1"/>
      <w:numFmt w:val="bullet"/>
      <w:start w:val="1"/>
    </w:lvl>
  </w:abstractNum>
  <w:abstractNum w:abstractNumId="626">
    <w:nsid w:val="1B15D96C"/>
    <w:multiLevelType w:val="hybridMultilevel"/>
    <w:lvl w:ilvl="0">
      <w:lvlJc w:val="left"/>
      <w:lvlText w:val="2"/>
      <w:numFmt w:val="bullet"/>
      <w:start w:val="1"/>
    </w:lvl>
  </w:abstractNum>
  <w:abstractNum w:abstractNumId="627">
    <w:nsid w:val="7B469A23"/>
    <w:multiLevelType w:val="hybridMultilevel"/>
    <w:lvl w:ilvl="0">
      <w:lvlJc w:val="left"/>
      <w:lvlText w:val="1"/>
      <w:numFmt w:val="bullet"/>
      <w:start w:val="1"/>
    </w:lvl>
  </w:abstractNum>
  <w:abstractNum w:abstractNumId="628">
    <w:nsid w:val="21DCDBA0"/>
    <w:multiLevelType w:val="hybridMultilevel"/>
    <w:lvl w:ilvl="0">
      <w:lvlJc w:val="left"/>
      <w:lvlText w:val="2"/>
      <w:numFmt w:val="bullet"/>
      <w:start w:val="1"/>
    </w:lvl>
  </w:abstractNum>
  <w:abstractNum w:abstractNumId="629">
    <w:nsid w:val="220655C4"/>
    <w:multiLevelType w:val="hybridMultilevel"/>
    <w:lvl w:ilvl="0">
      <w:lvlJc w:val="left"/>
      <w:lvlText w:val="4"/>
      <w:numFmt w:val="bullet"/>
      <w:start w:val="1"/>
    </w:lvl>
  </w:abstractNum>
  <w:abstractNum w:abstractNumId="630">
    <w:nsid w:val="5CE60F5E"/>
    <w:multiLevelType w:val="hybridMultilevel"/>
    <w:lvl w:ilvl="0">
      <w:lvlJc w:val="left"/>
      <w:lvlText w:val="5"/>
      <w:numFmt w:val="bullet"/>
      <w:start w:val="1"/>
    </w:lvl>
  </w:abstractNum>
  <w:abstractNum w:abstractNumId="631">
    <w:nsid w:val="4B9A6638"/>
    <w:multiLevelType w:val="hybridMultilevel"/>
    <w:lvl w:ilvl="0">
      <w:lvlJc w:val="left"/>
      <w:lvlText w:val="1"/>
      <w:numFmt w:val="bullet"/>
      <w:start w:val="1"/>
    </w:lvl>
  </w:abstractNum>
  <w:abstractNum w:abstractNumId="632">
    <w:nsid w:val="2822BCA7"/>
    <w:multiLevelType w:val="hybridMultilevel"/>
    <w:lvl w:ilvl="0">
      <w:lvlJc w:val="left"/>
      <w:lvlText w:val="2"/>
      <w:numFmt w:val="bullet"/>
      <w:start w:val="1"/>
    </w:lvl>
  </w:abstractNum>
  <w:abstractNum w:abstractNumId="633">
    <w:nsid w:val="46182E75"/>
    <w:multiLevelType w:val="hybridMultilevel"/>
    <w:lvl w:ilvl="0">
      <w:lvlJc w:val="left"/>
      <w:lvlText w:val="1"/>
      <w:numFmt w:val="bullet"/>
      <w:start w:val="1"/>
    </w:lvl>
  </w:abstractNum>
  <w:abstractNum w:abstractNumId="634">
    <w:nsid w:val="79311D4C"/>
    <w:multiLevelType w:val="hybridMultilevel"/>
    <w:lvl w:ilvl="0">
      <w:lvlJc w:val="left"/>
      <w:lvlText w:val="1"/>
      <w:numFmt w:val="bullet"/>
      <w:start w:val="1"/>
    </w:lvl>
  </w:abstractNum>
  <w:abstractNum w:abstractNumId="635">
    <w:nsid w:val="6599B689"/>
    <w:multiLevelType w:val="hybridMultilevel"/>
    <w:lvl w:ilvl="0">
      <w:lvlJc w:val="left"/>
      <w:lvlText w:val="1"/>
      <w:numFmt w:val="bullet"/>
      <w:start w:val="1"/>
    </w:lvl>
  </w:abstractNum>
  <w:abstractNum w:abstractNumId="636">
    <w:nsid w:val="58625C6D"/>
    <w:multiLevelType w:val="hybridMultilevel"/>
    <w:lvl w:ilvl="0">
      <w:lvlJc w:val="left"/>
      <w:lvlText w:val="2"/>
      <w:numFmt w:val="bullet"/>
      <w:start w:val="1"/>
    </w:lvl>
  </w:abstractNum>
  <w:abstractNum w:abstractNumId="637">
    <w:nsid w:val="2357E574"/>
    <w:multiLevelType w:val="hybridMultilevel"/>
    <w:lvl w:ilvl="0">
      <w:lvlJc w:val="left"/>
      <w:lvlText w:val="1"/>
      <w:numFmt w:val="bullet"/>
      <w:start w:val="1"/>
    </w:lvl>
  </w:abstractNum>
  <w:abstractNum w:abstractNumId="638">
    <w:nsid w:val="6580D91B"/>
    <w:multiLevelType w:val="hybridMultilevel"/>
    <w:lvl w:ilvl="0">
      <w:lvlJc w:val="left"/>
      <w:lvlText w:val="6"/>
      <w:numFmt w:val="bullet"/>
      <w:start w:val="1"/>
    </w:lvl>
  </w:abstractNum>
  <w:abstractNum w:abstractNumId="639">
    <w:nsid w:val="392BA6B3"/>
    <w:multiLevelType w:val="hybridMultilevel"/>
    <w:lvl w:ilvl="0">
      <w:lvlJc w:val="left"/>
      <w:lvlText w:val="7"/>
      <w:numFmt w:val="bullet"/>
      <w:start w:val="1"/>
    </w:lvl>
  </w:abstractNum>
  <w:abstractNum w:abstractNumId="640">
    <w:nsid w:val="29F583EF"/>
    <w:multiLevelType w:val="hybridMultilevel"/>
    <w:lvl w:ilvl="0">
      <w:lvlJc w:val="left"/>
      <w:lvlText w:val="1"/>
      <w:numFmt w:val="bullet"/>
      <w:start w:val="1"/>
    </w:lvl>
  </w:abstractNum>
  <w:abstractNum w:abstractNumId="641">
    <w:nsid w:val="6486395B"/>
    <w:multiLevelType w:val="hybridMultilevel"/>
    <w:lvl w:ilvl="0">
      <w:lvlJc w:val="left"/>
      <w:lvlText w:val="2"/>
      <w:numFmt w:val="bullet"/>
      <w:start w:val="1"/>
    </w:lvl>
  </w:abstractNum>
  <w:abstractNum w:abstractNumId="642">
    <w:nsid w:val="569BC2B2"/>
    <w:multiLevelType w:val="hybridMultilevel"/>
    <w:lvl w:ilvl="0">
      <w:lvlJc w:val="left"/>
      <w:lvlText w:val="1"/>
      <w:numFmt w:val="bullet"/>
      <w:start w:val="1"/>
    </w:lvl>
  </w:abstractNum>
  <w:abstractNum w:abstractNumId="643">
    <w:nsid w:val="74087021"/>
    <w:multiLevelType w:val="hybridMultilevel"/>
    <w:lvl w:ilvl="0">
      <w:lvlJc w:val="left"/>
      <w:lvlText w:val="2"/>
      <w:numFmt w:val="bullet"/>
      <w:start w:val="1"/>
    </w:lvl>
  </w:abstractNum>
  <w:abstractNum w:abstractNumId="644">
    <w:nsid w:val="23BC16C2"/>
    <w:multiLevelType w:val="hybridMultilevel"/>
    <w:lvl w:ilvl="0">
      <w:lvlJc w:val="left"/>
      <w:lvlText w:val="%1"/>
      <w:numFmt w:val="decimal"/>
      <w:start w:val="11"/>
    </w:lvl>
  </w:abstractNum>
  <w:abstractNum w:abstractNumId="645">
    <w:nsid w:val="2026EC5"/>
    <w:multiLevelType w:val="hybridMultilevel"/>
    <w:lvl w:ilvl="0">
      <w:lvlJc w:val="left"/>
      <w:lvlText w:val="1"/>
      <w:numFmt w:val="bullet"/>
      <w:start w:val="1"/>
    </w:lvl>
  </w:abstractNum>
  <w:abstractNum w:abstractNumId="646">
    <w:nsid w:val="4DF9979A"/>
    <w:multiLevelType w:val="hybridMultilevel"/>
    <w:lvl w:ilvl="0">
      <w:lvlJc w:val="left"/>
      <w:lvlText w:val="1"/>
      <w:numFmt w:val="bullet"/>
      <w:start w:val="1"/>
    </w:lvl>
  </w:abstractNum>
  <w:abstractNum w:abstractNumId="647">
    <w:nsid w:val="68E13F8E"/>
    <w:multiLevelType w:val="hybridMultilevel"/>
    <w:lvl w:ilvl="0">
      <w:lvlJc w:val="left"/>
      <w:lvlText w:val="1"/>
      <w:numFmt w:val="bullet"/>
      <w:start w:val="1"/>
    </w:lvl>
  </w:abstractNum>
  <w:abstractNum w:abstractNumId="648">
    <w:nsid w:val="51C07F53"/>
    <w:multiLevelType w:val="hybridMultilevel"/>
    <w:lvl w:ilvl="0">
      <w:lvlJc w:val="left"/>
      <w:lvlText w:val="1"/>
      <w:numFmt w:val="bullet"/>
      <w:start w:val="1"/>
    </w:lvl>
  </w:abstractNum>
  <w:abstractNum w:abstractNumId="649">
    <w:nsid w:val="2E59C5FD"/>
    <w:multiLevelType w:val="hybridMultilevel"/>
    <w:lvl w:ilvl="0">
      <w:lvlJc w:val="left"/>
      <w:lvlText w:val="2"/>
      <w:numFmt w:val="bullet"/>
      <w:start w:val="1"/>
    </w:lvl>
  </w:abstractNum>
  <w:abstractNum w:abstractNumId="650">
    <w:nsid w:val="30B21390"/>
    <w:multiLevelType w:val="hybridMultilevel"/>
    <w:lvl w:ilvl="0">
      <w:lvlJc w:val="left"/>
      <w:lvlText w:val="1"/>
      <w:numFmt w:val="bullet"/>
      <w:start w:val="1"/>
    </w:lvl>
  </w:abstractNum>
  <w:abstractNum w:abstractNumId="651">
    <w:nsid w:val="5EDD588C"/>
    <w:multiLevelType w:val="hybridMultilevel"/>
    <w:lvl w:ilvl="0">
      <w:lvlJc w:val="left"/>
      <w:lvlText w:val="1"/>
      <w:numFmt w:val="bullet"/>
      <w:start w:val="1"/>
    </w:lvl>
  </w:abstractNum>
  <w:abstractNum w:abstractNumId="652">
    <w:nsid w:val="40AEF10D"/>
    <w:multiLevelType w:val="hybridMultilevel"/>
    <w:lvl w:ilvl="0">
      <w:lvlJc w:val="left"/>
      <w:lvlText w:val="1"/>
      <w:numFmt w:val="bullet"/>
      <w:start w:val="1"/>
    </w:lvl>
  </w:abstractNum>
  <w:abstractNum w:abstractNumId="653">
    <w:nsid w:val="40009C03"/>
    <w:multiLevelType w:val="hybridMultilevel"/>
    <w:lvl w:ilvl="0">
      <w:lvlJc w:val="left"/>
      <w:lvlText w:val="1"/>
      <w:numFmt w:val="bullet"/>
      <w:start w:val="1"/>
    </w:lvl>
  </w:abstractNum>
  <w:abstractNum w:abstractNumId="654">
    <w:nsid w:val="3BCFA3D1"/>
    <w:multiLevelType w:val="hybridMultilevel"/>
    <w:lvl w:ilvl="0">
      <w:lvlJc w:val="left"/>
      <w:lvlText w:val="1"/>
      <w:numFmt w:val="bullet"/>
      <w:start w:val="1"/>
    </w:lvl>
  </w:abstractNum>
  <w:abstractNum w:abstractNumId="655">
    <w:nsid w:val="2040AF63"/>
    <w:multiLevelType w:val="hybridMultilevel"/>
    <w:lvl w:ilvl="0">
      <w:lvlJc w:val="left"/>
      <w:lvlText w:val="2"/>
      <w:numFmt w:val="bullet"/>
      <w:start w:val="1"/>
    </w:lvl>
  </w:abstractNum>
  <w:abstractNum w:abstractNumId="656">
    <w:nsid w:val="7C3FA800"/>
    <w:multiLevelType w:val="hybridMultilevel"/>
    <w:lvl w:ilvl="0">
      <w:lvlJc w:val="left"/>
      <w:lvlText w:val="1"/>
      <w:numFmt w:val="bullet"/>
      <w:start w:val="1"/>
    </w:lvl>
  </w:abstractNum>
  <w:abstractNum w:abstractNumId="657">
    <w:nsid w:val="56E57D3D"/>
    <w:multiLevelType w:val="hybridMultilevel"/>
    <w:lvl w:ilvl="0">
      <w:lvlJc w:val="left"/>
      <w:lvlText w:val="1"/>
      <w:numFmt w:val="bullet"/>
      <w:start w:val="1"/>
    </w:lvl>
  </w:abstractNum>
  <w:abstractNum w:abstractNumId="658">
    <w:nsid w:val="1B874986"/>
    <w:multiLevelType w:val="hybridMultilevel"/>
    <w:lvl w:ilvl="0">
      <w:lvlJc w:val="left"/>
      <w:lvlText w:val="1"/>
      <w:numFmt w:val="bullet"/>
      <w:start w:val="1"/>
    </w:lvl>
  </w:abstractNum>
  <w:abstractNum w:abstractNumId="659">
    <w:nsid w:val="1E1C83A1"/>
    <w:multiLevelType w:val="hybridMultilevel"/>
    <w:lvl w:ilvl="0">
      <w:lvlJc w:val="left"/>
      <w:lvlText w:val="1"/>
      <w:numFmt w:val="bullet"/>
      <w:start w:val="1"/>
    </w:lvl>
  </w:abstractNum>
  <w:abstractNum w:abstractNumId="660">
    <w:nsid w:val="78EBD301"/>
    <w:multiLevelType w:val="hybridMultilevel"/>
    <w:lvl w:ilvl="0">
      <w:lvlJc w:val="left"/>
      <w:lvlText w:val="2"/>
      <w:numFmt w:val="bullet"/>
      <w:start w:val="1"/>
    </w:lvl>
  </w:abstractNum>
  <w:abstractNum w:abstractNumId="661">
    <w:nsid w:val="786D58E4"/>
    <w:multiLevelType w:val="hybridMultilevel"/>
    <w:lvl w:ilvl="0">
      <w:lvlJc w:val="left"/>
      <w:lvlText w:val="1"/>
      <w:numFmt w:val="bullet"/>
      <w:start w:val="1"/>
    </w:lvl>
  </w:abstractNum>
  <w:abstractNum w:abstractNumId="662">
    <w:nsid w:val="69B6E9D9"/>
    <w:multiLevelType w:val="hybridMultilevel"/>
    <w:lvl w:ilvl="0">
      <w:lvlJc w:val="left"/>
      <w:lvlText w:val="1"/>
      <w:numFmt w:val="bullet"/>
      <w:start w:val="1"/>
    </w:lvl>
  </w:abstractNum>
  <w:abstractNum w:abstractNumId="663">
    <w:nsid w:val="210E8FA8"/>
    <w:multiLevelType w:val="hybridMultilevel"/>
    <w:lvl w:ilvl="0">
      <w:lvlJc w:val="left"/>
      <w:lvlText w:val="2"/>
      <w:numFmt w:val="bullet"/>
      <w:start w:val="1"/>
    </w:lvl>
  </w:abstractNum>
  <w:abstractNum w:abstractNumId="664">
    <w:nsid w:val="3E858759"/>
    <w:multiLevelType w:val="hybridMultilevel"/>
    <w:lvl w:ilvl="0">
      <w:lvlJc w:val="left"/>
      <w:lvlText w:val="1"/>
      <w:numFmt w:val="bullet"/>
      <w:start w:val="1"/>
    </w:lvl>
  </w:abstractNum>
  <w:abstractNum w:abstractNumId="665">
    <w:nsid w:val="62E80725"/>
    <w:multiLevelType w:val="hybridMultilevel"/>
    <w:lvl w:ilvl="0">
      <w:lvlJc w:val="left"/>
      <w:lvlText w:val="2"/>
      <w:numFmt w:val="bullet"/>
      <w:start w:val="1"/>
    </w:lvl>
  </w:abstractNum>
  <w:abstractNum w:abstractNumId="666">
    <w:nsid w:val="6A84631"/>
    <w:multiLevelType w:val="hybridMultilevel"/>
    <w:lvl w:ilvl="0">
      <w:lvlJc w:val="left"/>
      <w:lvlText w:val="3"/>
      <w:numFmt w:val="bullet"/>
      <w:start w:val="1"/>
    </w:lvl>
  </w:abstractNum>
  <w:abstractNum w:abstractNumId="667">
    <w:nsid w:val="16E7E3C7"/>
    <w:multiLevelType w:val="hybridMultilevel"/>
    <w:lvl w:ilvl="0">
      <w:lvlJc w:val="left"/>
      <w:lvlText w:val="7"/>
      <w:numFmt w:val="bullet"/>
      <w:start w:val="1"/>
    </w:lvl>
  </w:abstractNum>
  <w:abstractNum w:abstractNumId="668">
    <w:nsid w:val="63FEC9A"/>
    <w:multiLevelType w:val="hybridMultilevel"/>
    <w:lvl w:ilvl="0">
      <w:lvlJc w:val="left"/>
      <w:lvlText w:val="8"/>
      <w:numFmt w:val="bullet"/>
      <w:start w:val="1"/>
    </w:lvl>
  </w:abstractNum>
  <w:abstractNum w:abstractNumId="669">
    <w:nsid w:val="6C291F4C"/>
    <w:multiLevelType w:val="hybridMultilevel"/>
    <w:lvl w:ilvl="0">
      <w:lvlJc w:val="left"/>
      <w:lvlText w:val="1"/>
      <w:numFmt w:val="bullet"/>
      <w:start w:val="1"/>
    </w:lvl>
  </w:abstractNum>
  <w:abstractNum w:abstractNumId="670">
    <w:nsid w:val="50138A7A"/>
    <w:multiLevelType w:val="hybridMultilevel"/>
    <w:lvl w:ilvl="0">
      <w:lvlJc w:val="left"/>
      <w:lvlText w:val="1"/>
      <w:numFmt w:val="bullet"/>
      <w:start w:val="1"/>
    </w:lvl>
  </w:abstractNum>
  <w:abstractNum w:abstractNumId="671">
    <w:nsid w:val="30357089"/>
    <w:multiLevelType w:val="hybridMultilevel"/>
    <w:lvl w:ilvl="0">
      <w:lvlJc w:val="left"/>
      <w:lvlText w:val="1"/>
      <w:numFmt w:val="bullet"/>
      <w:start w:val="1"/>
    </w:lvl>
  </w:abstractNum>
  <w:abstractNum w:abstractNumId="672">
    <w:nsid w:val="50AF58A7"/>
    <w:multiLevelType w:val="hybridMultilevel"/>
    <w:lvl w:ilvl="0">
      <w:lvlJc w:val="left"/>
      <w:lvlText w:val="1"/>
      <w:numFmt w:val="bullet"/>
      <w:start w:val="1"/>
    </w:lvl>
  </w:abstractNum>
  <w:abstractNum w:abstractNumId="673">
    <w:nsid w:val="26AF4D2D"/>
    <w:multiLevelType w:val="hybridMultilevel"/>
    <w:lvl w:ilvl="0">
      <w:lvlJc w:val="left"/>
      <w:lvlText w:val="2"/>
      <w:numFmt w:val="bullet"/>
      <w:start w:val="1"/>
    </w:lvl>
  </w:abstractNum>
  <w:abstractNum w:abstractNumId="674">
    <w:nsid w:val="243DE0AA"/>
    <w:multiLevelType w:val="hybridMultilevel"/>
    <w:lvl w:ilvl="0">
      <w:lvlJc w:val="left"/>
      <w:lvlText w:val="1"/>
      <w:numFmt w:val="bullet"/>
      <w:start w:val="1"/>
    </w:lvl>
  </w:abstractNum>
  <w:abstractNum w:abstractNumId="675">
    <w:nsid w:val="746B6F6A"/>
    <w:multiLevelType w:val="hybridMultilevel"/>
    <w:lvl w:ilvl="0">
      <w:lvlJc w:val="left"/>
      <w:lvlText w:val="2"/>
      <w:numFmt w:val="bullet"/>
      <w:start w:val="1"/>
    </w:lvl>
  </w:abstractNum>
  <w:abstractNum w:abstractNumId="676">
    <w:nsid w:val="28B1BBF2"/>
    <w:multiLevelType w:val="hybridMultilevel"/>
    <w:lvl w:ilvl="0">
      <w:lvlJc w:val="left"/>
      <w:lvlText w:val="3"/>
      <w:numFmt w:val="bullet"/>
      <w:start w:val="1"/>
    </w:lvl>
  </w:abstractNum>
  <w:abstractNum w:abstractNumId="677">
    <w:nsid w:val="72377844"/>
    <w:multiLevelType w:val="hybridMultilevel"/>
    <w:lvl w:ilvl="0">
      <w:lvlJc w:val="left"/>
      <w:lvlText w:val="1"/>
      <w:numFmt w:val="bullet"/>
      <w:start w:val="1"/>
    </w:lvl>
  </w:abstractNum>
  <w:abstractNum w:abstractNumId="678">
    <w:nsid w:val="5D4CAEF8"/>
    <w:multiLevelType w:val="hybridMultilevel"/>
    <w:lvl w:ilvl="0">
      <w:lvlJc w:val="left"/>
      <w:lvlText w:val="1"/>
      <w:numFmt w:val="bullet"/>
      <w:start w:val="1"/>
    </w:lvl>
  </w:abstractNum>
  <w:abstractNum w:abstractNumId="679">
    <w:nsid w:val="7A723B45"/>
    <w:multiLevelType w:val="hybridMultilevel"/>
    <w:lvl w:ilvl="0">
      <w:lvlJc w:val="left"/>
      <w:lvlText w:val="1"/>
      <w:numFmt w:val="bullet"/>
      <w:start w:val="1"/>
    </w:lvl>
  </w:abstractNum>
  <w:abstractNum w:abstractNumId="680">
    <w:nsid w:val="20913E41"/>
    <w:multiLevelType w:val="hybridMultilevel"/>
    <w:lvl w:ilvl="0">
      <w:lvlJc w:val="left"/>
      <w:lvlText w:val="1"/>
      <w:numFmt w:val="bullet"/>
      <w:start w:val="1"/>
    </w:lvl>
  </w:abstractNum>
  <w:abstractNum w:abstractNumId="681">
    <w:nsid w:val="DFEC288"/>
    <w:multiLevelType w:val="hybridMultilevel"/>
    <w:lvl w:ilvl="0">
      <w:lvlJc w:val="left"/>
      <w:lvlText w:val="1"/>
      <w:numFmt w:val="bullet"/>
      <w:start w:val="1"/>
    </w:lvl>
  </w:abstractNum>
  <w:abstractNum w:abstractNumId="682">
    <w:nsid w:val="594F93D1"/>
    <w:multiLevelType w:val="hybridMultilevel"/>
    <w:lvl w:ilvl="0">
      <w:lvlJc w:val="left"/>
      <w:lvlText w:val="1"/>
      <w:numFmt w:val="bullet"/>
      <w:start w:val="1"/>
    </w:lvl>
  </w:abstractNum>
  <w:abstractNum w:abstractNumId="683">
    <w:nsid w:val="61402F4E"/>
    <w:multiLevelType w:val="hybridMultilevel"/>
    <w:lvl w:ilvl="0">
      <w:lvlJc w:val="left"/>
      <w:lvlText w:val="1"/>
      <w:numFmt w:val="bullet"/>
      <w:start w:val="1"/>
    </w:lvl>
  </w:abstractNum>
  <w:abstractNum w:abstractNumId="684">
    <w:nsid w:val="4DFF5E8B"/>
    <w:multiLevelType w:val="hybridMultilevel"/>
    <w:lvl w:ilvl="0">
      <w:lvlJc w:val="left"/>
      <w:lvlText w:val="1"/>
      <w:numFmt w:val="bullet"/>
      <w:start w:val="1"/>
    </w:lvl>
  </w:abstractNum>
  <w:abstractNum w:abstractNumId="685">
    <w:nsid w:val="151F37A3"/>
    <w:multiLevelType w:val="hybridMultilevel"/>
    <w:lvl w:ilvl="0">
      <w:lvlJc w:val="left"/>
      <w:lvlText w:val="1"/>
      <w:numFmt w:val="bullet"/>
      <w:start w:val="1"/>
    </w:lvl>
  </w:abstractNum>
  <w:abstractNum w:abstractNumId="686">
    <w:nsid w:val="180DEB1"/>
    <w:multiLevelType w:val="hybridMultilevel"/>
    <w:lvl w:ilvl="0">
      <w:lvlJc w:val="left"/>
      <w:lvlText w:val="1"/>
      <w:numFmt w:val="bullet"/>
      <w:start w:val="1"/>
    </w:lvl>
  </w:abstractNum>
  <w:abstractNum w:abstractNumId="687">
    <w:nsid w:val="4A3F068C"/>
    <w:multiLevelType w:val="hybridMultilevel"/>
    <w:lvl w:ilvl="0">
      <w:lvlJc w:val="left"/>
      <w:lvlText w:val="1"/>
      <w:numFmt w:val="bullet"/>
      <w:start w:val="1"/>
    </w:lvl>
  </w:abstractNum>
  <w:abstractNum w:abstractNumId="688">
    <w:nsid w:val="6C04B4E0"/>
    <w:multiLevelType w:val="hybridMultilevel"/>
    <w:lvl w:ilvl="0">
      <w:lvlJc w:val="left"/>
      <w:lvlText w:val="%1."/>
      <w:numFmt w:val="decimal"/>
      <w:start w:val="1"/>
    </w:lvl>
    <w:lvl w:ilvl="1">
      <w:lvlJc w:val="left"/>
      <w:lvlText w:val="%2."/>
      <w:numFmt w:val="lowerLetter"/>
      <w:start w:val="1"/>
    </w:lvl>
  </w:abstractNum>
  <w:abstractNum w:abstractNumId="689">
    <w:nsid w:val="1D082837"/>
    <w:multiLevelType w:val="hybridMultilevel"/>
    <w:lvl w:ilvl="0">
      <w:lvlJc w:val="left"/>
      <w:lvlText w:val="%1."/>
      <w:numFmt w:val="decimal"/>
      <w:start w:val="1"/>
    </w:lvl>
  </w:abstractNum>
  <w:abstractNum w:abstractNumId="690">
    <w:nsid w:val="685B8A2D"/>
    <w:multiLevelType w:val="hybridMultilevel"/>
    <w:lvl w:ilvl="0">
      <w:lvlJc w:val="left"/>
      <w:lvlText w:val="["/>
      <w:numFmt w:val="bullet"/>
      <w:start w:val="1"/>
    </w:lvl>
  </w:abstractNum>
  <w:abstractNum w:abstractNumId="691">
    <w:nsid w:val="64F087E2"/>
    <w:multiLevelType w:val="hybridMultilevel"/>
    <w:lvl w:ilvl="0">
      <w:lvlJc w:val="left"/>
      <w:lvlText w:val="["/>
      <w:numFmt w:val="bullet"/>
      <w:start w:val="1"/>
    </w:lvl>
    <w:lvl w:ilvl="1">
      <w:lvlJc w:val="left"/>
      <w:lvlText w:val="%2."/>
      <w:numFmt w:val="decimal"/>
      <w:start w:val="7"/>
    </w:lvl>
  </w:abstractNum>
  <w:abstractNum w:abstractNumId="692">
    <w:nsid w:val="1575811C"/>
    <w:multiLevelType w:val="hybridMultilevel"/>
    <w:lvl w:ilvl="0">
      <w:lvlJc w:val="left"/>
      <w:lvlText w:val="%1."/>
      <w:numFmt w:val="decimal"/>
      <w:start w:val="9"/>
    </w:lvl>
  </w:abstractNum>
  <w:abstractNum w:abstractNumId="693">
    <w:nsid w:val="52127406"/>
    <w:multiLevelType w:val="hybridMultilevel"/>
    <w:lvl w:ilvl="0">
      <w:lvlJc w:val="left"/>
      <w:lvlText w:val="["/>
      <w:numFmt w:val="bullet"/>
      <w:start w:val="1"/>
    </w:lvl>
  </w:abstractNum>
  <w:abstractNum w:abstractNumId="694">
    <w:nsid w:val="5FF178A"/>
    <w:multiLevelType w:val="hybridMultilevel"/>
    <w:lvl w:ilvl="0">
      <w:lvlJc w:val="left"/>
      <w:lvlText w:val="%1."/>
      <w:numFmt w:val="decimal"/>
      <w:start w:val="1"/>
    </w:lvl>
  </w:abstractNum>
  <w:abstractNum w:abstractNumId="695">
    <w:nsid w:val="53FB0875"/>
    <w:multiLevelType w:val="hybridMultilevel"/>
    <w:lvl w:ilvl="0">
      <w:lvlJc w:val="left"/>
      <w:lvlText w:val="%1"/>
      <w:numFmt w:val="lowerLetter"/>
      <w:start w:val="1"/>
    </w:lvl>
    <w:lvl w:ilvl="1">
      <w:lvlJc w:val="left"/>
      <w:lvlText w:val="%2."/>
      <w:numFmt w:val="decimal"/>
      <w:start w:val="4"/>
    </w:lvl>
  </w:abstractNum>
  <w:abstractNum w:abstractNumId="696">
    <w:nsid w:val="34FA7B2B"/>
    <w:multiLevelType w:val="hybridMultilevel"/>
    <w:lvl w:ilvl="0">
      <w:lvlJc w:val="left"/>
      <w:lvlText w:val="(%1)"/>
      <w:numFmt w:val="lowerLetter"/>
      <w:start w:val="2"/>
    </w:lvl>
    <w:lvl w:ilvl="1">
      <w:lvlJc w:val="left"/>
      <w:lvlText w:val="%2."/>
      <w:numFmt w:val="decimal"/>
      <w:start w:val="6"/>
    </w:lvl>
  </w:abstractNum>
  <w:abstractNum w:abstractNumId="697">
    <w:nsid w:val="CA75DBC"/>
    <w:multiLevelType w:val="hybridMultilevel"/>
    <w:lvl w:ilvl="0">
      <w:lvlJc w:val="left"/>
      <w:lvlText w:val="%1."/>
      <w:numFmt w:val="decimal"/>
      <w:start w:val="10"/>
    </w:lvl>
  </w:abstractNum>
  <w:abstractNum w:abstractNumId="698">
    <w:nsid w:val="6AE2EC3C"/>
    <w:multiLevelType w:val="hybridMultilevel"/>
    <w:lvl w:ilvl="0">
      <w:lvlJc w:val="left"/>
      <w:lvlText w:val="%1."/>
      <w:numFmt w:val="decimal"/>
      <w:start w:val="11"/>
    </w:lvl>
  </w:abstractNum>
  <w:abstractNum w:abstractNumId="699">
    <w:nsid w:val="3B3A67C5"/>
    <w:multiLevelType w:val="hybridMultilevel"/>
    <w:lvl w:ilvl="0">
      <w:lvlJc w:val="left"/>
      <w:lvlText w:val="%1."/>
      <w:numFmt w:val="decimal"/>
      <w:start w:val="1"/>
    </w:lvl>
    <w:lvl w:ilvl="1">
      <w:lvlJc w:val="left"/>
      <w:lvlText w:val="(%2)"/>
      <w:numFmt w:val="lowerLetter"/>
      <w:start w:val="1"/>
    </w:lvl>
  </w:abstractNum>
  <w:abstractNum w:abstractNumId="700">
    <w:nsid w:val="78D07D08"/>
    <w:multiLevelType w:val="hybridMultilevel"/>
    <w:lvl w:ilvl="0">
      <w:lvlJc w:val="left"/>
      <w:lvlText w:val="(%1)"/>
      <w:numFmt w:val="lowerRoman"/>
      <w:start w:val="1"/>
    </w:lvl>
    <w:lvl w:ilvl="1">
      <w:lvlJc w:val="left"/>
      <w:lvlText w:val="(%2)"/>
      <w:numFmt w:val="lowerRoman"/>
      <w:start w:val="1"/>
    </w:lvl>
  </w:abstractNum>
  <w:abstractNum w:abstractNumId="701">
    <w:nsid w:val="3AF676B7"/>
    <w:multiLevelType w:val="hybridMultilevel"/>
    <w:lvl w:ilvl="0">
      <w:lvlJc w:val="left"/>
      <w:lvlText w:val="(%1)"/>
      <w:numFmt w:val="lowerLetter"/>
      <w:start w:val="10"/>
    </w:lvl>
  </w:abstractNum>
  <w:abstractNum w:abstractNumId="702">
    <w:nsid w:val="6B6FD84E"/>
    <w:multiLevelType w:val="hybridMultilevel"/>
    <w:lvl w:ilvl="0">
      <w:lvlJc w:val="left"/>
      <w:lvlText w:val="%1"/>
      <w:numFmt w:val="decimal"/>
      <w:start w:val="1"/>
    </w:lvl>
    <w:lvl w:ilvl="1">
      <w:lvlJc w:val="left"/>
      <w:lvlText w:val="(%2)"/>
      <w:numFmt w:val="lowerLetter"/>
      <w:start w:val="14"/>
    </w:lvl>
  </w:abstractNum>
  <w:abstractNum w:abstractNumId="703">
    <w:nsid w:val="497FD5B0"/>
    <w:multiLevelType w:val="hybridMultilevel"/>
    <w:lvl w:ilvl="0">
      <w:lvlJc w:val="left"/>
      <w:lvlText w:val="(%1)"/>
      <w:numFmt w:val="decimal"/>
      <w:start w:val="12"/>
    </w:lvl>
    <w:lvl w:ilvl="1">
      <w:lvlJc w:val="left"/>
      <w:lvlText w:val="%2"/>
      <w:numFmt w:val="lowerLetter"/>
      <w:start w:val="1"/>
    </w:lvl>
  </w:abstractNum>
  <w:abstractNum w:abstractNumId="704">
    <w:nsid w:val="61A5C3E4"/>
    <w:multiLevelType w:val="hybridMultilevel"/>
    <w:lvl w:ilvl="0">
      <w:lvlJc w:val="left"/>
      <w:lvlText w:val="%1"/>
      <w:numFmt w:val="lowerLetter"/>
      <w:start w:val="1"/>
    </w:lvl>
    <w:lvl w:ilvl="1">
      <w:lvlJc w:val="left"/>
      <w:lvlText w:val="(%2)"/>
      <w:numFmt w:val="lowerLetter"/>
      <w:start w:val="16"/>
    </w:lvl>
  </w:abstractNum>
  <w:abstractNum w:abstractNumId="705">
    <w:nsid w:val="FADB8F8"/>
    <w:multiLevelType w:val="hybridMultilevel"/>
    <w:lvl w:ilvl="0">
      <w:lvlJc w:val="left"/>
      <w:lvlText w:val="(%1)"/>
      <w:numFmt w:val="lowerLetter"/>
      <w:start w:val="35"/>
    </w:lvl>
    <w:lvl w:ilvl="1">
      <w:lvlJc w:val="left"/>
      <w:lvlText w:val="(%2)"/>
      <w:numFmt w:val="lowerLetter"/>
      <w:start w:val="17"/>
    </w:lvl>
  </w:abstractNum>
  <w:abstractNum w:abstractNumId="706">
    <w:nsid w:val="3DEB451A"/>
    <w:multiLevelType w:val="hybridMultilevel"/>
    <w:lvl w:ilvl="0">
      <w:lvlJc w:val="left"/>
      <w:lvlText w:val="(%1)"/>
      <w:numFmt w:val="lowerRoman"/>
      <w:start w:val="4"/>
    </w:lvl>
    <w:lvl w:ilvl="1">
      <w:lvlJc w:val="left"/>
      <w:lvlText w:val="(%2)"/>
      <w:numFmt w:val="lowerRoman"/>
      <w:start w:val="1"/>
    </w:lvl>
  </w:abstractNum>
  <w:abstractNum w:abstractNumId="707">
    <w:nsid w:val="A577FD6"/>
    <w:multiLevelType w:val="hybridMultilevel"/>
    <w:lvl w:ilvl="0">
      <w:lvlJc w:val="left"/>
      <w:lvlText w:val="(%1)"/>
      <w:numFmt w:val="lowerLetter"/>
      <w:start w:val="18"/>
    </w:lvl>
    <w:lvl w:ilvl="1">
      <w:lvlJc w:val="left"/>
      <w:lvlText w:val="(%2)"/>
      <w:numFmt w:val="lowerRoman"/>
      <w:start w:val="1"/>
    </w:lvl>
  </w:abstractNum>
  <w:abstractNum w:abstractNumId="708">
    <w:nsid w:val="1E5313D"/>
    <w:multiLevelType w:val="hybridMultilevel"/>
    <w:lvl w:ilvl="0">
      <w:lvlJc w:val="left"/>
      <w:lvlText w:val="%1"/>
      <w:numFmt w:val="lowerLetter"/>
      <w:start w:val="1"/>
    </w:lvl>
    <w:lvl w:ilvl="1">
      <w:lvlJc w:val="left"/>
      <w:lvlText w:val="(%2)"/>
      <w:numFmt w:val="lowerLetter"/>
      <w:start w:val="61"/>
    </w:lvl>
  </w:abstractNum>
  <w:abstractNum w:abstractNumId="709">
    <w:nsid w:val="1B37F412"/>
    <w:multiLevelType w:val="hybridMultilevel"/>
    <w:lvl w:ilvl="0">
      <w:lvlJc w:val="left"/>
      <w:lvlText w:val="(%1)"/>
      <w:numFmt w:val="lowerLetter"/>
      <w:start w:val="25"/>
    </w:lvl>
    <w:lvl w:ilvl="1">
      <w:lvlJc w:val="left"/>
      <w:lvlText w:val="%2"/>
      <w:numFmt w:val="lowerLetter"/>
      <w:start w:val="1"/>
    </w:lvl>
  </w:abstractNum>
  <w:abstractNum w:abstractNumId="710">
    <w:nsid w:val="4C9BB1B"/>
    <w:multiLevelType w:val="hybridMultilevel"/>
    <w:lvl w:ilvl="0">
      <w:lvlJc w:val="left"/>
      <w:lvlText w:val="(%1)"/>
      <w:numFmt w:val="lowerLetter"/>
      <w:start w:val="27"/>
    </w:lvl>
  </w:abstractNum>
  <w:abstractNum w:abstractNumId="711">
    <w:nsid w:val="22766F7E"/>
    <w:multiLevelType w:val="hybridMultilevel"/>
    <w:lvl w:ilvl="0">
      <w:lvlJc w:val="left"/>
      <w:lvlText w:val="%1"/>
      <w:numFmt w:val="decimal"/>
      <w:start w:val="1"/>
    </w:lvl>
    <w:lvl w:ilvl="1">
      <w:lvlJc w:val="left"/>
      <w:lvlText w:val="(%2)"/>
      <w:numFmt w:val="lowerLetter"/>
      <w:start w:val="35"/>
    </w:lvl>
  </w:abstractNum>
  <w:abstractNum w:abstractNumId="712">
    <w:nsid w:val="2936B69A"/>
    <w:multiLevelType w:val="hybridMultilevel"/>
    <w:lvl w:ilvl="0">
      <w:lvlJc w:val="left"/>
      <w:lvlText w:val="%1."/>
      <w:numFmt w:val="decimal"/>
      <w:start w:val="3"/>
    </w:lvl>
    <w:lvl w:ilvl="1">
      <w:lvlJc w:val="left"/>
      <w:lvlText w:val="(%2)"/>
      <w:numFmt w:val="lowerLetter"/>
      <w:start w:val="1"/>
    </w:lvl>
  </w:abstractNum>
  <w:abstractNum w:abstractNumId="713">
    <w:nsid w:val="5E194E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4">
    <w:nsid w:val="3B69EC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5">
    <w:nsid w:val="77361526"/>
    <w:multiLevelType w:val="hybridMultilevel"/>
    <w:lvl w:ilvl="0">
      <w:lvlJc w:val="left"/>
      <w:lvlText w:val="(%1)"/>
      <w:numFmt w:val="lowerLetter"/>
      <w:start w:val="2"/>
    </w:lvl>
    <w:lvl w:ilvl="1">
      <w:lvlJc w:val="left"/>
      <w:lvlText w:val="(%2)"/>
      <w:numFmt w:val="lowerRoman"/>
      <w:start w:val="1"/>
    </w:lvl>
  </w:abstractNum>
  <w:abstractNum w:abstractNumId="716">
    <w:nsid w:val="7338868F"/>
    <w:multiLevelType w:val="hybridMultilevel"/>
    <w:lvl w:ilvl="0">
      <w:lvlJc w:val="left"/>
      <w:lvlText w:val="%1"/>
      <w:numFmt w:val="decimal"/>
      <w:start w:val="1"/>
    </w:lvl>
    <w:lvl w:ilvl="1">
      <w:lvlJc w:val="left"/>
      <w:lvlText w:val="(%2)"/>
      <w:numFmt w:val="lowerLetter"/>
      <w:start w:val="4"/>
    </w:lvl>
  </w:abstractNum>
  <w:abstractNum w:abstractNumId="717">
    <w:nsid w:val="5377D7E"/>
    <w:multiLevelType w:val="hybridMultilevel"/>
    <w:lvl w:ilvl="0">
      <w:lvlJc w:val="left"/>
      <w:lvlText w:val="%1."/>
      <w:numFmt w:val="decimal"/>
      <w:start w:val="5"/>
    </w:lvl>
    <w:lvl w:ilvl="1">
      <w:lvlJc w:val="left"/>
      <w:lvlText w:val="(%2)"/>
      <w:numFmt w:val="lowerLetter"/>
      <w:start w:val="1"/>
    </w:lvl>
  </w:abstractNum>
  <w:abstractNum w:abstractNumId="718">
    <w:nsid w:val="41751BB2"/>
    <w:multiLevelType w:val="hybridMultilevel"/>
    <w:lvl w:ilvl="0">
      <w:lvlJc w:val="left"/>
      <w:lvlText w:val="(%1)"/>
      <w:numFmt w:val="lowerLetter"/>
      <w:start w:val="3"/>
    </w:lvl>
  </w:abstractNum>
  <w:abstractNum w:abstractNumId="719">
    <w:nsid w:val="5F3D3B70"/>
    <w:multiLevelType w:val="hybridMultilevel"/>
    <w:lvl w:ilvl="0">
      <w:lvlJc w:val="left"/>
      <w:lvlText w:val="(%1)"/>
      <w:numFmt w:val="lowerLetter"/>
      <w:start w:val="6"/>
    </w:lvl>
    <w:lvl w:ilvl="1">
      <w:lvlJc w:val="left"/>
      <w:lvlText w:val="(%2)"/>
      <w:numFmt w:val="lowerRoman"/>
      <w:start w:val="1"/>
    </w:lvl>
  </w:abstractNum>
  <w:abstractNum w:abstractNumId="720">
    <w:nsid w:val="223FA5B6"/>
    <w:multiLevelType w:val="hybridMultilevel"/>
    <w:lvl w:ilvl="0">
      <w:lvlJc w:val="left"/>
      <w:lvlText w:val="(%1)"/>
      <w:numFmt w:val="lowerLetter"/>
      <w:start w:val="8"/>
    </w:lvl>
  </w:abstractNum>
  <w:abstractNum w:abstractNumId="721">
    <w:nsid w:val="29D0A5D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722">
    <w:nsid w:val="442DC35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23">
    <w:nsid w:val="37B526D2"/>
    <w:multiLevelType w:val="hybridMultilevel"/>
    <w:lvl w:ilvl="0">
      <w:lvlJc w:val="left"/>
      <w:lvlText w:val="%1"/>
      <w:numFmt w:val="lowerLetter"/>
      <w:start w:val="1"/>
    </w:lvl>
    <w:lvl w:ilvl="1">
      <w:lvlJc w:val="left"/>
      <w:lvlText w:val="(%2)"/>
      <w:numFmt w:val="lowerRoman"/>
      <w:start w:val="6"/>
    </w:lvl>
  </w:abstractNum>
  <w:abstractNum w:abstractNumId="724">
    <w:nsid w:val="7BE319E5"/>
    <w:multiLevelType w:val="hybridMultilevel"/>
    <w:lvl w:ilvl="0">
      <w:lvlJc w:val="left"/>
      <w:lvlText w:val="(%1)"/>
      <w:numFmt w:val="lowerLetter"/>
      <w:start w:val="2"/>
    </w:lvl>
    <w:lvl w:ilvl="1">
      <w:lvlJc w:val="left"/>
      <w:lvlText w:val="(%2)"/>
      <w:numFmt w:val="lowerRoman"/>
      <w:start w:val="1"/>
    </w:lvl>
  </w:abstractNum>
  <w:abstractNum w:abstractNumId="725">
    <w:nsid w:val="4A2CDA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6">
    <w:nsid w:val="BB02F4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27">
    <w:nsid w:val="30DD9510"/>
    <w:multiLevelType w:val="hybridMultilevel"/>
    <w:lvl w:ilvl="0">
      <w:lvlJc w:val="left"/>
      <w:lvlText w:val="%1"/>
      <w:numFmt w:val="decimal"/>
      <w:start w:val="1"/>
    </w:lvl>
    <w:lvl w:ilvl="1">
      <w:lvlJc w:val="left"/>
      <w:lvlText w:val="(%2)"/>
      <w:numFmt w:val="lowerLetter"/>
      <w:start w:val="3"/>
    </w:lvl>
  </w:abstractNum>
  <w:abstractNum w:abstractNumId="728">
    <w:nsid w:val="56D43898"/>
    <w:multiLevelType w:val="hybridMultilevel"/>
    <w:lvl w:ilvl="0">
      <w:lvlJc w:val="left"/>
      <w:lvlText w:val="%1."/>
      <w:numFmt w:val="decimal"/>
      <w:start w:val="9"/>
    </w:lvl>
    <w:lvl w:ilvl="1">
      <w:lvlJc w:val="left"/>
      <w:lvlText w:val="(%2)"/>
      <w:numFmt w:val="lowerLetter"/>
      <w:start w:val="1"/>
    </w:lvl>
  </w:abstractNum>
  <w:abstractNum w:abstractNumId="729">
    <w:nsid w:val="76931B84"/>
    <w:multiLevelType w:val="hybridMultilevel"/>
    <w:lvl w:ilvl="0">
      <w:lvlJc w:val="left"/>
      <w:lvlText w:val="%1."/>
      <w:numFmt w:val="decimal"/>
      <w:start w:val="10"/>
    </w:lvl>
    <w:lvl w:ilvl="1">
      <w:lvlJc w:val="left"/>
      <w:lvlText w:val="(%2)"/>
      <w:numFmt w:val="lowerLetter"/>
      <w:start w:val="1"/>
    </w:lvl>
  </w:abstractNum>
  <w:abstractNum w:abstractNumId="730">
    <w:nsid w:val="6C17FCD6"/>
    <w:multiLevelType w:val="hybridMultilevel"/>
    <w:lvl w:ilvl="0">
      <w:lvlJc w:val="left"/>
      <w:lvlText w:val="%1"/>
      <w:numFmt w:val="decimal"/>
      <w:start w:val="1"/>
    </w:lvl>
    <w:lvl w:ilvl="1">
      <w:lvlJc w:val="left"/>
      <w:lvlText w:val="(%2)"/>
      <w:numFmt w:val="lowerLetter"/>
      <w:start w:val="1"/>
    </w:lvl>
  </w:abstractNum>
  <w:abstractNum w:abstractNumId="731">
    <w:nsid w:val="4FA4B5A1"/>
    <w:multiLevelType w:val="hybridMultilevel"/>
    <w:lvl w:ilvl="0">
      <w:lvlJc w:val="left"/>
      <w:lvlText w:val="%1."/>
      <w:numFmt w:val="decimal"/>
      <w:start w:val="12"/>
    </w:lvl>
    <w:lvl w:ilvl="1">
      <w:lvlJc w:val="left"/>
      <w:lvlText w:val="(%2)"/>
      <w:numFmt w:val="lowerLetter"/>
      <w:start w:val="1"/>
    </w:lvl>
  </w:abstractNum>
  <w:abstractNum w:abstractNumId="732">
    <w:nsid w:val="3189923B"/>
    <w:multiLevelType w:val="hybridMultilevel"/>
    <w:lvl w:ilvl="0">
      <w:lvlJc w:val="left"/>
      <w:lvlText w:val="%1"/>
      <w:numFmt w:val="decimal"/>
      <w:start w:val="1"/>
    </w:lvl>
    <w:lvl w:ilvl="1">
      <w:lvlJc w:val="left"/>
      <w:lvlText w:val="(%2)"/>
      <w:numFmt w:val="lowerLetter"/>
      <w:start w:val="3"/>
    </w:lvl>
  </w:abstractNum>
  <w:abstractNum w:abstractNumId="733">
    <w:nsid w:val="5787D524"/>
    <w:multiLevelType w:val="hybridMultilevel"/>
    <w:lvl w:ilvl="0">
      <w:lvlJc w:val="left"/>
      <w:lvlText w:val="%1."/>
      <w:numFmt w:val="decimal"/>
      <w:start w:val="13"/>
    </w:lvl>
    <w:lvl w:ilvl="1">
      <w:lvlJc w:val="left"/>
      <w:lvlText w:val="(%2)"/>
      <w:numFmt w:val="lowerLetter"/>
      <w:start w:val="1"/>
    </w:lvl>
  </w:abstractNum>
  <w:abstractNum w:abstractNumId="734">
    <w:nsid w:val="19248B51"/>
    <w:multiLevelType w:val="hybridMultilevel"/>
    <w:lvl w:ilvl="0">
      <w:lvlJc w:val="left"/>
      <w:lvlText w:val="%1"/>
      <w:numFmt w:val="lowerRoman"/>
      <w:start w:val="1"/>
    </w:lvl>
    <w:lvl w:ilvl="1">
      <w:lvlJc w:val="left"/>
      <w:lvlText w:val="%2."/>
      <w:numFmt w:val="decimal"/>
      <w:start w:val="17"/>
    </w:lvl>
  </w:abstractNum>
  <w:abstractNum w:abstractNumId="735">
    <w:nsid w:val="132F561F"/>
    <w:multiLevelType w:val="hybridMultilevel"/>
    <w:lvl w:ilvl="0">
      <w:lvlJc w:val="left"/>
      <w:lvlText w:val="(%1)"/>
      <w:numFmt w:val="lowerRoman"/>
      <w:start w:val="1"/>
    </w:lvl>
    <w:lvl w:ilvl="1">
      <w:lvlJc w:val="left"/>
      <w:lvlText w:val="%2"/>
      <w:numFmt w:val="decimal"/>
      <w:start w:val="1"/>
    </w:lvl>
  </w:abstractNum>
  <w:abstractNum w:abstractNumId="736">
    <w:nsid w:val="67358E1D"/>
    <w:multiLevelType w:val="hybridMultilevel"/>
    <w:lvl w:ilvl="0">
      <w:lvlJc w:val="left"/>
      <w:lvlText w:val="(%1)"/>
      <w:numFmt w:val="lowerRoman"/>
      <w:start w:val="5"/>
    </w:lvl>
    <w:lvl w:ilvl="1">
      <w:lvlJc w:val="left"/>
      <w:lvlText w:val="%2"/>
      <w:numFmt w:val="decimal"/>
      <w:start w:val="1"/>
    </w:lvl>
  </w:abstractNum>
  <w:abstractNum w:abstractNumId="737">
    <w:nsid w:val="570FD06B"/>
    <w:multiLevelType w:val="hybridMultilevel"/>
    <w:lvl w:ilvl="0">
      <w:lvlJc w:val="left"/>
      <w:lvlText w:val="%1."/>
      <w:numFmt w:val="decimal"/>
      <w:start w:val="21"/>
    </w:lvl>
  </w:abstractNum>
  <w:abstractNum w:abstractNumId="738">
    <w:nsid w:val="1D86D5F5"/>
    <w:multiLevelType w:val="hybridMultilevel"/>
    <w:lvl w:ilvl="0">
      <w:lvlJc w:val="left"/>
      <w:lvlText w:val="%1"/>
      <w:numFmt w:val="decimal"/>
      <w:start w:val="1"/>
    </w:lvl>
    <w:lvl w:ilvl="1">
      <w:lvlJc w:val="left"/>
      <w:lvlText w:val="(%2)"/>
      <w:numFmt w:val="lowerLetter"/>
      <w:start w:val="1"/>
    </w:lvl>
  </w:abstractNum>
  <w:abstractNum w:abstractNumId="739">
    <w:nsid w:val="691ABF5A"/>
    <w:multiLevelType w:val="hybridMultilevel"/>
    <w:lvl w:ilvl="0">
      <w:lvlJc w:val="left"/>
      <w:lvlText w:val="%1."/>
      <w:numFmt w:val="decimal"/>
      <w:start w:val="2"/>
    </w:lvl>
    <w:lvl w:ilvl="1">
      <w:lvlJc w:val="left"/>
      <w:lvlText w:val="%2"/>
      <w:numFmt w:val="lowerLetter"/>
      <w:start w:val="1"/>
    </w:lvl>
  </w:abstractNum>
  <w:abstractNum w:abstractNumId="740">
    <w:nsid w:val="7247C47D"/>
    <w:multiLevelType w:val="hybridMultilevel"/>
    <w:lvl w:ilvl="0">
      <w:lvlJc w:val="left"/>
      <w:lvlText w:val="%1."/>
      <w:numFmt w:val="decimal"/>
      <w:start w:val="1"/>
    </w:lvl>
  </w:abstractNum>
  <w:abstractNum w:abstractNumId="741">
    <w:nsid w:val="22509110"/>
    <w:multiLevelType w:val="hybridMultilevel"/>
    <w:lvl w:ilvl="0">
      <w:lvlJc w:val="left"/>
      <w:lvlText w:val="%1."/>
      <w:numFmt w:val="decimal"/>
      <w:start w:val="2"/>
    </w:lvl>
    <w:lvl w:ilvl="1">
      <w:lvlJc w:val="left"/>
      <w:lvlText w:val="(%2)"/>
      <w:numFmt w:val="lowerLetter"/>
      <w:start w:val="1"/>
    </w:lvl>
  </w:abstractNum>
  <w:abstractNum w:abstractNumId="742">
    <w:nsid w:val="B912ED8"/>
    <w:multiLevelType w:val="hybridMultilevel"/>
    <w:lvl w:ilvl="0">
      <w:lvlJc w:val="left"/>
      <w:lvlText w:val="%1"/>
      <w:numFmt w:val="decimal"/>
      <w:start w:val="1"/>
    </w:lvl>
    <w:lvl w:ilvl="1">
      <w:lvlJc w:val="left"/>
      <w:lvlText w:val="(%2)"/>
      <w:numFmt w:val="lowerLetter"/>
      <w:start w:val="3"/>
    </w:lvl>
  </w:abstractNum>
  <w:abstractNum w:abstractNumId="743">
    <w:nsid w:val="1B7E7B17"/>
    <w:multiLevelType w:val="hybridMultilevel"/>
    <w:lvl w:ilvl="0">
      <w:lvlJc w:val="left"/>
      <w:lvlText w:val="%1."/>
      <w:numFmt w:val="decimal"/>
      <w:start w:val="3"/>
    </w:lvl>
    <w:lvl w:ilvl="1">
      <w:lvlJc w:val="left"/>
      <w:lvlText w:val="(%2)"/>
      <w:numFmt w:val="lowerLetter"/>
      <w:start w:val="1"/>
    </w:lvl>
  </w:abstractNum>
  <w:abstractNum w:abstractNumId="744">
    <w:nsid w:val="69DFFC"/>
    <w:multiLevelType w:val="hybridMultilevel"/>
    <w:lvl w:ilvl="0">
      <w:lvlJc w:val="left"/>
      <w:lvlText w:val="(%1)"/>
      <w:numFmt w:val="lowerRoman"/>
      <w:start w:val="1"/>
    </w:lvl>
  </w:abstractNum>
  <w:abstractNum w:abstractNumId="745">
    <w:nsid w:val="F47CDA5"/>
    <w:multiLevelType w:val="hybridMultilevel"/>
    <w:lvl w:ilvl="0">
      <w:lvlJc w:val="left"/>
      <w:lvlText w:val="%1."/>
      <w:numFmt w:val="decimal"/>
      <w:start w:val="5"/>
    </w:lvl>
  </w:abstractNum>
  <w:abstractNum w:abstractNumId="746">
    <w:nsid w:val="12B4903D"/>
    <w:multiLevelType w:val="hybridMultilevel"/>
    <w:lvl w:ilvl="0">
      <w:lvlJc w:val="left"/>
      <w:lvlText w:val="%1."/>
      <w:numFmt w:val="decimal"/>
      <w:start w:val="8"/>
    </w:lvl>
  </w:abstractNum>
  <w:abstractNum w:abstractNumId="747">
    <w:nsid w:val="73A2668C"/>
    <w:multiLevelType w:val="hybridMultilevel"/>
    <w:lvl w:ilvl="0">
      <w:lvlJc w:val="left"/>
      <w:lvlText w:val="%1."/>
      <w:numFmt w:val="decimal"/>
      <w:start w:val="14"/>
    </w:lvl>
    <w:lvl w:ilvl="1">
      <w:lvlJc w:val="left"/>
      <w:lvlText w:val="(%2)"/>
      <w:numFmt w:val="lowerLetter"/>
      <w:start w:val="1"/>
    </w:lvl>
  </w:abstractNum>
  <w:abstractNum w:abstractNumId="748">
    <w:nsid w:val="147F4B24"/>
    <w:multiLevelType w:val="hybridMultilevel"/>
    <w:lvl w:ilvl="0">
      <w:lvlJc w:val="left"/>
      <w:lvlText w:val="%1."/>
      <w:numFmt w:val="decimal"/>
      <w:start w:val="16"/>
    </w:lvl>
  </w:abstractNum>
  <w:abstractNum w:abstractNumId="749">
    <w:nsid w:val="5429ABEF"/>
    <w:multiLevelType w:val="hybridMultilevel"/>
    <w:lvl w:ilvl="0">
      <w:lvlJc w:val="left"/>
      <w:lvlText w:val="%1."/>
      <w:numFmt w:val="decimal"/>
      <w:start w:val="21"/>
    </w:lvl>
  </w:abstractNum>
  <w:abstractNum w:abstractNumId="750">
    <w:nsid w:val="52DFA1FC"/>
    <w:multiLevelType w:val="hybridMultilevel"/>
    <w:lvl w:ilvl="0">
      <w:lvlJc w:val="left"/>
      <w:lvlText w:val="%1."/>
      <w:numFmt w:val="decimal"/>
      <w:start w:val="2"/>
    </w:lvl>
  </w:abstractNum>
  <w:abstractNum w:abstractNumId="751">
    <w:nsid w:val="36BEF0DA"/>
    <w:multiLevelType w:val="hybridMultilevel"/>
    <w:lvl w:ilvl="0">
      <w:lvlJc w:val="left"/>
      <w:lvlText w:val="%1."/>
      <w:numFmt w:val="decimal"/>
      <w:start w:val="4"/>
    </w:lvl>
  </w:abstractNum>
  <w:abstractNum w:abstractNumId="752">
    <w:nsid w:val="7DFA51CE"/>
    <w:multiLevelType w:val="hybridMultilevel"/>
    <w:lvl w:ilvl="0">
      <w:lvlJc w:val="left"/>
      <w:lvlText w:val="%1."/>
      <w:numFmt w:val="decimal"/>
      <w:start w:val="6"/>
    </w:lvl>
  </w:abstractNum>
  <w:abstractNum w:abstractNumId="753">
    <w:nsid w:val="170D654E"/>
    <w:multiLevelType w:val="hybridMultilevel"/>
    <w:lvl w:ilvl="0">
      <w:lvlJc w:val="left"/>
      <w:lvlText w:val="%1."/>
      <w:numFmt w:val="decimal"/>
      <w:start w:val="8"/>
    </w:lvl>
  </w:abstractNum>
  <w:abstractNum w:abstractNumId="754">
    <w:nsid w:val="6E7417AC"/>
    <w:multiLevelType w:val="hybridMultilevel"/>
    <w:lvl w:ilvl="0">
      <w:lvlJc w:val="left"/>
      <w:lvlText w:val="%1."/>
      <w:numFmt w:val="decimal"/>
      <w:start w:val="11"/>
    </w:lvl>
  </w:abstractNum>
  <w:abstractNum w:abstractNumId="755">
    <w:nsid w:val="79DD6BB3"/>
    <w:multiLevelType w:val="hybridMultilevel"/>
    <w:lvl w:ilvl="0">
      <w:lvlJc w:val="left"/>
      <w:lvlText w:val="(%1)"/>
      <w:numFmt w:val="lowerLetter"/>
      <w:start w:val="1"/>
    </w:lvl>
  </w:abstractNum>
  <w:abstractNum w:abstractNumId="756">
    <w:nsid w:val="613A402A"/>
    <w:multiLevelType w:val="hybridMultilevel"/>
    <w:lvl w:ilvl="0">
      <w:lvlJc w:val="left"/>
      <w:lvlText w:val="(%1)"/>
      <w:numFmt w:val="lowerLetter"/>
      <w:start w:val="4"/>
    </w:lvl>
  </w:abstractNum>
  <w:abstractNum w:abstractNumId="757">
    <w:nsid w:val="7A2446F3"/>
    <w:multiLevelType w:val="hybridMultilevel"/>
    <w:lvl w:ilvl="0">
      <w:lvlJc w:val="left"/>
      <w:lvlText w:val="%1."/>
      <w:numFmt w:val="decimal"/>
      <w:start w:val="1"/>
    </w:lvl>
    <w:lvl w:ilvl="1">
      <w:lvlJc w:val="left"/>
      <w:lvlText w:val="(%2)"/>
      <w:numFmt w:val="lowerLetter"/>
      <w:start w:val="1"/>
    </w:lvl>
  </w:abstractNum>
  <w:abstractNum w:abstractNumId="758">
    <w:nsid w:val="2ABB00C4"/>
    <w:multiLevelType w:val="hybridMultilevel"/>
    <w:lvl w:ilvl="0">
      <w:lvlJc w:val="left"/>
      <w:lvlText w:val="%1"/>
      <w:numFmt w:val="lowerLetter"/>
      <w:start w:val="1"/>
    </w:lvl>
    <w:lvl w:ilvl="1">
      <w:lvlJc w:val="left"/>
      <w:lvlText w:val="%2."/>
      <w:numFmt w:val="decimal"/>
      <w:start w:val="5"/>
    </w:lvl>
  </w:abstractNum>
  <w:abstractNum w:abstractNumId="759">
    <w:nsid w:val="380E78C3"/>
    <w:multiLevelType w:val="hybridMultilevel"/>
    <w:lvl w:ilvl="0">
      <w:lvlJc w:val="left"/>
      <w:lvlText w:val="(%1)"/>
      <w:numFmt w:val="lowerLetter"/>
      <w:start w:val="1"/>
    </w:lvl>
    <w:lvl w:ilvl="1">
      <w:lvlJc w:val="left"/>
      <w:lvlText w:val="%2."/>
      <w:numFmt w:val="decimal"/>
      <w:start w:val="7"/>
    </w:lvl>
  </w:abstractNum>
  <w:abstractNum w:abstractNumId="760">
    <w:nsid w:val="70B76277"/>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761">
    <w:nsid w:val="16D2FD9A"/>
    <w:multiLevelType w:val="hybridMultilevel"/>
    <w:lvl w:ilvl="0">
      <w:lvlJc w:val="left"/>
      <w:lvlText w:val="(%1)"/>
      <w:numFmt w:val="decimal"/>
      <w:start w:val="6"/>
    </w:lvl>
    <w:lvl w:ilvl="1">
      <w:lvlJc w:val="left"/>
      <w:lvlText w:val="%2"/>
      <w:numFmt w:val="decimal"/>
      <w:start w:val="1"/>
    </w:lvl>
    <w:lvl w:ilvl="2">
      <w:lvlJc w:val="left"/>
      <w:lvlText w:val="(%3)"/>
      <w:numFmt w:val="lowerLetter"/>
      <w:start w:val="2"/>
    </w:lvl>
  </w:abstractNum>
  <w:abstractNum w:abstractNumId="762">
    <w:nsid w:val="7B32E64"/>
    <w:multiLevelType w:val="hybridMultilevel"/>
    <w:lvl w:ilvl="0">
      <w:lvlJc w:val="left"/>
      <w:lvlText w:val="%1"/>
      <w:numFmt w:val="decimal"/>
      <w:start w:val="1"/>
    </w:lvl>
    <w:lvl w:ilvl="1">
      <w:lvlJc w:val="left"/>
      <w:lvlText w:val="(%2)"/>
      <w:numFmt w:val="lowerLetter"/>
      <w:start w:val="3"/>
    </w:lvl>
  </w:abstractNum>
  <w:abstractNum w:abstractNumId="763">
    <w:nsid w:val="2240F4B2"/>
    <w:multiLevelType w:val="hybridMultilevel"/>
    <w:lvl w:ilvl="0">
      <w:lvlJc w:val="left"/>
      <w:lvlText w:val="%1."/>
      <w:numFmt w:val="decimal"/>
      <w:start w:val="10"/>
    </w:lvl>
    <w:lvl w:ilvl="1">
      <w:lvlJc w:val="left"/>
      <w:lvlText w:val="%2"/>
      <w:numFmt w:val="lowerLetter"/>
      <w:start w:val="1"/>
    </w:lvl>
  </w:abstractNum>
  <w:abstractNum w:abstractNumId="764">
    <w:nsid w:val="6E5AD2BE"/>
    <w:multiLevelType w:val="hybridMultilevel"/>
    <w:lvl w:ilvl="0">
      <w:lvlJc w:val="left"/>
      <w:lvlText w:val="%1."/>
      <w:numFmt w:val="decimal"/>
      <w:start w:val="13"/>
    </w:lvl>
    <w:lvl w:ilvl="1">
      <w:lvlJc w:val="left"/>
      <w:lvlText w:val="(%2)"/>
      <w:numFmt w:val="lowerLetter"/>
      <w:start w:val="1"/>
    </w:lvl>
  </w:abstractNum>
  <w:abstractNum w:abstractNumId="765">
    <w:nsid w:val="20D7B9B5"/>
    <w:multiLevelType w:val="hybridMultilevel"/>
    <w:lvl w:ilvl="0">
      <w:lvlJc w:val="left"/>
      <w:lvlText w:val="%1."/>
      <w:numFmt w:val="decimal"/>
      <w:start w:val="16"/>
    </w:lvl>
  </w:abstractNum>
  <w:abstractNum w:abstractNumId="766">
    <w:nsid w:val="35704AD1"/>
    <w:multiLevelType w:val="hybridMultilevel"/>
    <w:lvl w:ilvl="0">
      <w:lvlJc w:val="left"/>
      <w:lvlText w:val="("/>
      <w:numFmt w:val="bullet"/>
      <w:start w:val="1"/>
    </w:lvl>
  </w:abstractNum>
  <w:abstractNum w:abstractNumId="767">
    <w:nsid w:val="559060DB"/>
    <w:multiLevelType w:val="hybridMultilevel"/>
    <w:lvl w:ilvl="0">
      <w:lvlJc w:val="left"/>
      <w:lvlText w:val="%1."/>
      <w:numFmt w:val="decimal"/>
      <w:start w:val="1"/>
    </w:lvl>
  </w:abstractNum>
  <w:abstractNum w:abstractNumId="768">
    <w:nsid w:val="77E78A20"/>
    <w:multiLevelType w:val="hybridMultilevel"/>
    <w:lvl w:ilvl="0">
      <w:lvlJc w:val="left"/>
      <w:lvlText w:val="%1."/>
      <w:numFmt w:val="decimal"/>
      <w:start w:val="4"/>
    </w:lvl>
  </w:abstractNum>
  <w:abstractNum w:abstractNumId="769">
    <w:nsid w:val="52F720C6"/>
    <w:multiLevelType w:val="hybridMultilevel"/>
    <w:lvl w:ilvl="0">
      <w:lvlJc w:val="left"/>
      <w:lvlText w:val="(%1)"/>
      <w:numFmt w:val="lowerLetter"/>
      <w:start w:val="1"/>
    </w:lvl>
  </w:abstractNum>
  <w:abstractNum w:abstractNumId="770">
    <w:nsid w:val="3EAB2035"/>
    <w:multiLevelType w:val="hybridMultilevel"/>
    <w:lvl w:ilvl="0">
      <w:lvlJc w:val="left"/>
      <w:lvlText w:val="(%1)"/>
      <w:numFmt w:val="lowerLetter"/>
      <w:start w:val="4"/>
    </w:lvl>
  </w:abstractNum>
  <w:abstractNum w:abstractNumId="771">
    <w:nsid w:val="6A2F4E9D"/>
    <w:multiLevelType w:val="hybridMultilevel"/>
    <w:lvl w:ilvl="0">
      <w:lvlJc w:val="left"/>
      <w:lvlText w:val="(%1)"/>
      <w:numFmt w:val="lowerLetter"/>
      <w:start w:val="1"/>
    </w:lvl>
  </w:abstractNum>
  <w:abstractNum w:abstractNumId="772">
    <w:nsid w:val="7547B1D6"/>
    <w:multiLevelType w:val="hybridMultilevel"/>
    <w:lvl w:ilvl="0">
      <w:lvlJc w:val="left"/>
      <w:lvlText w:val="(%1)"/>
      <w:numFmt w:val="lowerLetter"/>
      <w:start w:val="1"/>
    </w:lvl>
  </w:abstractNum>
  <w:abstractNum w:abstractNumId="773">
    <w:nsid w:val="4A3C4F0E"/>
    <w:multiLevelType w:val="hybridMultilevel"/>
    <w:lvl w:ilvl="0">
      <w:lvlJc w:val="left"/>
      <w:lvlText w:val="(%1)"/>
      <w:numFmt w:val="lowerLetter"/>
      <w:start w:val="1"/>
    </w:lvl>
  </w:abstractNum>
  <w:abstractNum w:abstractNumId="774">
    <w:nsid w:val="5ADC9B4"/>
    <w:multiLevelType w:val="hybridMultilevel"/>
    <w:lvl w:ilvl="0">
      <w:lvlJc w:val="left"/>
      <w:lvlText w:val="(%1)"/>
      <w:numFmt w:val="lowerLetter"/>
      <w:start w:val="1"/>
    </w:lvl>
  </w:abstractNum>
  <w:abstractNum w:abstractNumId="775">
    <w:nsid w:val="75B191D3"/>
    <w:multiLevelType w:val="hybridMultilevel"/>
    <w:lvl w:ilvl="0">
      <w:lvlJc w:val="left"/>
      <w:lvlText w:val="%1"/>
      <w:numFmt w:val="decimal"/>
      <w:start w:val="1"/>
    </w:lvl>
    <w:lvl w:ilvl="1">
      <w:lvlJc w:val="left"/>
      <w:lvlText w:val="(%2)"/>
      <w:numFmt w:val="lowerLetter"/>
      <w:start w:val="2"/>
    </w:lvl>
  </w:abstractNum>
  <w:abstractNum w:abstractNumId="776">
    <w:nsid w:val="59841CB3"/>
    <w:multiLevelType w:val="hybridMultilevel"/>
    <w:lvl w:ilvl="0">
      <w:lvlJc w:val="left"/>
      <w:lvlText w:val="(%1)"/>
      <w:numFmt w:val="decimal"/>
      <w:start w:val="36"/>
    </w:lvl>
    <w:lvl w:ilvl="1">
      <w:lvlJc w:val="left"/>
      <w:lvlText w:val="%2"/>
      <w:numFmt w:val="lowerLetter"/>
      <w:start w:val="1"/>
    </w:lvl>
  </w:abstractNum>
  <w:abstractNum w:abstractNumId="777">
    <w:nsid w:val="186259F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78">
    <w:nsid w:val="6953F85F"/>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779">
    <w:nsid w:val="6E0367D7"/>
    <w:multiLevelType w:val="hybridMultilevel"/>
    <w:lvl w:ilvl="0">
      <w:lvlJc w:val="left"/>
      <w:lvlText w:val="(%1)"/>
      <w:numFmt w:val="lowerRoman"/>
      <w:start w:val="4"/>
    </w:lvl>
  </w:abstractNum>
  <w:abstractNum w:abstractNumId="780">
    <w:nsid w:val="6C8C05E1"/>
    <w:multiLevelType w:val="hybridMultilevel"/>
    <w:lvl w:ilvl="0">
      <w:lvlJc w:val="left"/>
      <w:lvlText w:val="%1"/>
      <w:numFmt w:val="lowerLetter"/>
      <w:start w:val="1"/>
    </w:lvl>
    <w:lvl w:ilvl="1">
      <w:lvlJc w:val="left"/>
      <w:lvlText w:val="(%2)"/>
      <w:numFmt w:val="lowerLetter"/>
      <w:start w:val="1"/>
    </w:lvl>
  </w:abstractNum>
  <w:abstractNum w:abstractNumId="781">
    <w:nsid w:val="3C339A5B"/>
    <w:multiLevelType w:val="hybridMultilevel"/>
    <w:lvl w:ilvl="0">
      <w:lvlJc w:val="left"/>
      <w:lvlText w:val="(%1)"/>
      <w:numFmt w:val="lowerLetter"/>
      <w:start w:val="61"/>
    </w:lvl>
    <w:lvl w:ilvl="1">
      <w:lvlJc w:val="left"/>
      <w:lvlText w:val="(%2)"/>
      <w:numFmt w:val="lowerLetter"/>
      <w:start w:val="3"/>
    </w:lvl>
  </w:abstractNum>
  <w:abstractNum w:abstractNumId="782">
    <w:nsid w:val="24C258B1"/>
    <w:multiLevelType w:val="hybridMultilevel"/>
    <w:lvl w:ilvl="0">
      <w:lvlJc w:val="left"/>
      <w:lvlText w:val="(%1)"/>
      <w:numFmt w:val="lowerLetter"/>
      <w:start w:val="1"/>
    </w:lvl>
  </w:abstractNum>
  <w:abstractNum w:abstractNumId="783">
    <w:nsid w:val="6A8657B0"/>
    <w:multiLevelType w:val="hybridMultilevel"/>
    <w:lvl w:ilvl="0">
      <w:lvlJc w:val="left"/>
      <w:lvlText w:val="%1."/>
      <w:numFmt w:val="upperLetter"/>
      <w:start w:val="9"/>
    </w:lvl>
    <w:lvl w:ilvl="1">
      <w:lvlJc w:val="left"/>
      <w:lvlText w:val="%2."/>
      <w:numFmt w:val="upperLetter"/>
      <w:start w:val="1"/>
    </w:lvl>
  </w:abstractNum>
  <w:abstractNum w:abstractNumId="784">
    <w:nsid w:val="5340FFA9"/>
    <w:multiLevelType w:val="hybridMultilevel"/>
    <w:lvl w:ilvl="0">
      <w:lvlJc w:val="left"/>
      <w:lvlText w:val="%1."/>
      <w:numFmt w:val="upperLetter"/>
      <w:start w:val="35"/>
    </w:lvl>
    <w:lvl w:ilvl="1">
      <w:lvlJc w:val="left"/>
      <w:lvlText w:val="%2"/>
      <w:numFmt w:val="upperLetter"/>
      <w:start w:val="1"/>
    </w:lvl>
  </w:abstractNum>
  <w:abstractNum w:abstractNumId="785">
    <w:nsid w:val="1336705D"/>
    <w:multiLevelType w:val="hybridMultilevel"/>
    <w:lvl w:ilvl="0">
      <w:lvlJc w:val="left"/>
      <w:lvlText w:val="%1."/>
      <w:numFmt w:val="upperLetter"/>
      <w:start w:val="61"/>
    </w:lvl>
    <w:lvl w:ilvl="1">
      <w:lvlJc w:val="left"/>
      <w:lvlText w:val="%2."/>
      <w:numFmt w:val="upperLetter"/>
      <w:start w:val="1"/>
    </w:lvl>
  </w:abstractNum>
  <w:abstractNum w:abstractNumId="786">
    <w:nsid w:val="6463C363"/>
    <w:multiLevelType w:val="hybridMultilevel"/>
    <w:lvl w:ilvl="0">
      <w:lvlJc w:val="left"/>
      <w:lvlText w:val="(%1)"/>
      <w:numFmt w:val="decimal"/>
      <w:start w:val="20"/>
    </w:lvl>
    <w:lvl w:ilvl="1">
      <w:lvlJc w:val="left"/>
      <w:lvlText w:val="%2."/>
      <w:numFmt w:val="upperLetter"/>
      <w:start w:val="2"/>
    </w:lvl>
  </w:abstractNum>
  <w:abstractNum w:abstractNumId="787">
    <w:nsid w:val="347B3FD3"/>
    <w:multiLevelType w:val="hybridMultilevel"/>
    <w:lvl w:ilvl="0">
      <w:lvlJc w:val="left"/>
      <w:lvlText w:val="%1."/>
      <w:numFmt w:val="upperLetter"/>
      <w:start w:val="22"/>
    </w:lvl>
    <w:lvl w:ilvl="1">
      <w:lvlJc w:val="left"/>
      <w:lvlText w:val="%2."/>
      <w:numFmt w:val="upperLetter"/>
      <w:start w:val="1"/>
    </w:lvl>
  </w:abstractNum>
  <w:abstractNum w:abstractNumId="788">
    <w:nsid w:val="D5AB751"/>
    <w:multiLevelType w:val="hybridMultilevel"/>
    <w:lvl w:ilvl="0">
      <w:lvlJc w:val="left"/>
      <w:lvlText w:val="(%1)"/>
      <w:numFmt w:val="lowerRoman"/>
      <w:start w:val="1"/>
    </w:lvl>
  </w:abstractNum>
  <w:abstractNum w:abstractNumId="789">
    <w:nsid w:val="F1EC427"/>
    <w:multiLevelType w:val="hybridMultilevel"/>
    <w:lvl w:ilvl="0">
      <w:lvlJc w:val="left"/>
      <w:lvlText w:val="(%1)"/>
      <w:numFmt w:val="decimal"/>
      <w:start w:val="6"/>
    </w:lvl>
  </w:abstractNum>
  <w:abstractNum w:abstractNumId="790">
    <w:nsid w:val="6C89B896"/>
    <w:multiLevelType w:val="hybridMultilevel"/>
    <w:lvl w:ilvl="0">
      <w:lvlJc w:val="left"/>
      <w:lvlText w:val="%1."/>
      <w:numFmt w:val="upperLetter"/>
      <w:start w:val="24"/>
    </w:lvl>
  </w:abstractNum>
  <w:abstractNum w:abstractNumId="791">
    <w:nsid w:val="7E1219C8"/>
    <w:multiLevelType w:val="hybridMultilevel"/>
    <w:lvl w:ilvl="0">
      <w:lvlJc w:val="left"/>
      <w:lvlText w:val="(%1)"/>
      <w:numFmt w:val="lowerLetter"/>
      <w:start w:val="1"/>
    </w:lvl>
  </w:abstractNum>
  <w:abstractNum w:abstractNumId="792">
    <w:nsid w:val="25F1C1C1"/>
    <w:multiLevelType w:val="hybridMultilevel"/>
    <w:lvl w:ilvl="0">
      <w:lvlJc w:val="left"/>
      <w:lvlText w:val="%1."/>
      <w:numFmt w:val="upperLetter"/>
      <w:start w:val="50"/>
    </w:lvl>
  </w:abstractNum>
  <w:abstractNum w:abstractNumId="793">
    <w:nsid w:val="743CE6FA"/>
    <w:multiLevelType w:val="hybridMultilevel"/>
    <w:lvl w:ilvl="0">
      <w:lvlJc w:val="left"/>
      <w:lvlText w:val="1"/>
      <w:numFmt w:val="bullet"/>
      <w:start w:val="1"/>
    </w:lvl>
  </w:abstractNum>
  <w:abstractNum w:abstractNumId="794">
    <w:nsid w:val="20530E7B"/>
    <w:multiLevelType w:val="hybridMultilevel"/>
    <w:lvl w:ilvl="0">
      <w:lvlJc w:val="left"/>
      <w:lvlText w:val="%1."/>
      <w:numFmt w:val="decimal"/>
      <w:start w:val="1"/>
    </w:lvl>
    <w:lvl w:ilvl="1">
      <w:lvlJc w:val="left"/>
      <w:lvlText w:val="%2."/>
      <w:numFmt w:val="lowerLetter"/>
      <w:start w:val="1"/>
    </w:lvl>
  </w:abstractNum>
  <w:abstractNum w:abstractNumId="795">
    <w:nsid w:val="144C9480"/>
    <w:multiLevelType w:val="hybridMultilevel"/>
    <w:lvl w:ilvl="0">
      <w:lvlJc w:val="left"/>
      <w:lvlText w:val="%1."/>
      <w:numFmt w:val="decimal"/>
      <w:start w:val="2"/>
    </w:lvl>
    <w:lvl w:ilvl="1">
      <w:lvlJc w:val="left"/>
      <w:lvlText w:val="%2."/>
      <w:numFmt w:val="lowerLetter"/>
      <w:start w:val="1"/>
    </w:lvl>
  </w:abstractNum>
  <w:abstractNum w:abstractNumId="796">
    <w:nsid w:val="1514A0AF"/>
    <w:multiLevelType w:val="hybridMultilevel"/>
    <w:lvl w:ilvl="0">
      <w:lvlJc w:val="left"/>
      <w:lvlText w:val="%1."/>
      <w:numFmt w:val="decimal"/>
      <w:start w:val="3"/>
    </w:lvl>
    <w:lvl w:ilvl="1">
      <w:lvlJc w:val="left"/>
      <w:lvlText w:val="%2"/>
      <w:numFmt w:val="lowerLetter"/>
      <w:start w:val="1"/>
    </w:lvl>
  </w:abstractNum>
  <w:abstractNum w:abstractNumId="797">
    <w:nsid w:val="55C3594C"/>
    <w:multiLevelType w:val="hybridMultilevel"/>
    <w:lvl w:ilvl="0">
      <w:lvlJc w:val="left"/>
      <w:lvlText w:val="%1."/>
      <w:numFmt w:val="decimal"/>
      <w:start w:val="4"/>
    </w:lvl>
    <w:lvl w:ilvl="1">
      <w:lvlJc w:val="left"/>
      <w:lvlText w:val="%2."/>
      <w:numFmt w:val="lowerLetter"/>
      <w:start w:val="1"/>
    </w:lvl>
  </w:abstractNum>
  <w:abstractNum w:abstractNumId="798">
    <w:nsid w:val="69DCF55B"/>
    <w:multiLevelType w:val="hybridMultilevel"/>
    <w:lvl w:ilvl="0">
      <w:lvlJc w:val="left"/>
      <w:lvlText w:val="%1."/>
      <w:numFmt w:val="decimal"/>
      <w:start w:val="6"/>
    </w:lvl>
  </w:abstractNum>
  <w:abstractNum w:abstractNumId="799">
    <w:nsid w:val="CFC2ACF"/>
    <w:multiLevelType w:val="hybridMultilevel"/>
    <w:lvl w:ilvl="0">
      <w:lvlJc w:val="left"/>
      <w:lvlText w:val="%1."/>
      <w:numFmt w:val="decimal"/>
      <w:start w:val="7"/>
    </w:lvl>
  </w:abstractNum>
  <w:abstractNum w:abstractNumId="800">
    <w:nsid w:val="28BA7A13"/>
    <w:multiLevelType w:val="hybridMultilevel"/>
    <w:lvl w:ilvl="0">
      <w:lvlJc w:val="left"/>
      <w:lvlText w:val="%1."/>
      <w:numFmt w:val="decimal"/>
      <w:start w:val="8"/>
    </w:lvl>
  </w:abstractNum>
  <w:abstractNum w:abstractNumId="801">
    <w:nsid w:val="28881591"/>
    <w:multiLevelType w:val="hybridMultilevel"/>
    <w:lvl w:ilvl="0">
      <w:lvlJc w:val="left"/>
      <w:lvlText w:val="%1."/>
      <w:numFmt w:val="decimal"/>
      <w:start w:val="9"/>
    </w:lvl>
  </w:abstractNum>
  <w:abstractNum w:abstractNumId="802">
    <w:nsid w:val="772B796C"/>
    <w:multiLevelType w:val="hybridMultilevel"/>
    <w:lvl w:ilvl="0">
      <w:lvlJc w:val="left"/>
      <w:lvlText w:val="%1."/>
      <w:numFmt w:val="decimal"/>
      <w:start w:val="10"/>
    </w:lvl>
  </w:abstractNum>
  <w:abstractNum w:abstractNumId="803">
    <w:nsid w:val="1E022BE9"/>
    <w:multiLevelType w:val="hybridMultilevel"/>
    <w:lvl w:ilvl="0">
      <w:lvlJc w:val="left"/>
      <w:lvlText w:val="%1."/>
      <w:numFmt w:val="decimal"/>
      <w:start w:val="11"/>
    </w:lvl>
  </w:abstractNum>
  <w:abstractNum w:abstractNumId="804">
    <w:nsid w:val="72C4649F"/>
    <w:multiLevelType w:val="hybridMultilevel"/>
    <w:lvl w:ilvl="0">
      <w:lvlJc w:val="left"/>
      <w:lvlText w:val="%1."/>
      <w:numFmt w:val="decimal"/>
      <w:start w:val="12"/>
    </w:lvl>
  </w:abstractNum>
  <w:abstractNum w:abstractNumId="805">
    <w:nsid w:val="7CD94321"/>
    <w:multiLevelType w:val="hybridMultilevel"/>
    <w:lvl w:ilvl="0">
      <w:lvlJc w:val="left"/>
      <w:lvlText w:val="%1."/>
      <w:numFmt w:val="decimal"/>
      <w:start w:val="13"/>
    </w:lvl>
  </w:abstractNum>
  <w:abstractNum w:abstractNumId="806">
    <w:nsid w:val="13B3BDBC"/>
    <w:multiLevelType w:val="hybridMultilevel"/>
    <w:lvl w:ilvl="0">
      <w:lvlJc w:val="left"/>
      <w:lvlText w:val="%1."/>
      <w:numFmt w:val="decimal"/>
      <w:start w:val="1"/>
    </w:lvl>
  </w:abstractNum>
  <w:abstractNum w:abstractNumId="807">
    <w:nsid w:val="4C488152"/>
    <w:multiLevelType w:val="hybridMultilevel"/>
    <w:lvl w:ilvl="0">
      <w:lvlJc w:val="left"/>
      <w:lvlText w:val="%1."/>
      <w:numFmt w:val="decimal"/>
      <w:start w:val="1"/>
    </w:lvl>
  </w:abstractNum>
  <w:abstractNum w:abstractNumId="808">
    <w:nsid w:val="153B9D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09">
    <w:nsid w:val="7D07B61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10">
    <w:nsid w:val="3A4BE92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11">
    <w:nsid w:val="1C7A2F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812">
    <w:nsid w:val="393B507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13">
    <w:nsid w:val="5F0E41DB"/>
    <w:multiLevelType w:val="hybridMultilevel"/>
    <w:lvl w:ilvl="0">
      <w:lvlJc w:val="left"/>
      <w:lvlText w:val="(%1)"/>
      <w:numFmt w:val="lowerLetter"/>
      <w:start w:val="3"/>
    </w:lvl>
  </w:abstractNum>
  <w:abstractNum w:abstractNumId="814">
    <w:nsid w:val="6C4DFAA4"/>
    <w:multiLevelType w:val="hybridMultilevel"/>
    <w:lvl w:ilvl="0">
      <w:lvlJc w:val="left"/>
      <w:lvlText w:val="%1."/>
      <w:numFmt w:val="decimal"/>
      <w:start w:val="7"/>
    </w:lvl>
    <w:lvl w:ilvl="1">
      <w:lvlJc w:val="left"/>
      <w:lvlText w:val="(%2)"/>
      <w:numFmt w:val="lowerLetter"/>
      <w:start w:val="1"/>
    </w:lvl>
  </w:abstractNum>
  <w:abstractNum w:abstractNumId="815">
    <w:nsid w:val="C7C501F"/>
    <w:multiLevelType w:val="hybridMultilevel"/>
    <w:lvl w:ilvl="0">
      <w:lvlJc w:val="left"/>
      <w:lvlText w:val="%1"/>
      <w:numFmt w:val="decimal"/>
      <w:start w:val="1"/>
    </w:lvl>
    <w:lvl w:ilvl="1">
      <w:lvlJc w:val="left"/>
      <w:lvlText w:val="(%2)"/>
      <w:numFmt w:val="lowerLetter"/>
      <w:start w:val="2"/>
    </w:lvl>
  </w:abstractNum>
  <w:abstractNum w:abstractNumId="816">
    <w:nsid w:val="7244B239"/>
    <w:multiLevelType w:val="hybridMultilevel"/>
    <w:lvl w:ilvl="0">
      <w:lvlJc w:val="left"/>
      <w:lvlText w:val="%1."/>
      <w:numFmt w:val="decimal"/>
      <w:start w:val="10"/>
    </w:lvl>
    <w:lvl w:ilvl="1">
      <w:lvlJc w:val="left"/>
      <w:lvlText w:val="%2"/>
      <w:numFmt w:val="lowerLetter"/>
      <w:start w:val="1"/>
    </w:lvl>
  </w:abstractNum>
  <w:abstractNum w:abstractNumId="817">
    <w:nsid w:val="50B1BE08"/>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18">
    <w:nsid w:val="40F78FF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19">
    <w:nsid w:val="7F9F698A"/>
    <w:multiLevelType w:val="hybridMultilevel"/>
    <w:lvl w:ilvl="0">
      <w:lvlJc w:val="left"/>
      <w:lvlText w:val="(%1)"/>
      <w:numFmt w:val="lowerLetter"/>
      <w:start w:val="2"/>
    </w:lvl>
  </w:abstractNum>
  <w:abstractNum w:abstractNumId="820">
    <w:nsid w:val="5FD0822F"/>
    <w:multiLevelType w:val="hybridMultilevel"/>
    <w:lvl w:ilvl="0">
      <w:lvlJc w:val="left"/>
      <w:lvlText w:val="(%1)"/>
      <w:numFmt w:val="lowerLetter"/>
      <w:start w:val="3"/>
    </w:lvl>
  </w:abstractNum>
  <w:abstractNum w:abstractNumId="821">
    <w:nsid w:val="2D814889"/>
    <w:multiLevelType w:val="hybridMultilevel"/>
    <w:lvl w:ilvl="0">
      <w:lvlJc w:val="left"/>
      <w:lvlText w:val="%1."/>
      <w:numFmt w:val="decimal"/>
      <w:start w:val="1"/>
    </w:lvl>
  </w:abstractNum>
  <w:abstractNum w:abstractNumId="822">
    <w:nsid w:val="7DB1835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23">
    <w:nsid w:val="5C243F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24">
    <w:nsid w:val="21BE2F8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25">
    <w:nsid w:val="1E0491C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826">
    <w:nsid w:val="1A0ED87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27">
    <w:nsid w:val="36D2D033"/>
    <w:multiLevelType w:val="hybridMultilevel"/>
    <w:lvl w:ilvl="0">
      <w:lvlJc w:val="left"/>
      <w:lvlText w:val="(%1)"/>
      <w:numFmt w:val="lowerLetter"/>
      <w:start w:val="3"/>
    </w:lvl>
  </w:abstractNum>
  <w:abstractNum w:abstractNumId="828">
    <w:nsid w:val="73C7EB1A"/>
    <w:multiLevelType w:val="hybridMultilevel"/>
    <w:lvl w:ilvl="0">
      <w:lvlJc w:val="left"/>
      <w:lvlText w:val="%1."/>
      <w:numFmt w:val="decimal"/>
      <w:start w:val="7"/>
    </w:lvl>
    <w:lvl w:ilvl="1">
      <w:lvlJc w:val="left"/>
      <w:lvlText w:val="(%2)"/>
      <w:numFmt w:val="lowerLetter"/>
      <w:start w:val="1"/>
    </w:lvl>
  </w:abstractNum>
  <w:abstractNum w:abstractNumId="829">
    <w:nsid w:val="3EBCDCC"/>
    <w:multiLevelType w:val="hybridMultilevel"/>
    <w:lvl w:ilvl="0">
      <w:lvlJc w:val="left"/>
      <w:lvlText w:val="%1"/>
      <w:numFmt w:val="decimal"/>
      <w:start w:val="1"/>
    </w:lvl>
    <w:lvl w:ilvl="1">
      <w:lvlJc w:val="left"/>
      <w:lvlText w:val="(%2)"/>
      <w:numFmt w:val="lowerLetter"/>
      <w:start w:val="2"/>
    </w:lvl>
  </w:abstractNum>
  <w:abstractNum w:abstractNumId="830">
    <w:nsid w:val="43CEFB03"/>
    <w:multiLevelType w:val="hybridMultilevel"/>
    <w:lvl w:ilvl="0">
      <w:lvlJc w:val="left"/>
      <w:lvlText w:val="%1."/>
      <w:numFmt w:val="decimal"/>
      <w:start w:val="10"/>
    </w:lvl>
    <w:lvl w:ilvl="1">
      <w:lvlJc w:val="left"/>
      <w:lvlText w:val="%2"/>
      <w:numFmt w:val="lowerLetter"/>
      <w:start w:val="1"/>
    </w:lvl>
  </w:abstractNum>
  <w:abstractNum w:abstractNumId="831">
    <w:nsid w:val="1C82652D"/>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32">
    <w:nsid w:val="2C73E35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33">
    <w:nsid w:val="3AFA746F"/>
    <w:multiLevelType w:val="hybridMultilevel"/>
    <w:lvl w:ilvl="0">
      <w:lvlJc w:val="left"/>
      <w:lvlText w:val="(%1)"/>
      <w:numFmt w:val="lowerLetter"/>
      <w:start w:val="2"/>
    </w:lvl>
  </w:abstractNum>
  <w:abstractNum w:abstractNumId="834">
    <w:nsid w:val="3A849116"/>
    <w:multiLevelType w:val="hybridMultilevel"/>
    <w:lvl w:ilvl="0">
      <w:lvlJc w:val="left"/>
      <w:lvlText w:val="(%1)"/>
      <w:numFmt w:val="lowerLetter"/>
      <w:start w:val="3"/>
    </w:lvl>
  </w:abstractNum>
  <w:abstractNum w:abstractNumId="835">
    <w:nsid w:val="1F3847FC"/>
    <w:multiLevelType w:val="hybridMultilevel"/>
    <w:lvl w:ilvl="0">
      <w:lvlJc w:val="left"/>
      <w:lvlText w:val="%1."/>
      <w:numFmt w:val="decimal"/>
      <w:start w:val="1"/>
    </w:lvl>
  </w:abstractNum>
  <w:abstractNum w:abstractNumId="836">
    <w:nsid w:val="37D3B79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37">
    <w:nsid w:val="4E384ED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38">
    <w:nsid w:val="6B80C94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39">
    <w:nsid w:val="4D0F54A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840">
    <w:nsid w:val="4B4004E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41">
    <w:nsid w:val="25CCB279"/>
    <w:multiLevelType w:val="hybridMultilevel"/>
    <w:lvl w:ilvl="0">
      <w:lvlJc w:val="left"/>
      <w:lvlText w:val="(%1)"/>
      <w:numFmt w:val="lowerLetter"/>
      <w:start w:val="3"/>
    </w:lvl>
  </w:abstractNum>
  <w:abstractNum w:abstractNumId="842">
    <w:nsid w:val="4ED6F798"/>
    <w:multiLevelType w:val="hybridMultilevel"/>
    <w:lvl w:ilvl="0">
      <w:lvlJc w:val="left"/>
      <w:lvlText w:val="%1."/>
      <w:numFmt w:val="decimal"/>
      <w:start w:val="7"/>
    </w:lvl>
    <w:lvl w:ilvl="1">
      <w:lvlJc w:val="left"/>
      <w:lvlText w:val="(%2)"/>
      <w:numFmt w:val="lowerLetter"/>
      <w:start w:val="1"/>
    </w:lvl>
  </w:abstractNum>
  <w:abstractNum w:abstractNumId="843">
    <w:nsid w:val="47B5565"/>
    <w:multiLevelType w:val="hybridMultilevel"/>
    <w:lvl w:ilvl="0">
      <w:lvlJc w:val="left"/>
      <w:lvlText w:val="%1"/>
      <w:numFmt w:val="decimal"/>
      <w:start w:val="1"/>
    </w:lvl>
    <w:lvl w:ilvl="1">
      <w:lvlJc w:val="left"/>
      <w:lvlText w:val="(%2)"/>
      <w:numFmt w:val="lowerLetter"/>
      <w:start w:val="2"/>
    </w:lvl>
  </w:abstractNum>
  <w:abstractNum w:abstractNumId="844">
    <w:nsid w:val="4DAF454"/>
    <w:multiLevelType w:val="hybridMultilevel"/>
    <w:lvl w:ilvl="0">
      <w:lvlJc w:val="left"/>
      <w:lvlText w:val="%1."/>
      <w:numFmt w:val="decimal"/>
      <w:start w:val="10"/>
    </w:lvl>
    <w:lvl w:ilvl="1">
      <w:lvlJc w:val="left"/>
      <w:lvlText w:val="%2"/>
      <w:numFmt w:val="lowerLetter"/>
      <w:start w:val="1"/>
    </w:lvl>
  </w:abstractNum>
  <w:abstractNum w:abstractNumId="845">
    <w:nsid w:val="3B24F23C"/>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46">
    <w:nsid w:val="10F7A58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47">
    <w:nsid w:val="771FA68D"/>
    <w:multiLevelType w:val="hybridMultilevel"/>
    <w:lvl w:ilvl="0">
      <w:lvlJc w:val="left"/>
      <w:lvlText w:val="(%1)"/>
      <w:numFmt w:val="lowerLetter"/>
      <w:start w:val="2"/>
    </w:lvl>
  </w:abstractNum>
  <w:abstractNum w:abstractNumId="848">
    <w:nsid w:val="BD6B044"/>
    <w:multiLevelType w:val="hybridMultilevel"/>
    <w:lvl w:ilvl="0">
      <w:lvlJc w:val="left"/>
      <w:lvlText w:val="(%1)"/>
      <w:numFmt w:val="lowerLetter"/>
      <w:start w:val="3"/>
    </w:lvl>
  </w:abstractNum>
  <w:abstractNum w:abstractNumId="849">
    <w:nsid w:val="51EF3577"/>
    <w:multiLevelType w:val="hybridMultilevel"/>
    <w:lvl w:ilvl="0">
      <w:lvlJc w:val="left"/>
      <w:lvlText w:val="%1."/>
      <w:numFmt w:val="decimal"/>
      <w:start w:val="1"/>
    </w:lvl>
  </w:abstractNum>
  <w:abstractNum w:abstractNumId="850">
    <w:nsid w:val="76BF10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51">
    <w:nsid w:val="6BA7327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52">
    <w:nsid w:val="7F707E0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53">
    <w:nsid w:val="7470936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854">
    <w:nsid w:val="7169766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55">
    <w:nsid w:val="212EAD85"/>
    <w:multiLevelType w:val="hybridMultilevel"/>
    <w:lvl w:ilvl="0">
      <w:lvlJc w:val="left"/>
      <w:lvlText w:val="(%1)"/>
      <w:numFmt w:val="lowerLetter"/>
      <w:start w:val="3"/>
    </w:lvl>
  </w:abstractNum>
  <w:abstractNum w:abstractNumId="856">
    <w:nsid w:val="12752537"/>
    <w:multiLevelType w:val="hybridMultilevel"/>
    <w:lvl w:ilvl="0">
      <w:lvlJc w:val="left"/>
      <w:lvlText w:val="%1."/>
      <w:numFmt w:val="decimal"/>
      <w:start w:val="7"/>
    </w:lvl>
    <w:lvl w:ilvl="1">
      <w:lvlJc w:val="left"/>
      <w:lvlText w:val="(%2)"/>
      <w:numFmt w:val="lowerLetter"/>
      <w:start w:val="1"/>
    </w:lvl>
  </w:abstractNum>
  <w:abstractNum w:abstractNumId="857">
    <w:nsid w:val="B784ED6"/>
    <w:multiLevelType w:val="hybridMultilevel"/>
    <w:lvl w:ilvl="0">
      <w:lvlJc w:val="left"/>
      <w:lvlText w:val="%1"/>
      <w:numFmt w:val="decimal"/>
      <w:start w:val="1"/>
    </w:lvl>
    <w:lvl w:ilvl="1">
      <w:lvlJc w:val="left"/>
      <w:lvlText w:val="(%2)"/>
      <w:numFmt w:val="lowerLetter"/>
      <w:start w:val="2"/>
    </w:lvl>
  </w:abstractNum>
  <w:abstractNum w:abstractNumId="858">
    <w:nsid w:val="58017DB8"/>
    <w:multiLevelType w:val="hybridMultilevel"/>
    <w:lvl w:ilvl="0">
      <w:lvlJc w:val="left"/>
      <w:lvlText w:val="%1."/>
      <w:numFmt w:val="decimal"/>
      <w:start w:val="10"/>
    </w:lvl>
    <w:lvl w:ilvl="1">
      <w:lvlJc w:val="left"/>
      <w:lvlText w:val="%2"/>
      <w:numFmt w:val="lowerLetter"/>
      <w:start w:val="1"/>
    </w:lvl>
  </w:abstractNum>
  <w:abstractNum w:abstractNumId="859">
    <w:nsid w:val="63D1051"/>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60">
    <w:nsid w:val="F641CA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61">
    <w:nsid w:val="1BD078BB"/>
    <w:multiLevelType w:val="hybridMultilevel"/>
    <w:lvl w:ilvl="0">
      <w:lvlJc w:val="left"/>
      <w:lvlText w:val="(%1)"/>
      <w:numFmt w:val="lowerLetter"/>
      <w:start w:val="2"/>
    </w:lvl>
  </w:abstractNum>
  <w:abstractNum w:abstractNumId="862">
    <w:nsid w:val="22BF757E"/>
    <w:multiLevelType w:val="hybridMultilevel"/>
    <w:lvl w:ilvl="0">
      <w:lvlJc w:val="left"/>
      <w:lvlText w:val="(%1)"/>
      <w:numFmt w:val="lowerLetter"/>
      <w:start w:val="3"/>
    </w:lvl>
  </w:abstractNum>
  <w:abstractNum w:abstractNumId="863">
    <w:nsid w:val="3BD80000"/>
    <w:multiLevelType w:val="hybridMultilevel"/>
    <w:lvl w:ilvl="0">
      <w:lvlJc w:val="left"/>
      <w:lvlText w:val="%1."/>
      <w:numFmt w:val="decimal"/>
      <w:start w:val="1"/>
    </w:lvl>
  </w:abstractNum>
  <w:abstractNum w:abstractNumId="864">
    <w:nsid w:val="56CAED2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65">
    <w:nsid w:val="5D44069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66">
    <w:nsid w:val="5B1047FC"/>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867">
    <w:nsid w:val="E9EA4B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868">
    <w:nsid w:val="2B7C556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869">
    <w:nsid w:val="4691114B"/>
    <w:multiLevelType w:val="hybridMultilevel"/>
    <w:lvl w:ilvl="0">
      <w:lvlJc w:val="left"/>
      <w:lvlText w:val="(%1)"/>
      <w:numFmt w:val="lowerLetter"/>
      <w:start w:val="3"/>
    </w:lvl>
  </w:abstractNum>
  <w:abstractNum w:abstractNumId="870">
    <w:nsid w:val="5BADF95F"/>
    <w:multiLevelType w:val="hybridMultilevel"/>
    <w:lvl w:ilvl="0">
      <w:lvlJc w:val="left"/>
      <w:lvlText w:val="%1."/>
      <w:numFmt w:val="decimal"/>
      <w:start w:val="7"/>
    </w:lvl>
    <w:lvl w:ilvl="1">
      <w:lvlJc w:val="left"/>
      <w:lvlText w:val="(%2)"/>
      <w:numFmt w:val="lowerLetter"/>
      <w:start w:val="1"/>
    </w:lvl>
  </w:abstractNum>
  <w:abstractNum w:abstractNumId="871">
    <w:nsid w:val="76BC5A56"/>
    <w:multiLevelType w:val="hybridMultilevel"/>
    <w:lvl w:ilvl="0">
      <w:lvlJc w:val="left"/>
      <w:lvlText w:val="%1"/>
      <w:numFmt w:val="decimal"/>
      <w:start w:val="1"/>
    </w:lvl>
    <w:lvl w:ilvl="1">
      <w:lvlJc w:val="left"/>
      <w:lvlText w:val="(%2)"/>
      <w:numFmt w:val="lowerLetter"/>
      <w:start w:val="2"/>
    </w:lvl>
  </w:abstractNum>
  <w:abstractNum w:abstractNumId="872">
    <w:nsid w:val="6C5DC3C4"/>
    <w:multiLevelType w:val="hybridMultilevel"/>
    <w:lvl w:ilvl="0">
      <w:lvlJc w:val="left"/>
      <w:lvlText w:val="%1."/>
      <w:numFmt w:val="decimal"/>
      <w:start w:val="10"/>
    </w:lvl>
    <w:lvl w:ilvl="1">
      <w:lvlJc w:val="left"/>
      <w:lvlText w:val="%2"/>
      <w:numFmt w:val="lowerLetter"/>
      <w:start w:val="1"/>
    </w:lvl>
  </w:abstractNum>
  <w:abstractNum w:abstractNumId="873">
    <w:nsid w:val="2A84F0F7"/>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874">
    <w:nsid w:val="7B37AFB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875">
    <w:nsid w:val="7138B819"/>
    <w:multiLevelType w:val="hybridMultilevel"/>
    <w:lvl w:ilvl="0">
      <w:lvlJc w:val="left"/>
      <w:lvlText w:val="(%1)"/>
      <w:numFmt w:val="lowerLetter"/>
      <w:start w:val="2"/>
    </w:lvl>
  </w:abstractNum>
  <w:abstractNum w:abstractNumId="876">
    <w:nsid w:val="65A9E33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jpe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jpe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jpeg"/><Relationship Id="rId807" Type="http://schemas.openxmlformats.org/officeDocument/2006/relationships/image" Target="media/image800.pn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jpe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2019-12-07T19:11:12Z</dcterms:created>
  <dcterms:modified xsi:type="dcterms:W3CDTF">2019-12-07T19:11:12Z</dcterms:modified>
</cp:coreProperties>
</file>