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RAAB MICHAEL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05/20/2022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65"/>
        <w:spacing w:after="0"/>
        <w:rPr>
          <w:sz w:val="20"/>
          <w:szCs w:val="20"/>
          <w:color w:val="auto"/>
        </w:rPr>
      </w:pPr>
      <w:r>
        <w:rPr>
          <w:rFonts w:ascii="Arial" w:cs="Arial" w:eastAsia="Arial" w:hAnsi="Arial"/>
          <w:sz w:val="17"/>
          <w:szCs w:val="17"/>
          <w:color w:val="0000FF"/>
        </w:rPr>
        <w:t>President &amp; CEO</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WALTHAM</w:t>
            </w:r>
          </w:p>
        </w:tc>
        <w:tc>
          <w:tcPr>
            <w:tcW w:w="1000" w:type="dxa"/>
            <w:vAlign w:val="bottom"/>
          </w:tcPr>
          <w:p>
            <w:pPr>
              <w:ind w:left="1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05/20/2022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6,124</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0.6714</w:t>
            </w:r>
          </w:p>
        </w:tc>
        <w:tc>
          <w:tcPr>
            <w:tcW w:w="1200" w:type="dxa"/>
            <w:vAlign w:val="bottom"/>
            <w:tcBorders>
              <w:bottom w:val="single" w:sz="8" w:color="2C2C2C"/>
            </w:tcBorders>
            <w:gridSpan w:val="2"/>
          </w:tcPr>
          <w:p>
            <w:pPr>
              <w:jc w:val="center"/>
              <w:ind w:right="197"/>
              <w:spacing w:after="0"/>
              <w:rPr>
                <w:sz w:val="20"/>
                <w:szCs w:val="20"/>
                <w:color w:val="auto"/>
              </w:rPr>
            </w:pPr>
            <w:r>
              <w:rPr>
                <w:rFonts w:ascii="Arial" w:cs="Arial" w:eastAsia="Arial" w:hAnsi="Arial"/>
                <w:sz w:val="17"/>
                <w:szCs w:val="17"/>
                <w:color w:val="0000FF"/>
              </w:rPr>
              <w:t>772,450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right"/>
              <w:ind w:right="337"/>
              <w:spacing w:after="0"/>
              <w:rPr>
                <w:sz w:val="20"/>
                <w:szCs w:val="20"/>
                <w:color w:val="auto"/>
              </w:rPr>
            </w:pPr>
            <w:r>
              <w:rPr>
                <w:rFonts w:ascii="Arial" w:cs="Arial" w:eastAsia="Arial" w:hAnsi="Arial"/>
                <w:sz w:val="17"/>
                <w:szCs w:val="17"/>
                <w:color w:val="0000FF"/>
              </w:rPr>
              <w:t>24,364</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vMerge w:val="restart"/>
          </w:tcPr>
          <w:p>
            <w:pPr>
              <w:jc w:val="right"/>
              <w:ind w:right="377"/>
              <w:spacing w:after="0"/>
              <w:rPr>
                <w:sz w:val="20"/>
                <w:szCs w:val="20"/>
                <w:color w:val="auto"/>
              </w:rPr>
            </w:pPr>
            <w:r>
              <w:rPr>
                <w:rFonts w:ascii="Arial" w:cs="Arial" w:eastAsia="Arial" w:hAnsi="Arial"/>
                <w:sz w:val="17"/>
                <w:szCs w:val="17"/>
                <w:color w:val="0000FF"/>
                <w:w w:val="84"/>
              </w:rPr>
              <w:t>1,000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the adjusted total which includes the purchase of 3,000 shares under the Ardelyx Employee Stock Purchase Plan on February 28, 2022.</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Michael G. Raab, Trustee of the Michael G. Raab Living Trust dated July 25, 2012.</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owned directly by trusts for the benefit of the Reporting Person's children.</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Michael</w:t>
      </w:r>
      <w:r>
        <w:rPr>
          <w:sz w:val="20"/>
          <w:szCs w:val="20"/>
          <w:color w:val="auto"/>
        </w:rPr>
        <w:tab/>
      </w:r>
      <w:r>
        <w:rPr>
          <w:rFonts w:ascii="Arial" w:cs="Arial" w:eastAsia="Arial" w:hAnsi="Arial"/>
          <w:sz w:val="15"/>
          <w:szCs w:val="15"/>
          <w:color w:val="0000FF"/>
        </w:rPr>
        <w:t>05/23/2022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2140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2022-05-23T15:41:45Z</dcterms:created>
  <dcterms:modified xsi:type="dcterms:W3CDTF">2022-05-23T15:41:45Z</dcterms:modified>
</cp:coreProperties>
</file>