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860425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886460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1075055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153035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1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October 31,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3253740</wp:posOffset>
            </wp:positionH>
            <wp:positionV relativeFrom="paragraph">
              <wp:posOffset>276860</wp:posOffset>
            </wp:positionV>
            <wp:extent cx="643255" cy="643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3255" cy="643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ARDELYX, INC.</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tbl>
      <w:tblPr>
        <w:tblLayout w:type="fixed"/>
        <w:tblInd w:w="0" w:type="dxa"/>
        <w:tblCellMar>
          <w:top w:w="0" w:type="dxa"/>
          <w:left w:w="0" w:type="dxa"/>
          <w:bottom w:w="0" w:type="dxa"/>
          <w:right w:w="0" w:type="dxa"/>
        </w:tblCellMar>
      </w:tblPr>
      <w:tr>
        <w:trPr>
          <w:trHeight w:val="227"/>
        </w:trPr>
        <w:tc>
          <w:tcPr>
            <w:tcW w:w="2800" w:type="dxa"/>
            <w:vAlign w:val="bottom"/>
          </w:tcPr>
          <w:p>
            <w:pPr>
              <w:jc w:val="center"/>
              <w:ind w:left="862"/>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5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001-36485</w:t>
            </w:r>
          </w:p>
        </w:tc>
        <w:tc>
          <w:tcPr>
            <w:tcW w:w="2740" w:type="dxa"/>
            <w:vAlign w:val="bottom"/>
          </w:tcPr>
          <w:p>
            <w:pPr>
              <w:jc w:val="center"/>
              <w:ind w:right="942"/>
              <w:spacing w:after="0"/>
              <w:rPr>
                <w:sz w:val="20"/>
                <w:szCs w:val="20"/>
                <w:color w:val="auto"/>
              </w:rPr>
            </w:pPr>
            <w:r>
              <w:rPr>
                <w:rFonts w:ascii="Times New Roman" w:cs="Times New Roman" w:eastAsia="Times New Roman" w:hAnsi="Times New Roman"/>
                <w:sz w:val="18"/>
                <w:szCs w:val="18"/>
                <w:b w:val="1"/>
                <w:bCs w:val="1"/>
                <w:color w:val="auto"/>
              </w:rPr>
              <w:t>26-1303944</w:t>
            </w:r>
          </w:p>
        </w:tc>
      </w:tr>
      <w:tr>
        <w:trPr>
          <w:trHeight w:val="148"/>
        </w:trPr>
        <w:tc>
          <w:tcPr>
            <w:tcW w:w="2800" w:type="dxa"/>
            <w:vAlign w:val="bottom"/>
          </w:tcPr>
          <w:p>
            <w:pPr>
              <w:jc w:val="center"/>
              <w:ind w:left="882"/>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5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740" w:type="dxa"/>
            <w:vAlign w:val="bottom"/>
          </w:tcPr>
          <w:p>
            <w:pPr>
              <w:jc w:val="center"/>
              <w:ind w:right="942"/>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800" w:type="dxa"/>
            <w:vAlign w:val="bottom"/>
          </w:tcPr>
          <w:p>
            <w:pPr>
              <w:jc w:val="center"/>
              <w:ind w:left="862"/>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5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740" w:type="dxa"/>
            <w:vAlign w:val="bottom"/>
          </w:tcPr>
          <w:p>
            <w:pPr>
              <w:jc w:val="center"/>
              <w:ind w:right="922"/>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r>
      <w:tr>
        <w:trPr>
          <w:trHeight w:val="404"/>
        </w:trPr>
        <w:tc>
          <w:tcPr>
            <w:tcW w:w="2800" w:type="dxa"/>
            <w:vAlign w:val="bottom"/>
          </w:tcPr>
          <w:p>
            <w:pPr>
              <w:spacing w:after="0"/>
              <w:rPr>
                <w:sz w:val="24"/>
                <w:szCs w:val="24"/>
                <w:color w:val="auto"/>
              </w:rPr>
            </w:pPr>
          </w:p>
        </w:tc>
        <w:tc>
          <w:tcPr>
            <w:tcW w:w="5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400 FIFTH AVE., SUITE 210, WALTHAM, MASSACHUSETTS 02451</w:t>
            </w:r>
          </w:p>
        </w:tc>
        <w:tc>
          <w:tcPr>
            <w:tcW w:w="2740" w:type="dxa"/>
            <w:vAlign w:val="bottom"/>
          </w:tcPr>
          <w:p>
            <w:pPr>
              <w:spacing w:after="0"/>
              <w:rPr>
                <w:sz w:val="24"/>
                <w:szCs w:val="24"/>
                <w:color w:val="auto"/>
              </w:rPr>
            </w:pPr>
          </w:p>
        </w:tc>
      </w:tr>
      <w:tr>
        <w:trPr>
          <w:trHeight w:val="190"/>
        </w:trPr>
        <w:tc>
          <w:tcPr>
            <w:tcW w:w="2800" w:type="dxa"/>
            <w:vAlign w:val="bottom"/>
          </w:tcPr>
          <w:p>
            <w:pPr>
              <w:spacing w:after="0"/>
              <w:rPr>
                <w:sz w:val="16"/>
                <w:szCs w:val="16"/>
                <w:color w:val="auto"/>
              </w:rPr>
            </w:pPr>
          </w:p>
        </w:tc>
        <w:tc>
          <w:tcPr>
            <w:tcW w:w="5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tc>
        <w:tc>
          <w:tcPr>
            <w:tcW w:w="2740" w:type="dxa"/>
            <w:vAlign w:val="bottom"/>
          </w:tcPr>
          <w:p>
            <w:pPr>
              <w:spacing w:after="0"/>
              <w:rPr>
                <w:sz w:val="16"/>
                <w:szCs w:val="16"/>
                <w:color w:val="auto"/>
              </w:rPr>
            </w:pPr>
          </w:p>
        </w:tc>
      </w:tr>
      <w:tr>
        <w:trPr>
          <w:trHeight w:val="374"/>
        </w:trPr>
        <w:tc>
          <w:tcPr>
            <w:tcW w:w="2800" w:type="dxa"/>
            <w:vAlign w:val="bottom"/>
          </w:tcPr>
          <w:p>
            <w:pPr>
              <w:spacing w:after="0"/>
              <w:rPr>
                <w:sz w:val="24"/>
                <w:szCs w:val="24"/>
                <w:color w:val="auto"/>
              </w:rPr>
            </w:pPr>
          </w:p>
        </w:tc>
        <w:tc>
          <w:tcPr>
            <w:tcW w:w="5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(510) 745-1700</w:t>
            </w:r>
          </w:p>
        </w:tc>
        <w:tc>
          <w:tcPr>
            <w:tcW w:w="2740" w:type="dxa"/>
            <w:vAlign w:val="bottom"/>
          </w:tcPr>
          <w:p>
            <w:pPr>
              <w:spacing w:after="0"/>
              <w:rPr>
                <w:sz w:val="24"/>
                <w:szCs w:val="24"/>
                <w:color w:val="auto"/>
              </w:rPr>
            </w:pPr>
          </w:p>
        </w:tc>
      </w:tr>
      <w:tr>
        <w:trPr>
          <w:trHeight w:val="189"/>
        </w:trPr>
        <w:tc>
          <w:tcPr>
            <w:tcW w:w="2800" w:type="dxa"/>
            <w:vAlign w:val="bottom"/>
            <w:tcBorders>
              <w:bottom w:val="single" w:sz="8" w:color="auto"/>
            </w:tcBorders>
          </w:tcPr>
          <w:p>
            <w:pPr>
              <w:spacing w:after="0"/>
              <w:rPr>
                <w:sz w:val="16"/>
                <w:szCs w:val="16"/>
                <w:color w:val="auto"/>
              </w:rPr>
            </w:pPr>
          </w:p>
        </w:tc>
        <w:tc>
          <w:tcPr>
            <w:tcW w:w="570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tcPr>
          <w:p>
            <w:pPr>
              <w:spacing w:after="0"/>
              <w:rPr>
                <w:sz w:val="16"/>
                <w:szCs w:val="16"/>
                <w:color w:val="auto"/>
              </w:rPr>
            </w:pPr>
          </w:p>
        </w:tc>
      </w:tr>
    </w:tbl>
    <w:p>
      <w:pPr>
        <w:spacing w:after="0" w:line="21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194" w:lineRule="exact"/>
        <w:rPr>
          <w:sz w:val="24"/>
          <w:szCs w:val="24"/>
          <w:color w:val="auto"/>
        </w:rPr>
      </w:pPr>
    </w:p>
    <w:p>
      <w:pPr>
        <w:ind w:left="420" w:hanging="394"/>
        <w:spacing w:after="0"/>
        <w:tabs>
          <w:tab w:leader="none" w:pos="420"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50" w:lineRule="exact"/>
        <w:rPr>
          <w:rFonts w:ascii="MS PGothic" w:cs="MS PGothic" w:eastAsia="MS PGothic" w:hAnsi="MS PGothic"/>
          <w:sz w:val="16"/>
          <w:szCs w:val="16"/>
          <w:color w:val="auto"/>
          <w:highlight w:val="black"/>
        </w:rPr>
      </w:pPr>
    </w:p>
    <w:p>
      <w:pPr>
        <w:ind w:left="420" w:hanging="394"/>
        <w:spacing w:after="0"/>
        <w:tabs>
          <w:tab w:leader="none" w:pos="420"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32" w:lineRule="exact"/>
        <w:rPr>
          <w:rFonts w:ascii="MS PGothic" w:cs="MS PGothic" w:eastAsia="MS PGothic" w:hAnsi="MS PGothic"/>
          <w:sz w:val="16"/>
          <w:szCs w:val="16"/>
          <w:color w:val="auto"/>
          <w:highlight w:val="black"/>
        </w:rPr>
      </w:pPr>
    </w:p>
    <w:p>
      <w:pPr>
        <w:ind w:left="420" w:hanging="394"/>
        <w:spacing w:after="0"/>
        <w:tabs>
          <w:tab w:leader="none" w:pos="420"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32" w:lineRule="exact"/>
        <w:rPr>
          <w:rFonts w:ascii="MS PGothic" w:cs="MS PGothic" w:eastAsia="MS PGothic" w:hAnsi="MS PGothic"/>
          <w:sz w:val="16"/>
          <w:szCs w:val="16"/>
          <w:color w:val="auto"/>
          <w:highlight w:val="black"/>
        </w:rPr>
      </w:pPr>
    </w:p>
    <w:p>
      <w:pPr>
        <w:ind w:left="420" w:hanging="394"/>
        <w:spacing w:after="0"/>
        <w:tabs>
          <w:tab w:leader="none" w:pos="420"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163"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4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3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920" w:type="dxa"/>
            <w:vAlign w:val="bottom"/>
          </w:tcPr>
          <w:p>
            <w:pPr>
              <w:spacing w:after="0"/>
              <w:rPr>
                <w:sz w:val="18"/>
                <w:szCs w:val="18"/>
                <w:color w:val="auto"/>
              </w:rPr>
            </w:pPr>
          </w:p>
        </w:tc>
      </w:tr>
      <w:tr>
        <w:trPr>
          <w:trHeight w:val="340"/>
        </w:trPr>
        <w:tc>
          <w:tcPr>
            <w:tcW w:w="40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32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Trading Symbol(s)</w:t>
            </w:r>
          </w:p>
        </w:tc>
        <w:tc>
          <w:tcPr>
            <w:tcW w:w="39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7"/>
        </w:trPr>
        <w:tc>
          <w:tcPr>
            <w:tcW w:w="39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Common Stock, par value $0.0001</w:t>
            </w:r>
          </w:p>
        </w:tc>
        <w:tc>
          <w:tcPr>
            <w:tcW w:w="140" w:type="dxa"/>
            <w:vAlign w:val="bottom"/>
          </w:tcPr>
          <w:p>
            <w:pPr>
              <w:spacing w:after="0"/>
              <w:rPr>
                <w:sz w:val="17"/>
                <w:szCs w:val="17"/>
                <w:color w:val="auto"/>
              </w:rPr>
            </w:pPr>
          </w:p>
        </w:tc>
        <w:tc>
          <w:tcPr>
            <w:tcW w:w="3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ARDX</w:t>
            </w:r>
          </w:p>
        </w:tc>
        <w:tc>
          <w:tcPr>
            <w:tcW w:w="140" w:type="dxa"/>
            <w:vAlign w:val="bottom"/>
          </w:tcPr>
          <w:p>
            <w:pPr>
              <w:spacing w:after="0"/>
              <w:rPr>
                <w:sz w:val="17"/>
                <w:szCs w:val="17"/>
                <w:color w:val="auto"/>
              </w:rPr>
            </w:pPr>
          </w:p>
        </w:tc>
        <w:tc>
          <w:tcPr>
            <w:tcW w:w="39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The Nasdaq Global Market</w:t>
            </w:r>
          </w:p>
        </w:tc>
      </w:tr>
    </w:tbl>
    <w:p>
      <w:pPr>
        <w:spacing w:after="0" w:line="194" w:lineRule="exact"/>
        <w:rPr>
          <w:sz w:val="24"/>
          <w:szCs w:val="24"/>
          <w:color w:val="auto"/>
        </w:rPr>
      </w:pPr>
    </w:p>
    <w:p>
      <w:pPr>
        <w:ind w:right="60"/>
        <w:spacing w:after="0" w:line="280"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61"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highlight w:val="black"/>
        </w:rPr>
        <w:t>☐</w:t>
      </w:r>
    </w:p>
    <w:p>
      <w:pPr>
        <w:spacing w:after="0" w:line="190" w:lineRule="exact"/>
        <w:rPr>
          <w:sz w:val="24"/>
          <w:szCs w:val="24"/>
          <w:color w:val="auto"/>
        </w:rPr>
      </w:pPr>
    </w:p>
    <w:p>
      <w:pPr>
        <w:ind w:right="580"/>
        <w:spacing w:after="0" w:line="298" w:lineRule="auto"/>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6"/>
          <w:szCs w:val="16"/>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871855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215900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241300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56"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On October 31, 2024, Ardelyx, Inc. (the “Company”) announced its financial results for the quarter ended September 30, 2024. The full text of the press release issued in connection with the announcement is furnished as Exhibit 99.1 to this Current Report on Form 8-K.</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furnished under this Item 2.02 shall not be considered “filed” under the Securities Exchange Act of 1934, as amended, nor shall it be incorporated by reference into any future filing under the Securities Act of 1933, as amended, or under the Securities Exchange Act of 1934, as amended, unless the Company expressly sets forth in such future filing that such information is to be considered “filed” or incorporated by reference therein.</w:t>
      </w:r>
    </w:p>
    <w:p>
      <w:pPr>
        <w:spacing w:after="0" w:line="172"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Exhibit</w:t>
            </w:r>
          </w:p>
        </w:tc>
        <w:tc>
          <w:tcPr>
            <w:tcW w:w="20" w:type="dxa"/>
            <w:vAlign w:val="bottom"/>
          </w:tcPr>
          <w:p>
            <w:pPr>
              <w:spacing w:after="0"/>
              <w:rPr>
                <w:sz w:val="13"/>
                <w:szCs w:val="13"/>
                <w:color w:val="auto"/>
              </w:rPr>
            </w:pPr>
          </w:p>
        </w:tc>
        <w:tc>
          <w:tcPr>
            <w:tcW w:w="99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Description</w:t>
            </w:r>
          </w:p>
        </w:tc>
        <w:tc>
          <w:tcPr>
            <w:tcW w:w="6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No.</w:t>
            </w:r>
          </w:p>
        </w:tc>
        <w:tc>
          <w:tcPr>
            <w:tcW w:w="2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9940" w:type="dxa"/>
            <w:vAlign w:val="bottom"/>
            <w:tcBorders>
              <w:bottom w:val="single" w:sz="8" w:color="auto"/>
            </w:tcBorders>
            <w:gridSpan w:val="2"/>
            <w:vMerge w:val="continue"/>
          </w:tcPr>
          <w:p>
            <w:pPr>
              <w:spacing w:after="0"/>
              <w:rPr>
                <w:sz w:val="17"/>
                <w:szCs w:val="17"/>
                <w:color w:val="auto"/>
              </w:rPr>
            </w:pPr>
          </w:p>
        </w:tc>
        <w:tc>
          <w:tcPr>
            <w:tcW w:w="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8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99.1</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120" w:type="dxa"/>
            <w:vAlign w:val="bottom"/>
            <w:tcBorders>
              <w:bottom w:val="single" w:sz="8" w:color="0000FF"/>
            </w:tcBorders>
          </w:tcPr>
          <w:p>
            <w:pPr>
              <w:spacing w:after="0" w:line="202" w:lineRule="exact"/>
              <w:rPr>
                <w:sz w:val="20"/>
                <w:szCs w:val="20"/>
                <w:color w:val="auto"/>
              </w:rPr>
            </w:pPr>
            <w:r>
              <w:rPr>
                <w:rFonts w:ascii="Times New Roman" w:cs="Times New Roman" w:eastAsia="Times New Roman" w:hAnsi="Times New Roman"/>
                <w:sz w:val="18"/>
                <w:szCs w:val="18"/>
                <w:color w:val="0000FF"/>
                <w:w w:val="99"/>
              </w:rPr>
              <w:t>Press release of Ardelyx, Inc.</w:t>
            </w:r>
          </w:p>
        </w:tc>
        <w:tc>
          <w:tcPr>
            <w:tcW w:w="78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r>
        <w:trPr>
          <w:trHeight w:val="1006"/>
        </w:trPr>
        <w:tc>
          <w:tcPr>
            <w:tcW w:w="9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120" w:type="dxa"/>
            <w:vAlign w:val="bottom"/>
            <w:tcBorders>
              <w:bottom w:val="single" w:sz="8" w:color="9A9A9A"/>
            </w:tcBorders>
          </w:tcPr>
          <w:p>
            <w:pPr>
              <w:spacing w:after="0"/>
              <w:rPr>
                <w:sz w:val="24"/>
                <w:szCs w:val="24"/>
                <w:color w:val="auto"/>
              </w:rPr>
            </w:pPr>
          </w:p>
        </w:tc>
        <w:tc>
          <w:tcPr>
            <w:tcW w:w="78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94" w:lineRule="exact"/>
        <w:rPr>
          <w:sz w:val="20"/>
          <w:szCs w:val="20"/>
          <w:color w:val="auto"/>
        </w:rPr>
      </w:pPr>
    </w:p>
    <w:p>
      <w:pPr>
        <w:ind w:left="20"/>
        <w:spacing w:after="0"/>
        <w:tabs>
          <w:tab w:leader="none" w:pos="4820" w:val="left"/>
        </w:tabs>
        <w:rPr>
          <w:sz w:val="20"/>
          <w:szCs w:val="20"/>
          <w:color w:val="auto"/>
        </w:rPr>
      </w:pPr>
      <w:r>
        <w:rPr>
          <w:rFonts w:ascii="Times New Roman" w:cs="Times New Roman" w:eastAsia="Times New Roman" w:hAnsi="Times New Roman"/>
          <w:sz w:val="18"/>
          <w:szCs w:val="18"/>
          <w:color w:val="auto"/>
        </w:rPr>
        <w:t>Date: October 31, 2024</w:t>
      </w:r>
      <w:r>
        <w:rPr>
          <w:sz w:val="20"/>
          <w:szCs w:val="20"/>
          <w:color w:val="auto"/>
        </w:rPr>
        <w:tab/>
      </w:r>
      <w:r>
        <w:rPr>
          <w:rFonts w:ascii="Times New Roman" w:cs="Times New Roman" w:eastAsia="Times New Roman" w:hAnsi="Times New Roman"/>
          <w:sz w:val="17"/>
          <w:szCs w:val="17"/>
          <w:color w:val="auto"/>
        </w:rPr>
        <w:t>ARDELYX, INC.</w:t>
      </w:r>
    </w:p>
    <w:p>
      <w:pPr>
        <w:spacing w:after="0" w:line="239" w:lineRule="exact"/>
        <w:rPr>
          <w:sz w:val="20"/>
          <w:szCs w:val="20"/>
          <w:color w:val="auto"/>
        </w:rPr>
      </w:pPr>
    </w:p>
    <w:p>
      <w:pPr>
        <w:ind w:left="4840"/>
        <w:spacing w:after="0"/>
        <w:tabs>
          <w:tab w:leader="none" w:pos="5300" w:val="left"/>
        </w:tabs>
        <w:rPr>
          <w:sz w:val="20"/>
          <w:szCs w:val="20"/>
          <w:color w:val="auto"/>
        </w:rPr>
      </w:pPr>
      <w:r>
        <w:rPr>
          <w:rFonts w:ascii="Times New Roman" w:cs="Times New Roman" w:eastAsia="Times New Roman" w:hAnsi="Times New Roman"/>
          <w:sz w:val="18"/>
          <w:szCs w:val="18"/>
          <w:color w:val="auto"/>
        </w:rPr>
        <w:t>By:</w:t>
        <w:tab/>
        <w:t>/s/ Justin Renz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17145</wp:posOffset>
            </wp:positionV>
            <wp:extent cx="373761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737610" cy="8255"/>
                    </a:xfrm>
                    <a:prstGeom prst="rect">
                      <a:avLst/>
                    </a:prstGeom>
                    <a:noFill/>
                  </pic:spPr>
                </pic:pic>
              </a:graphicData>
            </a:graphic>
          </wp:anchor>
        </w:drawing>
      </w:r>
    </w:p>
    <w:p>
      <w:pPr>
        <w:spacing w:after="0" w:line="16"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Justin Renz</w:t>
      </w:r>
    </w:p>
    <w:p>
      <w:pPr>
        <w:spacing w:after="0" w:line="27"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Chief Financial and Operations Officer</w:t>
      </w:r>
    </w:p>
    <w:p>
      <w:pPr>
        <w:sectPr>
          <w:pgSz w:w="11900" w:h="16838" w:orient="portrait"/>
          <w:cols w:equalWidth="0" w:num="1">
            <w:col w:w="11220"/>
          </w:cols>
          <w:pgMar w:left="320" w:top="1143" w:right="359" w:bottom="1440" w:gutter="0" w:footer="0" w:header="0"/>
        </w:sectPr>
      </w:pPr>
    </w:p>
    <w:bookmarkStart w:id="3" w:name="page4"/>
    <w:bookmarkEnd w:id="3"/>
    <w:p>
      <w:pPr>
        <w:ind w:left="103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2985770</wp:posOffset>
            </wp:positionH>
            <wp:positionV relativeFrom="page">
              <wp:posOffset>88900</wp:posOffset>
            </wp:positionV>
            <wp:extent cx="1577340" cy="4203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1577340" cy="420370"/>
                    </a:xfrm>
                    <a:prstGeom prst="rect">
                      <a:avLst/>
                    </a:prstGeom>
                    <a:noFill/>
                  </pic:spPr>
                </pic:pic>
              </a:graphicData>
            </a:graphic>
          </wp:anchor>
        </w:drawing>
        <w:t>Exhibit 99.1</w:t>
      </w: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Ardelyx Reports Third Quarter 2024 Financial Results and Provides Business Update</w:t>
      </w:r>
    </w:p>
    <w:p>
      <w:pPr>
        <w:spacing w:after="0" w:line="254" w:lineRule="exact"/>
        <w:rPr>
          <w:sz w:val="20"/>
          <w:szCs w:val="20"/>
          <w:color w:val="auto"/>
        </w:rPr>
      </w:pPr>
    </w:p>
    <w:p>
      <w:pPr>
        <w:jc w:val="center"/>
        <w:ind w:left="340" w:right="60"/>
        <w:spacing w:after="0" w:line="284" w:lineRule="auto"/>
        <w:rPr>
          <w:sz w:val="20"/>
          <w:szCs w:val="20"/>
          <w:color w:val="auto"/>
        </w:rPr>
      </w:pPr>
      <w:r>
        <w:rPr>
          <w:rFonts w:ascii="Times New Roman" w:cs="Times New Roman" w:eastAsia="Times New Roman" w:hAnsi="Times New Roman"/>
          <w:sz w:val="18"/>
          <w:szCs w:val="18"/>
          <w:i w:val="1"/>
          <w:iCs w:val="1"/>
          <w:color w:val="auto"/>
        </w:rPr>
        <w:t>IBSRELA generates $40.6 million in net product sales revenue; Company expects full year 2024 IBSRELA net sales revenue to be between $145 and $150 million</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XPHOZAH generates $51.5 million in net product sales revenue</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Company ends Q3 with approximately $190 million in cash, cash equivalents and investments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Conference call scheduled for 4:30 PM Eastern Time</w:t>
      </w:r>
    </w:p>
    <w:p>
      <w:pPr>
        <w:spacing w:after="0" w:line="200" w:lineRule="exact"/>
        <w:rPr>
          <w:sz w:val="20"/>
          <w:szCs w:val="20"/>
          <w:color w:val="auto"/>
        </w:rPr>
      </w:pPr>
    </w:p>
    <w:p>
      <w:pPr>
        <w:spacing w:after="0" w:line="293"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WALTHAM, Mass., October 31, 2024 </w:t>
      </w:r>
      <w:r>
        <w:rPr>
          <w:rFonts w:ascii="Times New Roman" w:cs="Times New Roman" w:eastAsia="Times New Roman" w:hAnsi="Times New Roman"/>
          <w:sz w:val="18"/>
          <w:szCs w:val="18"/>
          <w:color w:val="auto"/>
        </w:rPr>
        <w:t>- Ardelyx, Inc. (Nasdaq: ARDX), a biopharmaceutical company founded with a mission to discover, develop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commercialize innovative, first-in-class medicines that meet significant unmet medical needs, today reported financial results for the third quarter ended September 30, 2024 and provided a business update.</w:t>
      </w:r>
    </w:p>
    <w:p>
      <w:pPr>
        <w:spacing w:after="0" w:line="20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continued strong performance of Ardelyx reported during the third quarter demonstrates our ability to execute and deliver on our goals, to focus on serving the patient and to build towards the future,” said Mike Raab, president and chief executive officer of Ardelyx. “IBSRELA continues to deliver consistent quarter-over-quarter growth driven by strong fundamentals: an attractive safety and efficacy profile, expanding awareness among healthcare prescribers, a streamlined path to access and, importantly, positive experiences among treated patients. In addition, the unmet need among dialysis patients for another option to help achieve and maintain target phosphorus levels is clear, demonstrated by the continued strong demand and growth for XPHOZAH. We remain committed to ensuring that this well-tolerated, effective and differentiated medicine remains available to patients, despite CMS’ planned change in Medicare Part D reimbursement in early-January 2025, and we are confident that we have made decisions that will best support our efforts to protect patient access to XPHOZAH. Finally, we continue to thoughtfully strengthen our balance sheet, providing us with capital to invest as we look to expand our business.”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IBSRELA® (tenapanor) records $40.6 million in net product sales revenue in Q3 2024</w:t>
      </w:r>
    </w:p>
    <w:p>
      <w:pPr>
        <w:spacing w:after="0" w:line="3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U.S. net product sales revenue for IBSRELA during the third quarter of 2024 was $40.6 million, showing approximately 15% quarter-over-quarter growth compared to the second quarter of 2024, and significant growth compared to the $22.3 million in net product sales revenue the company reported during the third quarter of 2023. The strong Q3 2024 performance reflects the continued growing demand for IBSRELA, demonstrated by increases in new and refill prescriptions as well as growth in new and repeat writing healthcare providers.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Ardelyx currently expects full-year 2024 U.S. net product sales revenue for IBSRELA to be between $145.0 and $150.0 million.</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XPHOZAH</w:t>
      </w:r>
      <w:r>
        <w:rPr>
          <w:rFonts w:ascii="Times New Roman" w:cs="Times New Roman" w:eastAsia="Times New Roman" w:hAnsi="Times New Roman"/>
          <w:sz w:val="23"/>
          <w:szCs w:val="23"/>
          <w:b w:val="1"/>
          <w:bCs w:val="1"/>
          <w:color w:val="auto"/>
          <w:vertAlign w:val="superscript"/>
        </w:rPr>
        <w:t>®</w:t>
      </w:r>
      <w:r>
        <w:rPr>
          <w:rFonts w:ascii="Times New Roman" w:cs="Times New Roman" w:eastAsia="Times New Roman" w:hAnsi="Times New Roman"/>
          <w:sz w:val="18"/>
          <w:szCs w:val="18"/>
          <w:b w:val="1"/>
          <w:bCs w:val="1"/>
          <w:color w:val="auto"/>
        </w:rPr>
        <w:t xml:space="preserve"> (tenapanor) launch progresses, records $51.5 million net product sales revenue during Q3 2024</w:t>
      </w:r>
    </w:p>
    <w:p>
      <w:pPr>
        <w:ind w:right="160"/>
        <w:spacing w:after="0" w:line="254" w:lineRule="auto"/>
        <w:rPr>
          <w:sz w:val="20"/>
          <w:szCs w:val="20"/>
          <w:color w:val="auto"/>
        </w:rPr>
      </w:pPr>
      <w:r>
        <w:rPr>
          <w:rFonts w:ascii="Times New Roman" w:cs="Times New Roman" w:eastAsia="Times New Roman" w:hAnsi="Times New Roman"/>
          <w:sz w:val="18"/>
          <w:szCs w:val="18"/>
          <w:color w:val="auto"/>
        </w:rPr>
        <w:t>A strong XPHOZAH launch continues, with the company reporting $51.5 million in net product sales revenue during the third quarter of 2024, approximately 39% quarter-over-quarter growth compared to the second quarter of 2024. The Q3 2024 performance reinforces the significant unmet need among dialysis patients with hyperphosphatemia.</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Corporate Developments</w:t>
      </w:r>
    </w:p>
    <w:p>
      <w:pPr>
        <w:spacing w:after="0" w:line="31" w:lineRule="exact"/>
        <w:rPr>
          <w:sz w:val="20"/>
          <w:szCs w:val="20"/>
          <w:color w:val="auto"/>
        </w:rPr>
      </w:pPr>
    </w:p>
    <w:p>
      <w:pPr>
        <w:ind w:left="340" w:right="120" w:hanging="332"/>
        <w:spacing w:after="0" w:line="250" w:lineRule="auto"/>
        <w:tabs>
          <w:tab w:leader="none" w:pos="33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Today, the company announced that it amended its February 2022 loan agreement with investment affiliates managed by SLR Capital Partners (SLR). The company drew $50 million at SOFR plus 4.02% in October 2024, added the opportunity to draw an additional $50 million at the same interest rate, and extended the interest-only period for existing and new tranches funded under the instrument to July 1, 2028.</w:t>
      </w:r>
    </w:p>
    <w:p>
      <w:pPr>
        <w:spacing w:after="0" w:line="1" w:lineRule="exact"/>
        <w:rPr>
          <w:rFonts w:ascii="Times New Roman" w:cs="Times New Roman" w:eastAsia="Times New Roman" w:hAnsi="Times New Roman"/>
          <w:sz w:val="18"/>
          <w:szCs w:val="18"/>
          <w:color w:val="auto"/>
        </w:rPr>
      </w:pPr>
    </w:p>
    <w:p>
      <w:pPr>
        <w:ind w:left="340" w:right="220" w:hanging="332"/>
        <w:spacing w:after="0" w:line="250" w:lineRule="auto"/>
        <w:tabs>
          <w:tab w:leader="none" w:pos="33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had a significant presence at the 2024 Annual Scientific Meeting for the American College of Gastroenterology (ACG 2024) in Philadelphia from October 25-30, 2024. The company presented two posters featuring data from the 2024 IBS in America supplemental survey, sponsored by the company in collaboration with Health Union, which was conducted to better understand the symptoms and impact of IBS-C on the overall health and quality of life among patients.</w:t>
      </w:r>
    </w:p>
    <w:p>
      <w:pPr>
        <w:spacing w:after="0" w:line="1" w:lineRule="exact"/>
        <w:rPr>
          <w:rFonts w:ascii="Times New Roman" w:cs="Times New Roman" w:eastAsia="Times New Roman" w:hAnsi="Times New Roman"/>
          <w:sz w:val="18"/>
          <w:szCs w:val="18"/>
          <w:color w:val="auto"/>
        </w:rPr>
      </w:pPr>
    </w:p>
    <w:p>
      <w:pPr>
        <w:ind w:left="340" w:right="180" w:hanging="332"/>
        <w:spacing w:after="0" w:line="250" w:lineRule="auto"/>
        <w:tabs>
          <w:tab w:leader="none" w:pos="33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had a significant presence at the 2024 Annual American Society of Nephrology Kidney Week in San Diego from October 23-27, 2024. The company presented two posters covering additional data for XPHOZAH.</w:t>
      </w:r>
    </w:p>
    <w:p>
      <w:pPr>
        <w:ind w:left="340" w:right="160" w:hanging="332"/>
        <w:spacing w:after="0" w:line="260" w:lineRule="auto"/>
        <w:tabs>
          <w:tab w:leader="none" w:pos="33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October, the company announced the publication of a review article exploring the patient burden and therapeutic landscape of IBS-C in the U.S. in </w:t>
      </w:r>
      <w:r>
        <w:rPr>
          <w:rFonts w:ascii="Times New Roman" w:cs="Times New Roman" w:eastAsia="Times New Roman" w:hAnsi="Times New Roman"/>
          <w:sz w:val="18"/>
          <w:szCs w:val="18"/>
          <w:i w:val="1"/>
          <w:iCs w:val="1"/>
          <w:color w:val="auto"/>
        </w:rPr>
        <w:t>Clinical and Experimental Gastroenterology</w:t>
      </w:r>
      <w:r>
        <w:rPr>
          <w:rFonts w:ascii="Times New Roman" w:cs="Times New Roman" w:eastAsia="Times New Roman" w:hAnsi="Times New Roman"/>
          <w:sz w:val="18"/>
          <w:szCs w:val="18"/>
          <w:color w:val="auto"/>
        </w:rPr>
        <w:t>. The article is available online and can be found here.</w:t>
      </w:r>
    </w:p>
    <w:p>
      <w:pPr>
        <w:sectPr>
          <w:pgSz w:w="11900" w:h="16838" w:orient="portrait"/>
          <w:cols w:equalWidth="0" w:num="1">
            <w:col w:w="11240"/>
          </w:cols>
          <w:pgMar w:left="320" w:top="1062" w:right="339" w:bottom="1440" w:gutter="0" w:footer="0" w:header="0"/>
        </w:sectPr>
      </w:pPr>
    </w:p>
    <w:bookmarkStart w:id="4" w:name="page5"/>
    <w:bookmarkEnd w:id="4"/>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August, the company announced the appointment of experienced biopharma executive, Eric Foster, as Chief Commercial Officer.</w:t>
      </w:r>
    </w:p>
    <w:p>
      <w:pPr>
        <w:spacing w:after="0" w:line="27" w:lineRule="exact"/>
        <w:rPr>
          <w:rFonts w:ascii="Times New Roman" w:cs="Times New Roman" w:eastAsia="Times New Roman" w:hAnsi="Times New Roman"/>
          <w:sz w:val="18"/>
          <w:szCs w:val="18"/>
          <w:color w:val="auto"/>
        </w:rPr>
      </w:pPr>
    </w:p>
    <w:p>
      <w:pPr>
        <w:ind w:left="340" w:right="300" w:hanging="332"/>
        <w:spacing w:after="0" w:line="260" w:lineRule="auto"/>
        <w:tabs>
          <w:tab w:leader="none" w:pos="3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July, the company announced the publication of two plain language summaries from XPHOZAH clinical trials in </w:t>
      </w:r>
      <w:r>
        <w:rPr>
          <w:rFonts w:ascii="Times New Roman" w:cs="Times New Roman" w:eastAsia="Times New Roman" w:hAnsi="Times New Roman"/>
          <w:sz w:val="18"/>
          <w:szCs w:val="18"/>
          <w:i w:val="1"/>
          <w:iCs w:val="1"/>
          <w:color w:val="auto"/>
        </w:rPr>
        <w:t>Current Medical Research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Opinion</w:t>
      </w:r>
      <w:r>
        <w:rPr>
          <w:rFonts w:ascii="Times New Roman" w:cs="Times New Roman" w:eastAsia="Times New Roman" w:hAnsi="Times New Roman"/>
          <w:sz w:val="18"/>
          <w:szCs w:val="18"/>
          <w:color w:val="auto"/>
        </w:rPr>
        <w: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Third Quarter 2024 Financial Results</w:t>
      </w:r>
    </w:p>
    <w:p>
      <w:pPr>
        <w:spacing w:after="0" w:line="31" w:lineRule="exact"/>
        <w:rPr>
          <w:sz w:val="20"/>
          <w:szCs w:val="20"/>
          <w:color w:val="auto"/>
        </w:rPr>
      </w:pPr>
    </w:p>
    <w:p>
      <w:pPr>
        <w:ind w:left="340" w:right="60" w:hanging="332"/>
        <w:spacing w:after="0" w:line="255" w:lineRule="auto"/>
        <w:tabs>
          <w:tab w:leader="none" w:pos="259"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Cash Position</w:t>
      </w:r>
      <w:r>
        <w:rPr>
          <w:rFonts w:ascii="Times New Roman" w:cs="Times New Roman" w:eastAsia="Times New Roman" w:hAnsi="Times New Roman"/>
          <w:sz w:val="18"/>
          <w:szCs w:val="18"/>
          <w:color w:val="auto"/>
        </w:rPr>
        <w:t>: As of September 30, 2024, the company had total cash, cash equivalents and short-term investments of $190.4 million, as compared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total cash, cash equivalents and short-term investments of $184.3 million as of December 31, 2023. In October, the company drew $49.7 million in net proceeds under its term loan with SLR Investment Corp.</w:t>
      </w:r>
    </w:p>
    <w:p>
      <w:pPr>
        <w:spacing w:after="0" w:line="210" w:lineRule="exact"/>
        <w:rPr>
          <w:rFonts w:ascii="Times New Roman" w:cs="Times New Roman" w:eastAsia="Times New Roman" w:hAnsi="Times New Roman"/>
          <w:sz w:val="18"/>
          <w:szCs w:val="18"/>
          <w:color w:val="auto"/>
        </w:rPr>
      </w:pPr>
    </w:p>
    <w:p>
      <w:pPr>
        <w:ind w:left="340" w:right="420" w:hanging="332"/>
        <w:spacing w:after="0" w:line="262" w:lineRule="auto"/>
        <w:tabs>
          <w:tab w:leader="none" w:pos="259"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Revenue</w:t>
      </w:r>
      <w:r>
        <w:rPr>
          <w:rFonts w:ascii="Times New Roman" w:cs="Times New Roman" w:eastAsia="Times New Roman" w:hAnsi="Times New Roman"/>
          <w:sz w:val="18"/>
          <w:szCs w:val="18"/>
          <w:color w:val="auto"/>
        </w:rPr>
        <w:t>: Total revenue for the quarter ended September 30, 2024 was $98.2 million, compared to $56.4 million in total revenue during the quarter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September 30, 2023, driven by increases in net product sales.</w:t>
      </w: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IBSRELA U.S. net product sales revenue was $40.6 million, compared to $22.3 million during the same period of 2023.</w:t>
      </w:r>
    </w:p>
    <w:p>
      <w:pPr>
        <w:spacing w:after="0" w:line="9"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XPHOZAH U.S. net product sales revenue was $51.5 million, with no comparable revenue during the same period of 2023.</w:t>
      </w:r>
    </w:p>
    <w:p>
      <w:pPr>
        <w:spacing w:after="0" w:line="9"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7"/>
          <w:szCs w:val="17"/>
          <w:color w:val="auto"/>
        </w:rPr>
        <w:t>Product supply revenue was $5.3 million, compared to $2.1 million during the same period of 2023.</w:t>
      </w:r>
    </w:p>
    <w:p>
      <w:pPr>
        <w:spacing w:after="0" w:line="9" w:lineRule="exact"/>
        <w:rPr>
          <w:rFonts w:ascii="Times New Roman" w:cs="Times New Roman" w:eastAsia="Times New Roman" w:hAnsi="Times New Roman"/>
          <w:sz w:val="18"/>
          <w:szCs w:val="18"/>
          <w:color w:val="auto"/>
        </w:rPr>
      </w:pPr>
    </w:p>
    <w:p>
      <w:pPr>
        <w:ind w:left="980" w:right="260" w:hanging="648"/>
        <w:spacing w:after="0" w:line="26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Licensing revenue was $20 thousand, compared to $32 million during the same period of 2023 related to $30 million milestone and license agreement amendment payments from Kyowa Kirin following the approval of tenapanor for hyperphosphatemia in Japan, as well as a $2.0 million milestone payment from Fosun Pharma following the acceptance of the NDA for tenapanor for hyperphosphatemia in China.</w:t>
      </w: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Non-cash royalty revenue related to the sale of future royalties was $0.8 million, with no comparable revenue during the same period of 2023.</w:t>
      </w:r>
    </w:p>
    <w:p>
      <w:pPr>
        <w:spacing w:after="0" w:line="218" w:lineRule="exact"/>
        <w:rPr>
          <w:rFonts w:ascii="Times New Roman" w:cs="Times New Roman" w:eastAsia="Times New Roman" w:hAnsi="Times New Roman"/>
          <w:sz w:val="18"/>
          <w:szCs w:val="18"/>
          <w:color w:val="auto"/>
        </w:rPr>
      </w:pPr>
    </w:p>
    <w:p>
      <w:pPr>
        <w:ind w:left="340" w:right="80" w:hanging="332"/>
        <w:spacing w:after="0" w:line="251" w:lineRule="auto"/>
        <w:tabs>
          <w:tab w:leader="none" w:pos="259"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R&amp;D Expenses</w:t>
      </w:r>
      <w:r>
        <w:rPr>
          <w:rFonts w:ascii="Times New Roman" w:cs="Times New Roman" w:eastAsia="Times New Roman" w:hAnsi="Times New Roman"/>
          <w:sz w:val="18"/>
          <w:szCs w:val="18"/>
          <w:color w:val="auto"/>
        </w:rPr>
        <w:t>: Research and development expenses were $15.3 million for the quarter ended September 30, 2024, compared to $8.6 million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quarter ended September 30, 2023, primarily related to increased medical engagement with the scientific communities in the areas of gastroenterology and nephrology and pediatric clinical trials.</w:t>
      </w:r>
    </w:p>
    <w:p>
      <w:pPr>
        <w:spacing w:after="0" w:line="214"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SG&amp;A Expense</w:t>
      </w:r>
      <w:r>
        <w:rPr>
          <w:rFonts w:ascii="Times New Roman" w:cs="Times New Roman" w:eastAsia="Times New Roman" w:hAnsi="Times New Roman"/>
          <w:sz w:val="18"/>
          <w:szCs w:val="18"/>
          <w:color w:val="auto"/>
        </w:rPr>
        <w:t>s: Selling, general and administrative expenses were $65.0 million for the quarter ended September 30, 2024, an increase of</w:t>
      </w:r>
    </w:p>
    <w:p>
      <w:pPr>
        <w:spacing w:after="0" w:line="29" w:lineRule="exact"/>
        <w:rPr>
          <w:sz w:val="20"/>
          <w:szCs w:val="20"/>
          <w:color w:val="auto"/>
        </w:rPr>
      </w:pPr>
    </w:p>
    <w:p>
      <w:pPr>
        <w:ind w:left="340" w:right="220"/>
        <w:spacing w:after="0" w:line="255" w:lineRule="auto"/>
        <w:rPr>
          <w:sz w:val="20"/>
          <w:szCs w:val="20"/>
          <w:color w:val="auto"/>
        </w:rPr>
      </w:pPr>
      <w:r>
        <w:rPr>
          <w:rFonts w:ascii="Times New Roman" w:cs="Times New Roman" w:eastAsia="Times New Roman" w:hAnsi="Times New Roman"/>
          <w:sz w:val="18"/>
          <w:szCs w:val="18"/>
          <w:color w:val="auto"/>
        </w:rPr>
        <w:t>$32.3 million compared to $32.7 million for the quarter ended September 30, 2023. The increase in selling, general and administrative expenses was related to increased costs associated with the ongoing commercialization of IBSRELA and XPHOZAH, primarily the expansion of the IBSRELA field-based team which was completed during the third quarter of 2024.</w:t>
      </w:r>
    </w:p>
    <w:p>
      <w:pPr>
        <w:spacing w:after="0" w:line="211" w:lineRule="exact"/>
        <w:rPr>
          <w:sz w:val="20"/>
          <w:szCs w:val="20"/>
          <w:color w:val="auto"/>
        </w:rPr>
      </w:pPr>
    </w:p>
    <w:p>
      <w:pPr>
        <w:ind w:left="340" w:hanging="332"/>
        <w:spacing w:after="0" w:line="267" w:lineRule="auto"/>
        <w:tabs>
          <w:tab w:leader="none" w:pos="259"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Net Loss</w:t>
      </w:r>
      <w:r>
        <w:rPr>
          <w:rFonts w:ascii="Times New Roman" w:cs="Times New Roman" w:eastAsia="Times New Roman" w:hAnsi="Times New Roman"/>
          <w:sz w:val="18"/>
          <w:szCs w:val="18"/>
          <w:color w:val="auto"/>
        </w:rPr>
        <w:t>: Net loss for the quarter ended September 30, 2024 was $0.8 million, or $(0.00) per share, compared to net income of $6.6 million, or $0.03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 share, for the quarter ended September 30, 2023. The $0.8 million net loss for the third quarter of 2024 included share-based compensation expense of $9.1 million and non-cash interest expense related to the sale of future royalties of $1.9 million.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 Details</w:t>
      </w:r>
    </w:p>
    <w:p>
      <w:pPr>
        <w:spacing w:after="0" w:line="31" w:lineRule="exact"/>
        <w:rPr>
          <w:sz w:val="20"/>
          <w:szCs w:val="20"/>
          <w:color w:val="auto"/>
        </w:rPr>
      </w:pPr>
    </w:p>
    <w:p>
      <w:pPr>
        <w:ind w:right="80"/>
        <w:spacing w:after="0" w:line="277" w:lineRule="auto"/>
        <w:rPr>
          <w:sz w:val="20"/>
          <w:szCs w:val="20"/>
          <w:color w:val="auto"/>
        </w:rPr>
      </w:pPr>
      <w:r>
        <w:rPr>
          <w:rFonts w:ascii="Times New Roman" w:cs="Times New Roman" w:eastAsia="Times New Roman" w:hAnsi="Times New Roman"/>
          <w:sz w:val="17"/>
          <w:szCs w:val="17"/>
          <w:color w:val="auto"/>
        </w:rPr>
        <w:t>The company will host a conference call today, October 31, 2024, at 4:30 PM ET to discuss today’s announcement. To participate in the conference call, please dial (877) 346-6112 (domestic) or (848) 280-6350 (international) and ask to be joined into the Ardelyx call. A webcast of the call can also be accessed by visiting the Investor page of the company's website, https://ir.ardelyx.com/, and will be available on the website for 30 days following the call.</w:t>
      </w:r>
    </w:p>
    <w:p>
      <w:pPr>
        <w:sectPr>
          <w:pgSz w:w="11900" w:h="16838" w:orient="portrait"/>
          <w:cols w:equalWidth="0" w:num="1">
            <w:col w:w="11240"/>
          </w:cols>
          <w:pgMar w:left="320" w:top="89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IMPORTANT SAFETY INFORMATION (IBSRELA)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7140575" cy="11404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0575" cy="1140460"/>
                    </a:xfrm>
                    <a:prstGeom prst="rect">
                      <a:avLst/>
                    </a:prstGeom>
                    <a:noFill/>
                  </pic:spPr>
                </pic:pic>
              </a:graphicData>
            </a:graphic>
          </wp:anchor>
        </w:drawing>
      </w:r>
    </w:p>
    <w:p>
      <w:pPr>
        <w:spacing w:after="0" w:line="28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WARNING: RISK OF SERIOUS DEHYDRATION IN PEDIATRIC PATIENTS</w:t>
      </w:r>
    </w:p>
    <w:p>
      <w:pPr>
        <w:spacing w:after="0" w:line="36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IBSRELA is contraindicated in patients less than 6 years of age; in nonclinical studies in young juvenile rats administration of tenapanor caused</w:t>
      </w:r>
    </w:p>
    <w:p>
      <w:pPr>
        <w:spacing w:after="0" w:line="117" w:lineRule="exact"/>
        <w:rPr>
          <w:sz w:val="20"/>
          <w:szCs w:val="20"/>
          <w:color w:val="auto"/>
        </w:rPr>
      </w:pPr>
    </w:p>
    <w:p>
      <w:pPr>
        <w:ind w:left="40" w:right="700"/>
        <w:spacing w:after="0" w:line="391" w:lineRule="auto"/>
        <w:rPr>
          <w:sz w:val="20"/>
          <w:szCs w:val="20"/>
          <w:color w:val="auto"/>
        </w:rPr>
      </w:pPr>
      <w:r>
        <w:rPr>
          <w:rFonts w:ascii="Times New Roman" w:cs="Times New Roman" w:eastAsia="Times New Roman" w:hAnsi="Times New Roman"/>
          <w:sz w:val="18"/>
          <w:szCs w:val="18"/>
          <w:color w:val="auto"/>
        </w:rPr>
        <w:t>deaths presumed to be due to dehydration. Avoid use of IBSRELA in patients 6 years to less than 12 years of age. The safety and effectiveness of IBSRELA have not been established in patients less than 18 years of age.</w:t>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CONTRAINDICATIONS</w:t>
      </w:r>
    </w:p>
    <w:p>
      <w:pPr>
        <w:spacing w:after="0" w:line="31" w:lineRule="exact"/>
        <w:rPr>
          <w:sz w:val="20"/>
          <w:szCs w:val="20"/>
          <w:color w:val="auto"/>
        </w:rPr>
      </w:pPr>
    </w:p>
    <w:p>
      <w:pPr>
        <w:ind w:left="320" w:hanging="312"/>
        <w:spacing w:after="0"/>
        <w:tabs>
          <w:tab w:leader="none" w:pos="3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IBSRELA is contraindicated in patients less than 6 years of age due to the risk of serious dehydration.</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IBSRELA is contraindicated in patients with known or suspected mechanical gastrointestinal obstruction.</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WARNINGS AND PRECAUTIONS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of Serious Dehydration in Pediatric Patients</w:t>
      </w:r>
    </w:p>
    <w:p>
      <w:pPr>
        <w:spacing w:after="0" w:line="9" w:lineRule="exact"/>
        <w:rPr>
          <w:sz w:val="20"/>
          <w:szCs w:val="20"/>
          <w:color w:val="auto"/>
        </w:rPr>
      </w:pPr>
    </w:p>
    <w:p>
      <w:pPr>
        <w:jc w:val="both"/>
        <w:ind w:left="340" w:right="100" w:hanging="332"/>
        <w:spacing w:after="0" w:line="250" w:lineRule="auto"/>
        <w:tabs>
          <w:tab w:leader="none" w:pos="3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IBSRELA is contraindicated in patients below 6 years of age. The safety and effectiveness of IBSRELA in patients less than 18 years of age have not been established. In young juvenile rats (less than 1 week old; approximate human age equivalent of less than 2 years of age), decreased body weight and deaths occurred, presumed to be due to dehydration, following oral administration of tenapanor. There are no data available in older juvenile rats (human age equivalent 2 years to less than 12 years).</w:t>
      </w:r>
    </w:p>
    <w:p>
      <w:pPr>
        <w:spacing w:after="0" w:line="1" w:lineRule="exact"/>
        <w:rPr>
          <w:rFonts w:ascii="Times New Roman" w:cs="Times New Roman" w:eastAsia="Times New Roman" w:hAnsi="Times New Roman"/>
          <w:sz w:val="18"/>
          <w:szCs w:val="18"/>
          <w:color w:val="auto"/>
        </w:rPr>
      </w:pPr>
    </w:p>
    <w:p>
      <w:pPr>
        <w:ind w:left="340" w:hanging="332"/>
        <w:spacing w:after="0" w:line="255" w:lineRule="auto"/>
        <w:tabs>
          <w:tab w:leader="none" w:pos="3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Avoid the use of IBSRELA in patients 6 years to less than 12 years of age. Although there are no data in older juvenile rats, given the deaths in younger rats and the lack of clinical safety and efficacy data in pediatric patients, avoid the use of IBSRELA in patients 6 years to less than 12 years of age.</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Diarrhea</w:t>
      </w:r>
    </w:p>
    <w:p>
      <w:pPr>
        <w:spacing w:after="0" w:line="31" w:lineRule="exact"/>
        <w:rPr>
          <w:sz w:val="20"/>
          <w:szCs w:val="20"/>
          <w:color w:val="auto"/>
        </w:rPr>
      </w:pPr>
    </w:p>
    <w:p>
      <w:pPr>
        <w:ind w:right="360"/>
        <w:spacing w:after="0" w:line="260" w:lineRule="auto"/>
        <w:rPr>
          <w:sz w:val="20"/>
          <w:szCs w:val="20"/>
          <w:color w:val="auto"/>
        </w:rPr>
      </w:pPr>
      <w:r>
        <w:rPr>
          <w:rFonts w:ascii="Times New Roman" w:cs="Times New Roman" w:eastAsia="Times New Roman" w:hAnsi="Times New Roman"/>
          <w:sz w:val="18"/>
          <w:szCs w:val="18"/>
          <w:color w:val="auto"/>
        </w:rPr>
        <w:t>Diarrhea was the most common adverse reaction in two randomized, double-blind, placebo-controlled trials of IBS-C. Severe diarrhea was reported in 2.5% of IBSRELA-treated patients. If severe diarrhea occurs, suspend dosing and rehydrate patient.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MOST COMMON ADVERSE REACTIONS</w:t>
      </w:r>
    </w:p>
    <w:p>
      <w:pPr>
        <w:spacing w:after="0" w:line="31" w:lineRule="exact"/>
        <w:rPr>
          <w:sz w:val="20"/>
          <w:szCs w:val="20"/>
          <w:color w:val="auto"/>
        </w:rPr>
      </w:pPr>
    </w:p>
    <w:p>
      <w:pPr>
        <w:ind w:right="660"/>
        <w:spacing w:after="0" w:line="260" w:lineRule="auto"/>
        <w:rPr>
          <w:sz w:val="20"/>
          <w:szCs w:val="20"/>
          <w:color w:val="auto"/>
        </w:rPr>
      </w:pPr>
      <w:r>
        <w:rPr>
          <w:rFonts w:ascii="Times New Roman" w:cs="Times New Roman" w:eastAsia="Times New Roman" w:hAnsi="Times New Roman"/>
          <w:sz w:val="18"/>
          <w:szCs w:val="18"/>
          <w:color w:val="auto"/>
        </w:rPr>
        <w:t>The most common adverse reactions in IBSRELA-treated patients (incidence ≥2% and greater than placebo) were: diarrhea (16% vs 4% placebo), abdominal distension (3% vs &lt;1%), flatulence (3% vs 1%) and dizziness (2% vs &lt;1%).</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INDICATION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IBSRELA (tenapanor) is indicated for the treatment of Irritable Bowel Syndrome with Constipation (IBS-C) in adults.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see full Prescribing Information, including Boxed Warning, for additional risk information.</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SAFETY INFORMATION (XPHOZAH)</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CONTRAINDICATIONS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XPHOZAH is contraindicated in:</w:t>
      </w:r>
    </w:p>
    <w:p>
      <w:pPr>
        <w:spacing w:after="0" w:line="9" w:lineRule="exact"/>
        <w:rPr>
          <w:sz w:val="20"/>
          <w:szCs w:val="20"/>
          <w:color w:val="auto"/>
        </w:rPr>
      </w:pPr>
    </w:p>
    <w:p>
      <w:pPr>
        <w:ind w:left="320" w:hanging="312"/>
        <w:spacing w:after="0"/>
        <w:tabs>
          <w:tab w:leader="none" w:pos="3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Pediatric patients under 6 years of age</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Patients with known or suspected mechanical gastrointestinal obstruction</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WARNINGS AND PRECAUTIONS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Diarrhea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Patients may experience severe diarrhea. Treatment with XPHOZAH should be discontinued in patients who develop severe diarrhea.</w:t>
      </w:r>
    </w:p>
    <w:p>
      <w:pPr>
        <w:sectPr>
          <w:pgSz w:w="11900" w:h="16838" w:orient="portrait"/>
          <w:cols w:equalWidth="0" w:num="1">
            <w:col w:w="11200"/>
          </w:cols>
          <w:pgMar w:left="320" w:top="1062" w:right="37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MOST COMMON ADVERSE REACTIONS</w:t>
      </w:r>
    </w:p>
    <w:p>
      <w:pPr>
        <w:spacing w:after="0" w:line="3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Diarrhea, which occurred in 43-53% of patients, was the only adverse reaction reported in at least 5% of XPHOZAH-treated patients with CKD on dialysis across trials. The majority of diarrhea events in the XPHOZAH-treated patients were reported to be mild-to-moderate in severity and resolved over time, or with dose reduction. Diarrhea was typically reported soon after initiation but could occur at any time during treatment with XPHOZAH. Severe diarrhea was reported in 5% of XPHOZAH-treated patients in these trials.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INDICATION</w:t>
      </w:r>
    </w:p>
    <w:p>
      <w:pPr>
        <w:spacing w:after="0" w:line="31"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XPHOZAH (tenapanor), 30 mg BID, is indicated to reduce serum phosphorus in adults with chronic kidney disease (CKD) on dialysis as add-on therapy in patients who have an inadequate response to phosphate binders or who are intolerant of any dose of phosphate binder therapy.</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additional safety information, please see full </w:t>
      </w:r>
      <w:r>
        <w:rPr>
          <w:rFonts w:ascii="Times New Roman" w:cs="Times New Roman" w:eastAsia="Times New Roman" w:hAnsi="Times New Roman"/>
          <w:sz w:val="18"/>
          <w:szCs w:val="18"/>
          <w:color w:val="0000FF"/>
        </w:rPr>
        <w:t>Prescribing Information</w:t>
      </w:r>
      <w:r>
        <w:rPr>
          <w:rFonts w:ascii="Times New Roman" w:cs="Times New Roman" w:eastAsia="Times New Roman" w:hAnsi="Times New Roman"/>
          <w:sz w:val="18"/>
          <w:szCs w:val="18"/>
          <w:color w:val="auto"/>
        </w:rPr>
        <w:t>.</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Ardelyx</w:t>
      </w:r>
    </w:p>
    <w:p>
      <w:pPr>
        <w:spacing w:after="0" w:line="31" w:lineRule="exact"/>
        <w:rPr>
          <w:sz w:val="20"/>
          <w:szCs w:val="20"/>
          <w:color w:val="auto"/>
        </w:rPr>
      </w:pPr>
    </w:p>
    <w:p>
      <w:pPr>
        <w:spacing w:after="0" w:line="229" w:lineRule="auto"/>
        <w:rPr>
          <w:sz w:val="20"/>
          <w:szCs w:val="20"/>
          <w:color w:val="auto"/>
        </w:rPr>
      </w:pPr>
      <w:r>
        <w:rPr>
          <w:rFonts w:ascii="Times New Roman" w:cs="Times New Roman" w:eastAsia="Times New Roman" w:hAnsi="Times New Roman"/>
          <w:sz w:val="18"/>
          <w:szCs w:val="18"/>
          <w:color w:val="auto"/>
        </w:rPr>
        <w:t>Ardelyx was founded with a mission to discover, develop and commercialize innovative, first-in-class medicines that meet significant unmet medical needs. Ardelyx has two commercial products approved in the United States, IBSRELA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(tenapanor) and XPHOZAH</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(tenapanor). Ardelyx has agreements for the development and commercialization of tenapanor outside of the U.S. Kyowa Kirin commercializes PHOZEVEL</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(tenapanor) for hyperphosphatemia in Japan. A New Drug Application for tenapanor for hyperphosphatemia has been submitted in China with Fosun Pharma. Knight Therapeutics commercializes IBSRELA in Canada. For more information, please visit </w:t>
      </w:r>
      <w:r>
        <w:rPr>
          <w:rFonts w:ascii="Times New Roman" w:cs="Times New Roman" w:eastAsia="Times New Roman" w:hAnsi="Times New Roman"/>
          <w:sz w:val="18"/>
          <w:szCs w:val="18"/>
          <w:color w:val="0000FF"/>
        </w:rPr>
        <w:t>https://ardelyx.com/</w:t>
      </w:r>
      <w:r>
        <w:rPr>
          <w:rFonts w:ascii="Times New Roman" w:cs="Times New Roman" w:eastAsia="Times New Roman" w:hAnsi="Times New Roman"/>
          <w:sz w:val="18"/>
          <w:szCs w:val="18"/>
          <w:color w:val="auto"/>
        </w:rPr>
        <w:t xml:space="preserve"> and connect with us on </w:t>
      </w:r>
      <w:r>
        <w:rPr>
          <w:rFonts w:ascii="Times New Roman" w:cs="Times New Roman" w:eastAsia="Times New Roman" w:hAnsi="Times New Roman"/>
          <w:sz w:val="18"/>
          <w:szCs w:val="18"/>
          <w:color w:val="0000FF"/>
        </w:rPr>
        <w:t>X (formerly known as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FF"/>
        </w:rPr>
        <w:t>Twitter)</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LinkedIn </w:t>
      </w:r>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FF"/>
        </w:rPr>
        <w:t xml:space="preserve"> Facebook</w:t>
      </w:r>
      <w:r>
        <w:rPr>
          <w:rFonts w:ascii="Times New Roman" w:cs="Times New Roman" w:eastAsia="Times New Roman" w:hAnsi="Times New Roman"/>
          <w:sz w:val="18"/>
          <w:szCs w:val="18"/>
          <w:color w:val="000000"/>
        </w:rPr>
        <w:t>.</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31"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To the extent that statements contained in this press release are not descriptions of historical facts regarding Ardelyx, they are forward-looking statements reflecting the current beliefs and expectations of management made pursuant to the safe harbor of the Private Securities Reform Act of 1995, including Ardelyx’s current expectation regarding opportunities for continued IBSRELA and XPHOZAH adoption; projected U.S. net product sales revenue for IBSRELA for full year 2024; the company’s ability to execute and deliver on its goals and expand its business; and the company’s ability to protect patient access to XPHOZAH. Such forward-looking statements involve substantial risks and uncertainties that could cause Ardelyx's future results, performance or achievements to differ significantly from those expressed or implied by the forward-looking statements. Such risks and uncertainties include, among others, uncertainties associated with the development of, regulatory process for, and commercialization of drugs in the U.S. and internationally. Ardelyx undertakes no obligation to update or revise any forward-looking statements. For a further description of the risks and uncertainties that could cause actual results to differ from those expressed in these forward-looking statements, as well as risks relating to Ardelyx's business in general, please refer to Ardelyx's Quarterly Report on Form 10-Q filed with the Securities and Exchange Commission on October 31, 2024, and its future current and periodic reports to be filed with the Securities and Exchange Commission.</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and Media Contacts: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Caitlin Lowie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clowie@ardelyx.com</w:t>
      </w:r>
    </w:p>
    <w:p>
      <w:pPr>
        <w:sectPr>
          <w:pgSz w:w="11900" w:h="16838" w:orient="portrait"/>
          <w:cols w:equalWidth="0" w:num="1">
            <w:col w:w="11240"/>
          </w:cols>
          <w:pgMar w:left="320" w:top="887" w:right="339" w:bottom="1440" w:gutter="0" w:footer="0" w:header="0"/>
        </w:sectPr>
      </w:pPr>
    </w:p>
    <w:bookmarkStart w:id="7" w:name="page8"/>
    <w:bookmarkEnd w:id="7"/>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6268720</wp:posOffset>
            </wp:positionH>
            <wp:positionV relativeFrom="page">
              <wp:posOffset>200025</wp:posOffset>
            </wp:positionV>
            <wp:extent cx="1071245" cy="3346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071245" cy="334645"/>
                    </a:xfrm>
                    <a:prstGeom prst="rect">
                      <a:avLst/>
                    </a:prstGeom>
                    <a:noFill/>
                  </pic:spPr>
                </pic:pic>
              </a:graphicData>
            </a:graphic>
          </wp:anchor>
        </w:drawing>
        <w:t>Ardelyx, Inc.</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Condensed Balance Sheets</w:t>
      </w:r>
    </w:p>
    <w:p>
      <w:pPr>
        <w:spacing w:after="0" w:line="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200" w:type="dxa"/>
            <w:vAlign w:val="bottom"/>
          </w:tcPr>
          <w:p>
            <w:pPr>
              <w:spacing w:after="0"/>
              <w:rPr>
                <w:sz w:val="16"/>
                <w:szCs w:val="16"/>
                <w:color w:val="auto"/>
              </w:rPr>
            </w:pPr>
          </w:p>
        </w:tc>
        <w:tc>
          <w:tcPr>
            <w:tcW w:w="160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
        </w:trPr>
        <w:tc>
          <w:tcPr>
            <w:tcW w:w="7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190"/>
        </w:trPr>
        <w:tc>
          <w:tcPr>
            <w:tcW w:w="736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600" w:type="dxa"/>
            <w:vAlign w:val="bottom"/>
            <w:tcBorders>
              <w:top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600" w:type="dxa"/>
            <w:vAlign w:val="bottom"/>
            <w:tcBorders>
              <w:top w:val="single" w:sz="8" w:color="auto"/>
            </w:tcBorders>
          </w:tcPr>
          <w:p>
            <w:pPr>
              <w:jc w:val="right"/>
              <w:ind w:right="732"/>
              <w:spacing w:after="0"/>
              <w:rPr>
                <w:sz w:val="20"/>
                <w:szCs w:val="20"/>
                <w:color w:val="auto"/>
              </w:rPr>
            </w:pPr>
            <w:r>
              <w:rPr>
                <w:rFonts w:ascii="Times New Roman" w:cs="Times New Roman" w:eastAsia="Times New Roman" w:hAnsi="Times New Roman"/>
                <w:sz w:val="14"/>
                <w:szCs w:val="14"/>
                <w:b w:val="1"/>
                <w:bCs w:val="1"/>
                <w:color w:val="auto"/>
              </w:rPr>
              <w:t>(1)</w:t>
            </w:r>
          </w:p>
        </w:tc>
      </w:tr>
      <w:tr>
        <w:trPr>
          <w:trHeight w:val="236"/>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r>
      <w:tr>
        <w:trPr>
          <w:trHeight w:val="229"/>
        </w:trPr>
        <w:tc>
          <w:tcPr>
            <w:tcW w:w="7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47,429</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21,470</w:t>
            </w:r>
          </w:p>
        </w:tc>
      </w:tr>
      <w:tr>
        <w:trPr>
          <w:trHeight w:val="230"/>
        </w:trPr>
        <w:tc>
          <w:tcPr>
            <w:tcW w:w="73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Investments</w:t>
            </w: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142,973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162,829</w:t>
            </w:r>
          </w:p>
        </w:tc>
      </w:tr>
      <w:tr>
        <w:trPr>
          <w:trHeight w:val="229"/>
        </w:trPr>
        <w:tc>
          <w:tcPr>
            <w:tcW w:w="7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Accounts receivable</w:t>
            </w: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53,195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22,031</w:t>
            </w:r>
          </w:p>
        </w:tc>
      </w:tr>
      <w:tr>
        <w:trPr>
          <w:trHeight w:val="230"/>
        </w:trPr>
        <w:tc>
          <w:tcPr>
            <w:tcW w:w="73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Prepaid commercial manufacturing</w:t>
            </w: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16,663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18,925</w:t>
            </w:r>
          </w:p>
        </w:tc>
      </w:tr>
      <w:tr>
        <w:trPr>
          <w:trHeight w:val="229"/>
        </w:trPr>
        <w:tc>
          <w:tcPr>
            <w:tcW w:w="7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Prepaid commercial manufacturing, non-current</w:t>
            </w:r>
          </w:p>
        </w:tc>
        <w:tc>
          <w:tcPr>
            <w:tcW w:w="200" w:type="dxa"/>
            <w:vAlign w:val="bottom"/>
          </w:tcPr>
          <w:p>
            <w:pPr>
              <w:spacing w:after="0"/>
              <w:rPr>
                <w:sz w:val="19"/>
                <w:szCs w:val="19"/>
                <w:color w:val="auto"/>
              </w:rPr>
            </w:pPr>
          </w:p>
        </w:tc>
        <w:tc>
          <w:tcPr>
            <w:tcW w:w="1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4,235</w:t>
            </w:r>
          </w:p>
        </w:tc>
      </w:tr>
      <w:tr>
        <w:trPr>
          <w:trHeight w:val="229"/>
        </w:trPr>
        <w:tc>
          <w:tcPr>
            <w:tcW w:w="73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Inventory, current</w:t>
            </w: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12,448</w:t>
            </w:r>
          </w:p>
        </w:tc>
      </w:tr>
      <w:tr>
        <w:trPr>
          <w:trHeight w:val="230"/>
        </w:trPr>
        <w:tc>
          <w:tcPr>
            <w:tcW w:w="7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Inventory, non-current</w:t>
            </w: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73,780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37,039</w:t>
            </w:r>
          </w:p>
        </w:tc>
      </w:tr>
      <w:tr>
        <w:trPr>
          <w:trHeight w:val="229"/>
        </w:trPr>
        <w:tc>
          <w:tcPr>
            <w:tcW w:w="73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w:t>
            </w:r>
          </w:p>
        </w:tc>
      </w:tr>
      <w:tr>
        <w:trPr>
          <w:trHeight w:val="229"/>
        </w:trPr>
        <w:tc>
          <w:tcPr>
            <w:tcW w:w="7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Right-of-use assets</w:t>
            </w: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5,589</w:t>
            </w:r>
          </w:p>
        </w:tc>
      </w:tr>
      <w:tr>
        <w:trPr>
          <w:trHeight w:val="230"/>
        </w:trPr>
        <w:tc>
          <w:tcPr>
            <w:tcW w:w="73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Prepaid and other assets</w:t>
            </w:r>
          </w:p>
        </w:tc>
        <w:tc>
          <w:tcPr>
            <w:tcW w:w="20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17,792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12,004</w:t>
            </w:r>
          </w:p>
        </w:tc>
      </w:tr>
      <w:tr>
        <w:trPr>
          <w:trHeight w:val="223"/>
        </w:trPr>
        <w:tc>
          <w:tcPr>
            <w:tcW w:w="7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367,863</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297,579</w:t>
            </w:r>
          </w:p>
        </w:tc>
      </w:tr>
      <w:tr>
        <w:trPr>
          <w:trHeight w:val="20"/>
        </w:trPr>
        <w:tc>
          <w:tcPr>
            <w:tcW w:w="73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r>
        <w:trPr>
          <w:trHeight w:val="224"/>
        </w:trPr>
        <w:tc>
          <w:tcPr>
            <w:tcW w:w="73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r>
      <w:tr>
        <w:trPr>
          <w:trHeight w:val="229"/>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29"/>
        </w:trPr>
        <w:tc>
          <w:tcPr>
            <w:tcW w:w="7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15,824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11,138</w:t>
            </w:r>
          </w:p>
        </w:tc>
      </w:tr>
      <w:tr>
        <w:trPr>
          <w:trHeight w:val="230"/>
        </w:trPr>
        <w:tc>
          <w:tcPr>
            <w:tcW w:w="7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11,541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12,597</w:t>
            </w:r>
          </w:p>
        </w:tc>
      </w:tr>
      <w:tr>
        <w:trPr>
          <w:trHeight w:val="229"/>
        </w:trPr>
        <w:tc>
          <w:tcPr>
            <w:tcW w:w="73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Current portion of operating lease liability</w:t>
            </w: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4,435</w:t>
            </w:r>
          </w:p>
        </w:tc>
      </w:tr>
      <w:tr>
        <w:trPr>
          <w:trHeight w:val="230"/>
        </w:trPr>
        <w:tc>
          <w:tcPr>
            <w:tcW w:w="7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Deferred revenue</w:t>
            </w: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20,042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15,826</w:t>
            </w:r>
          </w:p>
        </w:tc>
      </w:tr>
      <w:tr>
        <w:trPr>
          <w:trHeight w:val="230"/>
        </w:trPr>
        <w:tc>
          <w:tcPr>
            <w:tcW w:w="73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33,295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15,041</w:t>
            </w:r>
          </w:p>
        </w:tc>
      </w:tr>
      <w:tr>
        <w:trPr>
          <w:trHeight w:val="230"/>
        </w:trPr>
        <w:tc>
          <w:tcPr>
            <w:tcW w:w="7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Operating lease liability, net of current portion</w:t>
            </w: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1,725</w:t>
            </w:r>
          </w:p>
        </w:tc>
      </w:tr>
      <w:tr>
        <w:trPr>
          <w:trHeight w:val="229"/>
        </w:trPr>
        <w:tc>
          <w:tcPr>
            <w:tcW w:w="73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Long-term debt</w:t>
            </w: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100,707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49,822</w:t>
            </w:r>
          </w:p>
        </w:tc>
      </w:tr>
      <w:tr>
        <w:trPr>
          <w:trHeight w:val="230"/>
        </w:trPr>
        <w:tc>
          <w:tcPr>
            <w:tcW w:w="7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Deferred royalty obligation related to the sale of future royalties</w:t>
            </w: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24,372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20,179</w:t>
            </w:r>
          </w:p>
        </w:tc>
      </w:tr>
      <w:tr>
        <w:trPr>
          <w:trHeight w:val="230"/>
        </w:trPr>
        <w:tc>
          <w:tcPr>
            <w:tcW w:w="73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Stockholders' equity</w:t>
            </w:r>
          </w:p>
        </w:tc>
        <w:tc>
          <w:tcPr>
            <w:tcW w:w="20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158,297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166,816</w:t>
            </w:r>
          </w:p>
        </w:tc>
      </w:tr>
      <w:tr>
        <w:trPr>
          <w:trHeight w:val="223"/>
        </w:trPr>
        <w:tc>
          <w:tcPr>
            <w:tcW w:w="7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367,863</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297,579</w:t>
            </w:r>
          </w:p>
        </w:tc>
      </w:tr>
      <w:tr>
        <w:trPr>
          <w:trHeight w:val="20"/>
        </w:trPr>
        <w:tc>
          <w:tcPr>
            <w:tcW w:w="7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Derived from the audited financial statements included in the Company’s Annual Report on Form 10-K for the year ended December 31, 2023.</w:t>
      </w:r>
    </w:p>
    <w:p>
      <w:pPr>
        <w:sectPr>
          <w:pgSz w:w="11900" w:h="16838" w:orient="portrait"/>
          <w:cols w:equalWidth="0" w:num="1">
            <w:col w:w="11060"/>
          </w:cols>
          <w:pgMar w:left="320" w:top="1427" w:right="519" w:bottom="1440" w:gutter="0" w:footer="0" w:header="0"/>
        </w:sectPr>
      </w:pPr>
    </w:p>
    <w:bookmarkStart w:id="8" w:name="page9"/>
    <w:bookmarkEnd w:id="8"/>
    <w:p>
      <w:pPr>
        <w:spacing w:after="0" w:line="17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6268720</wp:posOffset>
            </wp:positionH>
            <wp:positionV relativeFrom="page">
              <wp:posOffset>200025</wp:posOffset>
            </wp:positionV>
            <wp:extent cx="1071245" cy="3346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1071245" cy="33464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b w:val="1"/>
          <w:bCs w:val="1"/>
          <w:color w:val="auto"/>
        </w:rPr>
        <w:t>Ardelyx,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140" w:type="dxa"/>
            <w:vAlign w:val="bottom"/>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20" w:type="dxa"/>
            <w:vAlign w:val="bottom"/>
          </w:tcPr>
          <w:p>
            <w:pPr>
              <w:spacing w:after="0"/>
              <w:rPr>
                <w:sz w:val="20"/>
                <w:szCs w:val="20"/>
                <w:color w:val="auto"/>
              </w:rPr>
            </w:pPr>
          </w:p>
        </w:tc>
        <w:tc>
          <w:tcPr>
            <w:tcW w:w="2860" w:type="dxa"/>
            <w:vAlign w:val="bottom"/>
            <w:gridSpan w:val="4"/>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9"/>
              </w:rPr>
              <w:t>Nine Months Ended September 30,</w:t>
            </w:r>
          </w:p>
        </w:tc>
        <w:tc>
          <w:tcPr>
            <w:tcW w:w="0" w:type="dxa"/>
            <w:vAlign w:val="bottom"/>
          </w:tcPr>
          <w:p>
            <w:pPr>
              <w:spacing w:after="0"/>
              <w:rPr>
                <w:sz w:val="1"/>
                <w:szCs w:val="1"/>
                <w:color w:val="auto"/>
              </w:rPr>
            </w:pPr>
          </w:p>
        </w:tc>
      </w:tr>
      <w:tr>
        <w:trPr>
          <w:trHeight w:val="223"/>
        </w:trPr>
        <w:tc>
          <w:tcPr>
            <w:tcW w:w="466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10"/>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Product sales, net:</w:t>
            </w:r>
          </w:p>
        </w:tc>
        <w:tc>
          <w:tcPr>
            <w:tcW w:w="1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IBSRELA</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40,638</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22,285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104,444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51,949</w:t>
            </w:r>
          </w:p>
        </w:tc>
        <w:tc>
          <w:tcPr>
            <w:tcW w:w="0" w:type="dxa"/>
            <w:vAlign w:val="bottom"/>
          </w:tcPr>
          <w:p>
            <w:pPr>
              <w:spacing w:after="0"/>
              <w:rPr>
                <w:sz w:val="1"/>
                <w:szCs w:val="1"/>
                <w:color w:val="auto"/>
              </w:rPr>
            </w:pPr>
          </w:p>
        </w:tc>
      </w:tr>
      <w:tr>
        <w:trPr>
          <w:trHeight w:val="230"/>
        </w:trPr>
        <w:tc>
          <w:tcPr>
            <w:tcW w:w="4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XPHOZAH</w:t>
            </w:r>
          </w:p>
        </w:tc>
        <w:tc>
          <w:tcPr>
            <w:tcW w:w="1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51,452</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103,749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product sales, net</w:t>
            </w:r>
          </w:p>
        </w:tc>
        <w:tc>
          <w:tcPr>
            <w:tcW w:w="140" w:type="dxa"/>
            <w:vAlign w:val="bottom"/>
            <w:tcBorders>
              <w:top w:val="single" w:sz="8" w:color="auto"/>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92,090</w:t>
            </w: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22,285</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208,193</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51,949</w:t>
            </w:r>
          </w:p>
        </w:tc>
        <w:tc>
          <w:tcPr>
            <w:tcW w:w="0" w:type="dxa"/>
            <w:vAlign w:val="bottom"/>
          </w:tcPr>
          <w:p>
            <w:pPr>
              <w:spacing w:after="0"/>
              <w:rPr>
                <w:sz w:val="1"/>
                <w:szCs w:val="1"/>
                <w:color w:val="auto"/>
              </w:rPr>
            </w:pPr>
          </w:p>
        </w:tc>
      </w:tr>
      <w:tr>
        <w:trPr>
          <w:trHeight w:val="230"/>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Product supply revenue</w:t>
            </w:r>
          </w:p>
        </w:tc>
        <w:tc>
          <w:tcPr>
            <w:tcW w:w="1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5,322</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5,354</w:t>
            </w:r>
          </w:p>
        </w:tc>
        <w:tc>
          <w:tcPr>
            <w:tcW w:w="0" w:type="dxa"/>
            <w:vAlign w:val="bottom"/>
          </w:tcPr>
          <w:p>
            <w:pPr>
              <w:spacing w:after="0"/>
              <w:rPr>
                <w:sz w:val="1"/>
                <w:szCs w:val="1"/>
                <w:color w:val="auto"/>
              </w:rPr>
            </w:pPr>
          </w:p>
        </w:tc>
      </w:tr>
      <w:tr>
        <w:trPr>
          <w:trHeight w:val="229"/>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Licensing revenue</w:t>
            </w: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32,014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32,790</w:t>
            </w:r>
          </w:p>
        </w:tc>
        <w:tc>
          <w:tcPr>
            <w:tcW w:w="0" w:type="dxa"/>
            <w:vAlign w:val="bottom"/>
          </w:tcPr>
          <w:p>
            <w:pPr>
              <w:spacing w:after="0"/>
              <w:rPr>
                <w:sz w:val="1"/>
                <w:szCs w:val="1"/>
                <w:color w:val="auto"/>
              </w:rPr>
            </w:pPr>
          </w:p>
        </w:tc>
      </w:tr>
      <w:tr>
        <w:trPr>
          <w:trHeight w:val="176"/>
        </w:trPr>
        <w:tc>
          <w:tcPr>
            <w:tcW w:w="466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Non-cash royalty revenue related to the sale of future</w:t>
            </w:r>
          </w:p>
        </w:tc>
        <w:tc>
          <w:tcPr>
            <w:tcW w:w="1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royalties</w:t>
            </w:r>
          </w:p>
        </w:tc>
        <w:tc>
          <w:tcPr>
            <w:tcW w:w="1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66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revenues</w:t>
            </w: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98,241</w:t>
            </w: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56,391</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217,486</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90,093</w:t>
            </w:r>
          </w:p>
        </w:tc>
        <w:tc>
          <w:tcPr>
            <w:tcW w:w="0" w:type="dxa"/>
            <w:vAlign w:val="bottom"/>
          </w:tcPr>
          <w:p>
            <w:pPr>
              <w:spacing w:after="0"/>
              <w:rPr>
                <w:sz w:val="1"/>
                <w:szCs w:val="1"/>
                <w:color w:val="auto"/>
              </w:rPr>
            </w:pPr>
          </w:p>
        </w:tc>
      </w:tr>
      <w:tr>
        <w:trPr>
          <w:trHeight w:val="209"/>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Cost of goods sold:</w:t>
            </w: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Cost of product sales</w:t>
            </w: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1,508</w:t>
            </w:r>
          </w:p>
        </w:tc>
        <w:tc>
          <w:tcPr>
            <w:tcW w:w="0" w:type="dxa"/>
            <w:vAlign w:val="bottom"/>
          </w:tcPr>
          <w:p>
            <w:pPr>
              <w:spacing w:after="0"/>
              <w:rPr>
                <w:sz w:val="1"/>
                <w:szCs w:val="1"/>
                <w:color w:val="auto"/>
              </w:rPr>
            </w:pPr>
          </w:p>
        </w:tc>
      </w:tr>
      <w:tr>
        <w:trPr>
          <w:trHeight w:val="229"/>
        </w:trPr>
        <w:tc>
          <w:tcPr>
            <w:tcW w:w="46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cost of revenue</w:t>
            </w:r>
          </w:p>
        </w:tc>
        <w:tc>
          <w:tcPr>
            <w:tcW w:w="1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14,013</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7,048</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28,159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11,210</w:t>
            </w:r>
          </w:p>
        </w:tc>
        <w:tc>
          <w:tcPr>
            <w:tcW w:w="0" w:type="dxa"/>
            <w:vAlign w:val="bottom"/>
          </w:tcPr>
          <w:p>
            <w:pPr>
              <w:spacing w:after="0"/>
              <w:rPr>
                <w:sz w:val="1"/>
                <w:szCs w:val="1"/>
                <w:color w:val="auto"/>
              </w:rPr>
            </w:pPr>
          </w:p>
        </w:tc>
      </w:tr>
      <w:tr>
        <w:trPr>
          <w:trHeight w:val="223"/>
        </w:trPr>
        <w:tc>
          <w:tcPr>
            <w:tcW w:w="4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cost of goods sold</w:t>
            </w:r>
          </w:p>
        </w:tc>
        <w:tc>
          <w:tcPr>
            <w:tcW w:w="1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15,728</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7,692</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32,292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12,718</w:t>
            </w:r>
          </w:p>
        </w:tc>
        <w:tc>
          <w:tcPr>
            <w:tcW w:w="0" w:type="dxa"/>
            <w:vAlign w:val="bottom"/>
          </w:tcPr>
          <w:p>
            <w:pPr>
              <w:spacing w:after="0"/>
              <w:rPr>
                <w:sz w:val="1"/>
                <w:szCs w:val="1"/>
                <w:color w:val="auto"/>
              </w:rPr>
            </w:pPr>
          </w:p>
        </w:tc>
      </w:tr>
      <w:tr>
        <w:trPr>
          <w:trHeight w:val="209"/>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15,310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38,651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26,012</w:t>
            </w:r>
          </w:p>
        </w:tc>
        <w:tc>
          <w:tcPr>
            <w:tcW w:w="0" w:type="dxa"/>
            <w:vAlign w:val="bottom"/>
          </w:tcPr>
          <w:p>
            <w:pPr>
              <w:spacing w:after="0"/>
              <w:rPr>
                <w:sz w:val="1"/>
                <w:szCs w:val="1"/>
                <w:color w:val="auto"/>
              </w:rPr>
            </w:pPr>
          </w:p>
        </w:tc>
      </w:tr>
      <w:tr>
        <w:trPr>
          <w:trHeight w:val="229"/>
        </w:trPr>
        <w:tc>
          <w:tcPr>
            <w:tcW w:w="46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64,970</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32,664</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182,618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86,653</w:t>
            </w:r>
          </w:p>
        </w:tc>
        <w:tc>
          <w:tcPr>
            <w:tcW w:w="0" w:type="dxa"/>
            <w:vAlign w:val="bottom"/>
          </w:tcPr>
          <w:p>
            <w:pPr>
              <w:spacing w:after="0"/>
              <w:rPr>
                <w:sz w:val="1"/>
                <w:szCs w:val="1"/>
                <w:color w:val="auto"/>
              </w:rPr>
            </w:pPr>
          </w:p>
        </w:tc>
      </w:tr>
      <w:tr>
        <w:trPr>
          <w:trHeight w:val="223"/>
        </w:trPr>
        <w:tc>
          <w:tcPr>
            <w:tcW w:w="4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80,280</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41,301</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221,269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112,665</w:t>
            </w:r>
          </w:p>
        </w:tc>
        <w:tc>
          <w:tcPr>
            <w:tcW w:w="0" w:type="dxa"/>
            <w:vAlign w:val="bottom"/>
          </w:tcPr>
          <w:p>
            <w:pPr>
              <w:spacing w:after="0"/>
              <w:rPr>
                <w:sz w:val="1"/>
                <w:szCs w:val="1"/>
                <w:color w:val="auto"/>
              </w:rPr>
            </w:pPr>
          </w:p>
        </w:tc>
      </w:tr>
      <w:tr>
        <w:trPr>
          <w:trHeight w:val="223"/>
        </w:trPr>
        <w:tc>
          <w:tcPr>
            <w:tcW w:w="4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1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2,233</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(36,075)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(35,290)</w:t>
            </w:r>
          </w:p>
        </w:tc>
        <w:tc>
          <w:tcPr>
            <w:tcW w:w="0" w:type="dxa"/>
            <w:vAlign w:val="bottom"/>
          </w:tcPr>
          <w:p>
            <w:pPr>
              <w:spacing w:after="0"/>
              <w:rPr>
                <w:sz w:val="1"/>
                <w:szCs w:val="1"/>
                <w:color w:val="auto"/>
              </w:rPr>
            </w:pPr>
          </w:p>
        </w:tc>
      </w:tr>
      <w:tr>
        <w:trPr>
          <w:trHeight w:val="230"/>
        </w:trPr>
        <w:tc>
          <w:tcPr>
            <w:tcW w:w="4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(3,357)</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(3,210)</w:t>
            </w:r>
          </w:p>
        </w:tc>
        <w:tc>
          <w:tcPr>
            <w:tcW w:w="0" w:type="dxa"/>
            <w:vAlign w:val="bottom"/>
          </w:tcPr>
          <w:p>
            <w:pPr>
              <w:spacing w:after="0"/>
              <w:rPr>
                <w:sz w:val="1"/>
                <w:szCs w:val="1"/>
                <w:color w:val="auto"/>
              </w:rPr>
            </w:pPr>
          </w:p>
        </w:tc>
      </w:tr>
      <w:tr>
        <w:trPr>
          <w:trHeight w:val="175"/>
        </w:trPr>
        <w:tc>
          <w:tcPr>
            <w:tcW w:w="466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Non-cash interest expense related to the sale of future</w:t>
            </w:r>
          </w:p>
        </w:tc>
        <w:tc>
          <w:tcPr>
            <w:tcW w:w="1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royalties</w:t>
            </w:r>
          </w:p>
        </w:tc>
        <w:tc>
          <w:tcPr>
            <w:tcW w:w="1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(1,924)</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(2,859)</w:t>
            </w:r>
          </w:p>
        </w:tc>
        <w:tc>
          <w:tcPr>
            <w:tcW w:w="0" w:type="dxa"/>
            <w:vAlign w:val="bottom"/>
          </w:tcPr>
          <w:p>
            <w:pPr>
              <w:spacing w:after="0"/>
              <w:rPr>
                <w:sz w:val="1"/>
                <w:szCs w:val="1"/>
                <w:color w:val="auto"/>
              </w:rPr>
            </w:pPr>
          </w:p>
        </w:tc>
      </w:tr>
      <w:tr>
        <w:trPr>
          <w:trHeight w:val="230"/>
        </w:trPr>
        <w:tc>
          <w:tcPr>
            <w:tcW w:w="4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income, net</w:t>
            </w:r>
          </w:p>
        </w:tc>
        <w:tc>
          <w:tcPr>
            <w:tcW w:w="1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2,282</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1,460</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4,308</w:t>
            </w:r>
          </w:p>
        </w:tc>
        <w:tc>
          <w:tcPr>
            <w:tcW w:w="0" w:type="dxa"/>
            <w:vAlign w:val="bottom"/>
          </w:tcPr>
          <w:p>
            <w:pPr>
              <w:spacing w:after="0"/>
              <w:rPr>
                <w:sz w:val="1"/>
                <w:szCs w:val="1"/>
                <w:color w:val="auto"/>
              </w:rPr>
            </w:pPr>
          </w:p>
        </w:tc>
      </w:tr>
      <w:tr>
        <w:trPr>
          <w:trHeight w:val="223"/>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(loss) before provision for income taxes</w:t>
            </w:r>
          </w:p>
        </w:tc>
        <w:tc>
          <w:tcPr>
            <w:tcW w:w="1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(43,550)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(37,051)</w:t>
            </w:r>
          </w:p>
        </w:tc>
        <w:tc>
          <w:tcPr>
            <w:tcW w:w="0" w:type="dxa"/>
            <w:vAlign w:val="bottom"/>
          </w:tcPr>
          <w:p>
            <w:pPr>
              <w:spacing w:after="0"/>
              <w:rPr>
                <w:sz w:val="1"/>
                <w:szCs w:val="1"/>
                <w:color w:val="auto"/>
              </w:rPr>
            </w:pPr>
          </w:p>
        </w:tc>
      </w:tr>
      <w:tr>
        <w:trPr>
          <w:trHeight w:val="229"/>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Provision for income taxes</w:t>
            </w:r>
          </w:p>
        </w:tc>
        <w:tc>
          <w:tcPr>
            <w:tcW w:w="1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0" w:type="dxa"/>
            <w:vAlign w:val="bottom"/>
          </w:tcPr>
          <w:p>
            <w:pPr>
              <w:spacing w:after="0"/>
              <w:rPr>
                <w:sz w:val="1"/>
                <w:szCs w:val="1"/>
                <w:color w:val="auto"/>
              </w:rPr>
            </w:pPr>
          </w:p>
        </w:tc>
      </w:tr>
      <w:tr>
        <w:trPr>
          <w:trHeight w:val="223"/>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(809)</w:t>
            </w: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6,629</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(43,781)</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(37,265)</w:t>
            </w:r>
          </w:p>
        </w:tc>
        <w:tc>
          <w:tcPr>
            <w:tcW w:w="0" w:type="dxa"/>
            <w:vAlign w:val="bottom"/>
          </w:tcPr>
          <w:p>
            <w:pPr>
              <w:spacing w:after="0"/>
              <w:rPr>
                <w:sz w:val="1"/>
                <w:szCs w:val="1"/>
                <w:color w:val="auto"/>
              </w:rPr>
            </w:pPr>
          </w:p>
        </w:tc>
      </w:tr>
      <w:tr>
        <w:trPr>
          <w:trHeight w:val="20"/>
        </w:trPr>
        <w:tc>
          <w:tcPr>
            <w:tcW w:w="46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66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6"/>
                <w:szCs w:val="16"/>
                <w:b w:val="1"/>
                <w:bCs w:val="1"/>
                <w:color w:val="auto"/>
              </w:rPr>
              <w:t>Net income (loss) per share of common stock - basic and</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80" w:type="dxa"/>
            <w:vAlign w:val="bottom"/>
            <w:shd w:val="clear" w:color="auto" w:fill="CCEEFF"/>
          </w:tcPr>
          <w:p>
            <w:pPr>
              <w:spacing w:after="0"/>
              <w:rPr>
                <w:sz w:val="12"/>
                <w:szCs w:val="12"/>
                <w:color w:val="auto"/>
              </w:rPr>
            </w:pPr>
          </w:p>
        </w:tc>
        <w:tc>
          <w:tcPr>
            <w:tcW w:w="320" w:type="dxa"/>
            <w:vAlign w:val="bottom"/>
            <w:vMerge w:val="restart"/>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100" w:type="dxa"/>
            <w:vAlign w:val="bottom"/>
            <w:shd w:val="clear" w:color="auto" w:fill="CCEEFF"/>
          </w:tcPr>
          <w:p>
            <w:pPr>
              <w:spacing w:after="0"/>
              <w:rPr>
                <w:sz w:val="12"/>
                <w:szCs w:val="12"/>
                <w:color w:val="auto"/>
              </w:rPr>
            </w:pPr>
          </w:p>
        </w:tc>
        <w:tc>
          <w:tcPr>
            <w:tcW w:w="22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0" w:type="dxa"/>
            <w:vAlign w:val="bottom"/>
          </w:tcPr>
          <w:p>
            <w:pPr>
              <w:spacing w:after="0"/>
              <w:rPr>
                <w:sz w:val="1"/>
                <w:szCs w:val="1"/>
                <w:color w:val="auto"/>
              </w:rPr>
            </w:pPr>
          </w:p>
        </w:tc>
      </w:tr>
      <w:tr>
        <w:trPr>
          <w:trHeight w:val="236"/>
        </w:trPr>
        <w:tc>
          <w:tcPr>
            <w:tcW w:w="4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diluted</w:t>
            </w: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48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vMerge w:val="continue"/>
            <w:shd w:val="clear" w:color="auto" w:fill="CCEEFF"/>
          </w:tcPr>
          <w:p>
            <w:pPr>
              <w:spacing w:after="0"/>
              <w:rPr>
                <w:sz w:val="20"/>
                <w:szCs w:val="20"/>
                <w:color w:val="auto"/>
              </w:rPr>
            </w:pPr>
          </w:p>
        </w:tc>
        <w:tc>
          <w:tcPr>
            <w:tcW w:w="11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14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vMerge w:val="continue"/>
            <w:shd w:val="clear" w:color="auto" w:fill="CCEEFF"/>
          </w:tcPr>
          <w:p>
            <w:pPr>
              <w:spacing w:after="0"/>
              <w:rPr>
                <w:sz w:val="20"/>
                <w:szCs w:val="20"/>
                <w:color w:val="auto"/>
              </w:rPr>
            </w:pPr>
          </w:p>
        </w:tc>
        <w:tc>
          <w:tcPr>
            <w:tcW w:w="11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66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b w:val="1"/>
                <w:bCs w:val="1"/>
                <w:color w:val="auto"/>
              </w:rPr>
              <w:t>Shares used in computing net income (loss) per share - basic</w:t>
            </w:r>
          </w:p>
        </w:tc>
        <w:tc>
          <w:tcPr>
            <w:tcW w:w="1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235,911,399</w:t>
            </w:r>
          </w:p>
        </w:tc>
        <w:tc>
          <w:tcPr>
            <w:tcW w:w="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222,782,229</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234,516,305</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214,976,555</w:t>
            </w:r>
          </w:p>
        </w:tc>
        <w:tc>
          <w:tcPr>
            <w:tcW w:w="0" w:type="dxa"/>
            <w:vAlign w:val="bottom"/>
          </w:tcPr>
          <w:p>
            <w:pPr>
              <w:spacing w:after="0"/>
              <w:rPr>
                <w:sz w:val="1"/>
                <w:szCs w:val="1"/>
                <w:color w:val="auto"/>
              </w:rPr>
            </w:pPr>
          </w:p>
        </w:tc>
      </w:tr>
      <w:tr>
        <w:trPr>
          <w:trHeight w:val="20"/>
        </w:trPr>
        <w:tc>
          <w:tcPr>
            <w:tcW w:w="46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66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6"/>
                <w:szCs w:val="16"/>
                <w:b w:val="1"/>
                <w:bCs w:val="1"/>
                <w:color w:val="auto"/>
              </w:rPr>
              <w:t>Shares used in computing net (loss) income per share -</w:t>
            </w:r>
          </w:p>
        </w:tc>
        <w:tc>
          <w:tcPr>
            <w:tcW w:w="140" w:type="dxa"/>
            <w:vAlign w:val="bottom"/>
            <w:shd w:val="clear" w:color="auto" w:fill="CCEEFF"/>
          </w:tcPr>
          <w:p>
            <w:pPr>
              <w:spacing w:after="0"/>
              <w:rPr>
                <w:sz w:val="12"/>
                <w:szCs w:val="12"/>
                <w:color w:val="auto"/>
              </w:rPr>
            </w:pPr>
          </w:p>
        </w:tc>
        <w:tc>
          <w:tcPr>
            <w:tcW w:w="1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235,911,399</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227,894,335</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234,516,305</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214,976,555</w:t>
            </w:r>
          </w:p>
        </w:tc>
        <w:tc>
          <w:tcPr>
            <w:tcW w:w="0" w:type="dxa"/>
            <w:vAlign w:val="bottom"/>
          </w:tcPr>
          <w:p>
            <w:pPr>
              <w:spacing w:after="0"/>
              <w:rPr>
                <w:sz w:val="1"/>
                <w:szCs w:val="1"/>
                <w:color w:val="auto"/>
              </w:rPr>
            </w:pPr>
          </w:p>
        </w:tc>
      </w:tr>
      <w:tr>
        <w:trPr>
          <w:trHeight w:val="236"/>
        </w:trPr>
        <w:tc>
          <w:tcPr>
            <w:tcW w:w="4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diluted</w:t>
            </w:r>
          </w:p>
        </w:tc>
        <w:tc>
          <w:tcPr>
            <w:tcW w:w="140" w:type="dxa"/>
            <w:vAlign w:val="bottom"/>
            <w:tcBorders>
              <w:bottom w:val="single" w:sz="8" w:color="auto"/>
            </w:tcBorders>
            <w:shd w:val="clear" w:color="auto" w:fill="CCEEFF"/>
          </w:tcPr>
          <w:p>
            <w:pPr>
              <w:spacing w:after="0"/>
              <w:rPr>
                <w:sz w:val="20"/>
                <w:szCs w:val="20"/>
                <w:color w:val="auto"/>
              </w:rPr>
            </w:pPr>
          </w:p>
        </w:tc>
        <w:tc>
          <w:tcPr>
            <w:tcW w:w="148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0920"/>
      </w:cols>
      <w:pgMar w:left="480" w:top="1440"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lvl w:ilvl="1">
      <w:lvlJc w:val="left"/>
      <w:lvlText w:val="\endash "/>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2024-10-31T15:17:47Z</dcterms:created>
  <dcterms:modified xsi:type="dcterms:W3CDTF">2024-10-31T15:17:47Z</dcterms:modified>
</cp:coreProperties>
</file>