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8"/>
              </w:rPr>
              <w:t>34175 ARDENWOOD BLVD., FREMONT, CALIFORNIA 94555</w:t>
            </w:r>
          </w:p>
        </w:tc>
        <w:tc>
          <w:tcPr>
            <w:tcW w:w="2740" w:type="dxa"/>
            <w:vAlign w:val="bottom"/>
          </w:tcPr>
          <w:p>
            <w:pPr>
              <w:spacing w:after="0"/>
              <w:rPr>
                <w:sz w:val="24"/>
                <w:szCs w:val="24"/>
                <w:color w:val="auto"/>
              </w:rPr>
            </w:pPr>
          </w:p>
        </w:tc>
      </w:tr>
      <w:tr>
        <w:trPr>
          <w:trHeight w:val="212"/>
        </w:trPr>
        <w:tc>
          <w:tcPr>
            <w:tcW w:w="28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18"/>
                <w:szCs w:val="18"/>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August 13, 2021, Ardelyx, Inc. (the “Company”) announced its financial results for the fiscal quarter ended June 30, 2021. The full text of the press release issued in connection with the announcement is furnished as Exhibit 99.1 to this Current Report on Form 8-K.</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99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Pr>
          <w:p>
            <w:pPr>
              <w:ind w:left="20"/>
              <w:spacing w:after="0" w:line="20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0"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of Ardelyx, Inc.</w:t>
              </w:r>
            </w:hyperlink>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6268720</wp:posOffset>
            </wp:positionH>
            <wp:positionV relativeFrom="page">
              <wp:posOffset>88900</wp:posOffset>
            </wp:positionV>
            <wp:extent cx="1071245"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Exhibit 99.1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Second Quarter 2021 Financial Results</w:t>
      </w:r>
    </w:p>
    <w:p>
      <w:pPr>
        <w:spacing w:after="0" w:line="200" w:lineRule="exact"/>
        <w:rPr>
          <w:sz w:val="20"/>
          <w:szCs w:val="20"/>
          <w:color w:val="auto"/>
        </w:rPr>
      </w:pPr>
    </w:p>
    <w:p>
      <w:pPr>
        <w:spacing w:after="0" w:line="359" w:lineRule="exact"/>
        <w:rPr>
          <w:sz w:val="20"/>
          <w:szCs w:val="20"/>
          <w:color w:val="auto"/>
        </w:rPr>
      </w:pPr>
    </w:p>
    <w:p>
      <w:pPr>
        <w:ind w:right="200"/>
        <w:spacing w:after="0" w:line="354" w:lineRule="auto"/>
        <w:rPr>
          <w:sz w:val="20"/>
          <w:szCs w:val="20"/>
          <w:color w:val="auto"/>
        </w:rPr>
      </w:pPr>
      <w:r>
        <w:rPr>
          <w:rFonts w:ascii="Arial" w:cs="Arial" w:eastAsia="Arial" w:hAnsi="Arial"/>
          <w:sz w:val="22"/>
          <w:szCs w:val="22"/>
          <w:b w:val="1"/>
          <w:bCs w:val="1"/>
          <w:color w:val="auto"/>
        </w:rPr>
        <w:t xml:space="preserve">FREMONT, Calif. &amp; WALTHAM, Mass., August 13, 2021 </w:t>
      </w:r>
      <w:r>
        <w:rPr>
          <w:rFonts w:ascii="Arial" w:cs="Arial" w:eastAsia="Arial" w:hAnsi="Arial"/>
          <w:sz w:val="22"/>
          <w:szCs w:val="22"/>
          <w:color w:val="auto"/>
        </w:rPr>
        <w:t>-- Ardelyx, Inc. (Nasdaq: ARDX), a biopharmaceutical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focused on the discovery, development, and commercialization of innovative first-in-class medicines to improve treatment for people with kidney and cardiorenal diseases, today reported business events and financial results for the second quarter ended June 30, 2021.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Events</w:t>
      </w:r>
    </w:p>
    <w:p>
      <w:pPr>
        <w:spacing w:after="0" w:line="361" w:lineRule="exact"/>
        <w:rPr>
          <w:sz w:val="20"/>
          <w:szCs w:val="20"/>
          <w:color w:val="auto"/>
        </w:rPr>
      </w:pPr>
    </w:p>
    <w:p>
      <w:pPr>
        <w:ind w:left="340" w:right="80" w:hanging="332"/>
        <w:spacing w:after="0" w:line="345" w:lineRule="auto"/>
        <w:tabs>
          <w:tab w:leader="none" w:pos="30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previously announced that the U.S. Food &amp; Drug Administration (FDA) issued a Complete Response Letter (CRL) for the New Drug Application (NDA) for tenapanor for the control of serum phosphorus in adult patients with chronic kidney disease (CKD) on dialysis. The company plans to request a Type A meeting with the FDA to discuss the CRL and potential next steps to support approval of the company’s NDA.</w:t>
      </w:r>
    </w:p>
    <w:p>
      <w:pPr>
        <w:spacing w:after="0" w:line="3" w:lineRule="exact"/>
        <w:rPr>
          <w:rFonts w:ascii="Arial" w:cs="Arial" w:eastAsia="Arial" w:hAnsi="Arial"/>
          <w:sz w:val="22"/>
          <w:szCs w:val="22"/>
          <w:color w:val="auto"/>
        </w:rPr>
      </w:pPr>
    </w:p>
    <w:p>
      <w:pPr>
        <w:ind w:left="340" w:right="140" w:hanging="332"/>
        <w:spacing w:after="0" w:line="400" w:lineRule="auto"/>
        <w:tabs>
          <w:tab w:leader="none" w:pos="335"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August 2, 2021, the company began implementing a restructuring plan to better align the company’s workforce and anticipated commercial and development spend with the company’s capital resources and the needs of its business following the receipt of the CRL. In connection with the restructuring, the company estimates that it will incur aggregate restructuring charges of approximately $3.4 million, which will be recorded primarily in the third quarter 2021, related to one-time termination notice and severance payments and other employee-related costs. The company expects that the workforce reduction will decrease its annual cash compensation costs by approximately $17 million.</w:t>
      </w:r>
    </w:p>
    <w:p>
      <w:pPr>
        <w:spacing w:after="0" w:line="2" w:lineRule="exact"/>
        <w:rPr>
          <w:rFonts w:ascii="Arial" w:cs="Arial" w:eastAsia="Arial" w:hAnsi="Arial"/>
          <w:sz w:val="19"/>
          <w:szCs w:val="19"/>
          <w:color w:val="auto"/>
        </w:rPr>
      </w:pPr>
    </w:p>
    <w:p>
      <w:pPr>
        <w:ind w:left="340" w:right="180" w:hanging="332"/>
        <w:spacing w:after="0" w:line="366"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Separately, two presentations further highlighting promising tenapanor data were given at the European Renal Association – European Dialysis and Transplant Association (ERA-EDTA) Virtual Congress 2021.</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2021 Financial Results</w:t>
      </w:r>
    </w:p>
    <w:p>
      <w:pPr>
        <w:spacing w:after="0" w:line="301" w:lineRule="exact"/>
        <w:rPr>
          <w:sz w:val="20"/>
          <w:szCs w:val="20"/>
          <w:color w:val="auto"/>
        </w:rPr>
      </w:pPr>
    </w:p>
    <w:p>
      <w:pPr>
        <w:ind w:left="340" w:right="200" w:hanging="332"/>
        <w:spacing w:after="0" w:line="468" w:lineRule="auto"/>
        <w:tabs>
          <w:tab w:leader="none" w:pos="308"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As of June 30, 2021, Ardelyx had total cash, cash equivalents and short-term investments of $171.8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as compared to total cash, cash equivalents and investments of $188.6 million as of December 31, 2020.</w:t>
      </w:r>
    </w:p>
    <w:p>
      <w:pPr>
        <w:sectPr>
          <w:pgSz w:w="11900" w:h="16838" w:orient="portrait"/>
          <w:cols w:equalWidth="0" w:num="1">
            <w:col w:w="11240"/>
          </w:cols>
          <w:pgMar w:left="320" w:top="1071" w:right="339" w:bottom="1440" w:gutter="0" w:footer="0" w:header="0"/>
        </w:sectPr>
      </w:pPr>
    </w:p>
    <w:bookmarkStart w:id="4" w:name="page5"/>
    <w:bookmarkEnd w:id="4"/>
    <w:p>
      <w:pPr>
        <w:ind w:left="340" w:right="420" w:hanging="332"/>
        <w:spacing w:after="0" w:line="358" w:lineRule="auto"/>
        <w:tabs>
          <w:tab w:leader="none" w:pos="308"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6268720</wp:posOffset>
            </wp:positionH>
            <wp:positionV relativeFrom="page">
              <wp:posOffset>200660</wp:posOffset>
            </wp:positionV>
            <wp:extent cx="1071245"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 xml:space="preserve">Revenue: </w:t>
      </w:r>
      <w:r>
        <w:rPr>
          <w:rFonts w:ascii="Arial" w:cs="Arial" w:eastAsia="Arial" w:hAnsi="Arial"/>
          <w:sz w:val="22"/>
          <w:szCs w:val="22"/>
          <w:color w:val="auto"/>
        </w:rPr>
        <w:t>The company generated $1.3 million in revenue for the three months ended June 30, 2021, which primarily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collaborative development revenue from the 2019 Research Collaboration and Option Agreement between the company and Kyowa Kirin Co., Ltd.</w:t>
      </w:r>
    </w:p>
    <w:p>
      <w:pPr>
        <w:spacing w:after="0" w:line="204" w:lineRule="exact"/>
        <w:rPr>
          <w:rFonts w:ascii="Arial" w:cs="Arial" w:eastAsia="Arial" w:hAnsi="Arial"/>
          <w:sz w:val="22"/>
          <w:szCs w:val="22"/>
          <w:color w:val="auto"/>
        </w:rPr>
      </w:pPr>
    </w:p>
    <w:p>
      <w:pPr>
        <w:ind w:left="340" w:right="320" w:hanging="332"/>
        <w:spacing w:after="0" w:line="352" w:lineRule="auto"/>
        <w:tabs>
          <w:tab w:leader="none" w:pos="308"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R&amp;D Expenses</w:t>
      </w:r>
      <w:r>
        <w:rPr>
          <w:rFonts w:ascii="Arial" w:cs="Arial" w:eastAsia="Arial" w:hAnsi="Arial"/>
          <w:sz w:val="22"/>
          <w:szCs w:val="22"/>
          <w:color w:val="auto"/>
        </w:rPr>
        <w:t>: Research and development expenses were $26.0 million for the three months ended June 30, 2021, an</w:t>
      </w:r>
      <w:r>
        <w:rPr>
          <w:rFonts w:ascii="Arial" w:cs="Arial" w:eastAsia="Arial" w:hAnsi="Arial"/>
          <w:sz w:val="22"/>
          <w:szCs w:val="22"/>
          <w:b w:val="1"/>
          <w:bCs w:val="1"/>
          <w:color w:val="auto"/>
        </w:rPr>
        <w:t xml:space="preserve"> </w:t>
      </w:r>
      <w:r>
        <w:rPr>
          <w:rFonts w:ascii="Arial" w:cs="Arial" w:eastAsia="Arial" w:hAnsi="Arial"/>
          <w:sz w:val="22"/>
          <w:szCs w:val="22"/>
          <w:color w:val="auto"/>
        </w:rPr>
        <w:t>increase of $7.2 million, or 38 percent, compared to $18.9 million for the three months ended June 30, 2020. The increase was due primarily to clinical study costs from the advancement of the company’s OPTIMIZE study which were partially offset by lower costs for the PHREEDOM clinical study, as well as higher employee-related expenses for the research and development workforce.</w:t>
      </w:r>
    </w:p>
    <w:p>
      <w:pPr>
        <w:spacing w:after="0" w:line="210" w:lineRule="exact"/>
        <w:rPr>
          <w:rFonts w:ascii="Arial" w:cs="Arial" w:eastAsia="Arial" w:hAnsi="Arial"/>
          <w:sz w:val="22"/>
          <w:szCs w:val="22"/>
          <w:color w:val="auto"/>
        </w:rPr>
      </w:pPr>
    </w:p>
    <w:p>
      <w:pPr>
        <w:ind w:left="340" w:hanging="332"/>
        <w:spacing w:after="0" w:line="371" w:lineRule="auto"/>
        <w:tabs>
          <w:tab w:leader="none" w:pos="308"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G&amp;A Expenses: </w:t>
      </w:r>
      <w:r>
        <w:rPr>
          <w:rFonts w:ascii="Arial" w:cs="Arial" w:eastAsia="Arial" w:hAnsi="Arial"/>
          <w:sz w:val="21"/>
          <w:szCs w:val="21"/>
          <w:color w:val="auto"/>
        </w:rPr>
        <w:t>General and administrative expenses were $20.1 million for the three months ended June 30, 2021, an</w:t>
      </w:r>
      <w:r>
        <w:rPr>
          <w:rFonts w:ascii="Arial" w:cs="Arial" w:eastAsia="Arial" w:hAnsi="Arial"/>
          <w:sz w:val="21"/>
          <w:szCs w:val="21"/>
          <w:b w:val="1"/>
          <w:bCs w:val="1"/>
          <w:color w:val="auto"/>
        </w:rPr>
        <w:t xml:space="preserve"> </w:t>
      </w:r>
      <w:r>
        <w:rPr>
          <w:rFonts w:ascii="Arial" w:cs="Arial" w:eastAsia="Arial" w:hAnsi="Arial"/>
          <w:sz w:val="21"/>
          <w:szCs w:val="21"/>
          <w:color w:val="auto"/>
        </w:rPr>
        <w:t>increase of $13.1 million, or 186 percent, compared to $7.0 million for the three months ended June 30, 2020. The increase in general and administrative expenses was primarily due to an increase in costs associated with building and staffing the company’s commercial infrastructure as it prepared for the potential regulatory approval and U.S. launch of tenapanor for the control of serum phosphorus in adult patients with CKD on dialysis.</w:t>
      </w:r>
    </w:p>
    <w:p>
      <w:pPr>
        <w:spacing w:after="0" w:line="199" w:lineRule="exact"/>
        <w:rPr>
          <w:rFonts w:ascii="Arial" w:cs="Arial" w:eastAsia="Arial" w:hAnsi="Arial"/>
          <w:sz w:val="21"/>
          <w:szCs w:val="21"/>
          <w:color w:val="auto"/>
        </w:rPr>
      </w:pPr>
    </w:p>
    <w:p>
      <w:pPr>
        <w:ind w:left="340" w:right="60" w:hanging="332"/>
        <w:spacing w:after="0" w:line="371" w:lineRule="auto"/>
        <w:tabs>
          <w:tab w:leader="none" w:pos="308"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quarter ended June 30, 2021 was $45.2 million, as compared to $25.0 million for the quarter ended</w:t>
      </w:r>
      <w:r>
        <w:rPr>
          <w:rFonts w:ascii="Arial" w:cs="Arial" w:eastAsia="Arial" w:hAnsi="Arial"/>
          <w:sz w:val="22"/>
          <w:szCs w:val="22"/>
          <w:b w:val="1"/>
          <w:bCs w:val="1"/>
          <w:color w:val="auto"/>
        </w:rPr>
        <w:t xml:space="preserve"> </w:t>
      </w:r>
      <w:r>
        <w:rPr>
          <w:rFonts w:ascii="Arial" w:cs="Arial" w:eastAsia="Arial" w:hAnsi="Arial"/>
          <w:sz w:val="22"/>
          <w:szCs w:val="22"/>
          <w:color w:val="auto"/>
        </w:rPr>
        <w:t>June 30, 2020.</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361" w:lineRule="exact"/>
        <w:rPr>
          <w:sz w:val="20"/>
          <w:szCs w:val="20"/>
          <w:color w:val="auto"/>
        </w:rPr>
      </w:pPr>
    </w:p>
    <w:p>
      <w:pPr>
        <w:ind w:right="20"/>
        <w:spacing w:after="0" w:line="409" w:lineRule="auto"/>
        <w:rPr>
          <w:sz w:val="20"/>
          <w:szCs w:val="20"/>
          <w:color w:val="auto"/>
        </w:rPr>
      </w:pPr>
      <w:r>
        <w:rPr>
          <w:rFonts w:ascii="Arial" w:cs="Arial" w:eastAsia="Arial" w:hAnsi="Arial"/>
          <w:sz w:val="19"/>
          <w:szCs w:val="19"/>
          <w:color w:val="auto"/>
        </w:rPr>
        <w:t>Ardelyx is focused on discovering, developing and commercializing innovative first-in-class medicines to enhance the lives of patients with kidney and cardiorenal diseases. Ardelyx is developing tenapanor, a novel product candidate to control serum phosphorus in adult patients with CKD on dialysis, which has completed three successful Phase 3 trials. Ardelyx is also advancing RDX013, a potassium secretagogue, for the potential treatment of elevated serum potassium, or hyperkalemia, a problem among certain patients with kidney and/or heart disease and has an early-stage program in metabolic acidosis, a serious electrolyte disorder in patients with CKD. In addition, Ardelyx received FDA approval of IBSRELA® (tenapanor) on September 12, 2019. Ardelyx has established agreements with Kyowa Kirin in Japan, Fosun Pharma in China and Knight Therapeutics in Canada for the development and commercialization of tenapanor in their respective territories.</w:t>
      </w:r>
    </w:p>
    <w:p>
      <w:pPr>
        <w:sectPr>
          <w:pgSz w:w="11900" w:h="16838" w:orient="portrait"/>
          <w:cols w:equalWidth="0" w:num="1">
            <w:col w:w="11200"/>
          </w:cols>
          <w:pgMar w:left="320" w:top="1125"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Forward Looking Statements</w:t>
      </w:r>
    </w:p>
    <w:p>
      <w:pPr>
        <w:spacing w:after="0" w:line="361" w:lineRule="exact"/>
        <w:rPr>
          <w:sz w:val="20"/>
          <w:szCs w:val="20"/>
          <w:color w:val="auto"/>
        </w:rPr>
      </w:pPr>
    </w:p>
    <w:p>
      <w:pPr>
        <w:spacing w:after="0" w:line="404"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expectation with regard to its interactions and communications with the FDA and its plans and expectations as to the possibility of a pathway to approval of tenapanor for the control of serum phosphorus in adult patients with chronic kidney disease on dialysis, and Ardelyx’s expectations regarding the costs associated with its restructuring plan and the reduction in annual cash compensation costs resulting from the workforce reduction..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whether the company will be able to address the deficiencies identified by the FDA, whether additional trials will be necessary and if so, the scope of those trials, and whether and to what extent the restructuring costs may be in excess of what Ardelyx expects.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August 13, 2021, and its future current and periodic reports to be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Kimia Keshtbod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26DCE"/>
        </w:rPr>
        <w:t>kkeshtbod@ardelyx.com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Wheelhouse Life Science Advisors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26DCE"/>
        </w:rPr>
        <w:t>swheeler@wheelhouselsa.com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Alex Santos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Wheelhouse Life Science Advisors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026DCE"/>
        </w:rPr>
        <w:t>asantos@wheelhouselsa.com</w:t>
      </w:r>
    </w:p>
    <w:p>
      <w:pPr>
        <w:sectPr>
          <w:pgSz w:w="11900" w:h="16838" w:orient="portrait"/>
          <w:cols w:equalWidth="0" w:num="1">
            <w:col w:w="11200"/>
          </w:cols>
          <w:pgMar w:left="320" w:top="1125"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189"/>
        </w:trPr>
        <w:tc>
          <w:tcPr>
            <w:tcW w:w="80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(1)</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86,745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91,032</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97,566</w:t>
            </w: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r>
      <w:tr>
        <w:trPr>
          <w:trHeight w:val="230"/>
        </w:trPr>
        <w:tc>
          <w:tcPr>
            <w:tcW w:w="8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and other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8,754</w:t>
            </w:r>
          </w:p>
        </w:tc>
      </w:tr>
      <w:tr>
        <w:trPr>
          <w:trHeight w:val="248"/>
        </w:trPr>
        <w:tc>
          <w:tcPr>
            <w:tcW w:w="8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201,562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5,626</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payable, current portion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4,177</w:t>
            </w:r>
          </w:p>
        </w:tc>
      </w:tr>
      <w:tr>
        <w:trPr>
          <w:trHeight w:val="229"/>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29"/>
        </w:trPr>
        <w:tc>
          <w:tcPr>
            <w:tcW w:w="8060" w:type="dxa"/>
            <w:vAlign w:val="bottom"/>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payable, net of current portion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46,621</w:t>
            </w:r>
          </w:p>
        </w:tc>
      </w:tr>
      <w:tr>
        <w:trPr>
          <w:trHeight w:val="230"/>
        </w:trPr>
        <w:tc>
          <w:tcPr>
            <w:tcW w:w="8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126,112</w:t>
            </w:r>
          </w:p>
        </w:tc>
      </w:tr>
      <w:tr>
        <w:trPr>
          <w:trHeight w:val="255"/>
        </w:trPr>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201,562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2020.</w:t>
      </w:r>
    </w:p>
    <w:p>
      <w:pPr>
        <w:sectPr>
          <w:pgSz w:w="11900" w:h="16838" w:orient="portrait"/>
          <w:cols w:equalWidth="0" w:num="1">
            <w:col w:w="11240"/>
          </w:cols>
          <w:pgMar w:left="320" w:top="1431" w:right="339" w:bottom="1440" w:gutter="0" w:footer="0" w:header="0"/>
        </w:sectPr>
      </w:pPr>
    </w:p>
    <w:bookmarkStart w:id="7" w:name="page8"/>
    <w:bookmarkEnd w:id="7"/>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5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60"/>
              <w:spacing w:after="0"/>
              <w:rPr>
                <w:sz w:val="20"/>
                <w:szCs w:val="20"/>
                <w:color w:val="auto"/>
              </w:rPr>
            </w:pPr>
            <w:r>
              <w:rPr>
                <w:rFonts w:ascii="Arial" w:cs="Arial" w:eastAsia="Arial" w:hAnsi="Arial"/>
                <w:sz w:val="18"/>
                <w:szCs w:val="18"/>
                <w:color w:val="auto"/>
              </w:rPr>
              <w:t>Collaborative development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supply revenue</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Licensing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0"/>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55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34,708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49,025</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(45,976)</w:t>
            </w:r>
          </w:p>
        </w:tc>
        <w:tc>
          <w:tcPr>
            <w:tcW w:w="0" w:type="dxa"/>
            <w:vAlign w:val="bottom"/>
          </w:tcPr>
          <w:p>
            <w:pPr>
              <w:spacing w:after="0"/>
              <w:rPr>
                <w:sz w:val="1"/>
                <w:szCs w:val="1"/>
                <w:color w:val="auto"/>
              </w:rPr>
            </w:pPr>
          </w:p>
        </w:tc>
      </w:tr>
      <w:tr>
        <w:trPr>
          <w:trHeight w:val="229"/>
        </w:trPr>
        <w:tc>
          <w:tcPr>
            <w:tcW w:w="55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(45,187)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(78,341)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(47,329)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(45,189)</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(78,344)</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(47,329)</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common share, basic and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Shares used in computing net loss per share - basic and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100,040,083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89,080,046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98,617,564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88,890,353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2021-08-13T07:03:38Z</dcterms:created>
  <dcterms:modified xsi:type="dcterms:W3CDTF">2021-08-13T07:03:38Z</dcterms:modified>
</cp:coreProperties>
</file>