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png" ContentType="image/png"/>
  <Override PartName="/word/media/image3.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14"/>
          <w:shd w:fill="FFFFFF" w:val="clear"/>
        </w:rPr>
      </w:pPr>
      <w:r>
        <w:rPr>
          <w:rFonts w:ascii="Times New Roman;serif" w:hAnsi="Times New Roman;serif"/>
          <w:b/>
          <w:color w:val="000000"/>
          <w:sz w:val="14"/>
          <w:shd w:fill="FFFFFF" w:val="clear"/>
        </w:rPr>
        <w:t xml:space="preserve">As filed with the Securities and Exchange Commission on August 10, 2026 </w:t>
      </w:r>
    </w:p>
    <w:p>
      <w:pPr>
        <w:pStyle w:val="TextBody"/>
        <w:bidi w:val="0"/>
        <w:spacing w:lineRule="auto" w:line="288" w:before="0" w:after="0"/>
        <w:jc w:val="right"/>
        <w:rPr>
          <w:rFonts w:ascii="Times New Roman;serif" w:hAnsi="Times New Roman;serif"/>
          <w:b/>
          <w:color w:val="000000"/>
          <w:sz w:val="14"/>
          <w:shd w:fill="FFFFFF" w:val="clear"/>
        </w:rPr>
      </w:pPr>
      <w:r>
        <w:rPr>
          <w:rFonts w:ascii="Times New Roman;serif" w:hAnsi="Times New Roman;serif"/>
          <w:b/>
          <w:color w:val="000000"/>
          <w:sz w:val="14"/>
          <w:shd w:fill="FFFFFF" w:val="clear"/>
        </w:rPr>
        <w:t>Registration No. 333-   </w:t>
      </w:r>
    </w:p>
    <w:p>
      <w:pPr>
        <w:pStyle w:val="TextBody"/>
        <w:bidi w:val="0"/>
        <w:spacing w:lineRule="auto" w:line="288" w:before="0" w:after="0"/>
        <w:jc w:val="center"/>
        <w:rPr>
          <w:shd w:fill="FFFFFF" w:val="clear"/>
        </w:rPr>
      </w:pPr>
      <w:r>
        <w:rPr>
          <w:color w:val="000000"/>
          <w:shd w:fill="FFFFFF" w:val="clear"/>
        </w:rPr>
        <w:t> </w:t>
      </w:r>
      <w:r>
        <w:rPr>
          <w:rFonts w:ascii="Times New Roman;serif" w:hAnsi="Times New Roman;serif"/>
          <w:b/>
          <w:color w:val="231F20"/>
          <w:sz w:val="24"/>
          <w:shd w:fill="FFFFFF" w:val="clear"/>
        </w:rPr>
        <w:t>_____________________________________________________</w:t>
      </w:r>
    </w:p>
    <w:p>
      <w:pPr>
        <w:pStyle w:val="TextBody"/>
        <w:bidi w:val="0"/>
        <w:spacing w:lineRule="auto" w:line="288" w:before="80" w:after="283"/>
        <w:jc w:val="center"/>
        <w:rPr>
          <w:rFonts w:ascii="Times New Roman;serif" w:hAnsi="Times New Roman;serif"/>
          <w:b/>
          <w:color w:val="000000"/>
          <w:sz w:val="24"/>
          <w:shd w:fill="FFFFFF" w:val="clear"/>
        </w:rPr>
      </w:pPr>
      <w:r>
        <w:rPr>
          <w:rFonts w:ascii="Times New Roman;serif" w:hAnsi="Times New Roman;serif"/>
          <w:b/>
          <w:color w:val="000000"/>
          <w:sz w:val="24"/>
          <w:shd w:fill="FFFFFF" w:val="clear"/>
        </w:rPr>
        <w:t xml:space="preserve">UNITED STATES </w:t>
      </w:r>
    </w:p>
    <w:p>
      <w:pPr>
        <w:pStyle w:val="TextBody"/>
        <w:bidi w:val="0"/>
        <w:spacing w:lineRule="auto" w:line="288" w:before="0" w:after="0"/>
        <w:jc w:val="center"/>
        <w:rPr>
          <w:rFonts w:ascii="Times New Roman;serif" w:hAnsi="Times New Roman;serif"/>
          <w:b/>
          <w:color w:val="000000"/>
          <w:sz w:val="24"/>
          <w:shd w:fill="FFFFFF" w:val="clear"/>
        </w:rPr>
      </w:pPr>
      <w:r>
        <w:rPr>
          <w:rFonts w:ascii="Times New Roman;serif" w:hAnsi="Times New Roman;serif"/>
          <w:b/>
          <w:color w:val="000000"/>
          <w:sz w:val="24"/>
          <w:shd w:fill="FFFFFF" w:val="clear"/>
        </w:rPr>
        <w:t xml:space="preserve">SECURITIES AND EXCHANGE COMMISSION </w:t>
      </w:r>
    </w:p>
    <w:p>
      <w:pPr>
        <w:pStyle w:val="TextBody"/>
        <w:bidi w:val="0"/>
        <w:spacing w:lineRule="auto" w:line="288" w:before="0" w:after="0"/>
        <w:jc w:val="center"/>
        <w:rPr>
          <w:rFonts w:ascii="Times New Roman;serif" w:hAnsi="Times New Roman;serif"/>
          <w:b/>
          <w:color w:val="000000"/>
          <w:sz w:val="14"/>
          <w:shd w:fill="FFFFFF" w:val="clear"/>
        </w:rPr>
      </w:pPr>
      <w:r>
        <w:rPr>
          <w:rFonts w:ascii="Times New Roman;serif" w:hAnsi="Times New Roman;serif"/>
          <w:b/>
          <w:color w:val="000000"/>
          <w:sz w:val="14"/>
          <w:shd w:fill="FFFFFF" w:val="clear"/>
        </w:rPr>
        <w:t>Washington, D.C. 20549</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231F20"/>
          <w:sz w:val="24"/>
          <w:shd w:fill="FFFFFF" w:val="clear"/>
        </w:rPr>
      </w:pPr>
      <w:r>
        <w:rPr>
          <w:rFonts w:ascii="Times New Roman;serif" w:hAnsi="Times New Roman;serif"/>
          <w:b/>
          <w:color w:val="231F20"/>
          <w:sz w:val="24"/>
          <w:shd w:fill="FFFFFF" w:val="clear"/>
        </w:rPr>
        <w:t>__________________</w:t>
      </w:r>
    </w:p>
    <w:p>
      <w:pPr>
        <w:pStyle w:val="TextBody"/>
        <w:bidi w:val="0"/>
        <w:spacing w:lineRule="auto" w:line="288" w:before="240" w:after="283"/>
        <w:jc w:val="center"/>
        <w:rPr>
          <w:rFonts w:ascii="Times New Roman;serif" w:hAnsi="Times New Roman;serif"/>
          <w:b/>
          <w:color w:val="000000"/>
          <w:sz w:val="24"/>
          <w:shd w:fill="FFFFFF" w:val="clear"/>
        </w:rPr>
      </w:pPr>
      <w:r>
        <w:rPr>
          <w:rFonts w:ascii="Times New Roman;serif" w:hAnsi="Times New Roman;serif"/>
          <w:b/>
          <w:color w:val="000000"/>
          <w:sz w:val="24"/>
          <w:shd w:fill="FFFFFF" w:val="clear"/>
        </w:rPr>
        <w:t>FORM S-8 </w:t>
      </w:r>
    </w:p>
    <w:p>
      <w:pPr>
        <w:pStyle w:val="TextBody"/>
        <w:bidi w:val="0"/>
        <w:spacing w:lineRule="auto" w:line="288" w:before="0" w:after="0"/>
        <w:jc w:val="center"/>
        <w:rPr>
          <w:rFonts w:ascii="Times New Roman;serif" w:hAnsi="Times New Roman;serif"/>
          <w:b/>
          <w:color w:val="000000"/>
          <w:sz w:val="24"/>
          <w:shd w:fill="FFFFFF" w:val="clear"/>
        </w:rPr>
      </w:pPr>
      <w:r>
        <w:rPr>
          <w:rFonts w:ascii="Times New Roman;serif" w:hAnsi="Times New Roman;serif"/>
          <w:b/>
          <w:color w:val="000000"/>
          <w:sz w:val="24"/>
          <w:shd w:fill="FFFFFF" w:val="clear"/>
        </w:rPr>
        <w:t xml:space="preserve">REGISTRATION STATEMENT </w:t>
      </w:r>
    </w:p>
    <w:p>
      <w:pPr>
        <w:pStyle w:val="TextBody"/>
        <w:bidi w:val="0"/>
        <w:spacing w:lineRule="auto" w:line="288" w:before="0" w:after="0"/>
        <w:jc w:val="center"/>
        <w:rPr>
          <w:rFonts w:ascii="Times New Roman;serif" w:hAnsi="Times New Roman;serif"/>
          <w:b/>
          <w:i/>
          <w:color w:val="000000"/>
          <w:sz w:val="14"/>
          <w:shd w:fill="FFFFFF" w:val="clear"/>
        </w:rPr>
      </w:pPr>
      <w:r>
        <w:rPr>
          <w:rFonts w:ascii="Times New Roman;serif" w:hAnsi="Times New Roman;serif"/>
          <w:b/>
          <w:i/>
          <w:color w:val="000000"/>
          <w:sz w:val="14"/>
          <w:shd w:fill="FFFFFF" w:val="clear"/>
        </w:rPr>
        <w:t xml:space="preserve">UNDER </w:t>
      </w:r>
    </w:p>
    <w:p>
      <w:pPr>
        <w:pStyle w:val="TextBody"/>
        <w:bidi w:val="0"/>
        <w:spacing w:lineRule="auto" w:line="288" w:before="0" w:after="0"/>
        <w:jc w:val="center"/>
        <w:rPr>
          <w:rFonts w:ascii="Times New Roman;serif" w:hAnsi="Times New Roman;serif"/>
          <w:b/>
          <w:i/>
          <w:color w:val="000000"/>
          <w:sz w:val="14"/>
          <w:shd w:fill="FFFFFF" w:val="clear"/>
        </w:rPr>
      </w:pPr>
      <w:r>
        <w:rPr>
          <w:rFonts w:ascii="Times New Roman;serif" w:hAnsi="Times New Roman;serif"/>
          <w:b/>
          <w:i/>
          <w:color w:val="000000"/>
          <w:sz w:val="14"/>
          <w:shd w:fill="FFFFFF" w:val="clear"/>
        </w:rPr>
        <w:t xml:space="preserve">THE SECURITIES ACT OF 1933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231F20"/>
          <w:sz w:val="24"/>
          <w:shd w:fill="FFFFFF" w:val="clear"/>
        </w:rPr>
      </w:pPr>
      <w:r>
        <w:rPr>
          <w:rFonts w:ascii="Times New Roman;serif" w:hAnsi="Times New Roman;serif"/>
          <w:b/>
          <w:color w:val="231F20"/>
          <w:sz w:val="24"/>
          <w:shd w:fill="FFFFFF" w:val="clear"/>
        </w:rPr>
        <w:t>__________________</w:t>
      </w:r>
    </w:p>
    <w:p>
      <w:pPr>
        <w:pStyle w:val="TextBody"/>
        <w:bidi w:val="0"/>
        <w:spacing w:before="0" w:after="0"/>
        <w:jc w:val="left"/>
        <w:rPr/>
      </w:pPr>
      <w:r>
        <w:rPr/>
      </w:r>
    </w:p>
    <w:p>
      <w:pPr>
        <w:pStyle w:val="TextBody"/>
        <w:bidi w:val="0"/>
        <w:spacing w:before="0" w:after="0"/>
        <w:jc w:val="center"/>
        <w:rPr>
          <w:shd w:fill="FFFFFF" w:val="clear"/>
        </w:rPr>
      </w:pPr>
      <w:r>
        <w:rPr>
          <w:shd w:fill="FFFFFF" w:val="clear"/>
        </w:rPr>
        <w:drawing>
          <wp:inline distT="0" distB="0" distL="0" distR="0">
            <wp:extent cx="1885950" cy="4572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885950" cy="457200"/>
                    </a:xfrm>
                    <a:prstGeom prst="rect">
                      <a:avLst/>
                    </a:prstGeom>
                  </pic:spPr>
                </pic:pic>
              </a:graphicData>
            </a:graphic>
          </wp:inline>
        </w:drawing>
      </w:r>
    </w:p>
    <w:p>
      <w:pPr>
        <w:pStyle w:val="TextBody"/>
        <w:bidi w:val="0"/>
        <w:spacing w:lineRule="auto" w:line="288" w:before="180" w:after="283"/>
        <w:jc w:val="center"/>
        <w:rPr>
          <w:rFonts w:ascii="Times New Roman;serif" w:hAnsi="Times New Roman;serif"/>
          <w:b/>
          <w:color w:val="000000"/>
          <w:sz w:val="40"/>
          <w:shd w:fill="FFFFFF" w:val="clear"/>
        </w:rPr>
      </w:pPr>
      <w:r>
        <w:rPr>
          <w:rFonts w:ascii="Times New Roman;serif" w:hAnsi="Times New Roman;serif"/>
          <w:b/>
          <w:color w:val="000000"/>
          <w:sz w:val="40"/>
          <w:shd w:fill="FFFFFF" w:val="clear"/>
        </w:rPr>
        <w:t xml:space="preserve">ARDELYX, INC. </w:t>
      </w:r>
    </w:p>
    <w:p>
      <w:pPr>
        <w:pStyle w:val="TextBody"/>
        <w:bidi w:val="0"/>
        <w:spacing w:lineRule="auto" w:line="288" w:before="0" w:after="0"/>
        <w:jc w:val="center"/>
        <w:rPr>
          <w:rFonts w:ascii="Times New Roman;serif" w:hAnsi="Times New Roman;serif"/>
          <w:b/>
          <w:color w:val="000000"/>
          <w:sz w:val="14"/>
          <w:shd w:fill="FFFFFF" w:val="clear"/>
        </w:rPr>
      </w:pPr>
      <w:r>
        <w:rPr>
          <w:rFonts w:ascii="Times New Roman;serif" w:hAnsi="Times New Roman;serif"/>
          <w:b/>
          <w:color w:val="000000"/>
          <w:sz w:val="14"/>
          <w:shd w:fill="FFFFFF" w:val="clear"/>
        </w:rPr>
        <w:t xml:space="preserve">(Exact name of registrant as specified in its charter)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231F20"/>
          <w:sz w:val="24"/>
          <w:shd w:fill="FFFFFF" w:val="clear"/>
        </w:rPr>
      </w:pPr>
      <w:r>
        <w:rPr>
          <w:rFonts w:ascii="Times New Roman;serif" w:hAnsi="Times New Roman;serif"/>
          <w:b/>
          <w:color w:val="231F20"/>
          <w:sz w:val="24"/>
          <w:shd w:fill="FFFFFF" w:val="clear"/>
        </w:rPr>
        <w:t>__________________</w:t>
      </w:r>
    </w:p>
    <w:p>
      <w:pPr>
        <w:pStyle w:val="TextBody"/>
        <w:bidi w:val="0"/>
        <w:spacing w:before="0" w:after="0"/>
        <w:jc w:val="center"/>
        <w:rPr/>
      </w:pPr>
      <w:r>
        <w:rPr/>
      </w:r>
    </w:p>
    <w:tbl>
      <w:tblPr>
        <w:tblW w:w="4499" w:type="dxa"/>
        <w:jc w:val="center"/>
        <w:tblInd w:w="0" w:type="dxa"/>
        <w:tblLayout w:type="fixed"/>
        <w:tblCellMar>
          <w:top w:w="28" w:type="dxa"/>
          <w:left w:w="28" w:type="dxa"/>
          <w:bottom w:w="28" w:type="dxa"/>
          <w:right w:w="28" w:type="dxa"/>
        </w:tblCellMar>
      </w:tblPr>
      <w:tblGrid>
        <w:gridCol w:w="1093"/>
        <w:gridCol w:w="958"/>
        <w:gridCol w:w="964"/>
        <w:gridCol w:w="432"/>
        <w:gridCol w:w="432"/>
        <w:gridCol w:w="620"/>
      </w:tblGrid>
      <w:tr>
        <w:trPr/>
        <w:tc>
          <w:tcPr>
            <w:tcW w:w="1093"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r>
      <w:tr>
        <w:trPr/>
        <w:tc>
          <w:tcPr>
            <w:tcW w:w="30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Delaware</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26-1303944</w:t>
            </w:r>
          </w:p>
        </w:tc>
      </w:tr>
      <w:tr>
        <w:trPr/>
        <w:tc>
          <w:tcPr>
            <w:tcW w:w="30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 of</w:t>
              <w:br/>
              <w:t>incorporation or organization)</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(I.R.S. Employer</w:t>
              <w:br/>
              <w:t>Identification No.)</w:t>
            </w:r>
          </w:p>
        </w:tc>
      </w:tr>
      <w:tr>
        <w:trPr/>
        <w:tc>
          <w:tcPr>
            <w:tcW w:w="301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400 Fifth Ave., Suite 210</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Waltham, Massachusetts</w:t>
            </w:r>
          </w:p>
        </w:tc>
        <w:tc>
          <w:tcPr>
            <w:tcW w:w="1484" w:type="dxa"/>
            <w:gridSpan w:val="3"/>
            <w:tcBorders/>
            <w:tcMar>
              <w:top w:w="0" w:type="dxa"/>
              <w:left w:w="0" w:type="dxa"/>
              <w:bottom w:w="0" w:type="dxa"/>
              <w:right w:w="0" w:type="dxa"/>
            </w:tcMar>
            <w:vAlign w:val="center"/>
          </w:tcPr>
          <w:p>
            <w:pPr>
              <w:pStyle w:val="TableContents"/>
              <w:bidi w:val="0"/>
              <w:spacing w:before="0" w:after="0"/>
              <w:jc w:val="center"/>
              <w:rPr/>
            </w:pPr>
            <w:r>
              <w:rPr/>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02451</w:t>
            </w:r>
          </w:p>
        </w:tc>
      </w:tr>
      <w:tr>
        <w:trPr/>
        <w:tc>
          <w:tcPr>
            <w:tcW w:w="30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(Address of Principal Executive Offices)</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(Zip Code)</w:t>
            </w:r>
          </w:p>
        </w:tc>
      </w:tr>
    </w:tbl>
    <w:p>
      <w:pPr>
        <w:pStyle w:val="TextBody"/>
        <w:bidi w:val="0"/>
        <w:spacing w:lineRule="auto" w:line="288" w:before="180" w:after="283"/>
        <w:jc w:val="center"/>
        <w:rPr>
          <w:rFonts w:ascii="Times New Roman;serif" w:hAnsi="Times New Roman;serif"/>
          <w:b/>
          <w:color w:val="000000"/>
          <w:sz w:val="16"/>
          <w:shd w:fill="FFFFFF" w:val="clear"/>
        </w:rPr>
      </w:pPr>
      <w:r>
        <w:rPr>
          <w:rFonts w:ascii="Times New Roman;serif" w:hAnsi="Times New Roman;serif"/>
          <w:b/>
          <w:color w:val="000000"/>
          <w:sz w:val="16"/>
          <w:shd w:fill="FFFFFF" w:val="clear"/>
        </w:rPr>
        <w:t xml:space="preserve">Amended and Restated 2014 Equity Incentive Award Plan </w:t>
      </w:r>
    </w:p>
    <w:p>
      <w:pPr>
        <w:pStyle w:val="TextBody"/>
        <w:bidi w:val="0"/>
        <w:spacing w:lineRule="auto" w:line="288" w:before="0" w:after="0"/>
        <w:jc w:val="center"/>
        <w:rPr>
          <w:rFonts w:ascii="Times New Roman;serif" w:hAnsi="Times New Roman;serif"/>
          <w:b/>
          <w:color w:val="000000"/>
          <w:sz w:val="16"/>
          <w:shd w:fill="FFFFFF" w:val="clear"/>
        </w:rPr>
      </w:pPr>
      <w:r>
        <w:rPr>
          <w:rFonts w:ascii="Times New Roman;serif" w:hAnsi="Times New Roman;serif"/>
          <w:b/>
          <w:color w:val="000000"/>
          <w:sz w:val="16"/>
          <w:shd w:fill="FFFFFF" w:val="clear"/>
        </w:rPr>
        <w:t xml:space="preserve">(Full title of the plan) </w:t>
      </w:r>
    </w:p>
    <w:p>
      <w:pPr>
        <w:pStyle w:val="TextBody"/>
        <w:bidi w:val="0"/>
        <w:spacing w:lineRule="auto" w:line="288" w:before="180" w:after="283"/>
        <w:jc w:val="center"/>
        <w:rPr>
          <w:rFonts w:ascii="Times New Roman;serif" w:hAnsi="Times New Roman;serif"/>
          <w:b/>
          <w:color w:val="000000"/>
          <w:sz w:val="16"/>
          <w:shd w:fill="FFFFFF" w:val="clear"/>
        </w:rPr>
      </w:pPr>
      <w:r>
        <w:rPr>
          <w:rFonts w:ascii="Times New Roman;serif" w:hAnsi="Times New Roman;serif"/>
          <w:b/>
          <w:color w:val="000000"/>
          <w:sz w:val="16"/>
          <w:shd w:fill="FFFFFF" w:val="clear"/>
        </w:rPr>
        <w:t xml:space="preserve">Felecia Ettenberg </w:t>
      </w:r>
    </w:p>
    <w:p>
      <w:pPr>
        <w:pStyle w:val="TextBody"/>
        <w:bidi w:val="0"/>
        <w:spacing w:lineRule="auto" w:line="288" w:before="0" w:after="0"/>
        <w:jc w:val="center"/>
        <w:rPr>
          <w:rFonts w:ascii="Times New Roman;serif" w:hAnsi="Times New Roman;serif"/>
          <w:b/>
          <w:color w:val="000000"/>
          <w:sz w:val="16"/>
          <w:shd w:fill="FFFFFF" w:val="clear"/>
        </w:rPr>
      </w:pPr>
      <w:r>
        <w:rPr>
          <w:rFonts w:ascii="Times New Roman;serif" w:hAnsi="Times New Roman;serif"/>
          <w:b/>
          <w:color w:val="000000"/>
          <w:sz w:val="16"/>
          <w:shd w:fill="FFFFFF" w:val="clear"/>
        </w:rPr>
        <w:t xml:space="preserve">Chief Legal Officer </w:t>
      </w:r>
    </w:p>
    <w:p>
      <w:pPr>
        <w:pStyle w:val="TextBody"/>
        <w:bidi w:val="0"/>
        <w:spacing w:lineRule="auto" w:line="288" w:before="0" w:after="0"/>
        <w:jc w:val="center"/>
        <w:rPr>
          <w:rFonts w:ascii="Times New Roman;serif" w:hAnsi="Times New Roman;serif"/>
          <w:b/>
          <w:color w:val="000000"/>
          <w:sz w:val="16"/>
          <w:shd w:fill="FFFFFF" w:val="clear"/>
        </w:rPr>
      </w:pPr>
      <w:r>
        <w:rPr>
          <w:rFonts w:ascii="Times New Roman;serif" w:hAnsi="Times New Roman;serif"/>
          <w:b/>
          <w:color w:val="000000"/>
          <w:sz w:val="16"/>
          <w:shd w:fill="FFFFFF" w:val="clear"/>
        </w:rPr>
        <w:t xml:space="preserve">Ardelyx, Inc. </w:t>
      </w:r>
    </w:p>
    <w:p>
      <w:pPr>
        <w:pStyle w:val="TextBody"/>
        <w:bidi w:val="0"/>
        <w:spacing w:lineRule="auto" w:line="288" w:before="0" w:after="0"/>
        <w:jc w:val="center"/>
        <w:rPr>
          <w:rFonts w:ascii="Times New Roman;serif" w:hAnsi="Times New Roman;serif"/>
          <w:b/>
          <w:color w:val="000000"/>
          <w:sz w:val="16"/>
          <w:shd w:fill="FFFFFF" w:val="clear"/>
        </w:rPr>
      </w:pPr>
      <w:r>
        <w:rPr>
          <w:rFonts w:ascii="Times New Roman;serif" w:hAnsi="Times New Roman;serif"/>
          <w:b/>
          <w:color w:val="000000"/>
          <w:sz w:val="16"/>
          <w:shd w:fill="FFFFFF" w:val="clear"/>
        </w:rPr>
        <w:t xml:space="preserve">400 Fifth Avenue, Suite 210 </w:t>
      </w:r>
    </w:p>
    <w:p>
      <w:pPr>
        <w:pStyle w:val="TextBody"/>
        <w:bidi w:val="0"/>
        <w:spacing w:lineRule="auto" w:line="288" w:before="0" w:after="0"/>
        <w:jc w:val="center"/>
        <w:rPr>
          <w:rFonts w:ascii="Times New Roman;serif" w:hAnsi="Times New Roman;serif"/>
          <w:b/>
          <w:color w:val="000000"/>
          <w:sz w:val="16"/>
          <w:shd w:fill="FFFFFF" w:val="clear"/>
        </w:rPr>
      </w:pPr>
      <w:r>
        <w:rPr>
          <w:rFonts w:ascii="Times New Roman;serif" w:hAnsi="Times New Roman;serif"/>
          <w:b/>
          <w:color w:val="000000"/>
          <w:sz w:val="16"/>
          <w:shd w:fill="FFFFFF" w:val="clear"/>
        </w:rPr>
        <w:t xml:space="preserve">Waltham, MA 02451 </w:t>
      </w:r>
    </w:p>
    <w:p>
      <w:pPr>
        <w:pStyle w:val="TextBody"/>
        <w:bidi w:val="0"/>
        <w:spacing w:lineRule="auto" w:line="288" w:before="0" w:after="0"/>
        <w:jc w:val="center"/>
        <w:rPr>
          <w:rFonts w:ascii="Times New Roman;serif" w:hAnsi="Times New Roman;serif"/>
          <w:b/>
          <w:color w:val="000000"/>
          <w:sz w:val="16"/>
          <w:shd w:fill="FFFFFF" w:val="clear"/>
        </w:rPr>
      </w:pPr>
      <w:r>
        <w:rPr>
          <w:rFonts w:ascii="Times New Roman;serif" w:hAnsi="Times New Roman;serif"/>
          <w:b/>
          <w:color w:val="000000"/>
          <w:sz w:val="16"/>
          <w:shd w:fill="FFFFFF" w:val="clear"/>
        </w:rPr>
        <w:t>(617) 675-2739 </w:t>
      </w:r>
    </w:p>
    <w:p>
      <w:pPr>
        <w:pStyle w:val="TextBody"/>
        <w:bidi w:val="0"/>
        <w:spacing w:lineRule="auto" w:line="288" w:before="0" w:after="0"/>
        <w:jc w:val="center"/>
        <w:rPr>
          <w:rFonts w:ascii="Times New Roman;serif" w:hAnsi="Times New Roman;serif"/>
          <w:b/>
          <w:color w:val="000000"/>
          <w:sz w:val="16"/>
          <w:shd w:fill="FFFFFF" w:val="clear"/>
        </w:rPr>
      </w:pPr>
      <w:r>
        <w:rPr>
          <w:rFonts w:ascii="Times New Roman;serif" w:hAnsi="Times New Roman;serif"/>
          <w:b/>
          <w:color w:val="000000"/>
          <w:sz w:val="16"/>
          <w:shd w:fill="FFFFFF" w:val="clear"/>
        </w:rPr>
        <w:t xml:space="preserve">(Name, address, and telephone number, including area code, of agent for service) </w:t>
      </w:r>
    </w:p>
    <w:p>
      <w:pPr>
        <w:pStyle w:val="TextBody"/>
        <w:bidi w:val="0"/>
        <w:spacing w:lineRule="auto" w:line="288" w:before="180" w:after="283"/>
        <w:jc w:val="center"/>
        <w:rPr>
          <w:rFonts w:ascii="Times New Roman;serif" w:hAnsi="Times New Roman;serif"/>
          <w:b/>
          <w:i/>
          <w:color w:val="000000"/>
          <w:sz w:val="16"/>
          <w:shd w:fill="FFFFFF" w:val="clear"/>
        </w:rPr>
      </w:pPr>
      <w:r>
        <w:rPr>
          <w:rFonts w:ascii="Times New Roman;serif" w:hAnsi="Times New Roman;serif"/>
          <w:b/>
          <w:i/>
          <w:color w:val="000000"/>
          <w:sz w:val="16"/>
          <w:shd w:fill="FFFFFF" w:val="clear"/>
        </w:rPr>
        <w:t xml:space="preserve">Copies to: </w:t>
      </w:r>
    </w:p>
    <w:p>
      <w:pPr>
        <w:pStyle w:val="TextBody"/>
        <w:bidi w:val="0"/>
        <w:spacing w:lineRule="auto" w:line="288" w:before="240" w:after="283"/>
        <w:jc w:val="center"/>
        <w:rPr>
          <w:rFonts w:ascii="Times New Roman;serif" w:hAnsi="Times New Roman;serif"/>
          <w:b/>
          <w:color w:val="000000"/>
          <w:sz w:val="16"/>
          <w:shd w:fill="FFFFFF" w:val="clear"/>
        </w:rPr>
      </w:pPr>
      <w:r>
        <w:rPr>
          <w:rFonts w:ascii="Times New Roman;serif" w:hAnsi="Times New Roman;serif"/>
          <w:b/>
          <w:color w:val="000000"/>
          <w:sz w:val="16"/>
          <w:shd w:fill="FFFFFF" w:val="clear"/>
        </w:rPr>
        <w:t xml:space="preserve">Mark V. Roeder, Esq. </w:t>
      </w:r>
    </w:p>
    <w:p>
      <w:pPr>
        <w:pStyle w:val="TextBody"/>
        <w:bidi w:val="0"/>
        <w:spacing w:lineRule="auto" w:line="288" w:before="0" w:after="0"/>
        <w:jc w:val="center"/>
        <w:rPr>
          <w:rFonts w:ascii="Times New Roman;serif" w:hAnsi="Times New Roman;serif"/>
          <w:b/>
          <w:color w:val="000000"/>
          <w:sz w:val="16"/>
          <w:shd w:fill="FFFFFF" w:val="clear"/>
        </w:rPr>
      </w:pPr>
      <w:r>
        <w:rPr>
          <w:rFonts w:ascii="Times New Roman;serif" w:hAnsi="Times New Roman;serif"/>
          <w:b/>
          <w:color w:val="000000"/>
          <w:sz w:val="16"/>
          <w:shd w:fill="FFFFFF" w:val="clear"/>
        </w:rPr>
        <w:t xml:space="preserve">John C. Williams, Esq. </w:t>
      </w:r>
    </w:p>
    <w:p>
      <w:pPr>
        <w:pStyle w:val="TextBody"/>
        <w:bidi w:val="0"/>
        <w:spacing w:lineRule="auto" w:line="288" w:before="0" w:after="0"/>
        <w:jc w:val="center"/>
        <w:rPr>
          <w:rFonts w:ascii="Times New Roman;serif" w:hAnsi="Times New Roman;serif"/>
          <w:b/>
          <w:color w:val="000000"/>
          <w:sz w:val="16"/>
          <w:shd w:fill="FFFFFF" w:val="clear"/>
        </w:rPr>
      </w:pPr>
      <w:r>
        <w:rPr>
          <w:rFonts w:ascii="Times New Roman;serif" w:hAnsi="Times New Roman;serif"/>
          <w:b/>
          <w:color w:val="000000"/>
          <w:sz w:val="16"/>
          <w:shd w:fill="FFFFFF" w:val="clear"/>
        </w:rPr>
        <w:t xml:space="preserve">Latham &amp; Watkins LLP </w:t>
      </w:r>
    </w:p>
    <w:p>
      <w:pPr>
        <w:pStyle w:val="TextBody"/>
        <w:bidi w:val="0"/>
        <w:spacing w:lineRule="auto" w:line="288" w:before="0" w:after="0"/>
        <w:jc w:val="center"/>
        <w:rPr>
          <w:rFonts w:ascii="Times New Roman;serif" w:hAnsi="Times New Roman;serif"/>
          <w:b/>
          <w:color w:val="000000"/>
          <w:sz w:val="16"/>
          <w:shd w:fill="FFFFFF" w:val="clear"/>
        </w:rPr>
      </w:pPr>
      <w:r>
        <w:rPr>
          <w:rFonts w:ascii="Times New Roman;serif" w:hAnsi="Times New Roman;serif"/>
          <w:b/>
          <w:color w:val="000000"/>
          <w:sz w:val="16"/>
          <w:shd w:fill="FFFFFF" w:val="clear"/>
        </w:rPr>
        <w:t>801 Jefferson Avenue</w:t>
      </w:r>
    </w:p>
    <w:p>
      <w:pPr>
        <w:pStyle w:val="TextBody"/>
        <w:bidi w:val="0"/>
        <w:spacing w:lineRule="auto" w:line="288" w:before="0" w:after="0"/>
        <w:jc w:val="center"/>
        <w:rPr>
          <w:rFonts w:ascii="Times New Roman;serif" w:hAnsi="Times New Roman;serif"/>
          <w:b/>
          <w:color w:val="000000"/>
          <w:sz w:val="16"/>
          <w:shd w:fill="FFFFFF" w:val="clear"/>
        </w:rPr>
      </w:pPr>
      <w:r>
        <w:rPr>
          <w:rFonts w:ascii="Times New Roman;serif" w:hAnsi="Times New Roman;serif"/>
          <w:b/>
          <w:color w:val="000000"/>
          <w:sz w:val="16"/>
          <w:shd w:fill="FFFFFF" w:val="clear"/>
        </w:rPr>
        <w:t>Suite 300</w:t>
      </w:r>
    </w:p>
    <w:p>
      <w:pPr>
        <w:pStyle w:val="TextBody"/>
        <w:bidi w:val="0"/>
        <w:spacing w:lineRule="auto" w:line="288" w:before="0" w:after="0"/>
        <w:jc w:val="center"/>
        <w:rPr>
          <w:rFonts w:ascii="Times New Roman;serif" w:hAnsi="Times New Roman;serif"/>
          <w:b/>
          <w:color w:val="000000"/>
          <w:sz w:val="16"/>
          <w:shd w:fill="FFFFFF" w:val="clear"/>
        </w:rPr>
      </w:pPr>
      <w:r>
        <w:rPr>
          <w:rFonts w:ascii="Times New Roman;serif" w:hAnsi="Times New Roman;serif"/>
          <w:b/>
          <w:color w:val="000000"/>
          <w:sz w:val="16"/>
          <w:shd w:fill="FFFFFF" w:val="clear"/>
        </w:rPr>
        <w:t xml:space="preserve">Redwood City, California 94063 </w:t>
      </w:r>
    </w:p>
    <w:p>
      <w:pPr>
        <w:pStyle w:val="TextBody"/>
        <w:bidi w:val="0"/>
        <w:spacing w:lineRule="auto" w:line="288" w:before="0" w:after="0"/>
        <w:jc w:val="center"/>
        <w:rPr>
          <w:rFonts w:ascii="Times New Roman;serif" w:hAnsi="Times New Roman;serif"/>
          <w:b/>
          <w:color w:val="000000"/>
          <w:sz w:val="16"/>
          <w:shd w:fill="FFFFFF" w:val="clear"/>
        </w:rPr>
      </w:pPr>
      <w:r>
        <w:rPr>
          <w:rFonts w:ascii="Times New Roman;serif" w:hAnsi="Times New Roman;serif"/>
          <w:b/>
          <w:color w:val="000000"/>
          <w:sz w:val="16"/>
          <w:shd w:fill="FFFFFF" w:val="clear"/>
        </w:rPr>
        <w:t>(650) 328-4600</w:t>
      </w:r>
    </w:p>
    <w:p>
      <w:pPr>
        <w:pStyle w:val="TextBody"/>
        <w:bidi w:val="0"/>
        <w:spacing w:lineRule="auto" w:line="288" w:before="180" w:after="283"/>
        <w:jc w:val="left"/>
        <w:rPr>
          <w:rFonts w:ascii="Times New Roman;serif" w:hAnsi="Times New Roman;serif"/>
          <w:b w:val="false"/>
          <w:color w:val="000000"/>
          <w:sz w:val="16"/>
          <w:shd w:fill="FFFFFF" w:val="clear"/>
        </w:rPr>
      </w:pPr>
      <w:r>
        <w:rPr>
          <w:rFonts w:ascii="Times New Roman;serif" w:hAnsi="Times New Roman;serif"/>
          <w:b w:val="false"/>
          <w:color w:val="000000"/>
          <w:sz w:val="16"/>
          <w:shd w:fill="FFFFFF" w:val="clear"/>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p>
      <w:pPr>
        <w:pStyle w:val="TextBody"/>
        <w:bidi w:val="0"/>
        <w:spacing w:before="0" w:after="0"/>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5370" w:type="dxa"/>
        <w:jc w:val="left"/>
        <w:tblInd w:w="0" w:type="dxa"/>
        <w:tblLayout w:type="fixed"/>
        <w:tblCellMar>
          <w:top w:w="28" w:type="dxa"/>
          <w:left w:w="28" w:type="dxa"/>
          <w:bottom w:w="28" w:type="dxa"/>
          <w:right w:w="28" w:type="dxa"/>
        </w:tblCellMar>
      </w:tblPr>
      <w:tblGrid>
        <w:gridCol w:w="603"/>
        <w:gridCol w:w="530"/>
        <w:gridCol w:w="532"/>
        <w:gridCol w:w="109"/>
        <w:gridCol w:w="109"/>
        <w:gridCol w:w="109"/>
        <w:gridCol w:w="109"/>
        <w:gridCol w:w="109"/>
        <w:gridCol w:w="109"/>
        <w:gridCol w:w="109"/>
        <w:gridCol w:w="109"/>
        <w:gridCol w:w="109"/>
        <w:gridCol w:w="674"/>
        <w:gridCol w:w="674"/>
        <w:gridCol w:w="677"/>
        <w:gridCol w:w="109"/>
        <w:gridCol w:w="109"/>
        <w:gridCol w:w="109"/>
        <w:gridCol w:w="109"/>
        <w:gridCol w:w="109"/>
        <w:gridCol w:w="154"/>
      </w:tblGrid>
      <w:tr>
        <w:trP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Large 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Smaller reporting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Emerging growth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88" w:before="180" w:after="283"/>
        <w:jc w:val="left"/>
        <w:rPr>
          <w:rFonts w:ascii="Times New Roman;serif" w:hAnsi="Times New Roman;serif"/>
          <w:b w:val="false"/>
          <w:color w:val="000000"/>
          <w:sz w:val="16"/>
          <w:shd w:fill="FFFFFF" w:val="clear"/>
        </w:rPr>
      </w:pPr>
      <w:r>
        <w:rPr>
          <w:rFonts w:ascii="Times New Roman;serif" w:hAnsi="Times New Roman;serif"/>
          <w:b w:val="false"/>
          <w:color w:val="000000"/>
          <w:sz w:val="16"/>
          <w:shd w:fill="FFFFFF" w:val="clear"/>
        </w:rPr>
        <w:t xml:space="preserve">If an emerging growth company, indicate by check mark if the registrant has elected not to use the extended transition period for complying with any new or revised financial accounting standards provided pursuant to Section 7(a)(2)(B) of the Securities Act. ☐ </w:t>
      </w:r>
    </w:p>
    <w:p>
      <w:pPr>
        <w:pStyle w:val="TextBody"/>
        <w:bidi w:val="0"/>
        <w:spacing w:lineRule="auto" w:line="288" w:before="240" w:after="283"/>
        <w:jc w:val="left"/>
        <w:rPr>
          <w:rFonts w:ascii="Times New Roman;serif" w:hAnsi="Times New Roman;serif"/>
          <w:b/>
          <w:color w:val="000000"/>
          <w:sz w:val="16"/>
          <w:shd w:fill="FFFFFF" w:val="clear"/>
        </w:rPr>
      </w:pPr>
      <w:r>
        <w:rPr>
          <w:rFonts w:ascii="Times New Roman;serif" w:hAnsi="Times New Roman;serif"/>
          <w:b/>
          <w:color w:val="000000"/>
          <w:sz w:val="16"/>
          <w:shd w:fill="FFFFFF" w:val="clear"/>
        </w:rPr>
        <w:t xml:space="preserve">This registration statement will become effective upon filing in accordance with Rule 462 under the Securities Act. Proposed sale to take place as soon after the effective date of the registration statement as awards under the plan are exercised and/or vest. </w:t>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center"/>
        <w:rPr>
          <w:rFonts w:ascii="Times New Roman;serif" w:hAnsi="Times New Roman;serif"/>
          <w:b/>
          <w:color w:val="000000"/>
          <w:sz w:val="22"/>
          <w:shd w:fill="FFFFFF" w:val="clear"/>
        </w:rPr>
      </w:pPr>
      <w:r>
        <w:rPr>
          <w:rFonts w:ascii="Times New Roman;serif" w:hAnsi="Times New Roman;serif"/>
          <w:b/>
          <w:color w:val="000000"/>
          <w:sz w:val="22"/>
          <w:shd w:fill="FFFFFF" w:val="clear"/>
        </w:rPr>
        <w:t xml:space="preserve">EXPLANATORY NOTE </w:t>
      </w:r>
    </w:p>
    <w:p>
      <w:pPr>
        <w:pStyle w:val="TextBody"/>
        <w:bidi w:val="0"/>
        <w:spacing w:lineRule="auto" w:line="288" w:before="240" w:after="283"/>
        <w:jc w:val="left"/>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 xml:space="preserve">By a registration statement on Form S-8 filed with the Securities and Exchange Commission (the “SEC”) on July 14, 2014, File No. 333-197408 (the “Original Registration Statement”), Ardelyx, Inc. (the “Registrant”) registered 1,646,134 shares of common stock, par value $0.0001 per share (the “Common Stock”) issuable under the Ardelyx, Inc. 2014 Equity Incentive Award Plan (the “2014 Plan”) and 202,762 shares of Common Stock issuable under the Ardelyx, Inc. 2014 Employee Stock Purchase Plan (the “ESPP”). The Original Registration Statement also registered 880,497 shares of Common Stock issuable under the Ardelyx, Inc. 2008 Stock Incentive Plan, as amended (the “2008 Plan”), which shares become available for issuance under the 2014 Plan to the extent awards under the 2008 Plan are forfeited or lapse unexercised and are not issued under the 2008 Plan. </w:t>
      </w:r>
    </w:p>
    <w:p>
      <w:pPr>
        <w:pStyle w:val="TextBody"/>
        <w:bidi w:val="0"/>
        <w:spacing w:lineRule="auto" w:line="288" w:before="240" w:after="283"/>
        <w:jc w:val="left"/>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 xml:space="preserve">This Registration Statement on Form S-8 is being filed by the Registrant for the purpose of registering additional securities of the same class as other securities for which registration statements on Form S-8 have previously been filed and are effective. Accordingly, this Registration Statement incorporates by reference the contents of the Registration Statements on Form S-8 listed in the table below filed with the SEC: </w:t>
      </w:r>
    </w:p>
    <w:p>
      <w:pPr>
        <w:pStyle w:val="TextBody"/>
        <w:bidi w:val="0"/>
        <w:spacing w:lineRule="auto" w:line="288" w:before="0" w:after="0"/>
        <w:jc w:val="left"/>
        <w:rPr>
          <w:color w:val="000000"/>
          <w:shd w:fill="FFFFFF" w:val="clear"/>
        </w:rPr>
      </w:pPr>
      <w:r>
        <w:rPr>
          <w:color w:val="000000"/>
          <w:shd w:fill="FFFFFF" w:val="clear"/>
        </w:rPr>
        <w:t> </w:t>
      </w:r>
    </w:p>
    <w:tbl>
      <w:tblPr>
        <w:tblW w:w="10054" w:type="dxa"/>
        <w:jc w:val="left"/>
        <w:tblInd w:w="0" w:type="dxa"/>
        <w:tblLayout w:type="fixed"/>
        <w:tblCellMar>
          <w:top w:w="28" w:type="dxa"/>
          <w:left w:w="28" w:type="dxa"/>
          <w:bottom w:w="28" w:type="dxa"/>
          <w:right w:w="28" w:type="dxa"/>
        </w:tblCellMar>
      </w:tblPr>
      <w:tblGrid>
        <w:gridCol w:w="588"/>
        <w:gridCol w:w="514"/>
        <w:gridCol w:w="518"/>
        <w:gridCol w:w="109"/>
        <w:gridCol w:w="109"/>
        <w:gridCol w:w="109"/>
        <w:gridCol w:w="454"/>
        <w:gridCol w:w="454"/>
        <w:gridCol w:w="456"/>
        <w:gridCol w:w="109"/>
        <w:gridCol w:w="109"/>
        <w:gridCol w:w="109"/>
        <w:gridCol w:w="1016"/>
        <w:gridCol w:w="1016"/>
        <w:gridCol w:w="1028"/>
        <w:gridCol w:w="109"/>
        <w:gridCol w:w="109"/>
        <w:gridCol w:w="109"/>
        <w:gridCol w:w="540"/>
        <w:gridCol w:w="541"/>
        <w:gridCol w:w="281"/>
        <w:gridCol w:w="153"/>
        <w:gridCol w:w="153"/>
        <w:gridCol w:w="153"/>
        <w:gridCol w:w="488"/>
        <w:gridCol w:w="488"/>
        <w:gridCol w:w="232"/>
      </w:tblGrid>
      <w:tr>
        <w:trPr/>
        <w:tc>
          <w:tcPr>
            <w:tcW w:w="588"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r>
      <w:tr>
        <w:trPr/>
        <w:tc>
          <w:tcPr>
            <w:tcW w:w="1620"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3060"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right w:val="single" w:sz="8" w:space="0" w:color="000000"/>
            </w:tcBorders>
            <w:tcMar>
              <w:bottom w:w="0" w:type="dxa"/>
            </w:tcMar>
            <w:vAlign w:val="center"/>
          </w:tcPr>
          <w:p>
            <w:pPr>
              <w:pStyle w:val="TableContents"/>
              <w:bidi w:val="0"/>
              <w:spacing w:before="0" w:after="283"/>
              <w:jc w:val="left"/>
              <w:rPr>
                <w:sz w:val="4"/>
                <w:szCs w:val="4"/>
              </w:rPr>
            </w:pPr>
            <w:r>
              <w:rPr>
                <w:sz w:val="4"/>
                <w:szCs w:val="4"/>
              </w:rPr>
            </w:r>
          </w:p>
        </w:tc>
        <w:tc>
          <w:tcPr>
            <w:tcW w:w="3029" w:type="dxa"/>
            <w:gridSpan w:val="9"/>
            <w:tcBorders>
              <w:top w:val="single" w:sz="8" w:space="0" w:color="000000"/>
              <w:right w:val="single" w:sz="8" w:space="0" w:color="000000"/>
            </w:tcBorders>
            <w:tcMar>
              <w:top w:w="30" w:type="dxa"/>
              <w:left w:w="0" w:type="dxa"/>
              <w:bottom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 Registered</w:t>
            </w:r>
          </w:p>
        </w:tc>
      </w:tr>
      <w:tr>
        <w:trPr/>
        <w:tc>
          <w:tcPr>
            <w:tcW w:w="162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Filing Date</w:t>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SEC File Number</w:t>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306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Description</w:t>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2014 Plan</w:t>
            </w:r>
          </w:p>
        </w:tc>
        <w:tc>
          <w:tcPr>
            <w:tcW w:w="459"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ESPP</w:t>
            </w:r>
          </w:p>
        </w:tc>
      </w:tr>
      <w:tr>
        <w:trPr/>
        <w:tc>
          <w:tcPr>
            <w:tcW w:w="1620"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erif" w:hAnsi="Times New Roman;serif"/>
                  <w:b w:val="false"/>
                  <w:color w:val="0000FF"/>
                  <w:sz w:val="20"/>
                  <w:u w:val="single"/>
                </w:rPr>
                <w:t>July 14, 2014</w:t>
              </w:r>
            </w:hyperlink>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333-197408 </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3060"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20"/>
              </w:rPr>
              <w:t>Original Registration Statement”</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1,646,134 </w:t>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202,762 </w:t>
            </w:r>
          </w:p>
        </w:tc>
        <w:tc>
          <w:tcPr>
            <w:tcW w:w="232" w:type="dxa"/>
            <w:tcBorders>
              <w:top w:val="single" w:sz="8" w:space="0" w:color="000000"/>
              <w:right w:val="single" w:sz="8" w:space="0" w:color="000000"/>
            </w:tcBorders>
            <w:shd w:fill="CCEE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620"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0"/>
              <w:jc w:val="left"/>
              <w:rPr/>
            </w:pPr>
            <w:hyperlink r:id="rId4">
              <w:r>
                <w:rPr>
                  <w:rStyle w:val="InternetLink"/>
                  <w:rFonts w:ascii="Times New Roman;serif" w:hAnsi="Times New Roman;serif"/>
                  <w:b w:val="false"/>
                  <w:color w:val="0000FF"/>
                  <w:sz w:val="20"/>
                  <w:u w:val="single"/>
                </w:rPr>
                <w:t>March 11, 2015</w:t>
              </w:r>
            </w:hyperlink>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333-202663</w:t>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3060"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20"/>
              </w:rPr>
              <w:t>Mar. 2015 Registration Statement”</w:t>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743,569 </w:t>
            </w:r>
          </w:p>
        </w:tc>
        <w:tc>
          <w:tcPr>
            <w:tcW w:w="2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185,892 </w:t>
            </w:r>
          </w:p>
        </w:tc>
        <w:tc>
          <w:tcPr>
            <w:tcW w:w="232" w:type="dxa"/>
            <w:tcBorders>
              <w:top w:val="single" w:sz="8" w:space="0" w:color="000000"/>
              <w:right w:val="single" w:sz="8" w:space="0" w:color="000000"/>
            </w:tcBorders>
            <w:shd w:fill="FFFF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620"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0"/>
              <w:jc w:val="left"/>
              <w:rPr/>
            </w:pPr>
            <w:hyperlink r:id="rId5">
              <w:r>
                <w:rPr>
                  <w:rStyle w:val="InternetLink"/>
                  <w:rFonts w:ascii="Times New Roman;serif" w:hAnsi="Times New Roman;serif"/>
                  <w:b w:val="false"/>
                  <w:color w:val="0000FF"/>
                  <w:sz w:val="20"/>
                  <w:u w:val="single"/>
                </w:rPr>
                <w:t>March 10, 2016</w:t>
              </w:r>
            </w:hyperlink>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333-210079</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3060"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20"/>
              </w:rPr>
              <w:t>Mar. 2016 Registration Statement”</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1,038,595 </w:t>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232" w:type="dxa"/>
            <w:tcBorders>
              <w:top w:val="single" w:sz="8" w:space="0" w:color="000000"/>
              <w:right w:val="single" w:sz="8" w:space="0" w:color="000000"/>
            </w:tcBorders>
            <w:shd w:fill="CCEE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620"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0"/>
              <w:jc w:val="left"/>
              <w:rPr/>
            </w:pPr>
            <w:hyperlink r:id="rId6">
              <w:r>
                <w:rPr>
                  <w:rStyle w:val="InternetLink"/>
                  <w:rFonts w:ascii="Times New Roman;serif" w:hAnsi="Times New Roman;serif"/>
                  <w:b w:val="false"/>
                  <w:color w:val="0000FF"/>
                  <w:sz w:val="20"/>
                  <w:u w:val="single"/>
                </w:rPr>
                <w:t>February 21, 2017</w:t>
              </w:r>
            </w:hyperlink>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333-216154</w:t>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3060"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20"/>
              </w:rPr>
              <w:t>Feb. 2017 Registration Statement”</w:t>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1,892,376 </w:t>
            </w:r>
          </w:p>
        </w:tc>
        <w:tc>
          <w:tcPr>
            <w:tcW w:w="2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232" w:type="dxa"/>
            <w:tcBorders>
              <w:top w:val="single" w:sz="8" w:space="0" w:color="000000"/>
              <w:right w:val="single" w:sz="8" w:space="0" w:color="000000"/>
            </w:tcBorders>
            <w:shd w:fill="FFFF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620"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0"/>
              <w:jc w:val="left"/>
              <w:rPr/>
            </w:pPr>
            <w:hyperlink r:id="rId7">
              <w:r>
                <w:rPr>
                  <w:rStyle w:val="InternetLink"/>
                  <w:rFonts w:ascii="Times New Roman;serif" w:hAnsi="Times New Roman;serif"/>
                  <w:b w:val="false"/>
                  <w:color w:val="0000FF"/>
                  <w:sz w:val="20"/>
                  <w:u w:val="single"/>
                </w:rPr>
                <w:t>March 16, 2018</w:t>
              </w:r>
            </w:hyperlink>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333-223694</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3060"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20"/>
              </w:rPr>
              <w:t>Mar. 2018 Registration Statement”</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1,901,339 </w:t>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232" w:type="dxa"/>
            <w:tcBorders>
              <w:top w:val="single" w:sz="8" w:space="0" w:color="000000"/>
              <w:right w:val="single" w:sz="8" w:space="0" w:color="000000"/>
            </w:tcBorders>
            <w:shd w:fill="CCEE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620"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0"/>
              <w:jc w:val="left"/>
              <w:rPr/>
            </w:pPr>
            <w:hyperlink r:id="rId8">
              <w:r>
                <w:rPr>
                  <w:rStyle w:val="InternetLink"/>
                  <w:rFonts w:ascii="Times New Roman;serif" w:hAnsi="Times New Roman;serif"/>
                  <w:b w:val="false"/>
                  <w:color w:val="0000FF"/>
                  <w:sz w:val="20"/>
                  <w:u w:val="single"/>
                </w:rPr>
                <w:t>March 8, 2019</w:t>
              </w:r>
            </w:hyperlink>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333-230156</w:t>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3060"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20"/>
              </w:rPr>
              <w:t>Mar. 2019 Registration Statement”</w:t>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2,490,417 </w:t>
            </w:r>
          </w:p>
        </w:tc>
        <w:tc>
          <w:tcPr>
            <w:tcW w:w="2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622,604 </w:t>
            </w:r>
          </w:p>
        </w:tc>
        <w:tc>
          <w:tcPr>
            <w:tcW w:w="232" w:type="dxa"/>
            <w:tcBorders>
              <w:top w:val="single" w:sz="8" w:space="0" w:color="000000"/>
              <w:right w:val="single" w:sz="8" w:space="0" w:color="000000"/>
            </w:tcBorders>
            <w:shd w:fill="FFFF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620"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0"/>
              <w:jc w:val="left"/>
              <w:rPr/>
            </w:pPr>
            <w:hyperlink r:id="rId9">
              <w:r>
                <w:rPr>
                  <w:rStyle w:val="InternetLink"/>
                  <w:rFonts w:ascii="Times New Roman;serif" w:hAnsi="Times New Roman;serif"/>
                  <w:b w:val="false"/>
                  <w:color w:val="0000FF"/>
                  <w:sz w:val="20"/>
                  <w:u w:val="single"/>
                </w:rPr>
                <w:t>March 10, 2020</w:t>
              </w:r>
            </w:hyperlink>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333-237057</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3060"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20"/>
              </w:rPr>
              <w:t>Mar. 2020 Registration Statement”</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3,552,709 </w:t>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232" w:type="dxa"/>
            <w:tcBorders>
              <w:top w:val="single" w:sz="8" w:space="0" w:color="000000"/>
              <w:right w:val="single" w:sz="8" w:space="0" w:color="000000"/>
            </w:tcBorders>
            <w:shd w:fill="CCEE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620"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0"/>
              <w:jc w:val="left"/>
              <w:rPr/>
            </w:pPr>
            <w:hyperlink r:id="rId10">
              <w:r>
                <w:rPr>
                  <w:rStyle w:val="InternetLink"/>
                  <w:rFonts w:ascii="Times New Roman;serif" w:hAnsi="Times New Roman;serif"/>
                  <w:b w:val="false"/>
                  <w:color w:val="0000FF"/>
                  <w:sz w:val="20"/>
                  <w:u w:val="single"/>
                </w:rPr>
                <w:t>March 12, 2021</w:t>
              </w:r>
            </w:hyperlink>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333-254187</w:t>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3060"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20"/>
              </w:rPr>
              <w:t>Mar. 2021 Registration Statement”</w:t>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3,743,999 </w:t>
            </w:r>
          </w:p>
        </w:tc>
        <w:tc>
          <w:tcPr>
            <w:tcW w:w="2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935,999 </w:t>
            </w:r>
          </w:p>
        </w:tc>
        <w:tc>
          <w:tcPr>
            <w:tcW w:w="232" w:type="dxa"/>
            <w:tcBorders>
              <w:top w:val="single" w:sz="8" w:space="0" w:color="000000"/>
              <w:right w:val="single" w:sz="8" w:space="0" w:color="000000"/>
            </w:tcBorders>
            <w:shd w:fill="FFFF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620"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0"/>
              <w:jc w:val="left"/>
              <w:rPr/>
            </w:pPr>
            <w:hyperlink r:id="rId11">
              <w:r>
                <w:rPr>
                  <w:rStyle w:val="InternetLink"/>
                  <w:rFonts w:ascii="Times New Roman;serif" w:hAnsi="Times New Roman;serif"/>
                  <w:b w:val="false"/>
                  <w:color w:val="0000FF"/>
                  <w:sz w:val="20"/>
                  <w:u w:val="single"/>
                </w:rPr>
                <w:t>March 1, 2022</w:t>
              </w:r>
            </w:hyperlink>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333-263145</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3060"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20"/>
              </w:rPr>
              <w:t>Mar. 2022 Registration Statement”</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5,207,301 </w:t>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232" w:type="dxa"/>
            <w:tcBorders>
              <w:top w:val="single" w:sz="8" w:space="0" w:color="000000"/>
              <w:right w:val="single" w:sz="8" w:space="0" w:color="000000"/>
            </w:tcBorders>
            <w:shd w:fill="CCEE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620"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0"/>
              <w:jc w:val="left"/>
              <w:rPr/>
            </w:pPr>
            <w:hyperlink r:id="rId12">
              <w:r>
                <w:rPr>
                  <w:rStyle w:val="InternetLink"/>
                  <w:rFonts w:ascii="Times New Roman;serif" w:hAnsi="Times New Roman;serif"/>
                  <w:b w:val="false"/>
                  <w:color w:val="0000FF"/>
                  <w:sz w:val="20"/>
                  <w:u w:val="single"/>
                </w:rPr>
                <w:t>March 7, 2023</w:t>
              </w:r>
            </w:hyperlink>
            <w:r>
              <w:rPr>
                <w:color w:val="000000"/>
              </w:rPr>
              <w:t xml:space="preserve"> </w:t>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333-270314</w:t>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3060"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20"/>
              </w:rPr>
              <w:t>Mar. 2023 Registration Statement”</w:t>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7,943,000 </w:t>
            </w:r>
          </w:p>
        </w:tc>
        <w:tc>
          <w:tcPr>
            <w:tcW w:w="2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992,875 </w:t>
            </w:r>
          </w:p>
        </w:tc>
        <w:tc>
          <w:tcPr>
            <w:tcW w:w="232" w:type="dxa"/>
            <w:tcBorders>
              <w:top w:val="single" w:sz="8" w:space="0" w:color="000000"/>
              <w:right w:val="single" w:sz="8" w:space="0" w:color="000000"/>
            </w:tcBorders>
            <w:shd w:fill="FFFF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620"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0"/>
              <w:jc w:val="left"/>
              <w:rPr/>
            </w:pPr>
            <w:hyperlink r:id="rId13">
              <w:r>
                <w:rPr>
                  <w:rStyle w:val="InternetLink"/>
                  <w:rFonts w:ascii="Times New Roman;serif" w:hAnsi="Times New Roman;serif"/>
                  <w:b w:val="false"/>
                  <w:color w:val="0000FF"/>
                  <w:sz w:val="20"/>
                  <w:u w:val="single"/>
                </w:rPr>
                <w:t>February 28, 2024</w:t>
              </w:r>
            </w:hyperlink>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333-277428</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3060"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20"/>
              </w:rPr>
              <w:t>Feb. 2024 Registration Statement”</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9,298,127 </w:t>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232" w:type="dxa"/>
            <w:tcBorders>
              <w:top w:val="single" w:sz="8" w:space="0" w:color="000000"/>
              <w:right w:val="single" w:sz="8" w:space="0" w:color="000000"/>
            </w:tcBorders>
            <w:shd w:fill="CCEE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620"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0"/>
              <w:jc w:val="left"/>
              <w:rPr/>
            </w:pPr>
            <w:hyperlink r:id="rId14">
              <w:r>
                <w:rPr>
                  <w:rStyle w:val="InternetLink"/>
                  <w:rFonts w:ascii="Times New Roman;serif" w:hAnsi="Times New Roman;serif"/>
                  <w:b w:val="false"/>
                  <w:color w:val="0000FF"/>
                  <w:sz w:val="20"/>
                  <w:u w:val="single"/>
                </w:rPr>
                <w:t>November 5, 2024</w:t>
              </w:r>
            </w:hyperlink>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333-283006</w:t>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3060"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20"/>
              </w:rPr>
              <w:t>Nov. 2024 Registration Statement”</w:t>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19,000,000 </w:t>
            </w:r>
          </w:p>
        </w:tc>
        <w:tc>
          <w:tcPr>
            <w:tcW w:w="2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3,000,000 </w:t>
            </w:r>
          </w:p>
        </w:tc>
        <w:tc>
          <w:tcPr>
            <w:tcW w:w="232" w:type="dxa"/>
            <w:tcBorders>
              <w:top w:val="single" w:sz="8" w:space="0" w:color="000000"/>
              <w:right w:val="single" w:sz="8" w:space="0" w:color="000000"/>
            </w:tcBorders>
            <w:shd w:fill="FFFF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620" w:type="dxa"/>
            <w:gridSpan w:val="3"/>
            <w:tcBorders>
              <w:top w:val="single" w:sz="8" w:space="0" w:color="000000"/>
              <w:left w:val="single" w:sz="8" w:space="0" w:color="000000"/>
              <w:bottom w:val="single" w:sz="8" w:space="0" w:color="000000"/>
            </w:tcBorders>
            <w:shd w:fill="CCEEFF" w:val="clear"/>
            <w:tcMar>
              <w:top w:w="30" w:type="dxa"/>
              <w:bottom w:w="30" w:type="dxa"/>
              <w:right w:w="0" w:type="dxa"/>
            </w:tcMar>
            <w:vAlign w:val="center"/>
          </w:tcPr>
          <w:p>
            <w:pPr>
              <w:pStyle w:val="TableContents"/>
              <w:bidi w:val="0"/>
              <w:spacing w:lineRule="auto" w:line="240" w:before="0" w:after="0"/>
              <w:jc w:val="left"/>
              <w:rPr/>
            </w:pPr>
            <w:hyperlink r:id="rId15">
              <w:r>
                <w:rPr>
                  <w:rStyle w:val="InternetLink"/>
                  <w:rFonts w:ascii="Times New Roman;serif" w:hAnsi="Times New Roman;serif"/>
                  <w:b w:val="false"/>
                  <w:color w:val="0000FF"/>
                  <w:sz w:val="20"/>
                  <w:u w:val="single"/>
                </w:rPr>
                <w:t>November 3, 2025</w:t>
              </w:r>
            </w:hyperlink>
          </w:p>
        </w:tc>
        <w:tc>
          <w:tcPr>
            <w:tcW w:w="327" w:type="dxa"/>
            <w:gridSpan w:val="3"/>
            <w:tcBorders>
              <w:top w:val="single" w:sz="8" w:space="0" w:color="000000"/>
              <w:left w:val="single" w:sz="8" w:space="0" w:color="000000"/>
              <w:bottom w:val="single" w:sz="8" w:space="0" w:color="000000"/>
            </w:tcBorders>
            <w:shd w:fill="CCEEFF" w:val="clear"/>
            <w:tcMar>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left w:val="single" w:sz="8" w:space="0" w:color="000000"/>
              <w:bottom w:val="single" w:sz="8" w:space="0" w:color="000000"/>
            </w:tcBorders>
            <w:shd w:fill="CCEEFF" w:val="clear"/>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333-291229</w:t>
            </w:r>
          </w:p>
        </w:tc>
        <w:tc>
          <w:tcPr>
            <w:tcW w:w="327" w:type="dxa"/>
            <w:gridSpan w:val="3"/>
            <w:tcBorders>
              <w:top w:val="single" w:sz="8" w:space="0" w:color="000000"/>
              <w:left w:val="single" w:sz="8" w:space="0" w:color="000000"/>
              <w:bottom w:val="single" w:sz="8" w:space="0" w:color="000000"/>
            </w:tcBorders>
            <w:shd w:fill="CCEEFF" w:val="clear"/>
            <w:tcMar>
              <w:right w:w="0" w:type="dxa"/>
            </w:tcMar>
            <w:vAlign w:val="center"/>
          </w:tcPr>
          <w:p>
            <w:pPr>
              <w:pStyle w:val="TableContents"/>
              <w:bidi w:val="0"/>
              <w:spacing w:before="0" w:after="283"/>
              <w:jc w:val="left"/>
              <w:rPr>
                <w:sz w:val="4"/>
                <w:szCs w:val="4"/>
              </w:rPr>
            </w:pPr>
            <w:r>
              <w:rPr>
                <w:sz w:val="4"/>
                <w:szCs w:val="4"/>
              </w:rPr>
            </w:r>
          </w:p>
        </w:tc>
        <w:tc>
          <w:tcPr>
            <w:tcW w:w="3060" w:type="dxa"/>
            <w:gridSpan w:val="3"/>
            <w:tcBorders>
              <w:top w:val="single" w:sz="8" w:space="0" w:color="000000"/>
              <w:left w:val="single" w:sz="8" w:space="0" w:color="000000"/>
              <w:bottom w:val="single" w:sz="8" w:space="0" w:color="000000"/>
            </w:tcBorders>
            <w:shd w:fill="CCEEFF" w:val="clear"/>
            <w:tcMar>
              <w:top w:w="30" w:type="dxa"/>
              <w:bottom w:w="3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20"/>
              </w:rPr>
              <w:t>Nov. 2025 Registration Statement”</w:t>
            </w:r>
          </w:p>
        </w:tc>
        <w:tc>
          <w:tcPr>
            <w:tcW w:w="327" w:type="dxa"/>
            <w:gridSpan w:val="3"/>
            <w:tcBorders>
              <w:top w:val="single" w:sz="8" w:space="0" w:color="000000"/>
              <w:left w:val="single" w:sz="8" w:space="0" w:color="000000"/>
              <w:bottom w:val="single" w:sz="8" w:space="0" w:color="000000"/>
            </w:tcBorders>
            <w:shd w:fill="CCEEFF" w:val="clear"/>
            <w:tcMar>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left w:val="single" w:sz="8" w:space="0" w:color="000000"/>
              <w:bottom w:val="single" w:sz="8" w:space="0" w:color="000000"/>
            </w:tcBorders>
            <w:shd w:fill="CCEEFF" w:val="clear"/>
            <w:tcMar>
              <w:top w:w="3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10,000,000 </w:t>
            </w:r>
          </w:p>
        </w:tc>
        <w:tc>
          <w:tcPr>
            <w:tcW w:w="28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op w:val="single" w:sz="8" w:space="0" w:color="000000"/>
              <w:left w:val="single" w:sz="8" w:space="0" w:color="000000"/>
              <w:bottom w:val="single" w:sz="8" w:space="0" w:color="000000"/>
            </w:tcBorders>
            <w:shd w:fill="CCEEFF" w:val="clear"/>
            <w:tcMar>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left w:val="single" w:sz="8" w:space="0" w:color="000000"/>
              <w:bottom w:val="single" w:sz="8" w:space="0" w:color="000000"/>
            </w:tcBorders>
            <w:shd w:fill="CCEEFF" w:val="clear"/>
            <w:tcMar>
              <w:top w:w="3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232" w:type="dxa"/>
            <w:tcBorders>
              <w:top w:val="single" w:sz="8" w:space="0" w:color="000000"/>
              <w:bottom w:val="single" w:sz="8" w:space="0" w:color="000000"/>
              <w:right w:val="single" w:sz="8" w:space="0" w:color="000000"/>
            </w:tcBorders>
            <w:shd w:fill="CCEEFF" w:val="clear"/>
            <w:tcMar>
              <w:top w:w="30" w:type="dxa"/>
              <w:left w:w="0" w:type="dxa"/>
              <w:bottom w:w="3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This registration statement on Form S-8 (the “Registration Statement”) is filed by the Registrant relating to 9,000,000 shares of common stock, par value $0.0001 per share (the “Common Stock”) available for issuance under the 2014 Plan resulting from an increase approved by the Registrant’s stockholders on June 16, 2026. </w:t>
      </w:r>
    </w:p>
    <w:p>
      <w:pPr>
        <w:pStyle w:val="TextBody"/>
        <w:bidi w:val="0"/>
        <w:spacing w:lineRule="auto" w:line="288" w:before="48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PART I </w:t>
      </w:r>
    </w:p>
    <w:p>
      <w:pPr>
        <w:pStyle w:val="TextBody"/>
        <w:bidi w:val="0"/>
        <w:spacing w:lineRule="auto" w:line="288" w:before="24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INFORMATION REQUIRED IN THE SECTION 10(a) PROSPECTUS </w:t>
      </w:r>
    </w:p>
    <w:p>
      <w:pPr>
        <w:pStyle w:val="TextBody"/>
        <w:bidi w:val="0"/>
        <w:spacing w:lineRule="auto" w:line="288"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 information called for in Part I of Form S-8 is not being filed with or included in this Form S-8 (by incorporation by reference or otherwise) in accordance with the rules and regulations of the SEC. </w:t>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48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PART II </w:t>
      </w:r>
    </w:p>
    <w:p>
      <w:pPr>
        <w:pStyle w:val="TextBody"/>
        <w:bidi w:val="0"/>
        <w:spacing w:lineRule="auto" w:line="288" w:before="24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INFORMATION REQUIRED IN THE REGISTRATION STATEMENT </w:t>
      </w:r>
    </w:p>
    <w:p>
      <w:pPr>
        <w:pStyle w:val="TextBody"/>
        <w:bidi w:val="0"/>
        <w:spacing w:lineRule="auto" w:line="288" w:before="240" w:after="283"/>
        <w:jc w:val="center"/>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 xml:space="preserve">In this registration statement, Ardelyx, Inc. is sometimes referred to as “Registrant,” “we,” “us” or “our.” </w:t>
      </w:r>
    </w:p>
    <w:p>
      <w:pPr>
        <w:pStyle w:val="TextBody"/>
        <w:bidi w:val="0"/>
        <w:spacing w:lineRule="auto" w:line="288" w:before="240" w:after="283"/>
        <w:jc w:val="left"/>
        <w:rPr>
          <w:shd w:fill="FFFFFF" w:val="clear"/>
        </w:rPr>
      </w:pPr>
      <w:r>
        <w:rPr>
          <w:rFonts w:ascii="Times New Roman;serif" w:hAnsi="Times New Roman;serif"/>
          <w:b/>
          <w:color w:val="000000"/>
          <w:sz w:val="20"/>
          <w:shd w:fill="FFFFFF" w:val="clear"/>
        </w:rPr>
        <w:t xml:space="preserve">Item 3. </w:t>
      </w:r>
      <w:r>
        <w:rPr>
          <w:rFonts w:ascii="Times New Roman;serif" w:hAnsi="Times New Roman;serif"/>
          <w:b/>
          <w:color w:val="000000"/>
          <w:sz w:val="20"/>
          <w:u w:val="single"/>
          <w:shd w:fill="FFFFFF" w:val="clear"/>
        </w:rPr>
        <w:t>Incorporation of Documents by Reference</w:t>
      </w:r>
      <w:r>
        <w:rPr>
          <w:rFonts w:ascii="Times New Roman;serif" w:hAnsi="Times New Roman;serif"/>
          <w:b/>
          <w:color w:val="000000"/>
          <w:sz w:val="20"/>
          <w:shd w:fill="FFFFFF" w:val="clear"/>
        </w:rPr>
        <w:t xml:space="preserve">. </w:t>
      </w:r>
    </w:p>
    <w:p>
      <w:pPr>
        <w:pStyle w:val="TextBody"/>
        <w:bidi w:val="0"/>
        <w:spacing w:lineRule="auto" w:line="288" w:before="120" w:after="283"/>
        <w:jc w:val="left"/>
        <w:rPr>
          <w:shd w:fill="FFFFFF" w:val="clear"/>
        </w:rPr>
      </w:pPr>
      <w:r>
        <w:rPr>
          <w:rFonts w:ascii="Times New Roman;serif" w:hAnsi="Times New Roman;serif"/>
          <w:b w:val="false"/>
          <w:color w:val="000000"/>
          <w:sz w:val="20"/>
          <w:shd w:fill="FFFFFF" w:val="clear"/>
        </w:rPr>
        <w:t xml:space="preserve">The SEC allows the Registrant to “incorporate by reference” the information it files with them, which means that the Registrant can disclose important information to you by referring to those documents. The information incorporated by reference is considered to be part of this registration statement, and later information filed with the SEC will update and supersede this information. The Registrant hereby incorporates by reference into this registration statement the following documents previously filed with the SEC: </w:t>
      </w:r>
      <w:r>
        <w:rPr>
          <w:color w:val="000000"/>
          <w:shd w:fill="FFFFFF" w:val="clear"/>
        </w:rPr>
        <w:t> </w: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124"/>
        <w:gridCol w:w="109"/>
        <w:gridCol w:w="109"/>
        <w:gridCol w:w="2915"/>
        <w:gridCol w:w="2867"/>
        <w:gridCol w:w="408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5" w:type="dxa"/>
            <w:tcBorders/>
            <w:vAlign w:val="center"/>
          </w:tcPr>
          <w:p>
            <w:pPr>
              <w:pStyle w:val="TableContents"/>
              <w:bidi w:val="0"/>
              <w:spacing w:before="0" w:after="283"/>
              <w:jc w:val="left"/>
              <w:rPr>
                <w:sz w:val="4"/>
                <w:szCs w:val="4"/>
              </w:rPr>
            </w:pPr>
            <w:r>
              <w:rPr>
                <w:sz w:val="4"/>
                <w:szCs w:val="4"/>
              </w:rPr>
            </w:r>
          </w:p>
        </w:tc>
        <w:tc>
          <w:tcPr>
            <w:tcW w:w="2867" w:type="dxa"/>
            <w:tcBorders/>
            <w:vAlign w:val="center"/>
          </w:tcPr>
          <w:p>
            <w:pPr>
              <w:pStyle w:val="TableContents"/>
              <w:bidi w:val="0"/>
              <w:spacing w:before="0" w:after="283"/>
              <w:jc w:val="left"/>
              <w:rPr>
                <w:sz w:val="4"/>
                <w:szCs w:val="4"/>
              </w:rPr>
            </w:pPr>
            <w:r>
              <w:rPr>
                <w:sz w:val="4"/>
                <w:szCs w:val="4"/>
              </w:rPr>
            </w:r>
          </w:p>
        </w:tc>
        <w:tc>
          <w:tcPr>
            <w:tcW w:w="408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The Registrant’s Annual Report on </w:t>
            </w:r>
            <w:hyperlink r:id="rId16">
              <w:r>
                <w:rPr>
                  <w:rStyle w:val="InternetLink"/>
                  <w:rFonts w:ascii="Times New Roman;serif" w:hAnsi="Times New Roman;serif"/>
                  <w:b w:val="false"/>
                  <w:color w:val="0000FF"/>
                  <w:sz w:val="20"/>
                  <w:u w:val="single"/>
                </w:rPr>
                <w:t>Form 10-K</w:t>
              </w:r>
            </w:hyperlink>
            <w:r>
              <w:rPr>
                <w:color w:val="000000"/>
              </w:rPr>
              <w:t xml:space="preserve"> </w:t>
            </w:r>
            <w:r>
              <w:rPr>
                <w:rFonts w:ascii="Times New Roman;serif" w:hAnsi="Times New Roman;serif"/>
                <w:b w:val="false"/>
                <w:color w:val="000000"/>
                <w:sz w:val="20"/>
              </w:rPr>
              <w:t>for the fiscal year ended December 31, 2025, as filed with the SEC on February 19, 2026 (File No. 001-36485);</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The Registrant’s Quarterly Reports on Form 10-Q for the fiscal quarters ended March 31, 2026 and June 30, 2026, as filed with the SEC on </w:t>
            </w:r>
            <w:hyperlink r:id="rId17">
              <w:r>
                <w:rPr>
                  <w:rStyle w:val="InternetLink"/>
                  <w:rFonts w:ascii="Times New Roman;serif" w:hAnsi="Times New Roman;serif"/>
                  <w:b w:val="false"/>
                  <w:color w:val="0000FF"/>
                  <w:sz w:val="20"/>
                  <w:u w:val="single"/>
                </w:rPr>
                <w:t>April 30, 2026</w:t>
              </w:r>
            </w:hyperlink>
            <w:r>
              <w:rPr>
                <w:color w:val="000000"/>
              </w:rPr>
              <w:t xml:space="preserve"> </w:t>
            </w:r>
            <w:r>
              <w:rPr>
                <w:rFonts w:ascii="Times New Roman;serif" w:hAnsi="Times New Roman;serif"/>
                <w:b w:val="false"/>
                <w:color w:val="000000"/>
                <w:sz w:val="20"/>
              </w:rPr>
              <w:t xml:space="preserve">and </w:t>
            </w:r>
            <w:hyperlink r:id="rId18">
              <w:r>
                <w:rPr>
                  <w:rStyle w:val="InternetLink"/>
                  <w:rFonts w:ascii="Times New Roman;serif" w:hAnsi="Times New Roman;serif"/>
                  <w:b w:val="false"/>
                  <w:color w:val="000080"/>
                  <w:sz w:val="20"/>
                  <w:u w:val="single"/>
                </w:rPr>
                <w:t xml:space="preserve">August </w:t>
              </w:r>
            </w:hyperlink>
            <w:hyperlink r:id="rId19">
              <w:r>
                <w:rPr>
                  <w:rStyle w:val="InternetLink"/>
                  <w:rFonts w:ascii="Times New Roman;serif" w:hAnsi="Times New Roman;serif"/>
                  <w:b w:val="false"/>
                  <w:color w:val="000080"/>
                  <w:sz w:val="20"/>
                  <w:u w:val="single"/>
                </w:rPr>
                <w:t>6</w:t>
              </w:r>
            </w:hyperlink>
            <w:hyperlink r:id="rId20">
              <w:r>
                <w:rPr>
                  <w:rStyle w:val="InternetLink"/>
                  <w:rFonts w:ascii="Times New Roman;serif" w:hAnsi="Times New Roman;serif"/>
                  <w:b w:val="false"/>
                  <w:color w:val="000080"/>
                  <w:sz w:val="20"/>
                  <w:u w:val="single"/>
                </w:rPr>
                <w:t>, 2026</w:t>
              </w:r>
            </w:hyperlink>
            <w:r>
              <w:rPr>
                <w:rFonts w:ascii="Times New Roman;serif" w:hAnsi="Times New Roman;serif"/>
                <w:b w:val="false"/>
                <w:color w:val="000000"/>
                <w:sz w:val="20"/>
              </w:rPr>
              <w:t>, respectively;</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The Registrant’s Current Reports on Form 8-K filed with the SEC on </w:t>
            </w:r>
            <w:hyperlink r:id="rId21">
              <w:r>
                <w:rPr>
                  <w:rStyle w:val="InternetLink"/>
                  <w:rFonts w:ascii="Times New Roman;serif" w:hAnsi="Times New Roman;serif"/>
                  <w:b w:val="false"/>
                  <w:color w:val="0000FF"/>
                  <w:sz w:val="20"/>
                  <w:u w:val="single"/>
                </w:rPr>
                <w:t>January 8, 2026</w:t>
              </w:r>
            </w:hyperlink>
            <w:r>
              <w:rPr>
                <w:rFonts w:ascii="Times New Roman;serif" w:hAnsi="Times New Roman;serif"/>
                <w:b w:val="false"/>
                <w:color w:val="000000"/>
                <w:sz w:val="20"/>
              </w:rPr>
              <w:t xml:space="preserve">, </w:t>
            </w:r>
            <w:hyperlink r:id="rId22">
              <w:r>
                <w:rPr>
                  <w:rStyle w:val="InternetLink"/>
                  <w:rFonts w:ascii="Times New Roman;serif" w:hAnsi="Times New Roman;serif"/>
                  <w:b w:val="false"/>
                  <w:color w:val="0000FF"/>
                  <w:sz w:val="20"/>
                  <w:u w:val="single"/>
                </w:rPr>
                <w:t>June 17, 2026</w:t>
              </w:r>
            </w:hyperlink>
            <w:r>
              <w:rPr>
                <w:rFonts w:ascii="Times New Roman;serif" w:hAnsi="Times New Roman;serif"/>
                <w:b w:val="false"/>
                <w:color w:val="000000"/>
                <w:sz w:val="20"/>
              </w:rPr>
              <w:t xml:space="preserve">, and </w:t>
            </w:r>
            <w:hyperlink r:id="rId23">
              <w:r>
                <w:rPr>
                  <w:rStyle w:val="InternetLink"/>
                  <w:rFonts w:ascii="Times New Roman;serif" w:hAnsi="Times New Roman;serif"/>
                  <w:b w:val="false"/>
                  <w:color w:val="0000FF"/>
                  <w:sz w:val="20"/>
                  <w:u w:val="single"/>
                </w:rPr>
                <w:t>July 2, 2026</w:t>
              </w:r>
            </w:hyperlink>
            <w:r>
              <w:rPr>
                <w:rFonts w:ascii="Times New Roman;serif" w:hAnsi="Times New Roman;serif"/>
                <w:b w:val="false"/>
                <w:color w:val="000000"/>
                <w:sz w:val="20"/>
              </w:rPr>
              <w:t>;</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The information specifically incorporated by reference into the Registrant’s Annual Report on Form 10-K from the Registrant’s Definitive Proxy Statement on </w:t>
            </w:r>
            <w:hyperlink r:id="rId24">
              <w:r>
                <w:rPr>
                  <w:rStyle w:val="InternetLink"/>
                  <w:rFonts w:ascii="Times New Roman;serif" w:hAnsi="Times New Roman;serif"/>
                  <w:b w:val="false"/>
                  <w:color w:val="0000FF"/>
                  <w:sz w:val="20"/>
                  <w:u w:val="single"/>
                </w:rPr>
                <w:t>Schedule 14A</w:t>
              </w:r>
            </w:hyperlink>
            <w:r>
              <w:rPr>
                <w:rFonts w:ascii="Times New Roman;serif" w:hAnsi="Times New Roman;serif"/>
                <w:b w:val="false"/>
                <w:color w:val="000000"/>
                <w:sz w:val="20"/>
              </w:rPr>
              <w:t>, filed with the SEC on April 29, 2026; and</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The description of the Registrant’s Common Stock contained in the Registrant’s registration statement on Form 8-A (File No. 001-36485), filed by the Registrant with the SEC under Section 12 of the Securities Exchange Act of 1934, as amended (the “Exchange Act”), on June 9, 2014, as amended by the description of the Registrant’s Common Stock contained in </w:t>
            </w:r>
            <w:hyperlink r:id="rId25">
              <w:r>
                <w:rPr>
                  <w:rStyle w:val="InternetLink"/>
                  <w:rFonts w:ascii="Times New Roman;serif" w:hAnsi="Times New Roman;serif"/>
                  <w:b w:val="false"/>
                  <w:color w:val="0000FF"/>
                  <w:sz w:val="20"/>
                  <w:u w:val="single"/>
                </w:rPr>
                <w:t>Exhibit 4.3</w:t>
              </w:r>
            </w:hyperlink>
            <w:r>
              <w:rPr>
                <w:color w:val="000000"/>
              </w:rPr>
              <w:t xml:space="preserve"> </w:t>
            </w:r>
            <w:r>
              <w:rPr>
                <w:rFonts w:ascii="Times New Roman;serif" w:hAnsi="Times New Roman;serif"/>
                <w:b w:val="false"/>
                <w:color w:val="000000"/>
                <w:sz w:val="20"/>
              </w:rPr>
              <w:t>to the Registrant’s Annual Report on Form 10-K for the fiscal year ended December 31, 2025, filed on February 19, 2026, including any amendments or reports filed for the purpose of updating such description.</w:t>
            </w:r>
          </w:p>
        </w:tc>
      </w:tr>
    </w:tbl>
    <w:p>
      <w:pPr>
        <w:pStyle w:val="TextBody"/>
        <w:bidi w:val="0"/>
        <w:spacing w:lineRule="auto" w:line="288"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All documents that the Registrant subsequently files pursuant to Sections 13(a), 13(c), 14 and 15(d) of the Exchange Act prior to the filing of a post-effective amendment to the registration statement which indicates that all of the shares of Common Stock offered have been sold or which deregisters all of such shares then remaining unsold, shall be deemed to be incorporated by reference in this registration statement and to be a part hereof from the date of the filing of such documents; except as to any portion of any future annual or quarterly report to stockholders, or document or current report furnished under any current or future items of Form 8-K (including current Items 2.02 and 7.01, and exhibits furnished on such form that relate to such items), in each case, that is not deemed filed under such provisions. For the purposes of this registration statement, any statement contained in a document incorporated or deemed to be incorporated by reference herein shall be deemed to be modified or superseded to the extent that a statement contained herein or in any other subsequently filed document which also is or is deemed to be incorporated by reference herein modifies or supersedes such statement. Any such statement so modified or superseded shall not be deemed, except as so modified or superseded, to constitute a part of this registration statement. </w:t>
      </w:r>
    </w:p>
    <w:p>
      <w:pPr>
        <w:pStyle w:val="TextBody"/>
        <w:bidi w:val="0"/>
        <w:spacing w:lineRule="auto" w:line="288"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Under no circumstances will any information filed under current Items 2.02 or 7.01 of Form 8-K, and exhibits furnished on such form that relate to such items, be deemed incorporated herein by reference unless such Form 8-K expressly provides to the contrary. </w:t>
      </w:r>
    </w:p>
    <w:p>
      <w:pPr>
        <w:pStyle w:val="TextBody"/>
        <w:bidi w:val="0"/>
        <w:spacing w:lineRule="auto" w:line="288" w:before="360" w:after="283"/>
        <w:jc w:val="left"/>
        <w:rPr>
          <w:shd w:fill="FFFFFF" w:val="clear"/>
        </w:rPr>
      </w:pPr>
      <w:r>
        <w:rPr>
          <w:rFonts w:ascii="Times New Roman;serif" w:hAnsi="Times New Roman;serif"/>
          <w:b/>
          <w:color w:val="000000"/>
          <w:sz w:val="20"/>
          <w:shd w:fill="FFFFFF" w:val="clear"/>
        </w:rPr>
        <w:t xml:space="preserve">Item 4. </w:t>
      </w:r>
      <w:r>
        <w:rPr>
          <w:rFonts w:ascii="Times New Roman;serif" w:hAnsi="Times New Roman;serif"/>
          <w:b/>
          <w:color w:val="000000"/>
          <w:sz w:val="20"/>
          <w:u w:val="single"/>
          <w:shd w:fill="FFFFFF" w:val="clear"/>
        </w:rPr>
        <w:t>Description of Securities</w:t>
      </w:r>
      <w:r>
        <w:rPr>
          <w:rFonts w:ascii="Times New Roman;serif" w:hAnsi="Times New Roman;serif"/>
          <w:b/>
          <w:color w:val="000000"/>
          <w:sz w:val="20"/>
          <w:shd w:fill="FFFFFF" w:val="clear"/>
        </w:rPr>
        <w:t xml:space="preserve">. </w:t>
      </w:r>
    </w:p>
    <w:p>
      <w:pPr>
        <w:pStyle w:val="TextBody"/>
        <w:bidi w:val="0"/>
        <w:spacing w:lineRule="auto" w:line="288" w:before="12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Not applicable. </w:t>
      </w:r>
    </w:p>
    <w:p>
      <w:pPr>
        <w:pStyle w:val="TextBody"/>
        <w:bidi w:val="0"/>
        <w:spacing w:lineRule="auto" w:line="288" w:before="360" w:after="283"/>
        <w:jc w:val="left"/>
        <w:rPr>
          <w:shd w:fill="FFFFFF" w:val="clear"/>
        </w:rPr>
      </w:pPr>
      <w:r>
        <w:rPr>
          <w:rFonts w:ascii="Times New Roman;serif" w:hAnsi="Times New Roman;serif"/>
          <w:b/>
          <w:color w:val="000000"/>
          <w:sz w:val="20"/>
          <w:shd w:fill="FFFFFF" w:val="clear"/>
        </w:rPr>
        <w:t xml:space="preserve">Item 5. </w:t>
      </w:r>
      <w:r>
        <w:rPr>
          <w:rFonts w:ascii="Times New Roman;serif" w:hAnsi="Times New Roman;serif"/>
          <w:b/>
          <w:color w:val="000000"/>
          <w:sz w:val="20"/>
          <w:u w:val="single"/>
          <w:shd w:fill="FFFFFF" w:val="clear"/>
        </w:rPr>
        <w:t>Interests of Named Experts and Counsel</w:t>
      </w:r>
      <w:r>
        <w:rPr>
          <w:rFonts w:ascii="Times New Roman;serif" w:hAnsi="Times New Roman;serif"/>
          <w:b/>
          <w:color w:val="000000"/>
          <w:sz w:val="20"/>
          <w:shd w:fill="FFFFFF" w:val="clear"/>
        </w:rPr>
        <w:t xml:space="preserve">. </w:t>
      </w:r>
    </w:p>
    <w:p>
      <w:pPr>
        <w:pStyle w:val="TextBody"/>
        <w:bidi w:val="0"/>
        <w:spacing w:lineRule="auto" w:line="288" w:before="12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Not applicable. </w:t>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360" w:after="283"/>
        <w:jc w:val="left"/>
        <w:rPr>
          <w:shd w:fill="FFFFFF" w:val="clear"/>
        </w:rPr>
      </w:pPr>
      <w:r>
        <w:rPr>
          <w:rFonts w:ascii="Times New Roman;serif" w:hAnsi="Times New Roman;serif"/>
          <w:b/>
          <w:color w:val="000000"/>
          <w:sz w:val="20"/>
          <w:shd w:fill="FFFFFF" w:val="clear"/>
        </w:rPr>
        <w:t xml:space="preserve">Item 6. </w:t>
      </w:r>
      <w:r>
        <w:rPr>
          <w:rFonts w:ascii="Times New Roman;serif" w:hAnsi="Times New Roman;serif"/>
          <w:b/>
          <w:color w:val="000000"/>
          <w:sz w:val="20"/>
          <w:u w:val="single"/>
          <w:shd w:fill="FFFFFF" w:val="clear"/>
        </w:rPr>
        <w:t>Indemnification of Directors and Officers</w:t>
      </w:r>
      <w:r>
        <w:rPr>
          <w:rFonts w:ascii="Times New Roman;serif" w:hAnsi="Times New Roman;serif"/>
          <w:b/>
          <w:color w:val="000000"/>
          <w:sz w:val="20"/>
          <w:shd w:fill="FFFFFF" w:val="clear"/>
        </w:rPr>
        <w:t xml:space="preserve">. </w:t>
      </w:r>
    </w:p>
    <w:p>
      <w:pPr>
        <w:pStyle w:val="TextBody"/>
        <w:bidi w:val="0"/>
        <w:spacing w:lineRule="auto" w:line="288"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As permitted by Section 102 of the Delaware General Corporation Law, we have adopted provisions in our amended and restated certificate of incorporation that limit or eliminate the personal liability of our directors for a breach of their fiduciary duties of care as directors. The duty of care generally requires that, when acting on behalf of the corporation, directors exercise an informed business judgment based on all material information reasonably available to them. Consequently, a director will not be personally liable to us or our stockholders for monetary damages for breach of fiduciary duty as a director, except for liability for: </w:t>
      </w:r>
    </w:p>
    <w:p>
      <w:pPr>
        <w:pStyle w:val="TextBody"/>
        <w:bidi w:val="0"/>
        <w:spacing w:lineRule="auto" w:line="288" w:before="240" w:after="283"/>
        <w:ind w:left="0" w:right="0" w:hanging="360"/>
        <w:jc w:val="left"/>
        <w:rPr>
          <w:shd w:fill="FFFFFF" w:val="clear"/>
        </w:rPr>
      </w:pPr>
      <w:r>
        <w:rPr>
          <w:color w:val="000000"/>
          <w:shd w:fill="FFFFFF" w:val="clear"/>
        </w:rPr>
        <w:t>•</w:t>
      </w:r>
      <w:r>
        <w:rPr>
          <w:rFonts w:ascii="Times New Roman;serif" w:hAnsi="Times New Roman;serif"/>
          <w:b w:val="false"/>
          <w:color w:val="000000"/>
          <w:sz w:val="20"/>
          <w:shd w:fill="FFFFFF" w:val="clear"/>
        </w:rPr>
        <w:t>any breach of the director’s duty of loyalty to us or our stockholders;</w:t>
      </w:r>
    </w:p>
    <w:p>
      <w:pPr>
        <w:pStyle w:val="TextBody"/>
        <w:bidi w:val="0"/>
        <w:spacing w:lineRule="auto" w:line="288" w:before="0" w:after="0"/>
        <w:ind w:left="0" w:right="0" w:hanging="360"/>
        <w:jc w:val="left"/>
        <w:rPr>
          <w:shd w:fill="FFFFFF" w:val="clear"/>
        </w:rPr>
      </w:pPr>
      <w:r>
        <w:rPr>
          <w:color w:val="000000"/>
          <w:shd w:fill="FFFFFF" w:val="clear"/>
        </w:rPr>
        <w:t>•</w:t>
      </w:r>
      <w:r>
        <w:rPr>
          <w:rFonts w:ascii="Times New Roman;serif" w:hAnsi="Times New Roman;serif"/>
          <w:b w:val="false"/>
          <w:color w:val="000000"/>
          <w:sz w:val="20"/>
          <w:shd w:fill="FFFFFF" w:val="clear"/>
        </w:rPr>
        <w:t>any act or omission not in good faith or that involves intentional misconduct or a knowing violation of law;</w:t>
      </w:r>
    </w:p>
    <w:p>
      <w:pPr>
        <w:pStyle w:val="TextBody"/>
        <w:bidi w:val="0"/>
        <w:spacing w:lineRule="auto" w:line="288" w:before="0" w:after="0"/>
        <w:ind w:left="0" w:right="0" w:hanging="360"/>
        <w:jc w:val="left"/>
        <w:rPr>
          <w:shd w:fill="FFFFFF" w:val="clear"/>
        </w:rPr>
      </w:pPr>
      <w:r>
        <w:rPr>
          <w:color w:val="000000"/>
          <w:shd w:fill="FFFFFF" w:val="clear"/>
        </w:rPr>
        <w:t>•</w:t>
      </w:r>
      <w:r>
        <w:rPr>
          <w:rFonts w:ascii="Times New Roman;serif" w:hAnsi="Times New Roman;serif"/>
          <w:b w:val="false"/>
          <w:color w:val="000000"/>
          <w:sz w:val="20"/>
          <w:shd w:fill="FFFFFF" w:val="clear"/>
        </w:rPr>
        <w:t>any act related to unlawful stock repurchases, redemptions or other distributions or payment of dividends; and</w:t>
      </w:r>
    </w:p>
    <w:p>
      <w:pPr>
        <w:pStyle w:val="TextBody"/>
        <w:bidi w:val="0"/>
        <w:spacing w:lineRule="auto" w:line="288" w:before="0" w:after="0"/>
        <w:ind w:left="0" w:right="0" w:hanging="360"/>
        <w:jc w:val="left"/>
        <w:rPr>
          <w:shd w:fill="FFFFFF" w:val="clear"/>
        </w:rPr>
      </w:pPr>
      <w:r>
        <w:rPr>
          <w:color w:val="000000"/>
          <w:shd w:fill="FFFFFF" w:val="clear"/>
        </w:rPr>
        <w:t>•</w:t>
      </w:r>
      <w:r>
        <w:rPr>
          <w:rFonts w:ascii="Times New Roman;serif" w:hAnsi="Times New Roman;serif"/>
          <w:b w:val="false"/>
          <w:color w:val="000000"/>
          <w:sz w:val="20"/>
          <w:shd w:fill="FFFFFF" w:val="clear"/>
        </w:rPr>
        <w:t>any transaction from which the director derived an improper personal benefit.</w:t>
      </w:r>
    </w:p>
    <w:p>
      <w:pPr>
        <w:pStyle w:val="TextBody"/>
        <w:bidi w:val="0"/>
        <w:spacing w:lineRule="auto" w:line="288"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These limitations of liability do not affect the availability of equitable remedies such as injunctive relief or rescission. Our amended and restated certificate of incorporation also authorizes us to indemnify our directors, officers, employees and other agents to the fullest extent permitted under Delaware law.</w:t>
      </w:r>
    </w:p>
    <w:p>
      <w:pPr>
        <w:pStyle w:val="TextBody"/>
        <w:bidi w:val="0"/>
        <w:spacing w:lineRule="auto" w:line="288"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As permitted by Section 145 of the Delaware General Corporation Law, our second amended and restated bylaws provide that: </w:t>
      </w:r>
    </w:p>
    <w:p>
      <w:pPr>
        <w:pStyle w:val="TextBody"/>
        <w:bidi w:val="0"/>
        <w:spacing w:lineRule="auto" w:line="288" w:before="240" w:after="283"/>
        <w:ind w:left="0" w:right="0" w:hanging="360"/>
        <w:jc w:val="left"/>
        <w:rPr>
          <w:shd w:fill="FFFFFF" w:val="clear"/>
        </w:rPr>
      </w:pPr>
      <w:r>
        <w:rPr>
          <w:color w:val="000000"/>
          <w:shd w:fill="FFFFFF" w:val="clear"/>
        </w:rPr>
        <w:t>•</w:t>
      </w:r>
      <w:r>
        <w:rPr>
          <w:rFonts w:ascii="Times New Roman;serif" w:hAnsi="Times New Roman;serif"/>
          <w:b w:val="false"/>
          <w:color w:val="000000"/>
          <w:sz w:val="20"/>
          <w:shd w:fill="FFFFFF" w:val="clear"/>
        </w:rPr>
        <w:t>we may indemnify our directors, officers and employees to the fullest extent permitted by the Delaware General Corporation Law, subject to limited exceptions;</w:t>
      </w:r>
    </w:p>
    <w:p>
      <w:pPr>
        <w:pStyle w:val="TextBody"/>
        <w:bidi w:val="0"/>
        <w:spacing w:lineRule="auto" w:line="288" w:before="0" w:after="0"/>
        <w:ind w:left="0" w:right="0" w:hanging="360"/>
        <w:jc w:val="left"/>
        <w:rPr>
          <w:shd w:fill="FFFFFF" w:val="clear"/>
        </w:rPr>
      </w:pPr>
      <w:r>
        <w:rPr>
          <w:color w:val="000000"/>
          <w:shd w:fill="FFFFFF" w:val="clear"/>
        </w:rPr>
        <w:t>•</w:t>
      </w:r>
      <w:r>
        <w:rPr>
          <w:rFonts w:ascii="Times New Roman;serif" w:hAnsi="Times New Roman;serif"/>
          <w:b w:val="false"/>
          <w:color w:val="000000"/>
          <w:sz w:val="20"/>
          <w:shd w:fill="FFFFFF" w:val="clear"/>
        </w:rPr>
        <w:t>we may advance expenses to our directors, officers and employees in connection with a legal proceeding to the fullest extent permitted by the Delaware General Corporation Law, subject to limited exceptions; and</w:t>
      </w:r>
    </w:p>
    <w:p>
      <w:pPr>
        <w:pStyle w:val="TextBody"/>
        <w:bidi w:val="0"/>
        <w:spacing w:lineRule="auto" w:line="288" w:before="0" w:after="0"/>
        <w:ind w:left="0" w:right="0" w:hanging="360"/>
        <w:jc w:val="left"/>
        <w:rPr>
          <w:shd w:fill="FFFFFF" w:val="clear"/>
        </w:rPr>
      </w:pPr>
      <w:r>
        <w:rPr>
          <w:color w:val="000000"/>
          <w:shd w:fill="FFFFFF" w:val="clear"/>
        </w:rPr>
        <w:t>•</w:t>
      </w:r>
      <w:r>
        <w:rPr>
          <w:rFonts w:ascii="Times New Roman;serif" w:hAnsi="Times New Roman;serif"/>
          <w:b w:val="false"/>
          <w:color w:val="000000"/>
          <w:sz w:val="20"/>
          <w:shd w:fill="FFFFFF" w:val="clear"/>
        </w:rPr>
        <w:t>the rights provided in our second amended and restated bylaws are not exclusive.</w:t>
      </w:r>
    </w:p>
    <w:p>
      <w:pPr>
        <w:pStyle w:val="TextBody"/>
        <w:bidi w:val="0"/>
        <w:spacing w:lineRule="auto" w:line="288"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Our amended and restated certificate of incorporation and our second amended and restated bylaws provide for the indemnification provisions described above and elsewhere herein. We have also entered into separate indemnification agreements with our directors and officers which may be broader than the specific indemnification provisions contained in the Delaware General Corporation Law. These indemnification agreements generally require us, among other things, to indemnify our officers and directors against liabilities that may arise by reason of their status or service as directors or officers, other than liabilities arising from willful misconduct. These indemnification agreements also generally require us to advance any expenses incurred by the directors or officers as a result of any proceeding against them as to which they could be indemnified. In addition, we have purchased a policy of directors’ and officers’ liability insurance that insures our directors and officers against the cost of defense, settlement or payment of a judgment in some circumstances. These indemnification provisions and the indemnification agreements may be sufficiently broad to permit indemnification of our officers and directors for liabilities, including reimbursement of expenses incurred, arising under the Securities Act of 1933, as amended (the “Securities Act”). </w:t>
      </w:r>
    </w:p>
    <w:p>
      <w:pPr>
        <w:pStyle w:val="TextBody"/>
        <w:bidi w:val="0"/>
        <w:spacing w:lineRule="auto" w:line="288" w:before="360" w:after="283"/>
        <w:jc w:val="left"/>
        <w:rPr>
          <w:shd w:fill="FFFFFF" w:val="clear"/>
        </w:rPr>
      </w:pPr>
      <w:r>
        <w:rPr>
          <w:rFonts w:ascii="Times New Roman;serif" w:hAnsi="Times New Roman;serif"/>
          <w:b/>
          <w:color w:val="000000"/>
          <w:sz w:val="20"/>
          <w:shd w:fill="FFFFFF" w:val="clear"/>
        </w:rPr>
        <w:t xml:space="preserve">Item 7. </w:t>
      </w:r>
      <w:r>
        <w:rPr>
          <w:rFonts w:ascii="Times New Roman;serif" w:hAnsi="Times New Roman;serif"/>
          <w:b/>
          <w:color w:val="000000"/>
          <w:sz w:val="20"/>
          <w:u w:val="single"/>
          <w:shd w:fill="FFFFFF" w:val="clear"/>
        </w:rPr>
        <w:t>Exemption from Registration Claimed</w:t>
      </w:r>
      <w:r>
        <w:rPr>
          <w:rFonts w:ascii="Times New Roman;serif" w:hAnsi="Times New Roman;serif"/>
          <w:b/>
          <w:color w:val="000000"/>
          <w:sz w:val="20"/>
          <w:shd w:fill="FFFFFF" w:val="clear"/>
        </w:rPr>
        <w:t xml:space="preserve">. </w:t>
      </w:r>
    </w:p>
    <w:p>
      <w:pPr>
        <w:pStyle w:val="TextBody"/>
        <w:bidi w:val="0"/>
        <w:spacing w:lineRule="auto" w:line="288" w:before="12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Not applicable.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shd w:fill="FFFFFF" w:val="clear"/>
        </w:rPr>
      </w:pPr>
      <w:r>
        <w:rPr>
          <w:rFonts w:ascii="Times New Roman;serif" w:hAnsi="Times New Roman;serif"/>
          <w:b/>
          <w:color w:val="000000"/>
          <w:sz w:val="20"/>
          <w:shd w:fill="FFFFFF" w:val="clear"/>
        </w:rPr>
        <w:t xml:space="preserve">Item 8. </w:t>
      </w:r>
      <w:r>
        <w:rPr>
          <w:rFonts w:ascii="Times New Roman;serif" w:hAnsi="Times New Roman;serif"/>
          <w:b/>
          <w:color w:val="000000"/>
          <w:sz w:val="20"/>
          <w:u w:val="single"/>
          <w:shd w:fill="FFFFFF" w:val="clear"/>
        </w:rPr>
        <w:t>Exhibits</w:t>
      </w:r>
      <w:r>
        <w:rPr>
          <w:rFonts w:ascii="Times New Roman;serif" w:hAnsi="Times New Roman;serif"/>
          <w:b/>
          <w:color w:val="000000"/>
          <w:sz w:val="20"/>
          <w:shd w:fill="FFFFFF" w:val="clear"/>
        </w:rPr>
        <w:t xml:space="preserve">. </w:t>
      </w:r>
    </w:p>
    <w:p>
      <w:pPr>
        <w:pStyle w:val="TextBody"/>
        <w:bidi w:val="0"/>
        <w:spacing w:lineRule="auto" w:line="288" w:before="0" w:after="0"/>
        <w:jc w:val="left"/>
        <w:rPr>
          <w:color w:val="000000"/>
          <w:shd w:fill="FFFFFF" w:val="clear"/>
        </w:rPr>
      </w:pPr>
      <w:r>
        <w:rPr>
          <w:color w:val="000000"/>
          <w:shd w:fill="FFFFFF" w:val="clear"/>
        </w:rPr>
        <w:t> </w:t>
      </w:r>
    </w:p>
    <w:tbl>
      <w:tblPr>
        <w:tblW w:w="10205" w:type="dxa"/>
        <w:jc w:val="left"/>
        <w:tblInd w:w="0" w:type="dxa"/>
        <w:tblLayout w:type="fixed"/>
        <w:tblCellMar>
          <w:top w:w="28" w:type="dxa"/>
          <w:left w:w="28" w:type="dxa"/>
          <w:bottom w:w="28" w:type="dxa"/>
          <w:right w:w="28" w:type="dxa"/>
        </w:tblCellMar>
      </w:tblPr>
      <w:tblGrid>
        <w:gridCol w:w="255"/>
        <w:gridCol w:w="225"/>
        <w:gridCol w:w="226"/>
        <w:gridCol w:w="109"/>
        <w:gridCol w:w="109"/>
        <w:gridCol w:w="109"/>
        <w:gridCol w:w="1605"/>
        <w:gridCol w:w="1581"/>
        <w:gridCol w:w="1516"/>
        <w:gridCol w:w="109"/>
        <w:gridCol w:w="109"/>
        <w:gridCol w:w="109"/>
        <w:gridCol w:w="179"/>
        <w:gridCol w:w="179"/>
        <w:gridCol w:w="180"/>
        <w:gridCol w:w="122"/>
        <w:gridCol w:w="122"/>
        <w:gridCol w:w="122"/>
        <w:gridCol w:w="407"/>
        <w:gridCol w:w="302"/>
        <w:gridCol w:w="310"/>
        <w:gridCol w:w="122"/>
        <w:gridCol w:w="122"/>
        <w:gridCol w:w="122"/>
        <w:gridCol w:w="230"/>
        <w:gridCol w:w="230"/>
        <w:gridCol w:w="231"/>
        <w:gridCol w:w="109"/>
        <w:gridCol w:w="109"/>
        <w:gridCol w:w="109"/>
        <w:gridCol w:w="242"/>
        <w:gridCol w:w="242"/>
        <w:gridCol w:w="352"/>
      </w:tblGrid>
      <w:tr>
        <w:trPr/>
        <w:tc>
          <w:tcPr>
            <w:tcW w:w="25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5" w:type="dxa"/>
            <w:tcBorders/>
            <w:vAlign w:val="center"/>
          </w:tcPr>
          <w:p>
            <w:pPr>
              <w:pStyle w:val="TableContents"/>
              <w:bidi w:val="0"/>
              <w:spacing w:before="0" w:after="283"/>
              <w:jc w:val="left"/>
              <w:rPr>
                <w:sz w:val="4"/>
                <w:szCs w:val="4"/>
              </w:rPr>
            </w:pPr>
            <w:r>
              <w:rPr>
                <w:sz w:val="4"/>
                <w:szCs w:val="4"/>
              </w:rPr>
            </w:r>
          </w:p>
        </w:tc>
        <w:tc>
          <w:tcPr>
            <w:tcW w:w="1581"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Incorporated by Reference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6"/>
              </w:rPr>
              <w:t>Exhibit</w:t>
            </w:r>
            <w:r>
              <w:rPr>
                <w:rFonts w:ascii="Times New Roman;serif" w:hAnsi="Times New Roman;serif"/>
                <w:b w:val="false"/>
                <w:color w:val="000000"/>
                <w:sz w:val="16"/>
              </w:rPr>
              <w:br/>
            </w:r>
            <w:r>
              <w:rPr>
                <w:rFonts w:ascii="Times New Roman;serif" w:hAnsi="Times New Roman;serif"/>
                <w:b/>
                <w:color w:val="000000"/>
                <w:sz w:val="16"/>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Exhibit 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Form</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Date</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Exhibit</w:t>
            </w:r>
          </w:p>
          <w:p>
            <w:pPr>
              <w:pStyle w:val="TableContents"/>
              <w:bidi w:val="0"/>
              <w:spacing w:lineRule="auto" w:line="288" w:before="0" w:after="20"/>
              <w:jc w:val="center"/>
              <w:rPr>
                <w:rFonts w:ascii="Times New Roman;serif" w:hAnsi="Times New Roman;serif"/>
                <w:b/>
                <w:color w:val="000000"/>
                <w:sz w:val="16"/>
              </w:rPr>
            </w:pPr>
            <w:r>
              <w:rPr>
                <w:rFonts w:ascii="Times New Roman;serif" w:hAnsi="Times New Roman;serif"/>
                <w:b/>
                <w:color w:val="000000"/>
                <w:sz w:val="16"/>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6"/>
              </w:rPr>
              <w:t>Filed</w:t>
            </w:r>
            <w:r>
              <w:rPr>
                <w:rFonts w:ascii="Times New Roman;serif" w:hAnsi="Times New Roman;serif"/>
                <w:b w:val="false"/>
                <w:color w:val="000000"/>
                <w:sz w:val="16"/>
              </w:rPr>
              <w:br/>
            </w:r>
            <w:r>
              <w:rPr>
                <w:rFonts w:ascii="Times New Roman;serif" w:hAnsi="Times New Roman;serif"/>
                <w:b/>
                <w:color w:val="000000"/>
                <w:sz w:val="16"/>
              </w:rPr>
              <w:t>Herewith</w:t>
            </w:r>
          </w:p>
        </w:tc>
      </w:tr>
      <w:tr>
        <w:trPr/>
        <w:tc>
          <w:tcPr>
            <w:tcW w:w="7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r:id="rId26">
              <w:r>
                <w:rPr>
                  <w:rStyle w:val="InternetLink"/>
                  <w:rFonts w:ascii="Times New Roman;serif" w:hAnsi="Times New Roman;serif"/>
                  <w:b w:val="false"/>
                  <w:color w:val="0000FF"/>
                  <w:sz w:val="20"/>
                  <w:u w:val="single"/>
                </w:rPr>
                <w:t>Amended and Restated Certificate of Incorporation.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24, 2014</w:t>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7">
              <w:r>
                <w:rPr>
                  <w:rStyle w:val="InternetLink"/>
                  <w:rFonts w:ascii="Times New Roman;serif" w:hAnsi="Times New Roman;serif"/>
                  <w:b w:val="false"/>
                  <w:color w:val="0000FF"/>
                  <w:sz w:val="20"/>
                  <w:u w:val="single"/>
                </w:rPr>
                <w:t>Certificate of Amendment to Amended and Restated Certificate of Incorporation.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20, 2023</w:t>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8">
              <w:r>
                <w:rPr>
                  <w:rStyle w:val="InternetLink"/>
                  <w:rFonts w:ascii="Times New Roman;serif" w:hAnsi="Times New Roman;serif"/>
                  <w:b w:val="false"/>
                  <w:color w:val="0000FF"/>
                  <w:sz w:val="20"/>
                  <w:u w:val="single"/>
                </w:rPr>
                <w:t>Second Amended and Restated Bylaws.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4, 2025</w:t>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9">
              <w:r>
                <w:rPr>
                  <w:rStyle w:val="InternetLink"/>
                  <w:rFonts w:ascii="Times New Roman;serif" w:hAnsi="Times New Roman;serif"/>
                  <w:b w:val="false"/>
                  <w:color w:val="0000FF"/>
                  <w:sz w:val="20"/>
                  <w:u w:val="single"/>
                </w:rPr>
                <w:t>Form of Common Stock Certificate.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S-1/A</w:t>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18, 2014</w:t>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rdx-20260810xex51.htm">
              <w:r>
                <w:rPr>
                  <w:rStyle w:val="InternetLink"/>
                  <w:rFonts w:ascii="Times New Roman;serif" w:hAnsi="Times New Roman;serif"/>
                  <w:b w:val="false"/>
                  <w:color w:val="0000FF"/>
                  <w:sz w:val="20"/>
                  <w:u w:val="single"/>
                </w:rPr>
                <w:t>Opinion of Latham &amp; Watkins LLP.</w:t>
              </w:r>
            </w:hyperlink>
            <w:r>
              <w:rPr>
                <w:color w:val="00000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rdx-20260810xex231.htm">
              <w:r>
                <w:rPr>
                  <w:rStyle w:val="InternetLink"/>
                  <w:rFonts w:ascii="Times New Roman;serif" w:hAnsi="Times New Roman;serif"/>
                  <w:b w:val="false"/>
                  <w:color w:val="0000FF"/>
                  <w:sz w:val="20"/>
                  <w:u w:val="single"/>
                </w:rPr>
                <w:t>Consent of Independent Registered Public Accounting Firm.</w:t>
              </w:r>
            </w:hyperlink>
            <w:r>
              <w:rPr>
                <w:color w:val="00000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rdx-20260810xex51.htm">
              <w:r>
                <w:rPr>
                  <w:rStyle w:val="InternetLink"/>
                  <w:rFonts w:ascii="Times New Roman;serif" w:hAnsi="Times New Roman;serif"/>
                  <w:b w:val="false"/>
                  <w:color w:val="0000FF"/>
                  <w:sz w:val="20"/>
                  <w:u w:val="single"/>
                </w:rPr>
                <w:t>Consent of Latham &amp; Watkins LLP (included in Exhibit 5.1).</w:t>
              </w:r>
            </w:hyperlink>
            <w:r>
              <w:rPr>
                <w:color w:val="00000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cb413f6ea604cd0b9bfbd3e50d5ee5f_90">
              <w:r>
                <w:rPr>
                  <w:rStyle w:val="InternetLink"/>
                  <w:rFonts w:ascii="Times New Roman;serif" w:hAnsi="Times New Roman;serif"/>
                  <w:b w:val="false"/>
                  <w:color w:val="0000FF"/>
                  <w:sz w:val="20"/>
                  <w:u w:val="single"/>
                </w:rPr>
                <w:t>Power of Attorney (included on signature page hereto).</w:t>
              </w:r>
            </w:hyperlink>
            <w:r>
              <w:rPr>
                <w:color w:val="00000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0">
              <w:r>
                <w:rPr>
                  <w:rStyle w:val="InternetLink"/>
                  <w:rFonts w:ascii="Times New Roman;serif" w:hAnsi="Times New Roman;serif"/>
                  <w:b w:val="false"/>
                  <w:color w:val="0000FF"/>
                  <w:sz w:val="20"/>
                  <w:u w:val="single"/>
                </w:rPr>
                <w:t>Ardelyx, Inc. Amended and Restated 2014 Equity Incentive Award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17, 2024</w:t>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1">
              <w:r>
                <w:rPr>
                  <w:rStyle w:val="InternetLink"/>
                  <w:rFonts w:ascii="Times New Roman;serif" w:hAnsi="Times New Roman;serif"/>
                  <w:b w:val="false"/>
                  <w:color w:val="0000FF"/>
                  <w:sz w:val="20"/>
                  <w:u w:val="single"/>
                </w:rPr>
                <w:t>First Amendment to the Ardelyx, Inc. Amended and Restated 2014 Equity Incentive Award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18, 2025</w:t>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2">
              <w:r>
                <w:rPr>
                  <w:rStyle w:val="InternetLink"/>
                  <w:rFonts w:ascii="Times New Roman;serif" w:hAnsi="Times New Roman;serif"/>
                  <w:b w:val="false"/>
                  <w:color w:val="0000FF"/>
                  <w:sz w:val="20"/>
                  <w:u w:val="single"/>
                </w:rPr>
                <w:t>Second Amendment to the Ardelyx, Inc. Amended and Restated 2014 Equity Incentive Award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17, 2026</w:t>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filingfees.htm">
              <w:r>
                <w:rPr>
                  <w:rStyle w:val="InternetLink"/>
                  <w:rFonts w:ascii="Times New Roman;serif" w:hAnsi="Times New Roman;serif"/>
                  <w:b w:val="false"/>
                  <w:color w:val="0000FF"/>
                  <w:sz w:val="20"/>
                  <w:u w:val="single"/>
                </w:rPr>
                <w:t>Filing Fee Table.</w:t>
              </w:r>
            </w:hyperlink>
            <w:r>
              <w:rPr>
                <w:color w:val="00000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bl>
    <w:p>
      <w:pPr>
        <w:pStyle w:val="TextBody"/>
        <w:bidi w:val="0"/>
        <w:spacing w:lineRule="auto" w:line="288" w:before="0" w:after="0"/>
        <w:jc w:val="left"/>
        <w:rPr>
          <w:color w:val="000000"/>
          <w:shd w:fill="FFFFFF" w:val="clear"/>
        </w:rPr>
      </w:pPr>
      <w:r>
        <w:rPr>
          <w:color w:val="000000"/>
          <w:shd w:fill="FFFFFF" w:val="clear"/>
        </w:rPr>
        <w:t> </w:t>
      </w:r>
    </w:p>
    <w:p>
      <w:pPr>
        <w:pStyle w:val="TextBody"/>
        <w:bidi w:val="0"/>
        <w:spacing w:lineRule="auto" w:line="240" w:before="0" w:after="180"/>
        <w:ind w:left="0" w:right="0" w:hanging="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Indicates management contract or compensatory plan.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7"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left"/>
        <w:rPr>
          <w:shd w:fill="FFFFFF" w:val="clear"/>
        </w:rPr>
      </w:pPr>
      <w:r>
        <w:rPr>
          <w:rFonts w:ascii="Times New Roman;serif" w:hAnsi="Times New Roman;serif"/>
          <w:b/>
          <w:color w:val="000000"/>
          <w:sz w:val="20"/>
          <w:shd w:fill="FFFFFF" w:val="clear"/>
        </w:rPr>
        <w:t xml:space="preserve">Item 9. </w:t>
      </w:r>
      <w:r>
        <w:rPr>
          <w:rFonts w:ascii="Times New Roman;serif" w:hAnsi="Times New Roman;serif"/>
          <w:b/>
          <w:color w:val="000000"/>
          <w:sz w:val="20"/>
          <w:u w:val="single"/>
          <w:shd w:fill="FFFFFF" w:val="clear"/>
        </w:rPr>
        <w:t>Undertakings</w:t>
      </w:r>
      <w:r>
        <w:rPr>
          <w:rFonts w:ascii="Times New Roman;serif" w:hAnsi="Times New Roman;serif"/>
          <w:b/>
          <w:color w:val="000000"/>
          <w:sz w:val="20"/>
          <w:shd w:fill="FFFFFF" w:val="clear"/>
        </w:rPr>
        <w:t xml:space="preserve">. </w:t>
      </w:r>
    </w:p>
    <w:p>
      <w:pPr>
        <w:pStyle w:val="TextBody"/>
        <w:bidi w:val="0"/>
        <w:spacing w:lineRule="auto" w:line="288" w:before="12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(a) The Registrant hereby undertakes: </w:t>
      </w:r>
    </w:p>
    <w:p>
      <w:pPr>
        <w:pStyle w:val="TextBody"/>
        <w:bidi w:val="0"/>
        <w:spacing w:lineRule="auto" w:line="288" w:before="120" w:after="283"/>
        <w:ind w:left="0" w:right="0" w:firstLine="49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(1) To file, during any period in which offers or sales are being made, a post-effective amendment to this registration statement: </w:t>
      </w:r>
    </w:p>
    <w:p>
      <w:pPr>
        <w:pStyle w:val="TextBody"/>
        <w:bidi w:val="0"/>
        <w:spacing w:lineRule="auto" w:line="288" w:before="120" w:after="283"/>
        <w:ind w:left="0" w:right="0" w:firstLine="49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(i) To include any prospectus required by Section 10(a)(3) of the Securities Act; </w:t>
      </w:r>
    </w:p>
    <w:p>
      <w:pPr>
        <w:pStyle w:val="TextBody"/>
        <w:bidi w:val="0"/>
        <w:spacing w:lineRule="auto" w:line="288" w:before="120" w:after="283"/>
        <w:ind w:left="0" w:right="0" w:firstLine="49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(ii) 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20 percent change in the maximum aggregate offering price set forth in the “Calculation of Filing Fee Tables” or “Calculation of Registration Fee” table, as applicable, in the effective registration statement; </w:t>
      </w:r>
    </w:p>
    <w:p>
      <w:pPr>
        <w:pStyle w:val="TextBody"/>
        <w:bidi w:val="0"/>
        <w:spacing w:lineRule="auto" w:line="288" w:before="120" w:after="283"/>
        <w:ind w:left="0" w:right="0" w:firstLine="49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(iii) To include any material information with respect to the plan of distribution not previously disclosed in the registration statement or any material change to such information in the registration statement; </w:t>
      </w:r>
    </w:p>
    <w:p>
      <w:pPr>
        <w:pStyle w:val="TextBody"/>
        <w:bidi w:val="0"/>
        <w:spacing w:lineRule="auto" w:line="288" w:before="12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Provided, however, that paragraphs (a)(1)(i) and (a)(1)(ii) do not apply if the registration statement is on Form S-8 and the information required to be included in a post-effective amendment by those paragraphs is contained in periodic reports filed with or furnished to the SEC by the Registrant pursuant to Section 13 or 15(d) of the Exchange Act that are incorporated by reference in the registration statement. </w:t>
      </w:r>
    </w:p>
    <w:p>
      <w:pPr>
        <w:pStyle w:val="TextBody"/>
        <w:bidi w:val="0"/>
        <w:spacing w:lineRule="auto" w:line="288" w:before="120" w:after="283"/>
        <w:ind w:left="0" w:right="0" w:firstLine="49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(2) 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 </w:t>
      </w:r>
    </w:p>
    <w:p>
      <w:pPr>
        <w:pStyle w:val="TextBody"/>
        <w:bidi w:val="0"/>
        <w:spacing w:lineRule="auto" w:line="288" w:before="120" w:after="283"/>
        <w:ind w:left="0" w:right="0" w:firstLine="49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(3) To remove from registration by means of a post-effective amendment any of the securities being registered which remain unsold at the termination of the offering. </w:t>
      </w:r>
    </w:p>
    <w:p>
      <w:pPr>
        <w:pStyle w:val="TextBody"/>
        <w:bidi w:val="0"/>
        <w:spacing w:lineRule="auto" w:line="288" w:before="12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(b) The Registrant hereby undertakes that, for purposes of determining any liability under the Securities Act, each filing of the Registrant’s annual report pursuant to Section 13(a) or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 </w:t>
      </w:r>
    </w:p>
    <w:p>
      <w:pPr>
        <w:pStyle w:val="TextBody"/>
        <w:bidi w:val="0"/>
        <w:spacing w:lineRule="auto" w:line="288" w:before="12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(h) 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8"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SIGNATURES </w:t>
      </w:r>
    </w:p>
    <w:p>
      <w:pPr>
        <w:pStyle w:val="TextBody"/>
        <w:bidi w:val="0"/>
        <w:spacing w:lineRule="auto" w:line="288"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Pursuant to the requirements of the Securities Act of 1933, as amended, the Registrant certifies that it has reasonable grounds to believe that it meets all of the requirements for filing on Form S-8 and has duly caused this Registration Statement to be signed on its behalf by the undersigned, thereunto duly authorized, in Waltham, Massachusetts, on August 10, 2026. </w:t>
      </w:r>
    </w:p>
    <w:p>
      <w:pPr>
        <w:pStyle w:val="TextBody"/>
        <w:bidi w:val="0"/>
        <w:spacing w:lineRule="auto" w:line="288" w:before="0" w:after="0"/>
        <w:jc w:val="left"/>
        <w:rPr>
          <w:color w:val="000000"/>
          <w:shd w:fill="FFFFFF" w:val="clear"/>
        </w:rPr>
      </w:pPr>
      <w:r>
        <w:rPr>
          <w:color w:val="000000"/>
          <w:shd w:fill="FFFFFF" w:val="clear"/>
        </w:rPr>
        <w:t> </w:t>
      </w:r>
    </w:p>
    <w:tbl>
      <w:tblPr>
        <w:tblW w:w="3945" w:type="dxa"/>
        <w:jc w:val="left"/>
        <w:tblInd w:w="0" w:type="dxa"/>
        <w:tblLayout w:type="fixed"/>
        <w:tblCellMar>
          <w:top w:w="28" w:type="dxa"/>
          <w:left w:w="28" w:type="dxa"/>
          <w:bottom w:w="28" w:type="dxa"/>
          <w:right w:w="28" w:type="dxa"/>
        </w:tblCellMar>
      </w:tblPr>
      <w:tblGrid>
        <w:gridCol w:w="267"/>
        <w:gridCol w:w="234"/>
        <w:gridCol w:w="234"/>
        <w:gridCol w:w="930"/>
        <w:gridCol w:w="930"/>
        <w:gridCol w:w="1350"/>
      </w:tblGrid>
      <w:tr>
        <w:trPr/>
        <w:tc>
          <w:tcPr>
            <w:tcW w:w="267"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1350" w:type="dxa"/>
            <w:tcBorders/>
            <w:vAlign w:val="center"/>
          </w:tcPr>
          <w:p>
            <w:pPr>
              <w:pStyle w:val="TableContents"/>
              <w:bidi w:val="0"/>
              <w:spacing w:before="0" w:after="283"/>
              <w:jc w:val="left"/>
              <w:rPr>
                <w:sz w:val="4"/>
                <w:szCs w:val="4"/>
              </w:rPr>
            </w:pPr>
            <w:r>
              <w:rPr>
                <w:sz w:val="4"/>
                <w:szCs w:val="4"/>
              </w:rPr>
            </w:r>
          </w:p>
        </w:tc>
      </w:tr>
      <w:tr>
        <w:trPr/>
        <w:tc>
          <w:tcPr>
            <w:tcW w:w="394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ARDELYX, INC.</w:t>
            </w:r>
          </w:p>
        </w:tc>
      </w:tr>
      <w:tr>
        <w:trPr/>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Michael Raab</w:t>
            </w:r>
          </w:p>
        </w:tc>
      </w:tr>
      <w:tr>
        <w:trPr/>
        <w:tc>
          <w:tcPr>
            <w:tcW w:w="7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3210"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Michael Raab</w:t>
            </w:r>
          </w:p>
        </w:tc>
      </w:tr>
      <w:tr>
        <w:trPr/>
        <w:tc>
          <w:tcPr>
            <w:tcW w:w="7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r>
          </w:p>
        </w:tc>
      </w:tr>
    </w:tbl>
    <w:p>
      <w:pPr>
        <w:pStyle w:val="TextBody"/>
        <w:bidi w:val="0"/>
        <w:spacing w:lineRule="auto" w:line="288" w:before="12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POWER OF ATTORNEY </w:t>
      </w:r>
    </w:p>
    <w:p>
      <w:pPr>
        <w:pStyle w:val="TextBody"/>
        <w:bidi w:val="0"/>
        <w:spacing w:lineRule="auto" w:line="288"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KNOW ALL PERSONS BY THESE PRESENTS, that each individual whose signature appears below constitutes and appoints Michael Raab, Susan Hohenleitner and Felecia Ettenberg, and each of them, as attorneys-in-fact, each with the power of substitution, for him or her and in his or her name, place and stead, in any and all capacities, to sign any and all amendments (including post-effective amendments) to this Registration Statement, and to file the same, with all exhibits thereto and all documents in connection therewith, with the SEC, granting unto said attorneys-in-fact and agents, and each of them, full power and authority to do and perform each and every act and thing requisite and necessary to be done, as fully to all intents and purposes as he or she might or could do in person, hereby ratifying and confirming all that such attorneys-in-fact and agents or any of them, or their substitute or substitutes, may lawfully do or cause to be done by virtue hereof. </w:t>
      </w:r>
    </w:p>
    <w:p>
      <w:pPr>
        <w:pStyle w:val="TextBody"/>
        <w:bidi w:val="0"/>
        <w:spacing w:lineRule="auto" w:line="288"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Pursuant to the requirements of the Securities Act of 1933, as amended, this Registration Statement has been signed by the following persons in the capacities and on the dates indicated. </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9"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8541" w:type="dxa"/>
        <w:jc w:val="left"/>
        <w:tblInd w:w="0" w:type="dxa"/>
        <w:tblLayout w:type="fixed"/>
        <w:tblCellMar>
          <w:top w:w="28" w:type="dxa"/>
          <w:left w:w="28" w:type="dxa"/>
          <w:bottom w:w="28" w:type="dxa"/>
          <w:right w:w="28" w:type="dxa"/>
        </w:tblCellMar>
      </w:tblPr>
      <w:tblGrid>
        <w:gridCol w:w="847"/>
        <w:gridCol w:w="744"/>
        <w:gridCol w:w="748"/>
        <w:gridCol w:w="109"/>
        <w:gridCol w:w="109"/>
        <w:gridCol w:w="109"/>
        <w:gridCol w:w="1324"/>
        <w:gridCol w:w="1324"/>
        <w:gridCol w:w="1341"/>
        <w:gridCol w:w="109"/>
        <w:gridCol w:w="109"/>
        <w:gridCol w:w="109"/>
        <w:gridCol w:w="455"/>
        <w:gridCol w:w="455"/>
        <w:gridCol w:w="649"/>
      </w:tblGrid>
      <w:tr>
        <w:trPr/>
        <w:tc>
          <w:tcPr>
            <w:tcW w:w="847"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4" w:type="dxa"/>
            <w:tcBorders/>
            <w:vAlign w:val="center"/>
          </w:tcPr>
          <w:p>
            <w:pPr>
              <w:pStyle w:val="TableContents"/>
              <w:bidi w:val="0"/>
              <w:spacing w:before="0" w:after="283"/>
              <w:jc w:val="left"/>
              <w:rPr>
                <w:sz w:val="4"/>
                <w:szCs w:val="4"/>
              </w:rPr>
            </w:pPr>
            <w:r>
              <w:rPr>
                <w:sz w:val="4"/>
                <w:szCs w:val="4"/>
              </w:rPr>
            </w:r>
          </w:p>
        </w:tc>
        <w:tc>
          <w:tcPr>
            <w:tcW w:w="1324" w:type="dxa"/>
            <w:tcBorders/>
            <w:vAlign w:val="center"/>
          </w:tcPr>
          <w:p>
            <w:pPr>
              <w:pStyle w:val="TableContents"/>
              <w:bidi w:val="0"/>
              <w:spacing w:before="0" w:after="283"/>
              <w:jc w:val="left"/>
              <w:rPr>
                <w:sz w:val="4"/>
                <w:szCs w:val="4"/>
              </w:rPr>
            </w:pPr>
            <w:r>
              <w:rPr>
                <w:sz w:val="4"/>
                <w:szCs w:val="4"/>
              </w:rPr>
            </w:r>
          </w:p>
        </w:tc>
        <w:tc>
          <w:tcPr>
            <w:tcW w:w="1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r>
      <w:tr>
        <w:trPr/>
        <w:tc>
          <w:tcPr>
            <w:tcW w:w="23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Signature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Date</w:t>
            </w:r>
          </w:p>
        </w:tc>
      </w:tr>
      <w:tr>
        <w:trPr/>
        <w:tc>
          <w:tcPr>
            <w:tcW w:w="23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 Michael Raab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9"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val="false"/>
                <w:color w:val="000000"/>
                <w:sz w:val="20"/>
              </w:rPr>
              <w:t>President, Chief Executive Officer and Director</w:t>
              <w:br/>
              <w:t>(</w:t>
            </w:r>
            <w:r>
              <w:rPr>
                <w:rFonts w:ascii="Times New Roman;serif" w:hAnsi="Times New Roman;serif"/>
                <w:b w:val="false"/>
                <w:i/>
                <w:color w:val="000000"/>
                <w:sz w:val="20"/>
              </w:rPr>
              <w:t>principal executive officer</w:t>
            </w:r>
            <w:r>
              <w:rPr>
                <w:rFonts w:ascii="Times New Roman;serif" w:hAnsi="Times New Roman;serif"/>
                <w:b w:val="false"/>
                <w:color w:val="000000"/>
                <w:sz w:val="20"/>
              </w:rPr>
              <w:t>)</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val="false"/>
                <w:color w:val="000000"/>
                <w:sz w:val="20"/>
              </w:rPr>
              <w:t>August 10, 2026</w:t>
            </w:r>
            <w:r>
              <w:rPr>
                <w:color w:val="000000"/>
              </w:rPr>
              <w:t xml:space="preserve"> </w:t>
            </w:r>
          </w:p>
        </w:tc>
      </w:tr>
      <w:tr>
        <w:trPr/>
        <w:tc>
          <w:tcPr>
            <w:tcW w:w="2339"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val="false"/>
                <w:color w:val="000000"/>
                <w:sz w:val="20"/>
              </w:rPr>
            </w:pPr>
            <w:r>
              <w:rPr>
                <w:rFonts w:ascii="Times New Roman;serif" w:hAnsi="Times New Roman;serif"/>
                <w:b w:val="false"/>
                <w:color w:val="000000"/>
                <w:sz w:val="20"/>
              </w:rPr>
              <w:t>Michael Raab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9"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559"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2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Susan Hohenleitner</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9" w:type="dxa"/>
            <w:gridSpan w:val="3"/>
            <w:vMerge w:val="restart"/>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val="false"/>
                <w:color w:val="000000"/>
                <w:sz w:val="20"/>
              </w:rPr>
              <w:t>Chief Financial Officer</w:t>
              <w:br/>
              <w:t>(</w:t>
            </w:r>
            <w:r>
              <w:rPr>
                <w:rFonts w:ascii="Times New Roman;serif" w:hAnsi="Times New Roman;serif"/>
                <w:b w:val="false"/>
                <w:i/>
                <w:color w:val="000000"/>
                <w:sz w:val="20"/>
              </w:rPr>
              <w:t>principal financial officer</w:t>
            </w:r>
            <w:r>
              <w:rPr>
                <w:rFonts w:ascii="Times New Roman;serif" w:hAnsi="Times New Roman;serif"/>
                <w:b w:val="false"/>
                <w:color w:val="000000"/>
                <w:sz w:val="20"/>
              </w:rPr>
              <w:t>)</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vMerge w:val="restart"/>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val="false"/>
                <w:color w:val="000000"/>
                <w:sz w:val="20"/>
              </w:rPr>
              <w:t>August 10, 2026</w:t>
            </w:r>
            <w:r>
              <w:rPr>
                <w:color w:val="000000"/>
              </w:rPr>
              <w:t xml:space="preserve"> </w:t>
            </w:r>
          </w:p>
        </w:tc>
      </w:tr>
      <w:tr>
        <w:trPr/>
        <w:tc>
          <w:tcPr>
            <w:tcW w:w="2339"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Susan Hohenleitner</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398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55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 Joseph Reilly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9" w:type="dxa"/>
            <w:gridSpan w:val="3"/>
            <w:vMerge w:val="restart"/>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val="false"/>
                <w:color w:val="000000"/>
                <w:sz w:val="20"/>
              </w:rPr>
              <w:t>Senior Vice President, Chief Accounting Officer</w:t>
              <w:br/>
              <w:t>(</w:t>
            </w:r>
            <w:r>
              <w:rPr>
                <w:rFonts w:ascii="Times New Roman;serif" w:hAnsi="Times New Roman;serif"/>
                <w:b w:val="false"/>
                <w:i/>
                <w:color w:val="000000"/>
                <w:sz w:val="20"/>
              </w:rPr>
              <w:t>principal accounting officer</w:t>
            </w:r>
            <w:r>
              <w:rPr>
                <w:rFonts w:ascii="Times New Roman;serif" w:hAnsi="Times New Roman;serif"/>
                <w:b w:val="false"/>
                <w:color w:val="000000"/>
                <w:sz w:val="20"/>
              </w:rPr>
              <w:t>)</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vMerge w:val="restart"/>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val="false"/>
                <w:color w:val="000000"/>
                <w:sz w:val="20"/>
              </w:rPr>
              <w:t>August 10, 2026</w:t>
            </w:r>
            <w:r>
              <w:rPr>
                <w:color w:val="000000"/>
              </w:rPr>
              <w:t xml:space="preserve"> </w:t>
            </w:r>
          </w:p>
        </w:tc>
      </w:tr>
      <w:tr>
        <w:trPr/>
        <w:tc>
          <w:tcPr>
            <w:tcW w:w="2339"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val="false"/>
                <w:color w:val="000000"/>
                <w:sz w:val="20"/>
              </w:rPr>
            </w:pPr>
            <w:r>
              <w:rPr>
                <w:rFonts w:ascii="Times New Roman;serif" w:hAnsi="Times New Roman;serif"/>
                <w:b w:val="false"/>
                <w:color w:val="000000"/>
                <w:sz w:val="20"/>
              </w:rPr>
              <w:t>Joseph Reilly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55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David Mott</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Chairman of the Board of Directors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vMerge w:val="restart"/>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val="false"/>
                <w:color w:val="000000"/>
                <w:sz w:val="20"/>
              </w:rPr>
              <w:t>August 10, 2026</w:t>
            </w:r>
            <w:r>
              <w:rPr>
                <w:color w:val="000000"/>
              </w:rPr>
              <w:t xml:space="preserve"> </w:t>
            </w:r>
          </w:p>
        </w:tc>
      </w:tr>
      <w:tr>
        <w:trPr/>
        <w:tc>
          <w:tcPr>
            <w:tcW w:w="2339"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David Mott</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398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55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Robert Bazemore</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vMerge w:val="restart"/>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val="false"/>
                <w:color w:val="000000"/>
                <w:sz w:val="20"/>
              </w:rPr>
              <w:t>August 10, 2026</w:t>
            </w:r>
            <w:r>
              <w:rPr>
                <w:color w:val="000000"/>
              </w:rPr>
              <w:t xml:space="preserve"> </w:t>
            </w:r>
          </w:p>
        </w:tc>
      </w:tr>
      <w:tr>
        <w:trPr/>
        <w:tc>
          <w:tcPr>
            <w:tcW w:w="2339"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Robert Bazemore</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398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55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William Bertrand, Jr.</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vMerge w:val="restart"/>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val="false"/>
                <w:color w:val="000000"/>
                <w:sz w:val="20"/>
              </w:rPr>
              <w:t>August 10, 2026</w:t>
            </w:r>
            <w:r>
              <w:rPr>
                <w:color w:val="000000"/>
              </w:rPr>
              <w:t xml:space="preserve"> </w:t>
            </w:r>
          </w:p>
        </w:tc>
      </w:tr>
      <w:tr>
        <w:trPr/>
        <w:tc>
          <w:tcPr>
            <w:tcW w:w="2339"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William Bertrand, Jr.</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398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55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Muna Bhanji</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vMerge w:val="restart"/>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val="false"/>
                <w:color w:val="000000"/>
                <w:sz w:val="20"/>
              </w:rPr>
              <w:t>August 10, 2026</w:t>
            </w:r>
            <w:r>
              <w:rPr>
                <w:color w:val="000000"/>
              </w:rPr>
              <w:t xml:space="preserve"> </w:t>
            </w:r>
          </w:p>
        </w:tc>
      </w:tr>
      <w:tr>
        <w:trPr/>
        <w:tc>
          <w:tcPr>
            <w:tcW w:w="2339"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Muna Bhanji, R.Ph.</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398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55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Onaiza Cadoret-Manier</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vMerge w:val="restart"/>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val="false"/>
                <w:color w:val="000000"/>
                <w:sz w:val="20"/>
              </w:rPr>
              <w:t>August 10, 2026</w:t>
            </w:r>
            <w:r>
              <w:rPr>
                <w:color w:val="000000"/>
              </w:rPr>
              <w:t xml:space="preserve"> </w:t>
            </w:r>
          </w:p>
        </w:tc>
      </w:tr>
      <w:tr>
        <w:trPr/>
        <w:tc>
          <w:tcPr>
            <w:tcW w:w="2339"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Onaiza Cadoret-Manier</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398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55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Merdad Parsey</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vMerge w:val="restart"/>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val="false"/>
                <w:color w:val="000000"/>
                <w:sz w:val="20"/>
              </w:rPr>
              <w:t>August 10, 2026</w:t>
            </w:r>
            <w:r>
              <w:rPr>
                <w:color w:val="000000"/>
              </w:rPr>
              <w:t xml:space="preserve"> </w:t>
            </w:r>
          </w:p>
        </w:tc>
      </w:tr>
      <w:tr>
        <w:trPr/>
        <w:tc>
          <w:tcPr>
            <w:tcW w:w="2339"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Merdad Parsey, M.D., Ph.D.</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398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55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Richard Rodgers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vMerge w:val="restart"/>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val="false"/>
                <w:color w:val="000000"/>
                <w:sz w:val="20"/>
              </w:rPr>
              <w:t>August 10, 2026</w:t>
            </w:r>
            <w:r>
              <w:rPr>
                <w:color w:val="000000"/>
              </w:rPr>
              <w:t xml:space="preserve"> </w:t>
            </w:r>
          </w:p>
        </w:tc>
      </w:tr>
      <w:tr>
        <w:trPr/>
        <w:tc>
          <w:tcPr>
            <w:tcW w:w="2339"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Richard Rodgers</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398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559" w:type="dxa"/>
            <w:gridSpan w:val="3"/>
            <w:vMerge w:val="continue"/>
            <w:tcBorders/>
            <w:tcMar>
              <w:top w:w="0" w:type="dxa"/>
              <w:left w:w="0" w:type="dxa"/>
              <w:bottom w:w="0" w:type="dxa"/>
              <w:right w:w="0" w:type="dxa"/>
            </w:tcMar>
            <w:vAlign w:val="center"/>
          </w:tcPr>
          <w:p>
            <w:pPr>
              <w:pStyle w:val="Normal"/>
              <w:bidi w:val="0"/>
              <w:jc w:val="left"/>
              <w:rPr/>
            </w:pPr>
            <w:r>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10"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60"/>
        <w:jc w:val="right"/>
        <w:rPr>
          <w:rFonts w:ascii="Times New Roman;serif" w:hAnsi="Times New Roman;serif"/>
          <w:b/>
          <w:color w:val="000000"/>
          <w:sz w:val="23"/>
        </w:rPr>
      </w:pPr>
      <w:r>
        <w:rPr>
          <w:rFonts w:ascii="Times New Roman;serif" w:hAnsi="Times New Roman;serif"/>
          <w:b/>
          <w:color w:val="000000"/>
          <w:sz w:val="23"/>
        </w:rPr>
        <w:t>Exhibit 107</w:t>
      </w:r>
    </w:p>
    <w:p>
      <w:pPr>
        <w:pStyle w:val="TextBody"/>
        <w:bidi w:val="0"/>
        <w:spacing w:lineRule="auto" w:line="288" w:before="0" w:after="240"/>
        <w:jc w:val="center"/>
        <w:rPr>
          <w:rFonts w:ascii="Times New Roman;serif" w:hAnsi="Times New Roman;serif"/>
          <w:b/>
          <w:color w:val="000000"/>
          <w:sz w:val="32"/>
        </w:rPr>
      </w:pPr>
      <w:r>
        <w:rPr>
          <w:rFonts w:ascii="Times New Roman;serif" w:hAnsi="Times New Roman;serif"/>
          <w:b/>
          <w:color w:val="000000"/>
          <w:sz w:val="32"/>
        </w:rPr>
        <w:t>Calculation of Filing Fee Tables</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Form S-8</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(Form Type)</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ARDELYX, INC.</w:t>
      </w:r>
    </w:p>
    <w:p>
      <w:pPr>
        <w:pStyle w:val="TextBody"/>
        <w:bidi w:val="0"/>
        <w:spacing w:lineRule="auto" w:line="288" w:before="0" w:after="180"/>
        <w:jc w:val="center"/>
        <w:rPr>
          <w:rFonts w:ascii="Times New Roman;serif" w:hAnsi="Times New Roman;serif"/>
          <w:b w:val="false"/>
          <w:color w:val="000000"/>
          <w:sz w:val="24"/>
        </w:rPr>
      </w:pPr>
      <w:r>
        <w:rPr>
          <w:rFonts w:ascii="Times New Roman;serif" w:hAnsi="Times New Roman;serif"/>
          <w:b w:val="false"/>
          <w:color w:val="000000"/>
          <w:sz w:val="24"/>
        </w:rPr>
        <w:t>(Exact Name of Registrant as Specified in its Charter)</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125"/>
        <w:gridCol w:w="110"/>
        <w:gridCol w:w="110"/>
        <w:gridCol w:w="295"/>
        <w:gridCol w:w="295"/>
        <w:gridCol w:w="296"/>
        <w:gridCol w:w="462"/>
        <w:gridCol w:w="424"/>
        <w:gridCol w:w="426"/>
        <w:gridCol w:w="406"/>
        <w:gridCol w:w="406"/>
        <w:gridCol w:w="407"/>
        <w:gridCol w:w="373"/>
        <w:gridCol w:w="373"/>
        <w:gridCol w:w="374"/>
        <w:gridCol w:w="482"/>
        <w:gridCol w:w="482"/>
        <w:gridCol w:w="483"/>
        <w:gridCol w:w="573"/>
        <w:gridCol w:w="447"/>
        <w:gridCol w:w="448"/>
        <w:gridCol w:w="329"/>
        <w:gridCol w:w="329"/>
        <w:gridCol w:w="333"/>
        <w:gridCol w:w="410"/>
        <w:gridCol w:w="410"/>
        <w:gridCol w:w="597"/>
      </w:tblGrid>
      <w:tr>
        <w:trPr/>
        <w:tc>
          <w:tcPr>
            <w:tcW w:w="12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r>
      <w:tr>
        <w:trPr/>
        <w:tc>
          <w:tcPr>
            <w:tcW w:w="10205"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Table 1: Newly Registered Securities</w:t>
            </w:r>
          </w:p>
        </w:tc>
      </w:tr>
      <w:tr>
        <w:trPr/>
        <w:tc>
          <w:tcPr>
            <w:tcW w:w="345"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Security Type</w:t>
            </w:r>
          </w:p>
        </w:tc>
        <w:tc>
          <w:tcPr>
            <w:tcW w:w="131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Security Class Title</w:t>
            </w:r>
          </w:p>
        </w:tc>
        <w:tc>
          <w:tcPr>
            <w:tcW w:w="121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Fee Calculation Rule</w:t>
            </w:r>
          </w:p>
        </w:tc>
        <w:tc>
          <w:tcPr>
            <w:tcW w:w="112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Amount Registered</w:t>
            </w:r>
          </w:p>
        </w:tc>
        <w:tc>
          <w:tcPr>
            <w:tcW w:w="144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Proposed Maximum Offering Price Per Unit</w:t>
            </w:r>
          </w:p>
        </w:tc>
        <w:tc>
          <w:tcPr>
            <w:tcW w:w="146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Maximum Aggregate Offering Price</w:t>
            </w:r>
          </w:p>
        </w:tc>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Fee Rate</w:t>
            </w:r>
          </w:p>
        </w:tc>
        <w:tc>
          <w:tcPr>
            <w:tcW w:w="141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Amount of Registration Fee</w:t>
            </w:r>
          </w:p>
        </w:tc>
      </w:tr>
      <w:tr>
        <w:trPr/>
        <w:tc>
          <w:tcPr>
            <w:tcW w:w="345"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886"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Equity</w:t>
            </w:r>
          </w:p>
        </w:tc>
        <w:tc>
          <w:tcPr>
            <w:tcW w:w="1312"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$0.0001 par value per share </w:t>
            </w:r>
          </w:p>
        </w:tc>
        <w:tc>
          <w:tcPr>
            <w:tcW w:w="121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Other</w:t>
            </w:r>
          </w:p>
        </w:tc>
        <w:tc>
          <w:tcPr>
            <w:tcW w:w="1120"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9,000,000</w:t>
            </w:r>
          </w:p>
        </w:tc>
        <w:tc>
          <w:tcPr>
            <w:tcW w:w="144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$4.10</w:t>
            </w:r>
          </w:p>
        </w:tc>
        <w:tc>
          <w:tcPr>
            <w:tcW w:w="146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$36,900,000</w:t>
            </w:r>
          </w:p>
        </w:tc>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0.0001381</w:t>
            </w:r>
          </w:p>
        </w:tc>
        <w:tc>
          <w:tcPr>
            <w:tcW w:w="141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$5,095.89</w:t>
            </w:r>
          </w:p>
        </w:tc>
      </w:tr>
      <w:tr>
        <w:trPr/>
        <w:tc>
          <w:tcPr>
            <w:tcW w:w="4882" w:type="dxa"/>
            <w:gridSpan w:val="15"/>
            <w:tcBorders>
              <w:left w:val="single" w:sz="8" w:space="0" w:color="000000"/>
              <w:bottom w:val="single" w:sz="8" w:space="0" w:color="000000"/>
              <w:right w:val="single" w:sz="8" w:space="0" w:color="000000"/>
            </w:tcBorders>
            <w:tcMar>
              <w:top w:w="0" w:type="dxa"/>
              <w:bottom w:w="3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Total Offering Amounts:</w:t>
            </w:r>
          </w:p>
        </w:tc>
        <w:tc>
          <w:tcPr>
            <w:tcW w:w="144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$36,900,000</w:t>
            </w:r>
          </w:p>
        </w:tc>
        <w:tc>
          <w:tcPr>
            <w:tcW w:w="991"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$5,095.89</w:t>
            </w:r>
          </w:p>
        </w:tc>
      </w:tr>
      <w:tr>
        <w:trPr/>
        <w:tc>
          <w:tcPr>
            <w:tcW w:w="4882" w:type="dxa"/>
            <w:gridSpan w:val="15"/>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Total Fee Offsets:</w:t>
            </w:r>
          </w:p>
        </w:tc>
        <w:tc>
          <w:tcPr>
            <w:tcW w:w="144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$0.00</w:t>
            </w:r>
          </w:p>
        </w:tc>
      </w:tr>
      <w:tr>
        <w:trPr/>
        <w:tc>
          <w:tcPr>
            <w:tcW w:w="4882" w:type="dxa"/>
            <w:gridSpan w:val="15"/>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Net Fee Due:</w:t>
            </w:r>
          </w:p>
        </w:tc>
        <w:tc>
          <w:tcPr>
            <w:tcW w:w="1447" w:type="dxa"/>
            <w:gridSpan w:val="3"/>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$5,095.89</w:t>
            </w:r>
          </w:p>
        </w:tc>
      </w:tr>
    </w:tbl>
    <w:p>
      <w:pPr>
        <w:pStyle w:val="TextBody"/>
        <w:bidi w:val="0"/>
        <w:spacing w:before="0" w:after="0"/>
        <w:jc w:val="left"/>
        <w:rPr/>
      </w:pPr>
      <w:r>
        <w:rPr/>
      </w:r>
    </w:p>
    <w:p>
      <w:pPr>
        <w:pStyle w:val="TextBody"/>
        <w:bidi w:val="0"/>
        <w:spacing w:lineRule="auto" w:line="288" w:before="0" w:after="60"/>
        <w:jc w:val="left"/>
        <w:rPr>
          <w:rFonts w:ascii="Times New Roman;serif" w:hAnsi="Times New Roman;serif"/>
          <w:b/>
          <w:color w:val="000000"/>
          <w:sz w:val="22"/>
        </w:rPr>
      </w:pPr>
      <w:r>
        <w:rPr>
          <w:rFonts w:ascii="Times New Roman;serif" w:hAnsi="Times New Roman;serif"/>
          <w:b/>
          <w:color w:val="000000"/>
          <w:sz w:val="22"/>
        </w:rPr>
        <w:t>Offering Notes</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6"/>
        <w:gridCol w:w="2886"/>
        <w:gridCol w:w="409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409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1 </w:t>
            </w:r>
          </w:p>
          <w:p>
            <w:pPr>
              <w:pStyle w:val="TableContents"/>
              <w:bidi w:val="0"/>
              <w:spacing w:lineRule="auto" w:line="288" w:before="0" w:after="0"/>
              <w:jc w:val="left"/>
              <w:rPr>
                <w:color w:val="000000"/>
              </w:rPr>
            </w:pPr>
            <w:r>
              <w:rPr>
                <w:color w:val="000000"/>
              </w:rPr>
              <w:t> </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 Pursuant to Rule 416(a) under the Securities Act of 1933, as amended (the “Securities Act”), this registration statement shall also cover any additional shares of the Registrant’s common stock that become issuable under the Amended and Restated 2014 Equity Incentive Award Plan, as amended (the “Restated Plan”), by reason of any stock dividend, stock split, recapitalization or similar transaction effected without the Registrant’s receipt of consideration which would increase the number of outstanding shares of common stock. (2) Estimated solely for the purpose of calculating the amount of the registration fee pursuant to Rule 457(h) and Rule 457(c) promulgated under the Securities Act. The proposed maximum offering price per share and the proposed maximum aggregate offering price for shares reserved for future issuance under the Restated Plan are based on the average of the high and the low price of Registrant’s Common Stock as reported on The Nasdaq Global Market on August 7, 2026. (3) Represents the additional shares of the Registrant’s common stock available for issuance under the Restated Plan resulting from an increase approved by the Registrant’s stockholders on June 16, 2026. (4) The Registrant does not have any fee offsets. </w:t>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5260"/>
                <wp:effectExtent l="0" t="0" r="0" b="0"/>
                <wp:wrapNone/>
                <wp:docPr id="11"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10314" w:type="dxa"/>
        <w:jc w:val="left"/>
        <w:tblInd w:w="0" w:type="dxa"/>
        <w:tblLayout w:type="fixed"/>
        <w:tblCellMar>
          <w:top w:w="28" w:type="dxa"/>
          <w:left w:w="28" w:type="dxa"/>
          <w:bottom w:w="28" w:type="dxa"/>
          <w:right w:w="28" w:type="dxa"/>
        </w:tblCellMar>
      </w:tblPr>
      <w:tblGrid>
        <w:gridCol w:w="310"/>
        <w:gridCol w:w="220"/>
        <w:gridCol w:w="221"/>
        <w:gridCol w:w="109"/>
        <w:gridCol w:w="109"/>
        <w:gridCol w:w="109"/>
        <w:gridCol w:w="330"/>
        <w:gridCol w:w="330"/>
        <w:gridCol w:w="331"/>
        <w:gridCol w:w="205"/>
        <w:gridCol w:w="205"/>
        <w:gridCol w:w="206"/>
        <w:gridCol w:w="265"/>
        <w:gridCol w:w="265"/>
        <w:gridCol w:w="266"/>
        <w:gridCol w:w="210"/>
        <w:gridCol w:w="210"/>
        <w:gridCol w:w="211"/>
        <w:gridCol w:w="205"/>
        <w:gridCol w:w="205"/>
        <w:gridCol w:w="206"/>
        <w:gridCol w:w="275"/>
        <w:gridCol w:w="275"/>
        <w:gridCol w:w="276"/>
        <w:gridCol w:w="335"/>
        <w:gridCol w:w="335"/>
        <w:gridCol w:w="336"/>
        <w:gridCol w:w="335"/>
        <w:gridCol w:w="335"/>
        <w:gridCol w:w="336"/>
        <w:gridCol w:w="335"/>
        <w:gridCol w:w="335"/>
        <w:gridCol w:w="336"/>
        <w:gridCol w:w="335"/>
        <w:gridCol w:w="335"/>
        <w:gridCol w:w="336"/>
        <w:gridCol w:w="215"/>
        <w:gridCol w:w="215"/>
        <w:gridCol w:w="306"/>
      </w:tblGrid>
      <w:tr>
        <w:trPr/>
        <w:tc>
          <w:tcPr>
            <w:tcW w:w="31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r>
      <w:tr>
        <w:trPr/>
        <w:tc>
          <w:tcPr>
            <w:tcW w:w="7566" w:type="dxa"/>
            <w:gridSpan w:val="30"/>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Table 2: Fee Offset Claims and Sources</w:t>
            </w:r>
          </w:p>
        </w:tc>
        <w:tc>
          <w:tcPr>
            <w:tcW w:w="2748" w:type="dxa"/>
            <w:gridSpan w:val="9"/>
            <w:tcBorders/>
            <w:tcMar>
              <w:top w:w="0" w:type="dxa"/>
              <w:left w:w="0" w:type="dxa"/>
              <w:bottom w:w="0" w:type="dxa"/>
              <w:right w:w="0" w:type="dxa"/>
            </w:tcMar>
            <w:vAlign w:val="center"/>
          </w:tcPr>
          <w:p>
            <w:pPr>
              <w:pStyle w:val="TableContents"/>
              <w:bidi w:val="0"/>
              <w:spacing w:lineRule="auto" w:line="288" w:before="0" w:after="0"/>
              <w:jc w:val="right"/>
              <w:rPr>
                <w:color w:val="000000"/>
              </w:rPr>
            </w:pPr>
            <w:r>
              <w:rPr>
                <w:color w:val="000000"/>
              </w:rPr>
              <w:t xml:space="preserve">☑ </w:t>
            </w:r>
            <w:r>
              <w:rPr>
                <w:rFonts w:ascii="Times New Roman;serif" w:hAnsi="Times New Roman;serif"/>
                <w:b/>
                <w:color w:val="000000"/>
                <w:sz w:val="20"/>
              </w:rPr>
              <w:t>Not Applicable </w:t>
            </w:r>
          </w:p>
        </w:tc>
      </w:tr>
      <w:tr>
        <w:trPr/>
        <w:tc>
          <w:tcPr>
            <w:tcW w:w="751"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Registrant or Filer Name </w:t>
            </w:r>
          </w:p>
        </w:tc>
        <w:tc>
          <w:tcPr>
            <w:tcW w:w="616"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Form or Filing Type </w:t>
            </w:r>
          </w:p>
        </w:tc>
        <w:tc>
          <w:tcPr>
            <w:tcW w:w="796"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File Number </w:t>
            </w:r>
          </w:p>
        </w:tc>
        <w:tc>
          <w:tcPr>
            <w:tcW w:w="63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Initial Filing Date </w:t>
            </w:r>
          </w:p>
        </w:tc>
        <w:tc>
          <w:tcPr>
            <w:tcW w:w="616"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Filing Date </w:t>
            </w:r>
          </w:p>
        </w:tc>
        <w:tc>
          <w:tcPr>
            <w:tcW w:w="826"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Fee Offset Claimed </w:t>
            </w:r>
          </w:p>
        </w:tc>
        <w:tc>
          <w:tcPr>
            <w:tcW w:w="1006"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Security Type Associated with Fee Offset Claimed </w:t>
            </w:r>
          </w:p>
        </w:tc>
        <w:tc>
          <w:tcPr>
            <w:tcW w:w="1006"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Security Title Associated with Fee Offset Claimed </w:t>
            </w:r>
          </w:p>
        </w:tc>
        <w:tc>
          <w:tcPr>
            <w:tcW w:w="1006"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Unsold Securities Associated with Fee Offset Claimed </w:t>
            </w:r>
          </w:p>
        </w:tc>
        <w:tc>
          <w:tcPr>
            <w:tcW w:w="1006"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Unsold Aggregate Offering Amount Associated with Fee Offset Claimed </w:t>
            </w:r>
          </w:p>
        </w:tc>
        <w:tc>
          <w:tcPr>
            <w:tcW w:w="736"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Fee Paid with Fee Offset Source </w:t>
            </w:r>
          </w:p>
        </w:tc>
      </w:tr>
      <w:tr>
        <w:trPr/>
        <w:tc>
          <w:tcPr>
            <w:tcW w:w="10314" w:type="dxa"/>
            <w:gridSpan w:val="39"/>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0"/>
              <w:jc w:val="center"/>
              <w:rPr/>
            </w:pPr>
            <w:r>
              <w:rPr>
                <w:rFonts w:ascii="Times New Roman;serif" w:hAnsi="Times New Roman;serif"/>
                <w:b/>
                <w:color w:val="000000"/>
                <w:sz w:val="20"/>
              </w:rPr>
              <w:t>Rule 457(p)</w:t>
            </w:r>
            <w:r>
              <w:rPr>
                <w:color w:val="000000"/>
              </w:rPr>
              <w:t> </w:t>
            </w:r>
          </w:p>
        </w:tc>
      </w:tr>
      <w:tr>
        <w:trPr/>
        <w:tc>
          <w:tcPr>
            <w:tcW w:w="75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Fee Offset Claims </w:t>
            </w:r>
          </w:p>
        </w:tc>
        <w:tc>
          <w:tcPr>
            <w:tcW w:w="32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N/A</w:t>
            </w:r>
          </w:p>
        </w:tc>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N/A</w:t>
            </w:r>
          </w:p>
        </w:tc>
        <w:tc>
          <w:tcPr>
            <w:tcW w:w="61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N/A</w:t>
            </w:r>
          </w:p>
        </w:tc>
        <w:tc>
          <w:tcPr>
            <w:tcW w:w="79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N/A</w:t>
            </w:r>
          </w:p>
        </w:tc>
        <w:tc>
          <w:tcPr>
            <w:tcW w:w="63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N/A</w:t>
            </w:r>
          </w:p>
        </w:tc>
        <w:tc>
          <w:tcPr>
            <w:tcW w:w="61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N/A</w:t>
            </w:r>
          </w:p>
        </w:tc>
        <w:tc>
          <w:tcPr>
            <w:tcW w:w="82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N/A</w:t>
            </w:r>
          </w:p>
        </w:tc>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N/A</w:t>
            </w:r>
          </w:p>
        </w:tc>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N/A</w:t>
            </w:r>
          </w:p>
        </w:tc>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N/A</w:t>
            </w:r>
          </w:p>
        </w:tc>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N/A</w:t>
            </w:r>
          </w:p>
        </w:tc>
        <w:tc>
          <w:tcPr>
            <w:tcW w:w="73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N/A</w:t>
            </w:r>
          </w:p>
        </w:tc>
      </w:tr>
      <w:tr>
        <w:trPr/>
        <w:tc>
          <w:tcPr>
            <w:tcW w:w="75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Fee Offset Sources </w:t>
            </w:r>
          </w:p>
        </w:tc>
        <w:tc>
          <w:tcPr>
            <w:tcW w:w="327"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N/A</w:t>
            </w:r>
          </w:p>
        </w:tc>
        <w:tc>
          <w:tcPr>
            <w:tcW w:w="99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N/A</w:t>
            </w:r>
          </w:p>
        </w:tc>
        <w:tc>
          <w:tcPr>
            <w:tcW w:w="616"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N/A</w:t>
            </w:r>
          </w:p>
        </w:tc>
        <w:tc>
          <w:tcPr>
            <w:tcW w:w="796"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N/A</w:t>
            </w:r>
          </w:p>
        </w:tc>
        <w:tc>
          <w:tcPr>
            <w:tcW w:w="63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N/A</w:t>
            </w:r>
          </w:p>
        </w:tc>
        <w:tc>
          <w:tcPr>
            <w:tcW w:w="616"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N/A</w:t>
            </w:r>
          </w:p>
        </w:tc>
        <w:tc>
          <w:tcPr>
            <w:tcW w:w="826"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N/A</w:t>
            </w:r>
          </w:p>
        </w:tc>
        <w:tc>
          <w:tcPr>
            <w:tcW w:w="1006"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N/A</w:t>
            </w:r>
          </w:p>
        </w:tc>
        <w:tc>
          <w:tcPr>
            <w:tcW w:w="1006"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N/A</w:t>
            </w:r>
          </w:p>
        </w:tc>
        <w:tc>
          <w:tcPr>
            <w:tcW w:w="1006"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N/A</w:t>
            </w:r>
          </w:p>
        </w:tc>
        <w:tc>
          <w:tcPr>
            <w:tcW w:w="1006"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N/A</w:t>
            </w:r>
          </w:p>
        </w:tc>
        <w:tc>
          <w:tcPr>
            <w:tcW w:w="736"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N/A</w:t>
            </w:r>
          </w:p>
        </w:tc>
      </w:tr>
    </w:tbl>
    <w:p>
      <w:pPr>
        <w:pStyle w:val="TextBody"/>
        <w:bidi w:val="0"/>
        <w:spacing w:lineRule="auto" w:line="288" w:before="0" w:after="0"/>
        <w:jc w:val="left"/>
        <w:rPr>
          <w:color w:val="000000"/>
        </w:rPr>
      </w:pPr>
      <w:r>
        <w:rPr>
          <w:color w:val="000000"/>
        </w:rPr>
        <w:t> </w:t>
      </w:r>
    </w:p>
    <w:p>
      <w:pPr>
        <w:pStyle w:val="TextBody"/>
        <w:bidi w:val="0"/>
        <w:spacing w:lineRule="auto" w:line="288"/>
        <w:jc w:val="left"/>
        <w:rPr>
          <w:color w:val="000000"/>
        </w:rPr>
      </w:pPr>
      <w:r>
        <w:rPr>
          <w:color w:val="000000"/>
        </w:rPr>
        <w:t xml:space="preserve">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3"/>
        </w:rPr>
      </w:pPr>
      <w:r>
        <w:rPr>
          <w:rFonts w:ascii="Times New Roman;serif" w:hAnsi="Times New Roman;serif"/>
          <w:b/>
          <w:color w:val="000000"/>
          <w:sz w:val="23"/>
        </w:rPr>
        <w:t>Exhibit 5.1</w:t>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75260"/>
                <wp:effectExtent l="0" t="0" r="0" b="0"/>
                <wp:wrapNone/>
                <wp:docPr id="12"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8.35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9474" w:type="dxa"/>
        <w:jc w:val="center"/>
        <w:tblInd w:w="0" w:type="dxa"/>
        <w:tblLayout w:type="fixed"/>
        <w:tblCellMar>
          <w:top w:w="28" w:type="dxa"/>
          <w:left w:w="28" w:type="dxa"/>
          <w:bottom w:w="28" w:type="dxa"/>
          <w:right w:w="28" w:type="dxa"/>
        </w:tblCellMar>
      </w:tblPr>
      <w:tblGrid>
        <w:gridCol w:w="1228"/>
        <w:gridCol w:w="1079"/>
        <w:gridCol w:w="1079"/>
        <w:gridCol w:w="1079"/>
        <w:gridCol w:w="1079"/>
        <w:gridCol w:w="1082"/>
        <w:gridCol w:w="441"/>
        <w:gridCol w:w="441"/>
        <w:gridCol w:w="441"/>
        <w:gridCol w:w="441"/>
        <w:gridCol w:w="441"/>
        <w:gridCol w:w="643"/>
      </w:tblGrid>
      <w:tr>
        <w:trPr/>
        <w:tc>
          <w:tcPr>
            <w:tcW w:w="1228"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r>
      <w:tr>
        <w:trPr/>
        <w:tc>
          <w:tcPr>
            <w:tcW w:w="33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8"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929292"/>
                <w:sz w:val="14"/>
              </w:rPr>
            </w:pPr>
            <w:r>
              <w:rPr>
                <w:rFonts w:ascii="Arial;sans-serif" w:hAnsi="Arial;sans-serif"/>
                <w:b w:val="false"/>
                <w:color w:val="929292"/>
                <w:sz w:val="14"/>
              </w:rPr>
              <w:t>801 Jefferson Avenue, Suite 300</w:t>
            </w:r>
          </w:p>
        </w:tc>
      </w:tr>
      <w:tr>
        <w:trPr/>
        <w:tc>
          <w:tcPr>
            <w:tcW w:w="33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8"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929292"/>
                <w:sz w:val="14"/>
              </w:rPr>
            </w:pPr>
            <w:r>
              <w:rPr>
                <w:rFonts w:ascii="Arial;sans-serif" w:hAnsi="Arial;sans-serif"/>
                <w:b w:val="false"/>
                <w:color w:val="929292"/>
                <w:sz w:val="14"/>
              </w:rPr>
              <w:t>Redwood City, California 94063</w:t>
            </w:r>
          </w:p>
        </w:tc>
      </w:tr>
      <w:tr>
        <w:trPr/>
        <w:tc>
          <w:tcPr>
            <w:tcW w:w="33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8"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929292"/>
                <w:sz w:val="14"/>
              </w:rPr>
            </w:pPr>
            <w:r>
              <w:rPr>
                <w:rFonts w:ascii="Arial;sans-serif" w:hAnsi="Arial;sans-serif"/>
                <w:b w:val="false"/>
                <w:color w:val="929292"/>
                <w:sz w:val="14"/>
              </w:rPr>
              <w:t>Tel: +1.650.328.4600 Fax: +1.650.463.2600</w:t>
            </w:r>
          </w:p>
        </w:tc>
      </w:tr>
      <w:tr>
        <w:trPr/>
        <w:tc>
          <w:tcPr>
            <w:tcW w:w="33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8"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929292"/>
                <w:sz w:val="14"/>
              </w:rPr>
            </w:pPr>
            <w:r>
              <w:rPr>
                <w:rFonts w:ascii="Arial;sans-serif" w:hAnsi="Arial;sans-serif"/>
                <w:b w:val="false"/>
                <w:color w:val="929292"/>
                <w:sz w:val="14"/>
              </w:rPr>
              <w:t>www.lw.com</w:t>
            </w:r>
          </w:p>
        </w:tc>
      </w:tr>
      <w:tr>
        <w:trPr/>
        <w:tc>
          <w:tcPr>
            <w:tcW w:w="33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6" w:type="dxa"/>
            <w:gridSpan w:val="6"/>
            <w:vMerge w:val="restart"/>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143375" cy="381000"/>
                  <wp:effectExtent l="0" t="0" r="0" b="0"/>
                  <wp:docPr id="13"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2" descr=""/>
                          <pic:cNvPicPr>
                            <a:picLocks noChangeAspect="1" noChangeArrowheads="1"/>
                          </pic:cNvPicPr>
                        </pic:nvPicPr>
                        <pic:blipFill>
                          <a:blip r:embed="rId33"/>
                          <a:stretch>
                            <a:fillRect/>
                          </a:stretch>
                        </pic:blipFill>
                        <pic:spPr bwMode="auto">
                          <a:xfrm>
                            <a:off x="0" y="0"/>
                            <a:ext cx="4143375" cy="381000"/>
                          </a:xfrm>
                          <a:prstGeom prst="rect">
                            <a:avLst/>
                          </a:prstGeom>
                        </pic:spPr>
                      </pic:pic>
                    </a:graphicData>
                  </a:graphic>
                </wp:inline>
              </w:drawing>
            </w:r>
          </w:p>
        </w:tc>
        <w:tc>
          <w:tcPr>
            <w:tcW w:w="2848"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929292"/>
                <w:sz w:val="14"/>
              </w:rPr>
            </w:pPr>
            <w:r>
              <w:rPr>
                <w:rFonts w:ascii="Arial;sans-serif" w:hAnsi="Arial;sans-serif"/>
                <w:b w:val="false"/>
                <w:color w:val="929292"/>
                <w:sz w:val="14"/>
              </w:rPr>
              <w:t>FIRM / AFFILIATE OFFICES</w:t>
            </w:r>
          </w:p>
        </w:tc>
      </w:tr>
      <w:tr>
        <w:trPr/>
        <w:tc>
          <w:tcPr>
            <w:tcW w:w="6626" w:type="dxa"/>
            <w:gridSpan w:val="6"/>
            <w:vMerge w:val="continue"/>
            <w:tcBorders/>
            <w:tcMar>
              <w:top w:w="0" w:type="dxa"/>
              <w:left w:w="0" w:type="dxa"/>
              <w:bottom w:w="0" w:type="dxa"/>
              <w:right w:w="0" w:type="dxa"/>
            </w:tcMar>
            <w:vAlign w:val="center"/>
          </w:tcPr>
          <w:p>
            <w:pPr>
              <w:pStyle w:val="Normal"/>
              <w:bidi w:val="0"/>
              <w:jc w:val="left"/>
              <w:rPr/>
            </w:pPr>
            <w:r>
              <w:rPr/>
            </w:r>
          </w:p>
        </w:tc>
        <w:tc>
          <w:tcPr>
            <w:tcW w:w="132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929292"/>
                <w:sz w:val="14"/>
              </w:rPr>
            </w:pPr>
            <w:r>
              <w:rPr>
                <w:rFonts w:ascii="Arial;sans-serif" w:hAnsi="Arial;sans-serif"/>
                <w:b w:val="false"/>
                <w:color w:val="929292"/>
                <w:sz w:val="14"/>
              </w:rPr>
              <w:t>Austin</w:t>
            </w:r>
          </w:p>
        </w:tc>
        <w:tc>
          <w:tcPr>
            <w:tcW w:w="15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929292"/>
                <w:sz w:val="14"/>
              </w:rPr>
            </w:pPr>
            <w:r>
              <w:rPr>
                <w:rFonts w:ascii="Arial;sans-serif" w:hAnsi="Arial;sans-serif"/>
                <w:b w:val="false"/>
                <w:color w:val="929292"/>
                <w:sz w:val="14"/>
              </w:rPr>
              <w:t>Milan</w:t>
            </w:r>
          </w:p>
        </w:tc>
      </w:tr>
      <w:tr>
        <w:trPr/>
        <w:tc>
          <w:tcPr>
            <w:tcW w:w="6626" w:type="dxa"/>
            <w:gridSpan w:val="6"/>
            <w:vMerge w:val="continue"/>
            <w:tcBorders/>
            <w:tcMar>
              <w:top w:w="0" w:type="dxa"/>
              <w:left w:w="0" w:type="dxa"/>
              <w:bottom w:w="0" w:type="dxa"/>
              <w:right w:w="0" w:type="dxa"/>
            </w:tcMar>
            <w:vAlign w:val="center"/>
          </w:tcPr>
          <w:p>
            <w:pPr>
              <w:pStyle w:val="Normal"/>
              <w:bidi w:val="0"/>
              <w:jc w:val="left"/>
              <w:rPr/>
            </w:pPr>
            <w:r>
              <w:rPr/>
            </w:r>
          </w:p>
        </w:tc>
        <w:tc>
          <w:tcPr>
            <w:tcW w:w="132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929292"/>
                <w:sz w:val="14"/>
              </w:rPr>
            </w:pPr>
            <w:r>
              <w:rPr>
                <w:rFonts w:ascii="Arial;sans-serif" w:hAnsi="Arial;sans-serif"/>
                <w:b w:val="false"/>
                <w:color w:val="929292"/>
                <w:sz w:val="14"/>
              </w:rPr>
              <w:t>Beijing</w:t>
            </w:r>
          </w:p>
        </w:tc>
        <w:tc>
          <w:tcPr>
            <w:tcW w:w="15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929292"/>
                <w:sz w:val="14"/>
              </w:rPr>
            </w:pPr>
            <w:r>
              <w:rPr>
                <w:rFonts w:ascii="Arial;sans-serif" w:hAnsi="Arial;sans-serif"/>
                <w:b w:val="false"/>
                <w:color w:val="929292"/>
                <w:sz w:val="14"/>
              </w:rPr>
              <w:t>Munich</w:t>
            </w:r>
          </w:p>
        </w:tc>
      </w:tr>
      <w:tr>
        <w:trPr/>
        <w:tc>
          <w:tcPr>
            <w:tcW w:w="6626" w:type="dxa"/>
            <w:gridSpan w:val="6"/>
            <w:vMerge w:val="continue"/>
            <w:tcBorders/>
            <w:tcMar>
              <w:top w:w="0" w:type="dxa"/>
              <w:left w:w="0" w:type="dxa"/>
              <w:bottom w:w="0" w:type="dxa"/>
              <w:right w:w="0" w:type="dxa"/>
            </w:tcMar>
            <w:vAlign w:val="center"/>
          </w:tcPr>
          <w:p>
            <w:pPr>
              <w:pStyle w:val="Normal"/>
              <w:bidi w:val="0"/>
              <w:jc w:val="left"/>
              <w:rPr/>
            </w:pPr>
            <w:r>
              <w:rPr/>
            </w:r>
          </w:p>
        </w:tc>
        <w:tc>
          <w:tcPr>
            <w:tcW w:w="132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929292"/>
                <w:sz w:val="14"/>
              </w:rPr>
            </w:pPr>
            <w:r>
              <w:rPr>
                <w:rFonts w:ascii="Arial;sans-serif" w:hAnsi="Arial;sans-serif"/>
                <w:b w:val="false"/>
                <w:color w:val="929292"/>
                <w:sz w:val="14"/>
              </w:rPr>
              <w:t>Boston</w:t>
            </w:r>
          </w:p>
        </w:tc>
        <w:tc>
          <w:tcPr>
            <w:tcW w:w="15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929292"/>
                <w:sz w:val="14"/>
              </w:rPr>
            </w:pPr>
            <w:r>
              <w:rPr>
                <w:rFonts w:ascii="Arial;sans-serif" w:hAnsi="Arial;sans-serif"/>
                <w:b w:val="false"/>
                <w:color w:val="929292"/>
                <w:sz w:val="14"/>
              </w:rPr>
              <w:t>New York</w:t>
            </w:r>
          </w:p>
        </w:tc>
      </w:tr>
      <w:tr>
        <w:trPr/>
        <w:tc>
          <w:tcPr>
            <w:tcW w:w="33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929292"/>
                <w:sz w:val="14"/>
              </w:rPr>
            </w:pPr>
            <w:r>
              <w:rPr>
                <w:rFonts w:ascii="Arial;sans-serif" w:hAnsi="Arial;sans-serif"/>
                <w:b w:val="false"/>
                <w:color w:val="929292"/>
                <w:sz w:val="14"/>
              </w:rPr>
              <w:t>Brussels</w:t>
            </w:r>
          </w:p>
        </w:tc>
        <w:tc>
          <w:tcPr>
            <w:tcW w:w="15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929292"/>
                <w:sz w:val="14"/>
              </w:rPr>
            </w:pPr>
            <w:r>
              <w:rPr>
                <w:rFonts w:ascii="Arial;sans-serif" w:hAnsi="Arial;sans-serif"/>
                <w:b w:val="false"/>
                <w:color w:val="929292"/>
                <w:sz w:val="14"/>
              </w:rPr>
              <w:t>Orange County</w:t>
            </w:r>
          </w:p>
        </w:tc>
      </w:tr>
      <w:tr>
        <w:trPr/>
        <w:tc>
          <w:tcPr>
            <w:tcW w:w="33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929292"/>
                <w:sz w:val="14"/>
              </w:rPr>
            </w:pPr>
            <w:r>
              <w:rPr>
                <w:rFonts w:ascii="Arial;sans-serif" w:hAnsi="Arial;sans-serif"/>
                <w:b w:val="false"/>
                <w:color w:val="929292"/>
                <w:sz w:val="14"/>
              </w:rPr>
              <w:t>Chicago</w:t>
            </w:r>
          </w:p>
        </w:tc>
        <w:tc>
          <w:tcPr>
            <w:tcW w:w="15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929292"/>
                <w:sz w:val="14"/>
              </w:rPr>
            </w:pPr>
            <w:r>
              <w:rPr>
                <w:rFonts w:ascii="Arial;sans-serif" w:hAnsi="Arial;sans-serif"/>
                <w:b w:val="false"/>
                <w:color w:val="929292"/>
                <w:sz w:val="14"/>
              </w:rPr>
              <w:t>Paris</w:t>
            </w:r>
          </w:p>
        </w:tc>
      </w:tr>
      <w:tr>
        <w:trPr/>
        <w:tc>
          <w:tcPr>
            <w:tcW w:w="338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August 10, 2026</w:t>
            </w:r>
          </w:p>
        </w:tc>
        <w:tc>
          <w:tcPr>
            <w:tcW w:w="3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929292"/>
                <w:sz w:val="14"/>
              </w:rPr>
            </w:pPr>
            <w:r>
              <w:rPr>
                <w:rFonts w:ascii="Arial;sans-serif" w:hAnsi="Arial;sans-serif"/>
                <w:b w:val="false"/>
                <w:color w:val="929292"/>
                <w:sz w:val="14"/>
              </w:rPr>
              <w:t>Dubai</w:t>
            </w:r>
          </w:p>
        </w:tc>
        <w:tc>
          <w:tcPr>
            <w:tcW w:w="15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929292"/>
                <w:sz w:val="14"/>
              </w:rPr>
            </w:pPr>
            <w:r>
              <w:rPr>
                <w:rFonts w:ascii="Arial;sans-serif" w:hAnsi="Arial;sans-serif"/>
                <w:b w:val="false"/>
                <w:color w:val="929292"/>
                <w:sz w:val="14"/>
              </w:rPr>
              <w:t>Riyadh</w:t>
            </w:r>
          </w:p>
        </w:tc>
      </w:tr>
      <w:tr>
        <w:trPr/>
        <w:tc>
          <w:tcPr>
            <w:tcW w:w="3386" w:type="dxa"/>
            <w:gridSpan w:val="3"/>
            <w:vMerge w:val="continue"/>
            <w:tcBorders/>
            <w:tcMar>
              <w:top w:w="0" w:type="dxa"/>
              <w:left w:w="0" w:type="dxa"/>
              <w:bottom w:w="0" w:type="dxa"/>
              <w:right w:w="0" w:type="dxa"/>
            </w:tcMar>
            <w:vAlign w:val="center"/>
          </w:tcPr>
          <w:p>
            <w:pPr>
              <w:pStyle w:val="Normal"/>
              <w:bidi w:val="0"/>
              <w:jc w:val="left"/>
              <w:rPr/>
            </w:pPr>
            <w:r>
              <w:rPr/>
            </w:r>
          </w:p>
        </w:tc>
        <w:tc>
          <w:tcPr>
            <w:tcW w:w="3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929292"/>
                <w:sz w:val="14"/>
              </w:rPr>
            </w:pPr>
            <w:r>
              <w:rPr>
                <w:rFonts w:ascii="Arial;sans-serif" w:hAnsi="Arial;sans-serif"/>
                <w:b w:val="false"/>
                <w:color w:val="929292"/>
                <w:sz w:val="14"/>
              </w:rPr>
              <w:t>Düsseldorf</w:t>
            </w:r>
          </w:p>
        </w:tc>
        <w:tc>
          <w:tcPr>
            <w:tcW w:w="15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929292"/>
                <w:sz w:val="14"/>
              </w:rPr>
            </w:pPr>
            <w:r>
              <w:rPr>
                <w:rFonts w:ascii="Arial;sans-serif" w:hAnsi="Arial;sans-serif"/>
                <w:b w:val="false"/>
                <w:color w:val="929292"/>
                <w:sz w:val="14"/>
              </w:rPr>
              <w:t>San Diego</w:t>
            </w:r>
          </w:p>
        </w:tc>
      </w:tr>
      <w:tr>
        <w:trPr/>
        <w:tc>
          <w:tcPr>
            <w:tcW w:w="33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929292"/>
                <w:sz w:val="14"/>
              </w:rPr>
            </w:pPr>
            <w:r>
              <w:rPr>
                <w:rFonts w:ascii="Arial;sans-serif" w:hAnsi="Arial;sans-serif"/>
                <w:b w:val="false"/>
                <w:color w:val="929292"/>
                <w:sz w:val="14"/>
              </w:rPr>
              <w:t>Frankfurt</w:t>
            </w:r>
          </w:p>
        </w:tc>
        <w:tc>
          <w:tcPr>
            <w:tcW w:w="15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929292"/>
                <w:sz w:val="14"/>
              </w:rPr>
            </w:pPr>
            <w:r>
              <w:rPr>
                <w:rFonts w:ascii="Arial;sans-serif" w:hAnsi="Arial;sans-serif"/>
                <w:b w:val="false"/>
                <w:color w:val="929292"/>
                <w:sz w:val="14"/>
              </w:rPr>
              <w:t>San Francisco</w:t>
            </w:r>
          </w:p>
        </w:tc>
      </w:tr>
      <w:tr>
        <w:trPr/>
        <w:tc>
          <w:tcPr>
            <w:tcW w:w="33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929292"/>
                <w:sz w:val="14"/>
              </w:rPr>
            </w:pPr>
            <w:r>
              <w:rPr>
                <w:rFonts w:ascii="Arial;sans-serif" w:hAnsi="Arial;sans-serif"/>
                <w:b w:val="false"/>
                <w:color w:val="929292"/>
                <w:sz w:val="14"/>
              </w:rPr>
              <w:t>Hamburg</w:t>
            </w:r>
          </w:p>
        </w:tc>
        <w:tc>
          <w:tcPr>
            <w:tcW w:w="15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929292"/>
                <w:sz w:val="14"/>
              </w:rPr>
            </w:pPr>
            <w:r>
              <w:rPr>
                <w:rFonts w:ascii="Arial;sans-serif" w:hAnsi="Arial;sans-serif"/>
                <w:b w:val="false"/>
                <w:color w:val="929292"/>
                <w:sz w:val="14"/>
              </w:rPr>
              <w:t>Seoul</w:t>
            </w:r>
          </w:p>
        </w:tc>
      </w:tr>
      <w:tr>
        <w:trPr/>
        <w:tc>
          <w:tcPr>
            <w:tcW w:w="33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929292"/>
                <w:sz w:val="14"/>
              </w:rPr>
            </w:pPr>
            <w:r>
              <w:rPr>
                <w:rFonts w:ascii="Arial;sans-serif" w:hAnsi="Arial;sans-serif"/>
                <w:b w:val="false"/>
                <w:color w:val="929292"/>
                <w:sz w:val="14"/>
              </w:rPr>
              <w:t>Hong Kong</w:t>
            </w:r>
          </w:p>
        </w:tc>
        <w:tc>
          <w:tcPr>
            <w:tcW w:w="15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929292"/>
                <w:sz w:val="14"/>
              </w:rPr>
            </w:pPr>
            <w:r>
              <w:rPr>
                <w:rFonts w:ascii="Arial;sans-serif" w:hAnsi="Arial;sans-serif"/>
                <w:b w:val="false"/>
                <w:color w:val="929292"/>
                <w:sz w:val="14"/>
              </w:rPr>
              <w:t>Silicon Valley</w:t>
            </w:r>
          </w:p>
        </w:tc>
      </w:tr>
      <w:tr>
        <w:trPr/>
        <w:tc>
          <w:tcPr>
            <w:tcW w:w="33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929292"/>
                <w:sz w:val="14"/>
              </w:rPr>
            </w:pPr>
            <w:r>
              <w:rPr>
                <w:rFonts w:ascii="Arial;sans-serif" w:hAnsi="Arial;sans-serif"/>
                <w:b w:val="false"/>
                <w:color w:val="929292"/>
                <w:sz w:val="14"/>
              </w:rPr>
              <w:t>Houston</w:t>
            </w:r>
          </w:p>
        </w:tc>
        <w:tc>
          <w:tcPr>
            <w:tcW w:w="15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929292"/>
                <w:sz w:val="14"/>
              </w:rPr>
            </w:pPr>
            <w:r>
              <w:rPr>
                <w:rFonts w:ascii="Arial;sans-serif" w:hAnsi="Arial;sans-serif"/>
                <w:b w:val="false"/>
                <w:color w:val="929292"/>
                <w:sz w:val="14"/>
              </w:rPr>
              <w:t>Singapore</w:t>
            </w:r>
          </w:p>
        </w:tc>
      </w:tr>
      <w:tr>
        <w:trPr/>
        <w:tc>
          <w:tcPr>
            <w:tcW w:w="33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929292"/>
                <w:sz w:val="14"/>
              </w:rPr>
            </w:pPr>
            <w:r>
              <w:rPr>
                <w:rFonts w:ascii="Arial;sans-serif" w:hAnsi="Arial;sans-serif"/>
                <w:b w:val="false"/>
                <w:color w:val="929292"/>
                <w:sz w:val="14"/>
              </w:rPr>
              <w:t>London</w:t>
            </w:r>
          </w:p>
        </w:tc>
        <w:tc>
          <w:tcPr>
            <w:tcW w:w="15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929292"/>
                <w:sz w:val="14"/>
              </w:rPr>
            </w:pPr>
            <w:r>
              <w:rPr>
                <w:rFonts w:ascii="Arial;sans-serif" w:hAnsi="Arial;sans-serif"/>
                <w:b w:val="false"/>
                <w:color w:val="929292"/>
                <w:sz w:val="14"/>
              </w:rPr>
              <w:t>Tel Aviv</w:t>
            </w:r>
          </w:p>
        </w:tc>
      </w:tr>
      <w:tr>
        <w:trPr/>
        <w:tc>
          <w:tcPr>
            <w:tcW w:w="33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929292"/>
                <w:sz w:val="14"/>
              </w:rPr>
            </w:pPr>
            <w:r>
              <w:rPr>
                <w:rFonts w:ascii="Arial;sans-serif" w:hAnsi="Arial;sans-serif"/>
                <w:b w:val="false"/>
                <w:color w:val="929292"/>
                <w:sz w:val="14"/>
              </w:rPr>
              <w:t>Los Angeles</w:t>
            </w:r>
          </w:p>
        </w:tc>
        <w:tc>
          <w:tcPr>
            <w:tcW w:w="15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929292"/>
                <w:sz w:val="14"/>
              </w:rPr>
            </w:pPr>
            <w:r>
              <w:rPr>
                <w:rFonts w:ascii="Arial;sans-serif" w:hAnsi="Arial;sans-serif"/>
                <w:b w:val="false"/>
                <w:color w:val="929292"/>
                <w:sz w:val="14"/>
              </w:rPr>
              <w:t>Tokyo</w:t>
            </w:r>
          </w:p>
        </w:tc>
      </w:tr>
      <w:tr>
        <w:trPr/>
        <w:tc>
          <w:tcPr>
            <w:tcW w:w="33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929292"/>
                <w:sz w:val="14"/>
              </w:rPr>
            </w:pPr>
            <w:r>
              <w:rPr>
                <w:rFonts w:ascii="Arial;sans-serif" w:hAnsi="Arial;sans-serif"/>
                <w:b w:val="false"/>
                <w:color w:val="929292"/>
                <w:sz w:val="14"/>
              </w:rPr>
              <w:t>Madrid</w:t>
            </w:r>
          </w:p>
        </w:tc>
        <w:tc>
          <w:tcPr>
            <w:tcW w:w="15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929292"/>
                <w:sz w:val="14"/>
              </w:rPr>
            </w:pPr>
            <w:r>
              <w:rPr>
                <w:rFonts w:ascii="Arial;sans-serif" w:hAnsi="Arial;sans-serif"/>
                <w:b w:val="false"/>
                <w:color w:val="929292"/>
                <w:sz w:val="14"/>
              </w:rPr>
              <w:t>Washington, D.C.</w:t>
            </w:r>
          </w:p>
        </w:tc>
      </w:tr>
    </w:tbl>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Ardelyx, Inc.</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400 Fifth Avenue, Suite 210</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Waltham, MA 02451</w:t>
      </w:r>
    </w:p>
    <w:p>
      <w:pPr>
        <w:pStyle w:val="TextBody"/>
        <w:bidi w:val="0"/>
        <w:spacing w:before="0" w:after="240"/>
        <w:ind w:left="0" w:right="0" w:firstLine="720"/>
        <w:jc w:val="left"/>
        <w:rPr/>
      </w:pPr>
      <w:r>
        <w:rPr/>
      </w:r>
    </w:p>
    <w:p>
      <w:pPr>
        <w:pStyle w:val="TextBody"/>
        <w:bidi w:val="0"/>
        <w:spacing w:lineRule="auto" w:line="288" w:before="0" w:after="0"/>
        <w:ind w:left="0" w:right="0" w:hanging="720"/>
        <w:jc w:val="left"/>
        <w:rPr/>
      </w:pPr>
      <w:r>
        <w:rPr>
          <w:rFonts w:ascii="Times New Roman;serif" w:hAnsi="Times New Roman;serif"/>
          <w:b/>
          <w:color w:val="000000"/>
          <w:sz w:val="24"/>
        </w:rPr>
        <w:t>Re:     </w:t>
      </w:r>
      <w:r>
        <w:rPr>
          <w:rFonts w:ascii="Times New Roman;serif" w:hAnsi="Times New Roman;serif"/>
          <w:b/>
          <w:color w:val="000000"/>
          <w:sz w:val="24"/>
          <w:u w:val="single"/>
        </w:rPr>
        <w:t>Registration Statement on Form S-8; 9,000,000 shares of Common Stock of Ardelyx, Inc., par value $0.0001 per share</w:t>
      </w:r>
    </w:p>
    <w:p>
      <w:pPr>
        <w:pStyle w:val="TextBody"/>
        <w:bidi w:val="0"/>
        <w:spacing w:lineRule="auto" w:line="288" w:before="0" w:after="0"/>
        <w:jc w:val="left"/>
        <w:rPr>
          <w:color w:val="000000"/>
        </w:rPr>
      </w:pPr>
      <w:r>
        <w:rPr>
          <w:color w:val="000000"/>
        </w:rPr>
        <w:t>        </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To the addressee set forth above:</w:t>
      </w:r>
    </w:p>
    <w:p>
      <w:pPr>
        <w:pStyle w:val="TextBody"/>
        <w:bidi w:val="0"/>
        <w:spacing w:lineRule="auto" w:line="288" w:before="240" w:after="240"/>
        <w:ind w:left="0" w:right="0" w:firstLine="720"/>
        <w:jc w:val="both"/>
        <w:rPr/>
      </w:pPr>
      <w:r>
        <w:rPr>
          <w:rFonts w:ascii="Times New Roman;serif" w:hAnsi="Times New Roman;serif"/>
          <w:b w:val="false"/>
          <w:color w:val="000000"/>
          <w:sz w:val="24"/>
        </w:rPr>
        <w:t>We have acted as special counsel to Ardelyx, Inc., a Delaware corporation (the “</w:t>
      </w:r>
      <w:r>
        <w:rPr>
          <w:rFonts w:ascii="Times New Roman;serif" w:hAnsi="Times New Roman;serif"/>
          <w:b/>
          <w:i/>
          <w:color w:val="000000"/>
          <w:sz w:val="24"/>
        </w:rPr>
        <w:t>Company</w:t>
      </w:r>
      <w:r>
        <w:rPr>
          <w:color w:val="000000"/>
        </w:rPr>
        <w:t>”</w:t>
      </w:r>
      <w:r>
        <w:rPr>
          <w:rFonts w:ascii="Times New Roman;serif" w:hAnsi="Times New Roman;serif"/>
          <w:b w:val="false"/>
          <w:color w:val="000000"/>
          <w:sz w:val="24"/>
        </w:rPr>
        <w:t>), in connection with the registration by the Company of 9,000,000 shares of common stock of the Company, par value $0.0001 per share (the “</w:t>
      </w:r>
      <w:r>
        <w:rPr>
          <w:rFonts w:ascii="Times New Roman;serif" w:hAnsi="Times New Roman;serif"/>
          <w:b/>
          <w:i/>
          <w:color w:val="000000"/>
          <w:sz w:val="24"/>
        </w:rPr>
        <w:t>Shares</w:t>
      </w:r>
      <w:r>
        <w:rPr>
          <w:color w:val="000000"/>
        </w:rPr>
        <w:t>”</w:t>
      </w:r>
      <w:r>
        <w:rPr>
          <w:rFonts w:ascii="Times New Roman;serif" w:hAnsi="Times New Roman;serif"/>
          <w:b w:val="false"/>
          <w:color w:val="000000"/>
          <w:sz w:val="24"/>
        </w:rPr>
        <w:t>), issuable under the Company’s Amended and Restated 2014 Equity Incentive Award Plan, as amended (the “</w:t>
      </w:r>
      <w:r>
        <w:rPr>
          <w:rFonts w:ascii="Times New Roman;serif" w:hAnsi="Times New Roman;serif"/>
          <w:b/>
          <w:i/>
          <w:color w:val="000000"/>
          <w:sz w:val="24"/>
        </w:rPr>
        <w:t>2014</w:t>
      </w:r>
      <w:r>
        <w:rPr>
          <w:color w:val="000000"/>
        </w:rPr>
        <w:t xml:space="preserve"> </w:t>
      </w:r>
      <w:r>
        <w:rPr>
          <w:rFonts w:ascii="Times New Roman;serif" w:hAnsi="Times New Roman;serif"/>
          <w:b/>
          <w:i/>
          <w:color w:val="000000"/>
          <w:sz w:val="24"/>
        </w:rPr>
        <w:t>Plan</w:t>
      </w:r>
      <w:r>
        <w:rPr>
          <w:color w:val="000000"/>
        </w:rPr>
        <w:t>”</w:t>
      </w:r>
      <w:r>
        <w:rPr>
          <w:rFonts w:ascii="Times New Roman;serif" w:hAnsi="Times New Roman;serif"/>
          <w:b w:val="false"/>
          <w:color w:val="000000"/>
          <w:sz w:val="24"/>
        </w:rPr>
        <w:t>).</w:t>
      </w:r>
    </w:p>
    <w:p>
      <w:pPr>
        <w:pStyle w:val="TextBody"/>
        <w:bidi w:val="0"/>
        <w:spacing w:lineRule="auto" w:line="288" w:before="240" w:after="240"/>
        <w:ind w:left="0" w:right="0" w:firstLine="720"/>
        <w:jc w:val="both"/>
        <w:rPr/>
      </w:pPr>
      <w:r>
        <w:rPr>
          <w:rFonts w:ascii="Times New Roman;serif" w:hAnsi="Times New Roman;serif"/>
          <w:b w:val="false"/>
          <w:color w:val="000000"/>
          <w:sz w:val="24"/>
        </w:rPr>
        <w:t>The Shares are included in a registration statement on Form S-8 under the Securities Act of 1933, as amended (the “</w:t>
      </w:r>
      <w:r>
        <w:rPr>
          <w:rFonts w:ascii="Times New Roman;serif" w:hAnsi="Times New Roman;serif"/>
          <w:b/>
          <w:i/>
          <w:color w:val="000000"/>
          <w:sz w:val="24"/>
        </w:rPr>
        <w:t>Act</w:t>
      </w:r>
      <w:r>
        <w:rPr>
          <w:color w:val="000000"/>
        </w:rPr>
        <w:t>”</w:t>
      </w:r>
      <w:r>
        <w:rPr>
          <w:rFonts w:ascii="Times New Roman;serif" w:hAnsi="Times New Roman;serif"/>
          <w:b w:val="false"/>
          <w:color w:val="000000"/>
          <w:sz w:val="24"/>
        </w:rPr>
        <w:t>), filed with the Securities and Exchange Commission (the “</w:t>
      </w:r>
      <w:r>
        <w:rPr>
          <w:rFonts w:ascii="Times New Roman;serif" w:hAnsi="Times New Roman;serif"/>
          <w:b/>
          <w:i/>
          <w:color w:val="000000"/>
          <w:sz w:val="24"/>
        </w:rPr>
        <w:t>Commission</w:t>
      </w:r>
      <w:r>
        <w:rPr>
          <w:color w:val="000000"/>
        </w:rPr>
        <w:t>”</w:t>
      </w:r>
      <w:r>
        <w:rPr>
          <w:rFonts w:ascii="Times New Roman;serif" w:hAnsi="Times New Roman;serif"/>
          <w:b w:val="false"/>
          <w:color w:val="000000"/>
          <w:sz w:val="24"/>
        </w:rPr>
        <w:t>) on August 10, 2026 (the “</w:t>
      </w:r>
      <w:r>
        <w:rPr>
          <w:rFonts w:ascii="Times New Roman;serif" w:hAnsi="Times New Roman;serif"/>
          <w:b/>
          <w:i/>
          <w:color w:val="000000"/>
          <w:sz w:val="24"/>
        </w:rPr>
        <w:t>Registration Statement</w:t>
      </w:r>
      <w:r>
        <w:rPr>
          <w:color w:val="000000"/>
        </w:rPr>
        <w:t>”</w:t>
      </w:r>
      <w:r>
        <w:rPr>
          <w:rFonts w:ascii="Times New Roman;serif" w:hAnsi="Times New Roman;serif"/>
          <w:b w:val="false"/>
          <w:color w:val="000000"/>
          <w:sz w:val="24"/>
        </w:rPr>
        <w:t>). This opinion is being furnished in connection with the requirements of Item 601(b)(5) of Regulation S-K under the Act, and no opinion is expressed herein as to any matter pertaining to the contents of the Registration Statement or the related prospectus, other than as expressly stated herein with respect to the issue of the Shares.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As such counsel, we have examined such matters of fact and questions of law as we have considered appropriate for purposes of this letter. With your consent, we have relied upon certificates and other assurances of officers of the Company and others as to factual matters without having independently verified such factual matters. We are opining herein as to the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289560"/>
                <wp:effectExtent l="0" t="0" r="0" b="0"/>
                <wp:wrapNone/>
                <wp:docPr id="14" name="Frame12"/>
                <a:graphic xmlns:a="http://schemas.openxmlformats.org/drawingml/2006/main">
                  <a:graphicData uri="http://schemas.microsoft.com/office/word/2010/wordprocessingShape">
                    <wps:wsp>
                      <wps:cNvSpPr txBox="1"/>
                      <wps:spPr>
                        <a:xfrm>
                          <a:off x="0" y="0"/>
                          <a:ext cx="6480175" cy="289560"/>
                        </a:xfrm>
                        <a:prstGeom prst="rect"/>
                        <a:solidFill>
                          <a:srgbClr val="FFFFFF"/>
                        </a:solidFill>
                      </wps:spPr>
                      <wps:txbx>
                        <w:txbxContent>
                          <w:p>
                            <w:pPr>
                              <w:pStyle w:val="TextBody"/>
                              <w:bidi w:val="0"/>
                              <w:spacing w:before="180" w:after="12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80" w:after="120"/>
                        <w:jc w:val="left"/>
                        <w:rPr/>
                      </w:pPr>
                      <w:r>
                        <w:rPr/>
                      </w:r>
                    </w:p>
                  </w:txbxContent>
                </v:textbox>
                <w10:wrap type="none"/>
              </v:rect>
            </w:pict>
          </mc:Fallback>
        </mc:AlternateContent>
      </w:r>
    </w:p>
    <w:tbl>
      <w:tblPr>
        <w:tblW w:w="1184" w:type="dxa"/>
        <w:jc w:val="left"/>
        <w:tblInd w:w="0" w:type="dxa"/>
        <w:tblLayout w:type="fixed"/>
        <w:tblCellMar>
          <w:top w:w="28" w:type="dxa"/>
          <w:left w:w="28" w:type="dxa"/>
          <w:bottom w:w="28" w:type="dxa"/>
          <w:right w:w="28" w:type="dxa"/>
        </w:tblCellMar>
      </w:tblPr>
      <w:tblGrid>
        <w:gridCol w:w="378"/>
        <w:gridCol w:w="333"/>
        <w:gridCol w:w="473"/>
      </w:tblGrid>
      <w:tr>
        <w:trPr/>
        <w:tc>
          <w:tcPr>
            <w:tcW w:w="378"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r>
      <w:tr>
        <w:trPr/>
        <w:tc>
          <w:tcPr>
            <w:tcW w:w="1184" w:type="dxa"/>
            <w:gridSpan w:val="3"/>
            <w:tcBorders/>
            <w:tcMar>
              <w:top w:w="0" w:type="dxa"/>
              <w:left w:w="0" w:type="dxa"/>
              <w:bottom w:w="0" w:type="dxa"/>
              <w:right w:w="0" w:type="dxa"/>
            </w:tcMar>
            <w:vAlign w:val="center"/>
          </w:tcPr>
          <w:p>
            <w:pPr>
              <w:pStyle w:val="TableContents"/>
              <w:bidi w:val="0"/>
              <w:spacing w:lineRule="atLeast" w:line="160" w:before="0" w:after="0"/>
              <w:jc w:val="left"/>
              <w:rPr>
                <w:rFonts w:ascii="Arial;sans-serif" w:hAnsi="Arial;sans-serif"/>
                <w:b/>
                <w:color w:val="000000"/>
                <w:sz w:val="14"/>
              </w:rPr>
            </w:pPr>
            <w:r>
              <w:rPr>
                <w:rFonts w:ascii="Arial;sans-serif" w:hAnsi="Arial;sans-serif"/>
                <w:b/>
                <w:color w:val="000000"/>
                <w:sz w:val="14"/>
              </w:rPr>
              <w:t>August 10, 2026</w:t>
            </w:r>
          </w:p>
          <w:p>
            <w:pPr>
              <w:pStyle w:val="TableContents"/>
              <w:bidi w:val="0"/>
              <w:spacing w:lineRule="atLeast" w:line="160" w:before="0" w:after="0"/>
              <w:jc w:val="left"/>
              <w:rPr>
                <w:rFonts w:ascii="Arial;sans-serif" w:hAnsi="Arial;sans-serif"/>
                <w:b/>
                <w:color w:val="000000"/>
                <w:sz w:val="14"/>
              </w:rPr>
            </w:pPr>
            <w:r>
              <w:rPr>
                <w:rFonts w:ascii="Arial;sans-serif" w:hAnsi="Arial;sans-serif"/>
                <w:b/>
                <w:color w:val="000000"/>
                <w:sz w:val="14"/>
              </w:rPr>
              <w:t>Page 2</w:t>
            </w:r>
          </w:p>
        </w:tc>
      </w:tr>
    </w:tbl>
    <w:p>
      <w:pPr>
        <w:pStyle w:val="TextBody"/>
        <w:bidi w:val="0"/>
        <w:spacing w:before="0" w:after="0"/>
        <w:jc w:val="left"/>
        <w:rPr/>
      </w:pPr>
      <w:r>
        <w:rPr/>
        <w:drawing>
          <wp:inline distT="0" distB="0" distL="0" distR="0">
            <wp:extent cx="1543050" cy="104775"/>
            <wp:effectExtent l="0" t="0" r="0" b="0"/>
            <wp:docPr id="15"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3" descr=""/>
                    <pic:cNvPicPr>
                      <a:picLocks noChangeAspect="1" noChangeArrowheads="1"/>
                    </pic:cNvPicPr>
                  </pic:nvPicPr>
                  <pic:blipFill>
                    <a:blip r:embed="rId34"/>
                    <a:stretch>
                      <a:fillRect/>
                    </a:stretch>
                  </pic:blipFill>
                  <pic:spPr bwMode="auto">
                    <a:xfrm>
                      <a:off x="0" y="0"/>
                      <a:ext cx="1543050" cy="104775"/>
                    </a:xfrm>
                    <a:prstGeom prst="rect">
                      <a:avLst/>
                    </a:prstGeom>
                  </pic:spPr>
                </pic:pic>
              </a:graphicData>
            </a:graphic>
          </wp:inline>
        </w:drawing>
      </w:r>
    </w:p>
    <w:p>
      <w:pPr>
        <w:pStyle w:val="TextBody"/>
        <w:bidi w:val="0"/>
        <w:spacing w:lineRule="auto" w:line="288" w:before="0" w:after="240"/>
        <w:jc w:val="both"/>
        <w:rPr/>
      </w:pPr>
      <w:r>
        <w:rPr>
          <w:rFonts w:ascii="Times New Roman;serif" w:hAnsi="Times New Roman;serif"/>
          <w:b w:val="false"/>
          <w:color w:val="000000"/>
          <w:sz w:val="24"/>
        </w:rPr>
        <w:t>General Corporation Law of the State of Delaware (the “</w:t>
      </w:r>
      <w:r>
        <w:rPr>
          <w:rFonts w:ascii="Times New Roman;serif" w:hAnsi="Times New Roman;serif"/>
          <w:b/>
          <w:i/>
          <w:color w:val="000000"/>
          <w:sz w:val="24"/>
        </w:rPr>
        <w:t>DGCL</w:t>
      </w:r>
      <w:r>
        <w:rPr>
          <w:color w:val="000000"/>
        </w:rPr>
        <w:t>”</w:t>
      </w:r>
      <w:r>
        <w:rPr>
          <w:rFonts w:ascii="Times New Roman;serif" w:hAnsi="Times New Roman;serif"/>
          <w:b w:val="false"/>
          <w:color w:val="000000"/>
          <w:sz w:val="24"/>
        </w:rPr>
        <w:t>), and we express no opinion with respect to any other laws.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Subject to the foregoing and the other matters set forth herein, it is our opinion that, as of the date hereof, when the Shares shall have been duly registered on the books of the transfer agent and registrar therefor in the name or on behalf of the purchasers and have been issued by the Company against payment therefor (not less than par value) in the circumstances contemplated by the 2014 Plan, assuming in each case that the individual issuances, grants or awards under the 2014 Plan are duly authorized by all necessary corporate action and duly issued, granted or awarded and exercised in accordance with the requirements of law and the 2014 Plan (and the agreements and awards duly adopted thereunder and in accordance therewith), the issue and sale of the Shares will have been duly authorized by all necessary corporate action of the Company, and the Shares will be validly issued, fully paid and nonassessable. In rendering the foregoing opinion, we have assumed that the Company will comply with all applicable notice requirements regarding uncertificated shares provided in the DGCL. </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This opinion is for your benefit in connection with the Registration Statement and may be relied upon by you and by persons entitled to rely upon it pursuant to the applicable provisions of the Act. We consent to your filing this opinion as an exhibit to the Registration Statement. In giving such consent, we do not thereby admit that we are in the category of persons whose consent is required under Section 7 of the Act or the rules and regulations of the Commission thereunder.</w:t>
      </w:r>
    </w:p>
    <w:tbl>
      <w:tblPr>
        <w:tblW w:w="2726" w:type="dxa"/>
        <w:jc w:val="left"/>
        <w:tblInd w:w="0" w:type="dxa"/>
        <w:tblLayout w:type="fixed"/>
        <w:tblCellMar>
          <w:top w:w="28" w:type="dxa"/>
          <w:left w:w="28" w:type="dxa"/>
          <w:bottom w:w="28" w:type="dxa"/>
          <w:right w:w="28" w:type="dxa"/>
        </w:tblCellMar>
      </w:tblPr>
      <w:tblGrid>
        <w:gridCol w:w="324"/>
        <w:gridCol w:w="285"/>
        <w:gridCol w:w="285"/>
        <w:gridCol w:w="285"/>
        <w:gridCol w:w="285"/>
        <w:gridCol w:w="285"/>
        <w:gridCol w:w="285"/>
        <w:gridCol w:w="285"/>
        <w:gridCol w:w="407"/>
      </w:tblGrid>
      <w:tr>
        <w:trPr/>
        <w:tc>
          <w:tcPr>
            <w:tcW w:w="324"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r>
      <w:tr>
        <w:trPr/>
        <w:tc>
          <w:tcPr>
            <w:tcW w:w="2726" w:type="dxa"/>
            <w:gridSpan w:val="9"/>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Sincerely,</w:t>
            </w:r>
          </w:p>
        </w:tc>
      </w:tr>
      <w:tr>
        <w:trPr/>
        <w:tc>
          <w:tcPr>
            <w:tcW w:w="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6" w:type="dxa"/>
            <w:gridSpan w:val="9"/>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/s/ Latham &amp; Watkins LLP</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00"/>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350520"/>
                <wp:effectExtent l="0" t="0" r="0" b="0"/>
                <wp:wrapNone/>
                <wp:docPr id="16" name="Frame13"/>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3"/>
        </w:rPr>
      </w:pPr>
      <w:r>
        <w:rPr>
          <w:rFonts w:ascii="Times New Roman;serif" w:hAnsi="Times New Roman;serif"/>
          <w:b/>
          <w:color w:val="000000"/>
          <w:sz w:val="23"/>
        </w:rPr>
        <w:t>Exhibit 23.1</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3"/>
        </w:rPr>
      </w:pPr>
      <w:r>
        <w:rPr>
          <w:rFonts w:ascii="Times New Roman;serif" w:hAnsi="Times New Roman;serif"/>
          <w:b/>
          <w:color w:val="000000"/>
          <w:sz w:val="23"/>
        </w:rPr>
        <w:t>Consent of Independent Registered Public Accounting Firm</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3"/>
        </w:rPr>
      </w:pPr>
      <w:r>
        <w:rPr>
          <w:rFonts w:ascii="Times New Roman;serif" w:hAnsi="Times New Roman;serif"/>
          <w:b w:val="false"/>
          <w:color w:val="000000"/>
          <w:sz w:val="23"/>
        </w:rPr>
        <w:t>We consent to the incorporation by reference in the Registration Statement (Form S-8) pertaining to the Amended and Restated 2014 Equity Incentive Award Plan of Ardelyx, Inc. of our reports dated February 19, 2026, with respect to the financial statements of Ardelyx, Inc. and the effectiveness of internal control over financial reporting of Ardelyx, Inc. included in its Annual Report (Form 10-K) for the year ended December 31, 2025, filed with the Securities and Exchange Commission.</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3"/>
        </w:rPr>
      </w:pPr>
      <w:r>
        <w:rPr>
          <w:rFonts w:ascii="Times New Roman;serif" w:hAnsi="Times New Roman;serif"/>
          <w:b w:val="false"/>
          <w:color w:val="000000"/>
          <w:sz w:val="23"/>
        </w:rPr>
        <w:t>/s/ Ernst &amp; Young LLP</w:t>
      </w:r>
    </w:p>
    <w:p>
      <w:pPr>
        <w:pStyle w:val="TextBody"/>
        <w:bidi w:val="0"/>
        <w:spacing w:lineRule="auto" w:line="288" w:before="0" w:after="0"/>
        <w:jc w:val="both"/>
        <w:rPr>
          <w:rFonts w:ascii="Times New Roman;serif" w:hAnsi="Times New Roman;serif"/>
          <w:b w:val="false"/>
          <w:color w:val="000000"/>
          <w:sz w:val="23"/>
        </w:rPr>
      </w:pPr>
      <w:r>
        <w:rPr>
          <w:rFonts w:ascii="Times New Roman;serif" w:hAnsi="Times New Roman;serif"/>
          <w:b w:val="false"/>
          <w:color w:val="000000"/>
          <w:sz w:val="23"/>
        </w:rPr>
        <w:t>Boston, Massachusetts</w:t>
      </w:r>
    </w:p>
    <w:p>
      <w:pPr>
        <w:pStyle w:val="TextBody"/>
        <w:bidi w:val="0"/>
        <w:spacing w:lineRule="auto" w:line="288" w:before="0" w:after="0"/>
        <w:jc w:val="both"/>
        <w:rPr>
          <w:rFonts w:ascii="Times New Roman;serif" w:hAnsi="Times New Roman;serif"/>
          <w:b w:val="false"/>
          <w:color w:val="000000"/>
          <w:sz w:val="23"/>
        </w:rPr>
      </w:pPr>
      <w:r>
        <w:rPr>
          <w:rFonts w:ascii="Times New Roman;serif" w:hAnsi="Times New Roman;serif"/>
          <w:b w:val="false"/>
          <w:color w:val="000000"/>
          <w:sz w:val="23"/>
        </w:rPr>
        <w:t>August 10, 2026</w:t>
      </w:r>
    </w:p>
    <w:p>
      <w:pPr>
        <w:pStyle w:val="TextBody"/>
        <w:bidi w:val="0"/>
        <w:spacing w:before="0" w:after="200"/>
        <w:jc w:val="left"/>
        <w:rPr/>
      </w:pPr>
      <w:r>
        <w:rPr/>
      </w:r>
    </w:p>
    <w:p>
      <w:pPr>
        <w:pStyle w:val="TextBody"/>
        <w:bidi w:val="0"/>
        <w:spacing w:before="0" w:after="200"/>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75260"/>
                <wp:effectExtent l="0" t="0" r="0" b="0"/>
                <wp:wrapNone/>
                <wp:docPr id="17" name="Frame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0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437402/000119312514267896/d758186ds8.htm" TargetMode="External"/><Relationship Id="rId4" Type="http://schemas.openxmlformats.org/officeDocument/2006/relationships/hyperlink" Target="https://www.sec.gov/Archives/edgar/data/1437402/000119312515087522/d889275ds8.htm" TargetMode="External"/><Relationship Id="rId5" Type="http://schemas.openxmlformats.org/officeDocument/2006/relationships/hyperlink" Target="https://www.sec.gov/Archives/edgar/data/1437402/000119312516500176/d159520ds8.htm" TargetMode="External"/><Relationship Id="rId6" Type="http://schemas.openxmlformats.org/officeDocument/2006/relationships/hyperlink" Target="https://www.sec.gov/Archives/edgar/data/1437402/000119312517050555/d333014ds8.htm" TargetMode="External"/><Relationship Id="rId7" Type="http://schemas.openxmlformats.org/officeDocument/2006/relationships/hyperlink" Target="https://www.sec.gov/Archives/edgar/data/1437402/000119312518084334/d551566ds8.htm" TargetMode="External"/><Relationship Id="rId8" Type="http://schemas.openxmlformats.org/officeDocument/2006/relationships/hyperlink" Target="https://www.sec.gov/Archives/edgar/data/1437402/000155837019001719/s-8.htm" TargetMode="External"/><Relationship Id="rId9" Type="http://schemas.openxmlformats.org/officeDocument/2006/relationships/hyperlink" Target="https://www.sec.gov/Archives/edgar/data/1437402/000119312520068867/d896070ds8.htm" TargetMode="External"/><Relationship Id="rId10" Type="http://schemas.openxmlformats.org/officeDocument/2006/relationships/hyperlink" Target="https://www.sec.gov/Archives/edgar/data/1437402/000155837021002843/tmb-20210311xs8.htm" TargetMode="External"/><Relationship Id="rId11" Type="http://schemas.openxmlformats.org/officeDocument/2006/relationships/hyperlink" Target="https://www.sec.gov/Archives/edgar/data/1437402/000110465922028658/tm227853d1_s8.htm" TargetMode="External"/><Relationship Id="rId12" Type="http://schemas.openxmlformats.org/officeDocument/2006/relationships/hyperlink" Target="https://www.sec.gov/Archives/edgar/data/1437402/000110465923029195/tm238542d1_s8.htm" TargetMode="External"/><Relationship Id="rId13" Type="http://schemas.openxmlformats.org/officeDocument/2006/relationships/hyperlink" Target="https://www.sec.gov/Archives/edgar/data/1437402/000110465924028324/tm247176d1_s8.htm" TargetMode="External"/><Relationship Id="rId14" Type="http://schemas.openxmlformats.org/officeDocument/2006/relationships/hyperlink" Target="https://www.sec.gov/Archives/edgar/data/1437402/000110465924114363/tm2427403d1_s8.htm" TargetMode="External"/><Relationship Id="rId15" Type="http://schemas.openxmlformats.org/officeDocument/2006/relationships/hyperlink" Target="https://www.sec.gov/Archives/edgar/data/1437402/000119312525262703/d45140ds8.htm" TargetMode="External"/><Relationship Id="rId16" Type="http://schemas.openxmlformats.org/officeDocument/2006/relationships/hyperlink" Target="https://www.sec.gov/ix?doc=/Archives/edgar/data/1437402/000143740226000013/ardx-20251231.htm" TargetMode="External"/><Relationship Id="rId17" Type="http://schemas.openxmlformats.org/officeDocument/2006/relationships/hyperlink" Target="https://www.sec.gov/ix?doc=/Archives/edgar/data/1437402/000143740226000022/ardx-20260331.htm" TargetMode="External"/><Relationship Id="rId18" Type="http://schemas.openxmlformats.org/officeDocument/2006/relationships/hyperlink" Target="https://www.sec.gov/ix?doc=/Archives/edgar/data/1437402/000143740226000044/ardx-20260630.htm" TargetMode="External"/><Relationship Id="rId19" Type="http://schemas.openxmlformats.org/officeDocument/2006/relationships/hyperlink" Target="https://www.sec.gov/ix?doc=/Archives/edgar/data/1437402/000143740226000044/ardx-20260630.htm" TargetMode="External"/><Relationship Id="rId20" Type="http://schemas.openxmlformats.org/officeDocument/2006/relationships/hyperlink" Target="https://www.sec.gov/ix?doc=/Archives/edgar/data/1437402/000143740226000044/ardx-20260630.htm" TargetMode="External"/><Relationship Id="rId21" Type="http://schemas.openxmlformats.org/officeDocument/2006/relationships/hyperlink" Target="https://www.sec.gov/ix?doc=/Archives/edgar/data/1437402/000143740226000003/ardx-20260108.htm" TargetMode="External"/><Relationship Id="rId22" Type="http://schemas.openxmlformats.org/officeDocument/2006/relationships/hyperlink" Target="https://www.sec.gov/ix?doc=/Archives/edgar/data/1437402/000143740226000029/ardx-20260616.htm" TargetMode="External"/><Relationship Id="rId23" Type="http://schemas.openxmlformats.org/officeDocument/2006/relationships/hyperlink" Target="https://www.sec.gov/ix?doc=/Archives/edgar/data/1437402/000143740226000033/ardx-20260629.htm" TargetMode="External"/><Relationship Id="rId24" Type="http://schemas.openxmlformats.org/officeDocument/2006/relationships/hyperlink" Target="https://www.sec.gov/ix?doc=/Archives/edgar/data/1437402/000114036126017800/ny20065368x1_def14a.htm" TargetMode="External"/><Relationship Id="rId25" Type="http://schemas.openxmlformats.org/officeDocument/2006/relationships/hyperlink" Target="https://www.sec.gov/Archives/edgar/data/1437402/000143740226000013/ardx-20251231xex43.htm" TargetMode="External"/><Relationship Id="rId26" Type="http://schemas.openxmlformats.org/officeDocument/2006/relationships/hyperlink" Target="https://www.sec.gov/Archives/edgar/data/1437402/000119312514247380/d748616dex31.htm" TargetMode="External"/><Relationship Id="rId27" Type="http://schemas.openxmlformats.org/officeDocument/2006/relationships/hyperlink" Target="https://www.sec.gov/Archives/edgar/data/1437402/000162828023022681/certificateofamendment6-16.htm" TargetMode="External"/><Relationship Id="rId28" Type="http://schemas.openxmlformats.org/officeDocument/2006/relationships/hyperlink" Target="https://www.sec.gov/Archives/edgar/data/1437402/000162828025037441/ardx-20250630xexhibit31.htm" TargetMode="External"/><Relationship Id="rId29" Type="http://schemas.openxmlformats.org/officeDocument/2006/relationships/hyperlink" Target="https://www.sec.gov/Archives/edgar/data/1437402/000119312514240520/d704770dex42.htm" TargetMode="External"/><Relationship Id="rId30" Type="http://schemas.openxmlformats.org/officeDocument/2006/relationships/hyperlink" Target="https://www.sec.gov/Archives/edgar/data/1437402/000162828024028413/ardelyx-amendedandrestateda.htm" TargetMode="External"/><Relationship Id="rId31" Type="http://schemas.openxmlformats.org/officeDocument/2006/relationships/hyperlink" Target="https://www.sec.gov/Archives/edgar/data/1437402/000162828025032172/ardx-20250618xexx101.htm" TargetMode="External"/><Relationship Id="rId32" Type="http://schemas.openxmlformats.org/officeDocument/2006/relationships/hyperlink" Target="https://www.sec.gov/Archives/edgar/data/1437402/000143740226000029/ardx-20260616xexx101.htm" TargetMode="External"/><Relationship Id="rId33" Type="http://schemas.openxmlformats.org/officeDocument/2006/relationships/image" Target="media/image2.png"/><Relationship Id="rId34" Type="http://schemas.openxmlformats.org/officeDocument/2006/relationships/image" Target="media/image3.png"/><Relationship Id="rId35" Type="http://schemas.openxmlformats.org/officeDocument/2006/relationships/fontTable" Target="fontTable.xml"/><Relationship Id="rId3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13</Pages>
  <Words>4102</Words>
  <Characters>22368</Characters>
  <CharactersWithSpaces>26212</CharactersWithSpaces>
  <Paragraphs>436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